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pPr>
        <w:pageBreakBefore w:val="0"/>
        <w:wordWrap/>
        <w:topLinePunct w:val="0"/>
        <w:bidi w:val="0"/>
        <w:spacing w:line="360" w:lineRule="auto"/>
        <w:jc w:val="center"/>
        <w:rPr>
          <w:rFonts w:hint="default" w:eastAsia="宋体"/>
          <w:b/>
          <w:color w:val="auto"/>
          <w:sz w:val="72"/>
          <w:highlight w:val="none"/>
          <w:lang w:val="en-US" w:eastAsia="zh-CN"/>
        </w:rPr>
      </w:pPr>
    </w:p>
    <w:p>
      <w:pPr>
        <w:pageBreakBefore w:val="0"/>
        <w:wordWrap/>
        <w:topLinePunct w:val="0"/>
        <w:bidi w:val="0"/>
        <w:spacing w:line="360" w:lineRule="auto"/>
        <w:jc w:val="both"/>
        <w:rPr>
          <w:b/>
          <w:color w:val="auto"/>
          <w:sz w:val="7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南京现代表面处理科技产业中心项目A地块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b/>
          <w:bCs/>
          <w:sz w:val="52"/>
          <w:szCs w:val="52"/>
          <w:u w:val="single"/>
          <w:lang w:eastAsia="zh-CN"/>
        </w:rPr>
        <w:t>建设工程砂、再生石子、砖渣、袋装水泥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pPr>
        <w:pageBreakBefore w:val="0"/>
        <w:wordWrap/>
        <w:topLinePunct w:val="0"/>
        <w:bidi w:val="0"/>
        <w:spacing w:line="360" w:lineRule="auto"/>
        <w:jc w:val="both"/>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pPr>
        <w:pageBreakBefore w:val="0"/>
        <w:wordWrap/>
        <w:topLinePunct w:val="0"/>
        <w:bidi w:val="0"/>
        <w:spacing w:line="360" w:lineRule="auto"/>
        <w:jc w:val="both"/>
        <w:rPr>
          <w:rFonts w:hint="default" w:eastAsia="宋体"/>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pPr>
        <w:pageBreakBefore w:val="0"/>
        <w:wordWrap/>
        <w:topLinePunct w:val="0"/>
        <w:bidi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pPr>
        <w:pStyle w:val="7"/>
        <w:tabs>
          <w:tab w:val="right" w:leader="dot" w:pos="10206"/>
        </w:tabs>
        <w:rPr>
          <w:color w:val="auto"/>
          <w:highlight w:val="none"/>
        </w:rPr>
      </w:pPr>
      <w:bookmarkStart w:id="0" w:name="_Toc17662"/>
      <w:bookmarkStart w:id="1" w:name="_Toc1441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南京现代表面处理科技产业中心项目A地块建设工程</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砂、再生石子、砖渣、袋装水泥</w:t>
      </w:r>
      <w:r>
        <w:rPr>
          <w:rFonts w:hint="eastAsia" w:ascii="仿宋" w:hAnsi="仿宋" w:eastAsia="仿宋" w:cs="仿宋"/>
          <w:b w:val="0"/>
          <w:bCs w:val="0"/>
          <w:color w:val="auto"/>
          <w:kern w:val="2"/>
          <w:sz w:val="28"/>
          <w:szCs w:val="28"/>
          <w:highlight w:val="none"/>
          <w:u w:val="none"/>
          <w:lang w:val="en-US" w:eastAsia="zh-CN" w:bidi="ar-SA"/>
        </w:rPr>
        <w:t>（以下简称“产品”）</w:t>
      </w:r>
      <w:r>
        <w:rPr>
          <w:rFonts w:hint="eastAsia" w:ascii="仿宋" w:hAnsi="仿宋" w:eastAsia="仿宋" w:cs="仿宋"/>
          <w:b w:val="0"/>
          <w:bCs w:val="0"/>
          <w:color w:val="auto"/>
          <w:kern w:val="2"/>
          <w:sz w:val="28"/>
          <w:szCs w:val="28"/>
          <w:highlight w:val="none"/>
          <w:u w:val="single"/>
          <w:lang w:val="en-US" w:eastAsia="zh-CN" w:bidi="ar-SA"/>
        </w:rPr>
        <w:t xml:space="preserve"> 购销</w:t>
      </w:r>
      <w:r>
        <w:rPr>
          <w:rFonts w:hint="eastAsia" w:ascii="仿宋" w:hAnsi="仿宋" w:eastAsia="仿宋" w:cs="仿宋"/>
          <w:b w:val="0"/>
          <w:bCs w:val="0"/>
          <w:color w:val="auto"/>
          <w:kern w:val="2"/>
          <w:sz w:val="28"/>
          <w:szCs w:val="28"/>
          <w:highlight w:val="none"/>
          <w:u w:val="none"/>
          <w:lang w:val="en-US" w:eastAsia="zh-CN" w:bidi="ar-SA"/>
        </w:rPr>
        <w:t>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26009"/>
      <w:bookmarkStart w:id="3" w:name="_Toc17291"/>
      <w:bookmarkStart w:id="4" w:name="_Toc30517"/>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071"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75"/>
        <w:gridCol w:w="1216"/>
        <w:gridCol w:w="1032"/>
        <w:gridCol w:w="3005"/>
        <w:gridCol w:w="480"/>
        <w:gridCol w:w="821"/>
        <w:gridCol w:w="1037"/>
        <w:gridCol w:w="983"/>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1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57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90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38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4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2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41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90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p>
        </w:tc>
        <w:tc>
          <w:tcPr>
            <w:tcW w:w="38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41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8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41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8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N</w:t>
            </w:r>
          </w:p>
        </w:tc>
        <w:tc>
          <w:tcPr>
            <w:tcW w:w="41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8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687" w:type="pct"/>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合同暂定总价（1+2+…+N）</w:t>
            </w:r>
          </w:p>
        </w:tc>
        <w:tc>
          <w:tcPr>
            <w:tcW w:w="3312" w:type="pct"/>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w:t>
      </w:r>
      <w:r>
        <w:rPr>
          <w:rFonts w:hint="eastAsia" w:ascii="仿宋" w:hAnsi="仿宋" w:eastAsia="仿宋" w:cs="仿宋"/>
          <w:color w:val="auto"/>
          <w:kern w:val="2"/>
          <w:sz w:val="28"/>
          <w:szCs w:val="28"/>
          <w:highlight w:val="none"/>
          <w:u w:val="single"/>
          <w:lang w:val="en-US" w:eastAsia="zh-CN" w:bidi="ar-SA"/>
        </w:rPr>
        <w:t>数量</w:t>
      </w:r>
      <w:r>
        <w:rPr>
          <w:rFonts w:hint="eastAsia" w:ascii="仿宋" w:hAnsi="仿宋" w:eastAsia="仿宋" w:cs="仿宋"/>
          <w:color w:val="auto"/>
          <w:kern w:val="2"/>
          <w:sz w:val="28"/>
          <w:szCs w:val="28"/>
          <w:highlight w:val="none"/>
          <w:u w:val="none"/>
          <w:lang w:val="en-US" w:eastAsia="zh-CN" w:bidi="ar-SA"/>
        </w:rPr>
        <w:t>计算，本合同暂定总价为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vertAlign w:val="baseline"/>
          <w:lang w:val="en-US" w:eastAsia="zh-CN"/>
        </w:rPr>
        <w:t>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本合同生效之日起至本项目所需产品全部供应完毕为止，如市场价格发生波动，双方另行协商并以书面形式确定协商结果。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价已包含各种保险费用，乙方不得另计保险而向甲方索要费用。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 xml:space="preserve"> 单 </w:t>
      </w:r>
      <w:r>
        <w:rPr>
          <w:rFonts w:hint="eastAsia" w:ascii="仿宋" w:hAnsi="仿宋" w:eastAsia="仿宋" w:cs="仿宋"/>
          <w:color w:val="auto"/>
          <w:sz w:val="28"/>
          <w:szCs w:val="28"/>
          <w:highlight w:val="none"/>
          <w:u w:val="none"/>
          <w:vertAlign w:val="baseline"/>
          <w:lang w:val="en-US" w:eastAsia="zh-CN"/>
        </w:rPr>
        <w:t>价中，不另计费。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highlight w:val="none"/>
          <w:lang w:val="en-US" w:eastAsia="zh-CN"/>
        </w:rPr>
      </w:pPr>
      <w:bookmarkStart w:id="6" w:name="_Toc32399"/>
      <w:bookmarkStart w:id="7" w:name="_Toc16052"/>
      <w:bookmarkStart w:id="8"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r>
        <w:rPr>
          <w:rFonts w:hint="eastAsia" w:ascii="仿宋" w:hAnsi="仿宋" w:eastAsia="仿宋" w:cs="仿宋"/>
          <w:b/>
          <w:bCs/>
          <w:color w:val="auto"/>
          <w:sz w:val="28"/>
          <w:highlight w:val="none"/>
          <w:lang w:val="en-US" w:eastAsia="zh-CN"/>
        </w:rPr>
        <w:t>及履约保证金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2.1.2产品到齐甲方指定交货地点经甲方形式验收合格并移交甲方，甲方收齐金额等于结算款全额的发票等相关资料后付至合同结算总价的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100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二）给甲方，以此类推。(例：乙方在6月3日前交齐5月份货款的对账资料给甲方项目部并在6月8日完成对账的，则甲方在6月30日前支付5月份货款的</w:t>
      </w:r>
      <w:r>
        <w:rPr>
          <w:rFonts w:hint="eastAsia" w:ascii="仿宋" w:hAnsi="仿宋" w:eastAsia="仿宋" w:cs="仿宋"/>
          <w:color w:val="auto"/>
          <w:sz w:val="28"/>
          <w:highlight w:val="none"/>
          <w:u w:val="single"/>
          <w:lang w:val="en-US" w:eastAsia="zh-CN"/>
        </w:rPr>
        <w:t xml:space="preserve"> 100</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2.9甲方支付完任一批次货款（不含保修金）后或甲乙双方完成本项目货款结算或甲方支付完货款（不含保修金）后，视为乙方关于除保修金外的合同款支付事宜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的全部权利消灭，乙方不得基于合同款支付事宜向甲方提出任何权利主张或追索其他任何费用。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2.11合同履约保证金为人民币壹万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本合同供货完成、本项目竣工验收合格后，甲方无息原路退回剩余的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b/>
          <w:bCs/>
          <w:color w:val="auto"/>
          <w:sz w:val="28"/>
          <w:highlight w:val="none"/>
          <w:u w:val="singl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b/>
          <w:bCs/>
          <w:color w:val="auto"/>
          <w:sz w:val="28"/>
          <w:highlight w:val="none"/>
          <w:u w:val="single"/>
          <w:vertAlign w:val="baseline"/>
          <w:lang w:val="en-US" w:eastAsia="zh-CN"/>
        </w:rPr>
        <w:t>/</w:t>
      </w:r>
      <w:r>
        <w:rPr>
          <w:rFonts w:hint="eastAsia" w:ascii="仿宋" w:hAnsi="仿宋" w:eastAsia="仿宋" w:cs="仿宋"/>
          <w:color w:val="auto"/>
          <w:sz w:val="28"/>
          <w:highlight w:val="none"/>
          <w:u w:val="singl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29235"/>
      <w:bookmarkStart w:id="14"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bookmarkStart w:id="25" w:name="_GoBack"/>
      <w:bookmarkEnd w:id="25"/>
      <w:r>
        <w:rPr>
          <w:rFonts w:hint="eastAsia" w:ascii="仿宋" w:hAnsi="仿宋" w:eastAsia="仿宋" w:cs="仿宋"/>
          <w:color w:val="auto"/>
          <w:sz w:val="28"/>
          <w:highlight w:val="none"/>
          <w:u w:val="single"/>
          <w:lang w:val="en-US" w:eastAsia="zh-CN"/>
        </w:rPr>
        <w:t>以经甲方本合同执行联系人、仓管员等相关岗位人员签名的物料申购单(格式详见附件《物料申购单》)扫描件为准，详见第 4.4.1条约定。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甲方项目部指定的堆放位置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 xml:space="preserve">甲方发出订单之日起 </w:t>
      </w:r>
      <w:r>
        <w:rPr>
          <w:rFonts w:hint="eastAsia" w:ascii="仿宋" w:hAnsi="仿宋" w:eastAsia="仿宋" w:cs="仿宋"/>
          <w:b/>
          <w:bCs/>
          <w:color w:val="auto"/>
          <w:sz w:val="28"/>
          <w:highlight w:val="none"/>
          <w:u w:val="single"/>
          <w:lang w:val="en-US" w:eastAsia="zh-CN"/>
        </w:rPr>
        <w:t xml:space="preserve"> XX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r>
        <w:rPr>
          <w:rFonts w:hint="eastAsia" w:ascii="仿宋" w:hAnsi="仿宋" w:eastAsia="仿宋" w:cs="仿宋"/>
          <w:color w:val="auto"/>
          <w:sz w:val="28"/>
          <w:highlight w:val="none"/>
          <w:u w:val="single"/>
          <w:lang w:eastAsia="zh-CN"/>
        </w:rPr>
        <w:t>（按定标文件实际情况填写）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hint="eastAsia" w:ascii="仿宋" w:hAnsi="仿宋" w:eastAsia="仿宋" w:cs="仿宋"/>
          <w:b w:val="0"/>
          <w:bCs w:val="0"/>
          <w:color w:val="auto"/>
          <w:sz w:val="28"/>
          <w:highlight w:val="none"/>
          <w:u w:val="single"/>
          <w:lang w:val="en-US" w:eastAsia="zh-CN"/>
        </w:rPr>
        <w:t xml:space="preserve"> 彭善海（手机号码：13592796498 ）</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杨军（仓管员）为产品签收人，联系电话 13652456602</w:t>
      </w:r>
      <w:r>
        <w:rPr>
          <w:rFonts w:hint="eastAsia"/>
          <w:lang w:eastAsia="zh-CN"/>
        </w:rPr>
        <w:t>。</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方为有效，否则为无效文件，仅盖章或者签名的文件亦无效。甲方项目负责人、合同执行联系人变更的，甲方将以书面形式通知乙方。</w:t>
      </w:r>
    </w:p>
    <w:p>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2  </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w:t>
      </w:r>
      <w:r>
        <w:rPr>
          <w:rFonts w:hint="eastAsia" w:ascii="仿宋" w:hAnsi="仿宋" w:eastAsia="仿宋" w:cs="仿宋"/>
          <w:color w:val="auto"/>
          <w:sz w:val="28"/>
          <w:highlight w:val="none"/>
          <w:lang w:val="en-US" w:eastAsia="zh-CN"/>
        </w:rPr>
        <w:t>形式</w:t>
      </w:r>
      <w:r>
        <w:rPr>
          <w:rFonts w:hint="eastAsia" w:ascii="仿宋" w:hAnsi="仿宋" w:eastAsia="仿宋" w:cs="仿宋"/>
          <w:color w:val="auto"/>
          <w:sz w:val="28"/>
          <w:highlight w:val="none"/>
        </w:rPr>
        <w:t>验收合格并</w:t>
      </w:r>
      <w:r>
        <w:rPr>
          <w:rFonts w:hint="eastAsia" w:ascii="仿宋" w:hAnsi="仿宋" w:eastAsia="仿宋" w:cs="仿宋"/>
          <w:color w:val="auto"/>
          <w:sz w:val="28"/>
          <w:highlight w:val="none"/>
          <w:lang w:val="en-US" w:eastAsia="zh-CN"/>
        </w:rPr>
        <w:t>且本</w:t>
      </w:r>
      <w:r>
        <w:rPr>
          <w:rFonts w:hint="eastAsia" w:ascii="仿宋" w:hAnsi="仿宋" w:eastAsia="仿宋" w:cs="仿宋"/>
          <w:color w:val="auto"/>
          <w:sz w:val="28"/>
          <w:highlight w:val="none"/>
          <w:u w:val="none"/>
          <w:lang w:val="en-US" w:eastAsia="zh-CN"/>
        </w:rPr>
        <w:t>项目经建设单位竣工验收合格</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甲方形式验收仅查验合格证、数量、外观等，本</w:t>
      </w:r>
      <w:r>
        <w:rPr>
          <w:rFonts w:hint="eastAsia" w:ascii="仿宋" w:hAnsi="仿宋" w:eastAsia="仿宋" w:cs="仿宋"/>
          <w:color w:val="auto"/>
          <w:sz w:val="28"/>
          <w:highlight w:val="none"/>
          <w:u w:val="none"/>
          <w:lang w:val="en-US" w:eastAsia="zh-CN"/>
        </w:rPr>
        <w:t>项目经建设单位竣工验收合格视为乙方的产品验收合格</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10040"/>
      <w:bookmarkStart w:id="16" w:name="_Toc28514"/>
      <w:bookmarkStart w:id="17" w:name="_Toc2520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highlight w:val="none"/>
          <w:u w:val="none"/>
          <w:lang w:val="en-US" w:eastAsia="zh-CN"/>
        </w:rPr>
      </w:pP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9740"/>
      <w:bookmarkStart w:id="19" w:name="_Toc2026"/>
      <w:bookmarkStart w:id="20" w:name="_Toc1260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8226"/>
      <w:bookmarkStart w:id="22" w:name="_Toc18645"/>
      <w:bookmarkStart w:id="23" w:name="_Toc23013"/>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本合同对应的招采文件（含相关答疑、补充通知等）；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7.17甲乙双方均确认已经审阅并理解本合同的条款，且已经就条款相关的任何疑问得到满意的解释，并确认本合同的条款为双方本着诚信互利的原则友好协商一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致的结果，不属于任何一方的格式条款。</w:t>
      </w:r>
    </w:p>
    <w:bookmarkEnd w:id="24"/>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附件七：《物料申购单》格式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pPr>
        <w:jc w:val="right"/>
        <w:rPr>
          <w:rFonts w:hint="eastAsia" w:ascii="仿宋" w:hAnsi="仿宋" w:eastAsia="仿宋" w:cs="仿宋"/>
          <w:b/>
          <w:bCs/>
          <w:color w:val="auto"/>
          <w:sz w:val="44"/>
          <w:szCs w:val="44"/>
          <w:highlight w:val="none"/>
          <w:lang w:val="en-US" w:eastAsia="zh-CN"/>
        </w:rPr>
      </w:pPr>
    </w:p>
    <w:p>
      <w:pPr>
        <w:jc w:val="right"/>
        <w:rPr>
          <w:rFonts w:hint="eastAsia" w:ascii="仿宋" w:hAnsi="仿宋" w:eastAsia="仿宋" w:cs="仿宋"/>
          <w:b/>
          <w:bCs/>
          <w:color w:val="auto"/>
          <w:sz w:val="44"/>
          <w:szCs w:val="44"/>
          <w:highlight w:val="none"/>
          <w:lang w:val="en-US" w:eastAsia="zh-CN"/>
        </w:rPr>
      </w:pPr>
    </w:p>
    <w:p>
      <w:pPr>
        <w:jc w:val="right"/>
        <w:rPr>
          <w:rFonts w:hint="eastAsia" w:ascii="仿宋" w:hAnsi="仿宋" w:eastAsia="仿宋" w:cs="仿宋"/>
          <w:b/>
          <w:bCs/>
          <w:color w:val="auto"/>
          <w:sz w:val="44"/>
          <w:szCs w:val="44"/>
          <w:highlight w:val="none"/>
          <w:lang w:val="en-US" w:eastAsia="zh-CN"/>
        </w:rPr>
      </w:pPr>
    </w:p>
    <w:p>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pPr>
        <w:jc w:val="right"/>
        <w:rPr>
          <w:rFonts w:hint="default" w:ascii="仿宋" w:hAnsi="仿宋" w:eastAsia="仿宋" w:cs="仿宋"/>
          <w:b/>
          <w:bCs/>
          <w:color w:val="auto"/>
          <w:sz w:val="44"/>
          <w:szCs w:val="44"/>
          <w:highlight w:val="none"/>
          <w:lang w:val="en-US" w:eastAsia="zh-CN"/>
        </w:rPr>
      </w:pPr>
    </w:p>
    <w:p>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pPr>
        <w:pStyle w:val="3"/>
        <w:spacing w:before="97" w:line="222" w:lineRule="auto"/>
        <w:ind w:left="23"/>
        <w:rPr>
          <w:color w:val="auto"/>
          <w:sz w:val="28"/>
          <w:szCs w:val="28"/>
        </w:rPr>
      </w:pPr>
      <w:r>
        <w:rPr>
          <w:color w:val="auto"/>
          <w:spacing w:val="-2"/>
          <w:sz w:val="28"/>
          <w:szCs w:val="28"/>
        </w:rPr>
        <w:t>致：东莞市中泰建安工程有限公司</w:t>
      </w:r>
    </w:p>
    <w:p>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pPr>
        <w:spacing w:line="261" w:lineRule="auto"/>
        <w:rPr>
          <w:rFonts w:ascii="Arial"/>
          <w:color w:val="auto"/>
          <w:sz w:val="20"/>
          <w:szCs w:val="22"/>
        </w:rPr>
      </w:pPr>
    </w:p>
    <w:p>
      <w:pPr>
        <w:spacing w:line="261" w:lineRule="auto"/>
        <w:rPr>
          <w:rFonts w:ascii="Arial"/>
          <w:color w:val="auto"/>
          <w:sz w:val="20"/>
          <w:szCs w:val="22"/>
        </w:rPr>
      </w:pPr>
    </w:p>
    <w:p>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pPr>
        <w:spacing w:line="281" w:lineRule="auto"/>
        <w:rPr>
          <w:rFonts w:ascii="Arial"/>
          <w:color w:val="auto"/>
          <w:sz w:val="20"/>
          <w:szCs w:val="22"/>
        </w:rPr>
      </w:pPr>
    </w:p>
    <w:p>
      <w:pPr>
        <w:spacing w:line="281" w:lineRule="auto"/>
        <w:rPr>
          <w:rFonts w:ascii="Arial"/>
          <w:color w:val="auto"/>
          <w:sz w:val="20"/>
          <w:szCs w:val="22"/>
        </w:rPr>
      </w:pPr>
    </w:p>
    <w:p>
      <w:pPr>
        <w:spacing w:line="281" w:lineRule="auto"/>
        <w:rPr>
          <w:rFonts w:ascii="Arial"/>
          <w:color w:val="auto"/>
          <w:sz w:val="20"/>
          <w:szCs w:val="22"/>
        </w:rPr>
      </w:pPr>
      <w:r>
        <w:rPr>
          <w:color w:val="auto"/>
          <w:sz w:val="20"/>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 中泰建安 ”支付该合同最后一笔款前完成本承诺书签章，且 原件交给“ 中泰建安 ”作为支付最后一笔款的前提条件。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pPr>
        <w:numPr>
          <w:ilvl w:val="0"/>
          <w:numId w:val="0"/>
        </w:numPr>
        <w:ind w:leftChars="0"/>
        <w:jc w:val="left"/>
        <w:rPr>
          <w:rFonts w:hint="eastAsia" w:ascii="仿宋" w:hAnsi="仿宋" w:eastAsia="仿宋" w:cs="仿宋"/>
          <w:bCs/>
          <w:color w:val="auto"/>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pPr>
        <w:pageBreakBefore w:val="0"/>
        <w:wordWrap/>
        <w:topLinePunct w:val="0"/>
        <w:bidi w:val="0"/>
        <w:spacing w:line="360" w:lineRule="auto"/>
        <w:rPr>
          <w:rFonts w:cs="宋体"/>
          <w:color w:val="auto"/>
          <w:highlight w:val="none"/>
        </w:rPr>
      </w:pPr>
    </w:p>
    <w:p>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noWrap w:val="0"/>
            <w:vAlign w:val="top"/>
          </w:tcPr>
          <w:p>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noWrap w:val="0"/>
            <w:vAlign w:val="top"/>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收/付款日期</w:t>
            </w:r>
          </w:p>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pPr>
        <w:rPr>
          <w:rFonts w:hint="default"/>
          <w:color w:val="auto"/>
          <w:highlight w:val="none"/>
          <w:lang w:val="en-US" w:eastAsia="zh-CN"/>
        </w:rPr>
      </w:pPr>
    </w:p>
    <w:p>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pPr>
        <w:pStyle w:val="3"/>
        <w:spacing w:before="35" w:line="309" w:lineRule="exact"/>
        <w:ind w:left="67"/>
        <w:rPr>
          <w:rFonts w:hint="eastAsia" w:ascii="宋体" w:hAnsi="宋体" w:eastAsia="宋体" w:cs="宋体"/>
          <w:color w:val="auto"/>
          <w:spacing w:val="8"/>
          <w:position w:val="10"/>
          <w:sz w:val="20"/>
          <w:szCs w:val="20"/>
          <w:highlight w:val="none"/>
        </w:rPr>
      </w:pPr>
    </w:p>
    <w:p>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pPr>
              <w:pStyle w:val="14"/>
              <w:rPr>
                <w:color w:val="auto"/>
                <w:highlight w:val="none"/>
              </w:rPr>
            </w:pP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pPr>
              <w:pStyle w:val="14"/>
              <w:rPr>
                <w:color w:val="auto"/>
                <w:highlight w:val="none"/>
              </w:rPr>
            </w:pPr>
          </w:p>
        </w:tc>
        <w:tc>
          <w:tcPr>
            <w:tcW w:w="930" w:type="dxa"/>
            <w:vAlign w:val="top"/>
          </w:tcPr>
          <w:p>
            <w:pPr>
              <w:pStyle w:val="14"/>
              <w:rPr>
                <w:color w:val="auto"/>
                <w:highlight w:val="none"/>
              </w:rPr>
            </w:pPr>
          </w:p>
        </w:tc>
        <w:tc>
          <w:tcPr>
            <w:tcW w:w="931" w:type="dxa"/>
            <w:vAlign w:val="top"/>
          </w:tcPr>
          <w:p>
            <w:pPr>
              <w:pStyle w:val="14"/>
              <w:rPr>
                <w:color w:val="auto"/>
                <w:highlight w:val="none"/>
              </w:rPr>
            </w:pPr>
          </w:p>
        </w:tc>
        <w:tc>
          <w:tcPr>
            <w:tcW w:w="900" w:type="dxa"/>
            <w:vAlign w:val="top"/>
          </w:tcPr>
          <w:p>
            <w:pPr>
              <w:pStyle w:val="14"/>
              <w:rPr>
                <w:color w:val="auto"/>
                <w:highlight w:val="none"/>
              </w:rPr>
            </w:pPr>
          </w:p>
        </w:tc>
        <w:tc>
          <w:tcPr>
            <w:tcW w:w="1065" w:type="dxa"/>
            <w:vAlign w:val="top"/>
          </w:tcPr>
          <w:p>
            <w:pPr>
              <w:pStyle w:val="14"/>
              <w:rPr>
                <w:color w:val="auto"/>
                <w:highlight w:val="none"/>
              </w:rPr>
            </w:pPr>
          </w:p>
        </w:tc>
        <w:tc>
          <w:tcPr>
            <w:tcW w:w="854" w:type="dxa"/>
            <w:vAlign w:val="top"/>
          </w:tcPr>
          <w:p>
            <w:pPr>
              <w:pStyle w:val="14"/>
              <w:rPr>
                <w:color w:val="auto"/>
                <w:highlight w:val="none"/>
              </w:rPr>
            </w:pPr>
          </w:p>
        </w:tc>
        <w:tc>
          <w:tcPr>
            <w:tcW w:w="1201" w:type="dxa"/>
            <w:vAlign w:val="top"/>
          </w:tcPr>
          <w:p>
            <w:pPr>
              <w:pStyle w:val="14"/>
              <w:rPr>
                <w:color w:val="auto"/>
                <w:highlight w:val="none"/>
              </w:rPr>
            </w:pPr>
          </w:p>
        </w:tc>
        <w:tc>
          <w:tcPr>
            <w:tcW w:w="846" w:type="dxa"/>
            <w:vAlign w:val="top"/>
          </w:tcPr>
          <w:p>
            <w:pPr>
              <w:pStyle w:val="14"/>
              <w:rPr>
                <w:color w:val="auto"/>
                <w:highlight w:val="none"/>
              </w:rPr>
            </w:pPr>
          </w:p>
        </w:tc>
        <w:tc>
          <w:tcPr>
            <w:tcW w:w="916" w:type="dxa"/>
            <w:vAlign w:val="top"/>
          </w:tcPr>
          <w:p>
            <w:pPr>
              <w:pStyle w:val="14"/>
              <w:rPr>
                <w:color w:val="auto"/>
                <w:highlight w:val="none"/>
              </w:rPr>
            </w:pPr>
          </w:p>
        </w:tc>
        <w:tc>
          <w:tcPr>
            <w:tcW w:w="1142" w:type="dxa"/>
            <w:vAlign w:val="top"/>
          </w:tcPr>
          <w:p>
            <w:pPr>
              <w:pStyle w:val="14"/>
              <w:rPr>
                <w:color w:val="auto"/>
                <w:highlight w:val="none"/>
              </w:rPr>
            </w:pPr>
          </w:p>
        </w:tc>
        <w:tc>
          <w:tcPr>
            <w:tcW w:w="1142" w:type="dxa"/>
            <w:vAlign w:val="top"/>
          </w:tcPr>
          <w:p>
            <w:pPr>
              <w:pStyle w:val="14"/>
              <w:rPr>
                <w:color w:val="auto"/>
                <w:highlight w:val="none"/>
              </w:rPr>
            </w:pPr>
          </w:p>
        </w:tc>
        <w:tc>
          <w:tcPr>
            <w:tcW w:w="2777" w:type="dxa"/>
            <w:vAlign w:val="top"/>
          </w:tcPr>
          <w:p>
            <w:pPr>
              <w:pStyle w:val="14"/>
              <w:rPr>
                <w:color w:val="auto"/>
                <w:highlight w:val="none"/>
              </w:rPr>
            </w:pPr>
          </w:p>
        </w:tc>
      </w:tr>
    </w:tbl>
    <w:p>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附件六《项目部用章》格式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1"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19802889972"/>
                    <pic:cNvPicPr>
                      <a:picLocks noChangeAspect="1"/>
                    </pic:cNvPicPr>
                  </pic:nvPicPr>
                  <pic:blipFill>
                    <a:blip r:embed="rId8"/>
                    <a:stretch>
                      <a:fillRect/>
                    </a:stretch>
                  </pic:blipFill>
                  <pic:spPr>
                    <a:xfrm>
                      <a:off x="0" y="0"/>
                      <a:ext cx="4476750" cy="32385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pPr>
        <w:jc w:val="right"/>
        <w:rPr>
          <w:rFonts w:hint="default" w:eastAsia="宋体"/>
          <w:color w:val="auto"/>
          <w:sz w:val="36"/>
          <w:szCs w:val="36"/>
          <w:highlight w:val="yellow"/>
          <w:lang w:val="en-US" w:eastAsia="zh-CN"/>
        </w:rPr>
      </w:pPr>
      <w:r>
        <w:rPr>
          <w:rFonts w:hint="eastAsia"/>
          <w:color w:val="auto"/>
          <w:sz w:val="36"/>
          <w:szCs w:val="36"/>
          <w:highlight w:val="none"/>
          <w:lang w:val="en-US" w:eastAsia="zh-CN"/>
        </w:rPr>
        <w:t>附件七</w:t>
      </w:r>
    </w:p>
    <w:p>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pPr>
        <w:spacing w:line="480" w:lineRule="exact"/>
        <w:jc w:val="center"/>
        <w:rPr>
          <w:color w:val="auto"/>
          <w:sz w:val="36"/>
          <w:szCs w:val="36"/>
        </w:rPr>
      </w:pPr>
      <w:r>
        <w:rPr>
          <w:rFonts w:hint="eastAsia"/>
          <w:color w:val="auto"/>
          <w:sz w:val="36"/>
          <w:szCs w:val="36"/>
        </w:rPr>
        <w:t>物 料 申 购 单</w:t>
      </w:r>
    </w:p>
    <w:p>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jc w:val="center"/>
              <w:rPr>
                <w:rFonts w:eastAsiaTheme="minorEastAsia"/>
                <w:color w:val="auto"/>
              </w:rPr>
            </w:pPr>
            <w:r>
              <w:rPr>
                <w:rFonts w:hint="eastAsia"/>
                <w:color w:val="auto"/>
              </w:rPr>
              <w:t>序号</w:t>
            </w:r>
          </w:p>
        </w:tc>
        <w:tc>
          <w:tcPr>
            <w:tcW w:w="2603" w:type="dxa"/>
            <w:vAlign w:val="center"/>
          </w:tcPr>
          <w:p>
            <w:pPr>
              <w:jc w:val="center"/>
              <w:rPr>
                <w:color w:val="auto"/>
              </w:rPr>
            </w:pPr>
            <w:r>
              <w:rPr>
                <w:rFonts w:hint="eastAsia"/>
                <w:color w:val="auto"/>
              </w:rPr>
              <w:t>材料名称/规格</w:t>
            </w:r>
          </w:p>
        </w:tc>
        <w:tc>
          <w:tcPr>
            <w:tcW w:w="1560" w:type="dxa"/>
            <w:vAlign w:val="center"/>
          </w:tcPr>
          <w:p>
            <w:pPr>
              <w:jc w:val="center"/>
              <w:rPr>
                <w:color w:val="auto"/>
              </w:rPr>
            </w:pPr>
            <w:r>
              <w:rPr>
                <w:rFonts w:hint="eastAsia"/>
                <w:color w:val="auto"/>
              </w:rPr>
              <w:t>数量/单位</w:t>
            </w:r>
          </w:p>
        </w:tc>
        <w:tc>
          <w:tcPr>
            <w:tcW w:w="1335" w:type="dxa"/>
            <w:vAlign w:val="center"/>
          </w:tcPr>
          <w:p>
            <w:pPr>
              <w:jc w:val="center"/>
              <w:rPr>
                <w:color w:val="auto"/>
              </w:rPr>
            </w:pPr>
            <w:r>
              <w:rPr>
                <w:rFonts w:hint="eastAsia"/>
                <w:color w:val="auto"/>
              </w:rPr>
              <w:t>到货日期</w:t>
            </w:r>
          </w:p>
        </w:tc>
        <w:tc>
          <w:tcPr>
            <w:tcW w:w="1515" w:type="dxa"/>
            <w:vAlign w:val="center"/>
          </w:tcPr>
          <w:p>
            <w:pPr>
              <w:jc w:val="center"/>
              <w:rPr>
                <w:color w:val="auto"/>
              </w:rPr>
            </w:pPr>
            <w:r>
              <w:rPr>
                <w:rFonts w:hint="eastAsia"/>
                <w:color w:val="auto"/>
              </w:rPr>
              <w:t>质量要求</w:t>
            </w:r>
          </w:p>
        </w:tc>
        <w:tc>
          <w:tcPr>
            <w:tcW w:w="2174" w:type="dxa"/>
            <w:vAlign w:val="center"/>
          </w:tcPr>
          <w:p>
            <w:pPr>
              <w:jc w:val="center"/>
              <w:rPr>
                <w:color w:val="auto"/>
              </w:rPr>
            </w:pPr>
            <w:r>
              <w:rPr>
                <w:rFonts w:hint="eastAsia"/>
                <w:color w:val="auto"/>
              </w:rPr>
              <w:t>用途等备注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1</w:t>
            </w:r>
          </w:p>
        </w:tc>
        <w:tc>
          <w:tcPr>
            <w:tcW w:w="2603" w:type="dxa"/>
            <w:vAlign w:val="center"/>
          </w:tcPr>
          <w:p>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restart"/>
            <w:vAlign w:val="center"/>
          </w:tcPr>
          <w:p>
            <w:pPr>
              <w:jc w:val="both"/>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pPr>
              <w:jc w:val="center"/>
              <w:rPr>
                <w:rFonts w:hint="eastAsia" w:eastAsia="宋体"/>
                <w:color w:val="auto"/>
                <w:lang w:val="en-US" w:eastAsia="zh-CN"/>
              </w:rPr>
            </w:pPr>
            <w:r>
              <w:rPr>
                <w:rFonts w:hint="eastAsia"/>
                <w:color w:val="auto"/>
                <w:lang w:val="en-US" w:eastAsia="zh-CN"/>
              </w:rPr>
              <w:t>2</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eastAsia" w:eastAsia="宋体"/>
                <w:color w:val="auto"/>
                <w:lang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3</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val="en-US"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4</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ascii="Calibri" w:hAnsi="Calibri" w:eastAsia="宋体" w:cs="宋体"/>
                <w:color w:val="auto"/>
                <w:kern w:val="2"/>
                <w:sz w:val="21"/>
                <w:szCs w:val="24"/>
                <w:lang w:val="en-US" w:eastAsia="zh-CN" w:bidi="ar-SA"/>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pPr>
              <w:jc w:val="center"/>
              <w:rPr>
                <w:rFonts w:hint="default"/>
                <w:color w:val="auto"/>
                <w:lang w:val="en-US" w:eastAsia="zh-CN"/>
              </w:rPr>
            </w:pPr>
            <w:r>
              <w:rPr>
                <w:rFonts w:hint="eastAsia"/>
                <w:color w:val="auto"/>
                <w:lang w:val="en-US" w:eastAsia="zh-CN"/>
              </w:rPr>
              <w:t>5</w:t>
            </w:r>
          </w:p>
        </w:tc>
        <w:tc>
          <w:tcPr>
            <w:tcW w:w="2603" w:type="dxa"/>
            <w:vAlign w:val="center"/>
          </w:tcPr>
          <w:p>
            <w:pPr>
              <w:jc w:val="center"/>
              <w:rPr>
                <w:rFonts w:hint="default" w:ascii="Calibri" w:hAnsi="Calibri" w:eastAsia="宋体" w:cs="Calibri"/>
                <w:color w:val="auto"/>
                <w:kern w:val="2"/>
                <w:sz w:val="21"/>
                <w:szCs w:val="24"/>
                <w:lang w:val="en-US" w:eastAsia="zh-CN" w:bidi="ar-SA"/>
              </w:rPr>
            </w:pPr>
          </w:p>
        </w:tc>
        <w:tc>
          <w:tcPr>
            <w:tcW w:w="1560" w:type="dxa"/>
            <w:vAlign w:val="center"/>
          </w:tcPr>
          <w:p>
            <w:pPr>
              <w:jc w:val="center"/>
              <w:rPr>
                <w:rFonts w:hint="eastAsia" w:ascii="Calibri" w:hAnsi="Calibri" w:eastAsia="宋体" w:cs="宋体"/>
                <w:color w:val="auto"/>
                <w:kern w:val="2"/>
                <w:sz w:val="21"/>
                <w:szCs w:val="24"/>
                <w:lang w:val="en-US" w:eastAsia="zh-CN" w:bidi="ar-SA"/>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pPr>
              <w:jc w:val="center"/>
              <w:rPr>
                <w:rFonts w:hint="default" w:eastAsia="宋体"/>
                <w:color w:val="auto"/>
                <w:lang w:val="en-US" w:eastAsia="zh-CN"/>
              </w:rPr>
            </w:pPr>
            <w:r>
              <w:rPr>
                <w:rFonts w:hint="eastAsia"/>
                <w:color w:val="auto"/>
                <w:lang w:val="en-US" w:eastAsia="zh-CN"/>
              </w:rPr>
              <w:t>6</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eastAsia"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eastAsia="zh-CN"/>
              </w:rPr>
            </w:pPr>
          </w:p>
        </w:tc>
        <w:tc>
          <w:tcPr>
            <w:tcW w:w="2174" w:type="dxa"/>
            <w:vMerge w:val="restart"/>
            <w:vAlign w:val="center"/>
          </w:tcPr>
          <w:p>
            <w:pPr>
              <w:jc w:val="cente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7</w:t>
            </w:r>
          </w:p>
        </w:tc>
        <w:tc>
          <w:tcPr>
            <w:tcW w:w="2603" w:type="dxa"/>
            <w:vAlign w:val="center"/>
          </w:tcPr>
          <w:p>
            <w:pPr>
              <w:jc w:val="center"/>
              <w:rPr>
                <w:rFonts w:hint="default"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pPr>
              <w:jc w:val="center"/>
              <w:rPr>
                <w:rFonts w:hint="default"/>
                <w:color w:val="auto"/>
                <w:lang w:val="en-US" w:eastAsia="zh-CN"/>
              </w:rPr>
            </w:pPr>
            <w:r>
              <w:rPr>
                <w:rFonts w:hint="eastAsia"/>
                <w:color w:val="auto"/>
                <w:lang w:val="en-US" w:eastAsia="zh-CN"/>
              </w:rPr>
              <w:t>8</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pPr>
              <w:jc w:val="center"/>
              <w:rPr>
                <w:rFonts w:hint="default"/>
                <w:color w:val="auto"/>
                <w:lang w:val="en-US" w:eastAsia="zh-CN"/>
              </w:rPr>
            </w:pPr>
            <w:r>
              <w:rPr>
                <w:rFonts w:hint="eastAsia"/>
                <w:color w:val="auto"/>
                <w:lang w:val="en-US" w:eastAsia="zh-CN"/>
              </w:rPr>
              <w:t>9</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jc w:val="center"/>
              <w:rPr>
                <w:rFonts w:hint="default"/>
                <w:color w:val="auto"/>
                <w:lang w:val="en-US" w:eastAsia="zh-CN"/>
              </w:rPr>
            </w:pPr>
            <w:r>
              <w:rPr>
                <w:rFonts w:hint="eastAsia"/>
                <w:color w:val="auto"/>
                <w:lang w:val="en-US" w:eastAsia="zh-CN"/>
              </w:rPr>
              <w:t>10</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11</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12</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pPr>
              <w:jc w:val="center"/>
              <w:rPr>
                <w:rFonts w:hint="default"/>
                <w:color w:val="auto"/>
                <w:lang w:val="en-US" w:eastAsia="zh-CN"/>
              </w:rPr>
            </w:pPr>
            <w:r>
              <w:rPr>
                <w:rFonts w:hint="eastAsia"/>
                <w:color w:val="auto"/>
                <w:lang w:val="en-US" w:eastAsia="zh-CN"/>
              </w:rPr>
              <w:t>13</w:t>
            </w:r>
          </w:p>
        </w:tc>
        <w:tc>
          <w:tcPr>
            <w:tcW w:w="2603" w:type="dxa"/>
            <w:vAlign w:val="center"/>
          </w:tcPr>
          <w:p>
            <w:pPr>
              <w:tabs>
                <w:tab w:val="left" w:pos="631"/>
              </w:tabs>
              <w:jc w:val="left"/>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14</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pPr>
              <w:jc w:val="center"/>
              <w:rPr>
                <w:rFonts w:hint="default"/>
                <w:color w:val="auto"/>
                <w:lang w:val="en-US" w:eastAsia="zh-CN"/>
              </w:rPr>
            </w:pPr>
            <w:r>
              <w:rPr>
                <w:rFonts w:hint="eastAsia"/>
                <w:color w:val="auto"/>
                <w:lang w:val="en-US" w:eastAsia="zh-CN"/>
              </w:rPr>
              <w:t>15</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pPr>
              <w:jc w:val="center"/>
              <w:rPr>
                <w:rFonts w:hint="default"/>
                <w:color w:val="auto"/>
                <w:lang w:val="en-US" w:eastAsia="zh-CN"/>
              </w:rPr>
            </w:pPr>
            <w:r>
              <w:rPr>
                <w:rFonts w:hint="eastAsia"/>
                <w:color w:val="auto"/>
                <w:lang w:val="en-US" w:eastAsia="zh-CN"/>
              </w:rPr>
              <w:t>16</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17</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pPr>
              <w:jc w:val="center"/>
              <w:rPr>
                <w:rFonts w:hint="default"/>
                <w:color w:val="auto"/>
                <w:lang w:val="en-US" w:eastAsia="zh-CN"/>
              </w:rPr>
            </w:pPr>
            <w:r>
              <w:rPr>
                <w:rFonts w:hint="eastAsia"/>
                <w:color w:val="auto"/>
                <w:lang w:val="en-US" w:eastAsia="zh-CN"/>
              </w:rPr>
              <w:t>18</w:t>
            </w:r>
          </w:p>
        </w:tc>
        <w:tc>
          <w:tcPr>
            <w:tcW w:w="2603" w:type="dxa"/>
            <w:vAlign w:val="center"/>
          </w:tcPr>
          <w:p>
            <w:pPr>
              <w:jc w:val="center"/>
              <w:rPr>
                <w:rFonts w:hint="default" w:ascii="Calibri" w:hAnsi="Calibri" w:cs="Calibri"/>
                <w:color w:val="auto"/>
                <w:kern w:val="2"/>
                <w:sz w:val="21"/>
                <w:szCs w:val="24"/>
                <w:lang w:val="en-US" w:eastAsia="zh-CN" w:bidi="ar-SA"/>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bl>
    <w:p>
      <w:pPr>
        <w:jc w:val="left"/>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pPr>
                        <w:jc w:val="center"/>
                        <w:rPr>
                          <w:rFonts w:eastAsiaTheme="minorEastAsia"/>
                          <w:szCs w:val="21"/>
                        </w:rPr>
                      </w:pPr>
                      <w:r>
                        <w:rPr>
                          <w:rFonts w:hint="eastAsia"/>
                          <w:szCs w:val="21"/>
                        </w:rPr>
                        <w:t>一 存根（白）二 财务（红）三 顾客（绿）</w:t>
                      </w:r>
                    </w:p>
                  </w:txbxContent>
                </v:textbox>
              </v:shape>
            </w:pict>
          </mc:Fallback>
        </mc:AlternateContent>
      </w:r>
    </w:p>
    <w:p>
      <w:pPr>
        <w:jc w:val="right"/>
        <w:rPr>
          <w:rFonts w:hint="eastAsia" w:ascii="宋体" w:hAnsi="宋体"/>
          <w:color w:val="auto"/>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w:t>
      </w:r>
    </w:p>
    <w:p>
      <w:pPr>
        <w:jc w:val="right"/>
        <w:rPr>
          <w:rFonts w:hint="eastAsia" w:ascii="宋体" w:hAnsi="宋体"/>
          <w:color w:val="auto"/>
        </w:rPr>
      </w:pPr>
    </w:p>
    <w:p>
      <w:pPr>
        <w:tabs>
          <w:tab w:val="right" w:pos="15138"/>
        </w:tabs>
        <w:jc w:val="left"/>
        <w:rPr>
          <w:rFonts w:hint="eastAsia" w:ascii="仿宋" w:hAnsi="仿宋" w:eastAsia="仿宋" w:cs="仿宋"/>
          <w:b/>
          <w:bCs/>
          <w:color w:val="auto"/>
          <w:sz w:val="30"/>
          <w:highlight w:val="none"/>
          <w:lang w:val="en-US" w:eastAsia="zh-CN"/>
        </w:rPr>
      </w:pP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62191E"/>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B36931"/>
    <w:rsid w:val="15CF16A7"/>
    <w:rsid w:val="16197E6B"/>
    <w:rsid w:val="16281F12"/>
    <w:rsid w:val="16302145"/>
    <w:rsid w:val="16351E52"/>
    <w:rsid w:val="167043DB"/>
    <w:rsid w:val="16717081"/>
    <w:rsid w:val="167209B0"/>
    <w:rsid w:val="16750D36"/>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C36C6"/>
    <w:rsid w:val="1F2E743E"/>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A34FB"/>
    <w:rsid w:val="2DEF20D7"/>
    <w:rsid w:val="2E261FD3"/>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6B7F88"/>
    <w:rsid w:val="39CE1AF2"/>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41B8F"/>
    <w:rsid w:val="3FBF43B6"/>
    <w:rsid w:val="3FCA68B7"/>
    <w:rsid w:val="3FD37E62"/>
    <w:rsid w:val="402D0145"/>
    <w:rsid w:val="403C77B5"/>
    <w:rsid w:val="407D1B7C"/>
    <w:rsid w:val="40884444"/>
    <w:rsid w:val="40A3112D"/>
    <w:rsid w:val="40A35A86"/>
    <w:rsid w:val="40A73B6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DB64A5"/>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DB37CF"/>
    <w:rsid w:val="50F84F5E"/>
    <w:rsid w:val="51112598"/>
    <w:rsid w:val="51206ED5"/>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70979E2"/>
    <w:rsid w:val="571C3A45"/>
    <w:rsid w:val="571C57F3"/>
    <w:rsid w:val="571D1826"/>
    <w:rsid w:val="57362D58"/>
    <w:rsid w:val="573C5E95"/>
    <w:rsid w:val="5743331B"/>
    <w:rsid w:val="57541431"/>
    <w:rsid w:val="575431DF"/>
    <w:rsid w:val="576462DE"/>
    <w:rsid w:val="576B0713"/>
    <w:rsid w:val="576E2DF4"/>
    <w:rsid w:val="57737EC4"/>
    <w:rsid w:val="5785783C"/>
    <w:rsid w:val="578876C0"/>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40A5918"/>
    <w:rsid w:val="640D6BEF"/>
    <w:rsid w:val="64265F03"/>
    <w:rsid w:val="6432550D"/>
    <w:rsid w:val="64371EBE"/>
    <w:rsid w:val="64426DE8"/>
    <w:rsid w:val="644F5459"/>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F62128"/>
    <w:rsid w:val="6F3239AE"/>
    <w:rsid w:val="6F4C2993"/>
    <w:rsid w:val="6F5F0599"/>
    <w:rsid w:val="6F765F90"/>
    <w:rsid w:val="6F7B35A7"/>
    <w:rsid w:val="6FB22D40"/>
    <w:rsid w:val="6FBB68FC"/>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5E509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220D7A"/>
    <w:rsid w:val="7B2F3497"/>
    <w:rsid w:val="7B2F5245"/>
    <w:rsid w:val="7B430CF1"/>
    <w:rsid w:val="7B5237E2"/>
    <w:rsid w:val="7B786BEC"/>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366D5F"/>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11750</Words>
  <Characters>12240</Characters>
  <Lines>0</Lines>
  <Paragraphs>0</Paragraphs>
  <TotalTime>4</TotalTime>
  <ScaleCrop>false</ScaleCrop>
  <LinksUpToDate>false</LinksUpToDate>
  <CharactersWithSpaces>13263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2023-05-22T02:04:00Z</cp:lastPrinted>
  <dcterms:modified xsi:type="dcterms:W3CDTF">2024-08-06T00:20:16Z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B5BA5962C96E46D4B387E7778D0DB23B_13</vt:lpwstr>
  </property>
</Properties>
</file>