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60288"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p>
    <w:p>
      <w:pPr>
        <w:shd w:val="clear"/>
        <w:jc w:val="both"/>
        <w:rPr>
          <w:rFonts w:hint="eastAsia" w:ascii="仿宋" w:hAnsi="仿宋" w:eastAsia="仿宋" w:cs="仿宋"/>
          <w:color w:val="auto"/>
          <w:highlight w:val="none"/>
          <w:lang w:val="en-US" w:eastAsia="zh-CN"/>
        </w:rPr>
      </w:pPr>
    </w:p>
    <w:p>
      <w:pPr>
        <w:shd w:val="clear"/>
        <w:jc w:val="both"/>
        <w:rPr>
          <w:rFonts w:hint="eastAsia" w:ascii="仿宋" w:hAnsi="仿宋" w:eastAsia="仿宋" w:cs="仿宋"/>
          <w:color w:val="auto"/>
          <w:highlight w:val="none"/>
          <w:lang w:val="en-US" w:eastAsia="zh-CN"/>
        </w:rPr>
      </w:pPr>
    </w:p>
    <w:p>
      <w:pPr>
        <w:shd w:val="clear"/>
        <w:ind w:firstLine="6746" w:firstLineChars="2100"/>
        <w:jc w:val="center"/>
        <w:rPr>
          <w:rFonts w:hint="default" w:ascii="仿宋" w:hAnsi="仿宋" w:eastAsia="仿宋" w:cs="仿宋"/>
          <w:b/>
          <w:bCs/>
          <w:color w:val="auto"/>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auto"/>
          <w:sz w:val="52"/>
          <w:szCs w:val="52"/>
          <w:highlight w:val="none"/>
          <w:u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南京现代表面处理科技产业中心项目一期</w:t>
      </w:r>
    </w:p>
    <w:p>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A地块建设项目开工仪式场地平整工程</w:t>
      </w:r>
    </w:p>
    <w:p>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default"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施</w:t>
      </w:r>
    </w:p>
    <w:p>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工</w:t>
      </w:r>
    </w:p>
    <w:p>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同</w:t>
      </w:r>
    </w:p>
    <w:p>
      <w:pPr>
        <w:shd w:val="clear"/>
        <w:jc w:val="center"/>
        <w:rPr>
          <w:rFonts w:hint="eastAsia" w:ascii="仿宋" w:hAnsi="仿宋" w:eastAsia="仿宋" w:cs="仿宋"/>
          <w:b/>
          <w:bCs/>
          <w:color w:val="auto"/>
          <w:sz w:val="32"/>
          <w:szCs w:val="36"/>
          <w:highlight w:val="none"/>
          <w:lang w:val="en-US" w:eastAsia="zh-CN"/>
        </w:rPr>
      </w:pPr>
      <w:r>
        <w:rPr>
          <w:rFonts w:hint="eastAsia" w:ascii="仿宋" w:hAnsi="仿宋" w:eastAsia="仿宋" w:cs="仿宋"/>
          <w:b/>
          <w:bCs/>
          <w:color w:val="auto"/>
          <w:sz w:val="32"/>
          <w:szCs w:val="36"/>
          <w:highlight w:val="none"/>
          <w:lang w:val="en-US" w:eastAsia="zh-CN"/>
        </w:rPr>
        <w:t>（20240606版）</w:t>
      </w:r>
    </w:p>
    <w:p>
      <w:pPr>
        <w:shd w:val="clear"/>
        <w:jc w:val="both"/>
        <w:rPr>
          <w:rFonts w:hint="eastAsia" w:ascii="仿宋" w:hAnsi="仿宋" w:eastAsia="仿宋" w:cs="仿宋"/>
          <w:color w:val="auto"/>
          <w:highlight w:val="none"/>
          <w:lang w:val="en-US" w:eastAsia="zh-CN"/>
        </w:rPr>
      </w:pPr>
    </w:p>
    <w:p>
      <w:pPr>
        <w:pStyle w:val="14"/>
        <w:shd w:val="clear"/>
        <w:rPr>
          <w:rFonts w:hint="eastAsia" w:ascii="仿宋" w:hAnsi="仿宋" w:eastAsia="仿宋" w:cs="仿宋"/>
          <w:color w:val="auto"/>
          <w:highlight w:val="none"/>
          <w:lang w:val="en-US" w:eastAsia="zh-CN"/>
        </w:rPr>
      </w:pPr>
    </w:p>
    <w:p>
      <w:pPr>
        <w:pStyle w:val="14"/>
        <w:shd w:val="clear"/>
        <w:rPr>
          <w:rFonts w:hint="eastAsia" w:ascii="仿宋" w:hAnsi="仿宋" w:eastAsia="仿宋" w:cs="仿宋"/>
          <w:color w:val="auto"/>
          <w:highlight w:val="none"/>
          <w:lang w:val="en-US" w:eastAsia="zh-CN"/>
        </w:rPr>
      </w:pPr>
    </w:p>
    <w:p>
      <w:pPr>
        <w:shd w:val="clear"/>
        <w:jc w:val="both"/>
        <w:rPr>
          <w:rFonts w:hint="eastAsia" w:ascii="仿宋" w:hAnsi="仿宋" w:eastAsia="仿宋" w:cs="仿宋"/>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 xml:space="preserve">合同编号：  </w:t>
      </w:r>
    </w:p>
    <w:p>
      <w:pPr>
        <w:keepNext w:val="0"/>
        <w:keepLines w:val="0"/>
        <w:pageBreakBefore w:val="0"/>
        <w:widowControl w:val="0"/>
        <w:shd w:val="clear"/>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lang w:val="en-US" w:eastAsia="zh-CN"/>
        </w:rPr>
        <w:t>发包</w:t>
      </w:r>
      <w:r>
        <w:rPr>
          <w:rFonts w:hint="eastAsia" w:ascii="仿宋" w:hAnsi="仿宋" w:eastAsia="仿宋" w:cs="仿宋"/>
          <w:b w:val="0"/>
          <w:bCs w:val="0"/>
          <w:color w:val="auto"/>
          <w:sz w:val="28"/>
          <w:szCs w:val="28"/>
          <w:highlight w:val="none"/>
          <w:lang w:val="en-US" w:eastAsia="zh-CN"/>
        </w:rPr>
        <w:t>方）：东莞市中泰建安工程有限公司</w:t>
      </w:r>
    </w:p>
    <w:p>
      <w:pPr>
        <w:keepNext w:val="0"/>
        <w:keepLines w:val="0"/>
        <w:pageBreakBefore w:val="0"/>
        <w:widowControl w:val="0"/>
        <w:shd w:val="clear"/>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乙方（承包方）：</w:t>
      </w:r>
    </w:p>
    <w:p>
      <w:pPr>
        <w:keepNext w:val="0"/>
        <w:keepLines w:val="0"/>
        <w:pageBreakBefore w:val="0"/>
        <w:widowControl w:val="0"/>
        <w:shd w:val="clear"/>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4</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pPr>
        <w:keepNext w:val="0"/>
        <w:keepLines w:val="0"/>
        <w:pageBreakBefore w:val="0"/>
        <w:widowControl w:val="0"/>
        <w:shd w:val="clear"/>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lang w:val="en-US" w:eastAsia="zh-CN"/>
        </w:rPr>
        <w:t>签订地点：广东东莞南城。</w:t>
      </w:r>
    </w:p>
    <w:sdt>
      <w:sdtPr>
        <w:rPr>
          <w:rFonts w:hint="eastAsia" w:ascii="仿宋" w:hAnsi="仿宋" w:eastAsia="仿宋" w:cs="仿宋"/>
          <w:b/>
          <w:bCs/>
          <w:i w:val="0"/>
          <w:iCs w:val="0"/>
          <w:color w:val="auto"/>
          <w:kern w:val="2"/>
          <w:sz w:val="21"/>
          <w:szCs w:val="22"/>
          <w:highlight w:val="none"/>
          <w:lang w:val="en-US" w:eastAsia="zh-CN" w:bidi="ar-SA"/>
        </w:rPr>
        <w:id w:val="147469943"/>
        <w15:color w:val="DBDBDB"/>
        <w:docPartObj>
          <w:docPartGallery w:val="Table of Contents"/>
          <w:docPartUnique/>
        </w:docPartObj>
      </w:sdtPr>
      <w:sdtEndPr>
        <w:rPr>
          <w:rFonts w:hint="eastAsia" w:ascii="仿宋" w:hAnsi="仿宋" w:eastAsia="仿宋" w:cs="仿宋"/>
          <w:b w:val="0"/>
          <w:bCs/>
          <w:i w:val="0"/>
          <w:iCs w:val="0"/>
          <w:color w:val="auto"/>
          <w:kern w:val="0"/>
          <w:sz w:val="24"/>
          <w:szCs w:val="24"/>
          <w:highlight w:val="none"/>
          <w:lang w:val="en-US" w:eastAsia="zh-CN" w:bidi="ar-SA"/>
        </w:rPr>
      </w:sdtEndPr>
      <w:sdtContent>
        <w:p>
          <w:pPr>
            <w:shd w:val="clea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auto"/>
              <w:kern w:val="2"/>
              <w:sz w:val="21"/>
              <w:szCs w:val="22"/>
              <w:highlight w:val="none"/>
              <w:lang w:val="en-US" w:eastAsia="zh-CN" w:bidi="ar-SA"/>
            </w:rPr>
          </w:pPr>
        </w:p>
        <w:p>
          <w:pPr>
            <w:shd w:val="clea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auto"/>
              <w:sz w:val="36"/>
              <w:szCs w:val="36"/>
              <w:highlight w:val="none"/>
            </w:rPr>
          </w:pPr>
        </w:p>
        <w:p>
          <w:pPr>
            <w:shd w:val="clea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auto"/>
              <w:sz w:val="36"/>
              <w:szCs w:val="36"/>
              <w:highlight w:val="none"/>
            </w:rPr>
          </w:pPr>
          <w:r>
            <w:rPr>
              <w:rFonts w:hint="eastAsia" w:ascii="仿宋" w:hAnsi="仿宋" w:eastAsia="仿宋" w:cs="仿宋"/>
              <w:b/>
              <w:bCs/>
              <w:i w:val="0"/>
              <w:iCs w:val="0"/>
              <w:color w:val="auto"/>
              <w:sz w:val="36"/>
              <w:szCs w:val="36"/>
              <w:highlight w:val="none"/>
            </w:rPr>
            <w:t>目录</w:t>
          </w:r>
        </w:p>
        <w:p>
          <w:pPr>
            <w:shd w:val="clea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auto"/>
              <w:sz w:val="36"/>
              <w:szCs w:val="36"/>
              <w:highlight w:val="none"/>
            </w:rPr>
          </w:pPr>
        </w:p>
        <w:p>
          <w:pPr>
            <w:pStyle w:val="14"/>
            <w:shd w:val="clear"/>
            <w:rPr>
              <w:rFonts w:hint="eastAsia" w:ascii="仿宋" w:hAnsi="仿宋" w:eastAsia="仿宋" w:cs="仿宋"/>
              <w:b/>
              <w:bCs/>
              <w:i w:val="0"/>
              <w:iCs w:val="0"/>
              <w:color w:val="auto"/>
              <w:sz w:val="36"/>
              <w:szCs w:val="36"/>
              <w:highlight w:val="none"/>
            </w:rPr>
          </w:pPr>
        </w:p>
        <w:p>
          <w:pPr>
            <w:pStyle w:val="14"/>
            <w:shd w:val="clear"/>
            <w:rPr>
              <w:rFonts w:hint="eastAsia" w:ascii="仿宋" w:hAnsi="仿宋" w:eastAsia="仿宋" w:cs="仿宋"/>
              <w:b/>
              <w:bCs/>
              <w:i w:val="0"/>
              <w:iCs w:val="0"/>
              <w:color w:val="auto"/>
              <w:sz w:val="36"/>
              <w:szCs w:val="36"/>
              <w:highlight w:val="none"/>
            </w:rPr>
          </w:pP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TOC \o "1-1" \h \u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_Toc3335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color="auto" w:fill="auto"/>
              <w:lang w:val="en-US" w:eastAsia="zh-CN"/>
            </w:rPr>
            <w:t>第一章</w:t>
          </w:r>
          <w:r>
            <w:rPr>
              <w:rFonts w:hint="eastAsia" w:ascii="仿宋" w:hAnsi="仿宋" w:eastAsia="仿宋" w:cs="仿宋"/>
              <w:b w:val="0"/>
              <w:bCs/>
              <w:i w:val="0"/>
              <w:iCs w:val="0"/>
              <w:color w:val="auto"/>
              <w:sz w:val="24"/>
              <w:szCs w:val="24"/>
              <w:highlight w:val="none"/>
              <w:shd w:val="clear" w:color="auto" w:fill="auto"/>
            </w:rPr>
            <w:t>、项目概况</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_Toc3335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_Toc13885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第二章、 </w:t>
          </w:r>
          <w:r>
            <w:rPr>
              <w:rFonts w:hint="eastAsia" w:ascii="仿宋" w:hAnsi="仿宋" w:eastAsia="仿宋" w:cs="仿宋"/>
              <w:b w:val="0"/>
              <w:bCs/>
              <w:i w:val="0"/>
              <w:iCs w:val="0"/>
              <w:color w:val="auto"/>
              <w:sz w:val="24"/>
              <w:szCs w:val="24"/>
              <w:highlight w:val="none"/>
              <w:shd w:val="clear" w:color="auto" w:fill="auto"/>
              <w:lang w:val="en-US" w:eastAsia="zh-CN"/>
            </w:rPr>
            <w:t>承包方式</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_Toc13885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_Toc24650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第三章、 </w:t>
          </w:r>
          <w:r>
            <w:rPr>
              <w:rFonts w:hint="eastAsia" w:ascii="仿宋" w:hAnsi="仿宋" w:eastAsia="仿宋" w:cs="仿宋"/>
              <w:b w:val="0"/>
              <w:bCs/>
              <w:i w:val="0"/>
              <w:iCs w:val="0"/>
              <w:color w:val="auto"/>
              <w:sz w:val="24"/>
              <w:szCs w:val="24"/>
              <w:highlight w:val="none"/>
              <w:shd w:val="clear" w:color="auto" w:fill="auto"/>
              <w:lang w:val="en-US" w:eastAsia="zh-CN"/>
            </w:rPr>
            <w:t>乙方承包范围及主要工程内容</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_Toc24650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_Toc16842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第四章、 </w:t>
          </w:r>
          <w:r>
            <w:rPr>
              <w:rFonts w:hint="eastAsia" w:ascii="仿宋" w:hAnsi="仿宋" w:eastAsia="仿宋" w:cs="仿宋"/>
              <w:b w:val="0"/>
              <w:bCs/>
              <w:i w:val="0"/>
              <w:iCs w:val="0"/>
              <w:color w:val="auto"/>
              <w:sz w:val="24"/>
              <w:szCs w:val="24"/>
              <w:highlight w:val="none"/>
              <w:shd w:val="clear" w:color="auto" w:fill="auto"/>
              <w:lang w:val="en-US" w:eastAsia="zh-CN"/>
            </w:rPr>
            <w:t>工期</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_Toc16842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_Toc9456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第五章、 </w:t>
          </w:r>
          <w:r>
            <w:rPr>
              <w:rFonts w:hint="eastAsia" w:ascii="仿宋" w:hAnsi="仿宋" w:eastAsia="仿宋" w:cs="仿宋"/>
              <w:b w:val="0"/>
              <w:bCs/>
              <w:i w:val="0"/>
              <w:iCs w:val="0"/>
              <w:color w:val="auto"/>
              <w:sz w:val="24"/>
              <w:szCs w:val="24"/>
              <w:highlight w:val="none"/>
              <w:shd w:val="clear" w:color="auto" w:fill="auto"/>
              <w:lang w:val="en-US" w:eastAsia="zh-CN"/>
            </w:rPr>
            <w:t>工程质量标准</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_Toc9456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_Toc444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第六章、 </w:t>
          </w:r>
          <w:r>
            <w:rPr>
              <w:rFonts w:hint="eastAsia" w:ascii="仿宋" w:hAnsi="仿宋" w:eastAsia="仿宋" w:cs="仿宋"/>
              <w:b w:val="0"/>
              <w:bCs/>
              <w:i w:val="0"/>
              <w:iCs w:val="0"/>
              <w:color w:val="auto"/>
              <w:sz w:val="24"/>
              <w:szCs w:val="24"/>
              <w:highlight w:val="none"/>
              <w:shd w:val="clear" w:color="auto" w:fill="auto"/>
              <w:lang w:val="en-US" w:eastAsia="zh-CN"/>
            </w:rPr>
            <w:t>合同价款</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_Toc444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5</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_Toc16650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第七章、 </w:t>
          </w:r>
          <w:r>
            <w:rPr>
              <w:rFonts w:hint="eastAsia" w:ascii="仿宋" w:hAnsi="仿宋" w:eastAsia="仿宋" w:cs="仿宋"/>
              <w:b w:val="0"/>
              <w:bCs/>
              <w:i w:val="0"/>
              <w:iCs w:val="0"/>
              <w:color w:val="auto"/>
              <w:sz w:val="24"/>
              <w:szCs w:val="24"/>
              <w:highlight w:val="none"/>
              <w:shd w:val="clear" w:color="auto" w:fill="auto"/>
              <w:lang w:val="en-US" w:eastAsia="zh-CN"/>
            </w:rPr>
            <w:t>计量计价方式及结算方式</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_Toc16650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7</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_Toc2235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第八章、 </w:t>
          </w:r>
          <w:r>
            <w:rPr>
              <w:rFonts w:hint="eastAsia" w:ascii="仿宋" w:hAnsi="仿宋" w:eastAsia="仿宋" w:cs="仿宋"/>
              <w:b w:val="0"/>
              <w:bCs/>
              <w:i w:val="0"/>
              <w:iCs w:val="0"/>
              <w:color w:val="auto"/>
              <w:sz w:val="24"/>
              <w:szCs w:val="24"/>
              <w:highlight w:val="none"/>
              <w:shd w:val="clear" w:color="auto" w:fill="auto"/>
              <w:lang w:val="en-US" w:eastAsia="zh-CN"/>
            </w:rPr>
            <w:t>付款方式</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_Toc2235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7</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_Toc19658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第九章、 </w:t>
          </w:r>
          <w:r>
            <w:rPr>
              <w:rFonts w:hint="eastAsia" w:ascii="仿宋" w:hAnsi="仿宋" w:eastAsia="仿宋" w:cs="仿宋"/>
              <w:b w:val="0"/>
              <w:bCs/>
              <w:i w:val="0"/>
              <w:iCs w:val="0"/>
              <w:color w:val="auto"/>
              <w:sz w:val="24"/>
              <w:szCs w:val="24"/>
              <w:highlight w:val="none"/>
              <w:shd w:val="clear" w:color="auto" w:fill="auto"/>
              <w:lang w:val="en-US" w:eastAsia="zh-CN"/>
            </w:rPr>
            <w:t>双方责任和权利</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_Toc19658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13</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_Toc27498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第十章、 </w:t>
          </w:r>
          <w:r>
            <w:rPr>
              <w:rFonts w:hint="eastAsia" w:ascii="仿宋" w:hAnsi="仿宋" w:eastAsia="仿宋" w:cs="仿宋"/>
              <w:b w:val="0"/>
              <w:bCs/>
              <w:i w:val="0"/>
              <w:iCs w:val="0"/>
              <w:color w:val="auto"/>
              <w:sz w:val="24"/>
              <w:szCs w:val="24"/>
              <w:highlight w:val="none"/>
              <w:shd w:val="clear" w:color="auto" w:fill="auto"/>
              <w:lang w:val="en-US" w:eastAsia="zh-CN"/>
            </w:rPr>
            <w:t>安全生产、文明施工要求</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_Toc27498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15</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_Toc23189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第十一章、 </w:t>
          </w:r>
          <w:r>
            <w:rPr>
              <w:rFonts w:hint="eastAsia" w:ascii="仿宋" w:hAnsi="仿宋" w:eastAsia="仿宋" w:cs="仿宋"/>
              <w:b w:val="0"/>
              <w:bCs/>
              <w:i w:val="0"/>
              <w:iCs w:val="0"/>
              <w:color w:val="auto"/>
              <w:sz w:val="24"/>
              <w:szCs w:val="24"/>
              <w:highlight w:val="none"/>
              <w:shd w:val="clear" w:color="auto" w:fill="auto"/>
              <w:lang w:val="en-US" w:eastAsia="zh-CN"/>
            </w:rPr>
            <w:t>甲供材料设备</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_Toc23189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20</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_Toc18848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第十二章、 </w:t>
          </w:r>
          <w:r>
            <w:rPr>
              <w:rFonts w:hint="eastAsia" w:ascii="仿宋" w:hAnsi="仿宋" w:eastAsia="仿宋" w:cs="仿宋"/>
              <w:b w:val="0"/>
              <w:bCs/>
              <w:i w:val="0"/>
              <w:iCs w:val="0"/>
              <w:color w:val="auto"/>
              <w:sz w:val="24"/>
              <w:szCs w:val="24"/>
              <w:highlight w:val="none"/>
              <w:shd w:val="clear" w:color="auto" w:fill="auto"/>
              <w:lang w:val="en-US" w:eastAsia="zh-CN"/>
            </w:rPr>
            <w:t>验收及保修</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_Toc18848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20</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_Toc11721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第十三章、 </w:t>
          </w:r>
          <w:r>
            <w:rPr>
              <w:rFonts w:hint="eastAsia" w:ascii="仿宋" w:hAnsi="仿宋" w:eastAsia="仿宋" w:cs="仿宋"/>
              <w:b w:val="0"/>
              <w:bCs/>
              <w:i w:val="0"/>
              <w:iCs w:val="0"/>
              <w:color w:val="auto"/>
              <w:sz w:val="24"/>
              <w:szCs w:val="24"/>
              <w:highlight w:val="none"/>
              <w:shd w:val="clear" w:color="auto" w:fill="auto"/>
              <w:lang w:val="en-US" w:eastAsia="zh-CN"/>
            </w:rPr>
            <w:t>保险</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_Toc11721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22</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_Toc30883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第十四章、 </w:t>
          </w:r>
          <w:r>
            <w:rPr>
              <w:rFonts w:hint="eastAsia" w:ascii="仿宋" w:hAnsi="仿宋" w:eastAsia="仿宋" w:cs="仿宋"/>
              <w:b w:val="0"/>
              <w:bCs/>
              <w:i w:val="0"/>
              <w:iCs w:val="0"/>
              <w:color w:val="auto"/>
              <w:sz w:val="24"/>
              <w:szCs w:val="24"/>
              <w:highlight w:val="none"/>
              <w:shd w:val="clear" w:color="auto" w:fill="auto"/>
              <w:lang w:val="en-US" w:eastAsia="zh-CN"/>
            </w:rPr>
            <w:t>奖罚条款</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_Toc30883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23</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_Toc20613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第十五章、 </w:t>
          </w:r>
          <w:r>
            <w:rPr>
              <w:rFonts w:hint="eastAsia" w:ascii="仿宋" w:hAnsi="仿宋" w:eastAsia="仿宋" w:cs="仿宋"/>
              <w:b w:val="0"/>
              <w:bCs/>
              <w:i w:val="0"/>
              <w:iCs w:val="0"/>
              <w:color w:val="auto"/>
              <w:sz w:val="24"/>
              <w:szCs w:val="24"/>
              <w:highlight w:val="none"/>
              <w:shd w:val="clear" w:color="auto" w:fill="auto"/>
              <w:lang w:val="en-US" w:eastAsia="zh-CN"/>
            </w:rPr>
            <w:t>违约条款</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_Toc20613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23</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_Toc1085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第十六章、 </w:t>
          </w:r>
          <w:r>
            <w:rPr>
              <w:rFonts w:hint="eastAsia" w:ascii="仿宋" w:hAnsi="仿宋" w:eastAsia="仿宋" w:cs="仿宋"/>
              <w:b w:val="0"/>
              <w:bCs/>
              <w:i w:val="0"/>
              <w:iCs w:val="0"/>
              <w:color w:val="auto"/>
              <w:sz w:val="24"/>
              <w:szCs w:val="24"/>
              <w:highlight w:val="none"/>
              <w:shd w:val="clear" w:color="auto" w:fill="auto"/>
              <w:lang w:val="en-US" w:eastAsia="zh-CN"/>
            </w:rPr>
            <w:t>廉洁条款</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_Toc1085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25</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pStyle w:val="11"/>
            <w:keepNext w:val="0"/>
            <w:keepLines w:val="0"/>
            <w:pageBreakBefore w:val="0"/>
            <w:shd w:val="clear"/>
            <w:tabs>
              <w:tab w:val="right" w:leader="dot" w:pos="8504"/>
            </w:tabs>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i w:val="0"/>
              <w:iCs w:val="0"/>
              <w:color w:val="auto"/>
              <w:kern w:val="0"/>
              <w:sz w:val="24"/>
              <w:szCs w:val="24"/>
              <w:highlight w:val="none"/>
            </w:rPr>
            <w:fldChar w:fldCharType="begin"/>
          </w:r>
          <w:r>
            <w:rPr>
              <w:rFonts w:hint="eastAsia" w:ascii="仿宋" w:hAnsi="仿宋" w:eastAsia="仿宋" w:cs="仿宋"/>
              <w:b w:val="0"/>
              <w:bCs/>
              <w:i w:val="0"/>
              <w:iCs w:val="0"/>
              <w:color w:val="auto"/>
              <w:kern w:val="0"/>
              <w:sz w:val="24"/>
              <w:szCs w:val="24"/>
              <w:highlight w:val="none"/>
            </w:rPr>
            <w:instrText xml:space="preserve"> HYPERLINK \l _Toc18674 </w:instrText>
          </w:r>
          <w:r>
            <w:rPr>
              <w:rFonts w:hint="eastAsia" w:ascii="仿宋" w:hAnsi="仿宋" w:eastAsia="仿宋" w:cs="仿宋"/>
              <w:b w:val="0"/>
              <w:bCs/>
              <w:i w:val="0"/>
              <w:iCs w:val="0"/>
              <w:color w:val="auto"/>
              <w:kern w:val="0"/>
              <w:sz w:val="24"/>
              <w:szCs w:val="24"/>
              <w:highlight w:val="none"/>
            </w:rPr>
            <w:fldChar w:fldCharType="separate"/>
          </w:r>
          <w:r>
            <w:rPr>
              <w:rFonts w:hint="eastAsia" w:ascii="仿宋" w:hAnsi="仿宋" w:eastAsia="仿宋" w:cs="仿宋"/>
              <w:b w:val="0"/>
              <w:bCs/>
              <w:i w:val="0"/>
              <w:iCs w:val="0"/>
              <w:color w:val="auto"/>
              <w:sz w:val="24"/>
              <w:szCs w:val="24"/>
              <w:highlight w:val="none"/>
              <w:shd w:val="clear" w:fill="auto"/>
              <w:lang w:val="en-US" w:eastAsia="zh-CN"/>
            </w:rPr>
            <w:t xml:space="preserve">第十七章、 </w:t>
          </w:r>
          <w:r>
            <w:rPr>
              <w:rFonts w:hint="eastAsia" w:ascii="仿宋" w:hAnsi="仿宋" w:eastAsia="仿宋" w:cs="仿宋"/>
              <w:b w:val="0"/>
              <w:bCs/>
              <w:i w:val="0"/>
              <w:iCs w:val="0"/>
              <w:color w:val="auto"/>
              <w:sz w:val="24"/>
              <w:szCs w:val="24"/>
              <w:highlight w:val="none"/>
              <w:shd w:val="clear" w:color="auto" w:fill="auto"/>
              <w:lang w:val="en-US" w:eastAsia="zh-CN"/>
            </w:rPr>
            <w:t>其他</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_Toc18674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28</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i w:val="0"/>
              <w:iCs w:val="0"/>
              <w:color w:val="auto"/>
              <w:kern w:val="0"/>
              <w:sz w:val="24"/>
              <w:szCs w:val="24"/>
              <w:highlight w:val="none"/>
            </w:rPr>
            <w:fldChar w:fldCharType="end"/>
          </w:r>
        </w:p>
        <w:p>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highlight w:val="none"/>
            </w:rPr>
          </w:pPr>
          <w:r>
            <w:rPr>
              <w:rFonts w:hint="eastAsia" w:ascii="仿宋" w:hAnsi="仿宋" w:eastAsia="仿宋" w:cs="仿宋"/>
              <w:b w:val="0"/>
              <w:bCs/>
              <w:i w:val="0"/>
              <w:iCs w:val="0"/>
              <w:color w:val="auto"/>
              <w:kern w:val="0"/>
              <w:szCs w:val="24"/>
              <w:highlight w:val="none"/>
            </w:rPr>
            <w:fldChar w:fldCharType="end"/>
          </w:r>
          <w:r>
            <w:rPr>
              <w:rFonts w:hint="eastAsia" w:ascii="仿宋" w:hAnsi="仿宋" w:eastAsia="仿宋" w:cs="仿宋"/>
              <w:b w:val="0"/>
              <w:bCs/>
              <w:i w:val="0"/>
              <w:iCs w:val="0"/>
              <w:color w:val="auto"/>
              <w:kern w:val="0"/>
              <w:szCs w:val="24"/>
              <w:highlight w:val="none"/>
              <w:lang w:val="en-US" w:eastAsia="zh-CN"/>
            </w:rPr>
            <w:t xml:space="preserve">                                                  </w:t>
          </w:r>
        </w:p>
      </w:sdtContent>
    </w:sdt>
    <w:p>
      <w:pPr>
        <w:shd w:val="clear"/>
        <w:tabs>
          <w:tab w:val="left" w:pos="6272"/>
        </w:tabs>
        <w:ind w:left="-197" w:leftChars="-94" w:right="-578" w:rightChars="-275" w:firstLine="312" w:firstLineChars="149"/>
        <w:rPr>
          <w:rFonts w:hint="eastAsia" w:ascii="仿宋" w:hAnsi="仿宋" w:eastAsia="仿宋" w:cs="仿宋"/>
          <w:b w:val="0"/>
          <w:bCs/>
          <w:i w:val="0"/>
          <w:iCs w:val="0"/>
          <w:color w:val="auto"/>
          <w:kern w:val="0"/>
          <w:sz w:val="21"/>
          <w:szCs w:val="21"/>
          <w:highlight w:val="none"/>
        </w:rPr>
        <w:sectPr>
          <w:footerReference r:id="rId5" w:type="default"/>
          <w:pgSz w:w="11906" w:h="16838"/>
          <w:pgMar w:top="1440" w:right="1701" w:bottom="144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keepNext w:val="0"/>
        <w:keepLines w:val="0"/>
        <w:pageBreakBefore w:val="0"/>
        <w:widowControl w:val="0"/>
        <w:shd w:val="clear"/>
        <w:tabs>
          <w:tab w:val="left" w:pos="6272"/>
        </w:tabs>
        <w:kinsoku/>
        <w:wordWrap/>
        <w:overflowPunct/>
        <w:topLinePunct w:val="0"/>
        <w:autoSpaceDE/>
        <w:autoSpaceDN/>
        <w:bidi w:val="0"/>
        <w:adjustRightInd w:val="0"/>
        <w:snapToGrid w:val="0"/>
        <w:spacing w:line="360" w:lineRule="auto"/>
        <w:ind w:right="-578" w:rightChars="-275" w:firstLine="560" w:firstLineChars="200"/>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w:t>
      </w:r>
      <w:bookmarkStart w:id="75" w:name="_GoBack"/>
      <w:bookmarkEnd w:id="75"/>
      <w:r>
        <w:rPr>
          <w:rFonts w:hint="eastAsia" w:ascii="仿宋" w:hAnsi="仿宋" w:eastAsia="仿宋" w:cs="仿宋"/>
          <w:i w:val="0"/>
          <w:iCs w:val="0"/>
          <w:color w:val="auto"/>
          <w:kern w:val="0"/>
          <w:sz w:val="28"/>
          <w:szCs w:val="28"/>
          <w:highlight w:val="none"/>
          <w:shd w:val="clear" w:color="auto" w:fill="auto"/>
        </w:rPr>
        <w:t>共和国建筑法》《建设工程质量管理条例》及有关法律、法规，甲乙双方在平等、自愿、公平和诚实信用的基础上，就乙方承包</w:t>
      </w:r>
      <w:r>
        <w:rPr>
          <w:rFonts w:hint="eastAsia" w:ascii="仿宋" w:hAnsi="仿宋" w:eastAsia="仿宋" w:cs="仿宋"/>
          <w:b/>
          <w:bCs/>
          <w:i w:val="0"/>
          <w:iCs w:val="0"/>
          <w:color w:val="auto"/>
          <w:kern w:val="0"/>
          <w:sz w:val="28"/>
          <w:szCs w:val="28"/>
          <w:highlight w:val="none"/>
          <w:u w:val="single"/>
          <w:shd w:val="clear" w:color="auto" w:fill="auto"/>
          <w:lang w:val="en-US" w:eastAsia="zh-CN"/>
        </w:rPr>
        <w:t>南京现代表面处理科技产业中心项目一期A地块建设项目开工仪式场地平整工程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before="146" w:beforeLines="50" w:line="360" w:lineRule="auto"/>
        <w:ind w:left="-210" w:leftChars="-100" w:right="-945" w:rightChars="-450" w:firstLine="10" w:firstLineChars="0"/>
        <w:jc w:val="both"/>
        <w:textAlignment w:val="auto"/>
        <w:outlineLvl w:val="0"/>
        <w:rPr>
          <w:rFonts w:hint="eastAsia" w:ascii="仿宋" w:hAnsi="仿宋" w:eastAsia="仿宋" w:cs="仿宋"/>
          <w:b/>
          <w:bCs/>
          <w:i w:val="0"/>
          <w:iCs w:val="0"/>
          <w:color w:val="auto"/>
          <w:sz w:val="28"/>
          <w:szCs w:val="28"/>
          <w:highlight w:val="none"/>
          <w:shd w:val="clear" w:color="auto" w:fill="auto"/>
        </w:rPr>
      </w:pPr>
      <w:bookmarkStart w:id="0" w:name="_Toc1208"/>
      <w:bookmarkStart w:id="1" w:name="_Toc26146"/>
      <w:bookmarkStart w:id="2" w:name="_Toc3335"/>
      <w:bookmarkStart w:id="3" w:name="_Toc2533"/>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0"/>
      <w:bookmarkEnd w:id="1"/>
      <w:bookmarkEnd w:id="2"/>
      <w:bookmarkEnd w:id="3"/>
    </w:p>
    <w:p>
      <w:pPr>
        <w:keepNext w:val="0"/>
        <w:keepLines w:val="0"/>
        <w:pageBreakBefore w:val="0"/>
        <w:widowControl w:val="0"/>
        <w:shd w:val="clear"/>
        <w:kinsoku/>
        <w:wordWrap/>
        <w:overflowPunct/>
        <w:topLinePunct w:val="0"/>
        <w:autoSpaceDE/>
        <w:autoSpaceDN/>
        <w:bidi w:val="0"/>
        <w:adjustRightInd w:val="0"/>
        <w:snapToGrid w:val="0"/>
        <w:spacing w:line="360" w:lineRule="auto"/>
        <w:ind w:left="-195" w:leftChars="-93" w:right="-578" w:rightChars="-275" w:firstLine="414" w:firstLineChars="148"/>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bookmarkStart w:id="4" w:name="_Toc15434"/>
      <w:bookmarkStart w:id="5" w:name="_Toc13885"/>
      <w:bookmarkStart w:id="6" w:name="_Toc27213"/>
      <w:bookmarkStart w:id="7" w:name="_Toc9670"/>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kern w:val="0"/>
          <w:sz w:val="28"/>
          <w:szCs w:val="28"/>
          <w:highlight w:val="none"/>
          <w:u w:val="single"/>
          <w:shd w:val="clear" w:color="auto" w:fill="auto"/>
          <w:lang w:val="en-US" w:eastAsia="zh-CN"/>
        </w:rPr>
        <w:t>南京现代表面处理科技产业中心项目一期A地块建设项目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以下简称“本项目”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5" w:leftChars="-93" w:right="-578" w:rightChars="-275" w:firstLine="414" w:firstLineChars="148"/>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江苏省南京市六合区甲方指定地点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5" w:leftChars="-93" w:right="-578" w:rightChars="-275" w:firstLine="414" w:firstLineChars="148"/>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无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5" w:leftChars="-93" w:right="-578" w:rightChars="-275" w:firstLine="414" w:firstLineChars="148"/>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w:t>
      </w:r>
      <w:r>
        <w:rPr>
          <w:rFonts w:hint="eastAsia" w:ascii="仿宋" w:hAnsi="仿宋" w:eastAsia="仿宋" w:cs="仿宋"/>
          <w:b/>
          <w:bCs/>
          <w:i w:val="0"/>
          <w:iCs w:val="0"/>
          <w:color w:val="auto"/>
          <w:sz w:val="28"/>
          <w:szCs w:val="28"/>
          <w:highlight w:val="none"/>
          <w:u w:val="single"/>
          <w:shd w:val="clear" w:color="auto" w:fill="auto"/>
          <w:lang w:val="en-US" w:eastAsia="zh-CN"/>
        </w:rPr>
        <w:t>甲方仅提供养护水源接驳口，乙方须自备水管、水表或水车，水管长度约200m</w:t>
      </w:r>
      <w:r>
        <w:rPr>
          <w:rFonts w:hint="eastAsia" w:ascii="仿宋" w:hAnsi="仿宋" w:eastAsia="仿宋" w:cs="仿宋"/>
          <w:i w:val="0"/>
          <w:iCs w:val="0"/>
          <w:color w:val="auto"/>
          <w:sz w:val="28"/>
          <w:szCs w:val="28"/>
          <w:highlight w:val="none"/>
          <w:u w:val="single"/>
          <w:shd w:val="clear" w:color="auto" w:fill="auto"/>
          <w:lang w:val="en-US" w:eastAsia="zh-CN"/>
        </w:rPr>
        <w:t>。</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196" w:leftChars="-95" w:right="-578" w:rightChars="-275" w:hanging="3" w:firstLineChars="0"/>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承包方式</w:t>
      </w:r>
      <w:bookmarkEnd w:id="4"/>
      <w:bookmarkEnd w:id="5"/>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bookmarkStart w:id="8" w:name="_Toc8585"/>
      <w:bookmarkStart w:id="9" w:name="_Toc14685"/>
      <w:bookmarkStart w:id="10" w:name="_Toc31503"/>
      <w:bookmarkStart w:id="11" w:name="_Toc24650"/>
      <w:r>
        <w:rPr>
          <w:rFonts w:hint="eastAsia" w:ascii="仿宋" w:hAnsi="仿宋" w:eastAsia="仿宋" w:cs="仿宋"/>
          <w:i w:val="0"/>
          <w:iCs w:val="0"/>
          <w:color w:val="auto"/>
          <w:sz w:val="28"/>
          <w:szCs w:val="28"/>
          <w:highlight w:val="none"/>
          <w:u w:val="none"/>
          <w:shd w:val="clear" w:color="auto" w:fill="auto"/>
          <w:lang w:val="en-US" w:eastAsia="zh-CN"/>
        </w:rPr>
        <w:t>2.1乙方对</w:t>
      </w:r>
      <w:bookmarkEnd w:id="8"/>
      <w:bookmarkEnd w:id="9"/>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包工包部分材料（仅不含甲供材）/</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lang w:val="en-US" w:eastAsia="zh-CN"/>
        </w:rPr>
        <w:t>包机械设备（含进退场费、材料设备装卸搬运及保管等）、包各类材料设备检验检测、包工程检验检测合格、包安全文明施工、包住宿、包安装、包成品保护、包工期、包质量、包资料（包各种形式的资料编写、收集、归档，并满足竣工验收要求及甲方与建设单位结算要求）、包措施、包利润、包管理费、包税金、包因乙方原因引起的所有返工的人工、材料及机械费、包风险、包保险、包场地清理、包验收合格、包维护、包各种因素引起的物价上涨、</w:t>
      </w:r>
      <w:r>
        <w:rPr>
          <w:rFonts w:hint="eastAsia" w:ascii="仿宋" w:hAnsi="仿宋" w:eastAsia="仿宋" w:cs="仿宋"/>
          <w:color w:val="auto"/>
          <w:kern w:val="2"/>
          <w:sz w:val="28"/>
          <w:szCs w:val="28"/>
          <w:highlight w:val="none"/>
          <w:lang w:val="en-US" w:eastAsia="zh-CN" w:bidi="ar-SA"/>
        </w:rPr>
        <w:t>包质量问题的处理、</w:t>
      </w:r>
      <w:r>
        <w:rPr>
          <w:rFonts w:hint="eastAsia" w:ascii="仿宋" w:hAnsi="仿宋" w:eastAsia="仿宋" w:cs="仿宋"/>
          <w:color w:val="auto"/>
          <w:sz w:val="28"/>
          <w:szCs w:val="28"/>
          <w:highlight w:val="none"/>
          <w:lang w:val="en-US" w:eastAsia="zh-CN"/>
        </w:rPr>
        <w:t>包各类规费及各种税费、</w:t>
      </w:r>
      <w:r>
        <w:rPr>
          <w:rFonts w:hint="eastAsia" w:ascii="仿宋" w:hAnsi="仿宋" w:eastAsia="仿宋" w:cs="仿宋"/>
          <w:i w:val="0"/>
          <w:iCs w:val="0"/>
          <w:color w:val="auto"/>
          <w:sz w:val="28"/>
          <w:szCs w:val="28"/>
          <w:highlight w:val="none"/>
          <w:u w:val="none"/>
          <w:shd w:val="clear" w:color="auto" w:fill="auto"/>
          <w:lang w:val="en-US" w:eastAsia="zh-CN"/>
        </w:rPr>
        <w:t>包其他工种配合可能产生的降效及产生的费用、包协调、处理本工程涉及的各类关系(包括但不限于政府主管部门、周边居民等关系)的费用及本工程施工过程中所涉及的一切风险因素及全部内容及费用。</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196" w:leftChars="-95" w:right="-578" w:rightChars="-275" w:hanging="3" w:firstLineChars="0"/>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6"/>
      <w:bookmarkEnd w:id="7"/>
      <w:bookmarkEnd w:id="10"/>
      <w:bookmarkEnd w:id="11"/>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bookmarkStart w:id="12" w:name="_Toc16842"/>
      <w:bookmarkStart w:id="13" w:name="_Toc27175"/>
      <w:r>
        <w:rPr>
          <w:rFonts w:hint="eastAsia" w:ascii="仿宋" w:hAnsi="仿宋" w:eastAsia="仿宋" w:cs="仿宋"/>
          <w:i w:val="0"/>
          <w:iCs w:val="0"/>
          <w:color w:val="auto"/>
          <w:sz w:val="28"/>
          <w:szCs w:val="28"/>
          <w:highlight w:val="none"/>
          <w:lang w:val="en-US" w:eastAsia="zh-CN"/>
        </w:rPr>
        <w:t>3.1本项目及所辖的包括用地红线内所有本工程图纸范围内</w:t>
      </w:r>
      <w:r>
        <w:rPr>
          <w:rFonts w:hint="eastAsia" w:ascii="仿宋" w:hAnsi="仿宋" w:eastAsia="仿宋" w:cs="仿宋"/>
          <w:i w:val="0"/>
          <w:iCs w:val="0"/>
          <w:color w:val="auto"/>
          <w:sz w:val="28"/>
          <w:szCs w:val="28"/>
          <w:highlight w:val="none"/>
          <w:u w:val="single"/>
          <w:lang w:val="en-US" w:eastAsia="zh-CN"/>
        </w:rPr>
        <w:t>甲方指定用地红线范围内的场地平整及绿色防尘网覆盖</w:t>
      </w:r>
      <w:r>
        <w:rPr>
          <w:rFonts w:hint="eastAsia" w:ascii="仿宋" w:hAnsi="仿宋" w:eastAsia="仿宋" w:cs="仿宋"/>
          <w:i w:val="0"/>
          <w:iCs w:val="0"/>
          <w:color w:val="auto"/>
          <w:sz w:val="28"/>
          <w:szCs w:val="28"/>
          <w:highlight w:val="none"/>
          <w:lang w:val="en-US" w:eastAsia="zh-CN"/>
        </w:rPr>
        <w:t>相关工作由乙方施工，具体施工范围以图纸、规范及甲方要求为准，过程中产生的全部人员报酬、材料（本合同约定的甲供材除外）、机械设备（含进退场费、材料设备装卸搬运及保管等）、机具、安全文明施工、施工管理等由乙方解决。</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3.2甲方提供的本工程图纸、报价清单（详见附件）所含内容由乙方施工，本合同另有约定的除外。</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3.3乙方自行控制好施工管理，自行组织对施工的有关质量、安全、进度、成本等现场组织管理工作，按甲方项目部确定的施工方案进行施工。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3.4乙方对甲方本工程质量按合同约定承担责任，对本工程安全生产、文明施工、工期进度和甲供材料限额使用等相关事项承担全部责任。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3.5甲方有权调整乙方的承包范围及内容，乙方不得以任何理由拒绝，否则甲方有权单方解除合同。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3.6乙方自备机具的维修及养护由乙方自行负责；乙方自备/采购的材料、设备或小型机具必须符合设计规范及本项目施工总承包合同的要求。</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3.7乙方已充分了解甲方提供工作面的基层情况，结算时不会因本工程基层清理而要求甲方增补费用。</w:t>
      </w:r>
      <w:r>
        <w:rPr>
          <w:rFonts w:hint="eastAsia" w:ascii="仿宋" w:hAnsi="仿宋" w:eastAsia="仿宋" w:cs="仿宋"/>
          <w:b w:val="0"/>
          <w:bCs w:val="0"/>
          <w:i w:val="0"/>
          <w:iCs w:val="0"/>
          <w:color w:val="auto"/>
          <w:sz w:val="28"/>
          <w:szCs w:val="28"/>
          <w:highlight w:val="none"/>
          <w:shd w:val="clear" w:color="auto" w:fill="auto"/>
        </w:rPr>
        <w:t>乙方施工前，须对甲方（或其他施工单位）交付己方施工的界面进行检查，判定是否适于进行施工，如不适于，须书面告知甲方原因并按甲方的决定办理；如乙方不检查（或不书面提出）即施工的，视乙方认为适于施工并作为己方施工前提，因该界面导致乙方施工内容不符合合同要求的，乙方自费返工至符合合同要求且不向甲方（或其他施工单位）索赔</w:t>
      </w:r>
      <w:r>
        <w:rPr>
          <w:rFonts w:hint="eastAsia" w:ascii="仿宋" w:hAnsi="仿宋" w:eastAsia="仿宋" w:cs="仿宋"/>
          <w:i w:val="0"/>
          <w:iCs w:val="0"/>
          <w:color w:val="auto"/>
          <w:sz w:val="28"/>
          <w:szCs w:val="28"/>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3.8</w:t>
      </w:r>
      <w:r>
        <w:rPr>
          <w:rFonts w:hint="eastAsia" w:ascii="仿宋" w:hAnsi="仿宋" w:eastAsia="仿宋" w:cs="仿宋"/>
          <w:i w:val="0"/>
          <w:iCs w:val="0"/>
          <w:color w:val="auto"/>
          <w:sz w:val="28"/>
          <w:szCs w:val="28"/>
          <w:highlight w:val="none"/>
          <w:shd w:val="clear" w:color="auto" w:fill="auto"/>
        </w:rPr>
        <w:t>乙方自行控制施工管理，自行组织</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施工的</w:t>
      </w:r>
      <w:r>
        <w:rPr>
          <w:rFonts w:hint="eastAsia" w:ascii="仿宋" w:hAnsi="仿宋" w:eastAsia="仿宋" w:cs="仿宋"/>
          <w:i w:val="0"/>
          <w:iCs w:val="0"/>
          <w:color w:val="auto"/>
          <w:sz w:val="28"/>
          <w:szCs w:val="28"/>
          <w:highlight w:val="none"/>
          <w:shd w:val="clear" w:color="auto" w:fill="auto"/>
          <w:lang w:val="en-US" w:eastAsia="zh-CN"/>
        </w:rPr>
        <w:t>相</w:t>
      </w:r>
      <w:r>
        <w:rPr>
          <w:rFonts w:hint="eastAsia" w:ascii="仿宋" w:hAnsi="仿宋" w:eastAsia="仿宋" w:cs="仿宋"/>
          <w:i w:val="0"/>
          <w:iCs w:val="0"/>
          <w:color w:val="auto"/>
          <w:sz w:val="28"/>
          <w:szCs w:val="28"/>
          <w:highlight w:val="none"/>
          <w:shd w:val="clear" w:color="auto" w:fill="auto"/>
        </w:rPr>
        <w:t>关质量、安全、进度、成本等现场组织管理工作</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具体施工</w:t>
      </w:r>
      <w:r>
        <w:rPr>
          <w:rFonts w:hint="eastAsia" w:ascii="仿宋" w:hAnsi="仿宋" w:eastAsia="仿宋" w:cs="仿宋"/>
          <w:i w:val="0"/>
          <w:iCs w:val="0"/>
          <w:color w:val="auto"/>
          <w:sz w:val="28"/>
          <w:szCs w:val="28"/>
          <w:highlight w:val="none"/>
          <w:shd w:val="clear" w:color="auto" w:fill="auto"/>
        </w:rPr>
        <w:t>方案以甲方确定</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为准。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3.9乙方负责的内容还包括但不限于：</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3.9.1严格执行甲方发布的质量通病细则。</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3.9.2配备本工程所需电工，且电工须持证上岗。甲方电工仅对乙方电工进行监督、检查、管理、指导。</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3.9.3本工程具体作法以甲方与建设单位书面确认的交楼标准及施工图纸为准。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3.9.4 本工程图纸漏项、错项、无重大工程量变化的调整内容，图纸及清单未列明但属于本工程合理施工范围或完成本工程所需进行的施工内容。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3.9.5完成上述内容所需费用均包含在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合同总价内，不属于增加工程，除非双方额外签证，否则结算时工程价款不作调整。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3.10乙方承担的风险：本工程施工过程中如出现赶工、交叉作业、停工及工人工资、材料费、机具费上涨等风险，相关费用增减已在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合同总价内中一次性考虑，乙方不得就上述原因要求甲方增补费用及另行计价。</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3.11乙方负责购买其在本项目工作的所有人员的社会保险、工伤保险、人身意外伤害保险，费用已包含在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合同总价中。</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3.12本项目设计变更引起的增加工程，无论工程量大小及施工难度系数高低，如甲方要求乙方施工，乙方须按甲方要求施工，相关费用按本合同约定办理。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3.13施工现场内本工程所需材料、机具的运输不另计费。材料进、出场时，乙方派工人上、下车，上下车费用包含在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合同总价内（甲供材料的卸车由乙方负责且费用已包含在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合同总价中）。</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3.14乙方施工过程中，负责本工程工作面上所用材料、机具、垃圾的清理，做到工完场清，并自行负责所有建筑垃圾、生活垃圾的处置。如乙方未能自行处置，则必须于每道工序验收前把工作面有关的建筑垃圾、生活垃圾等清理到甲方指定位置，由甲方统一就该部分垃圾处理费（含外运及机械台班费等）按责、按量进行分摊后，由乙方及相关分包单位承担并以书面形式确认，在结算时由甲方从合同款中予以扣除。乙方提交的结算书须包含甲方项目部按照垃圾产生的责任单位进行数量和全部费用的分摊表，该表须甲方施工员、项目副经理、项目经理签认，否则甲方有权不予办理结算且不违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3.15</w:t>
      </w:r>
      <w:r>
        <w:rPr>
          <w:rFonts w:hint="eastAsia" w:ascii="仿宋" w:hAnsi="仿宋" w:eastAsia="仿宋" w:cs="仿宋"/>
          <w:color w:val="auto"/>
          <w:sz w:val="28"/>
          <w:szCs w:val="28"/>
          <w:highlight w:val="none"/>
          <w:lang w:val="en-US" w:eastAsia="zh-CN"/>
        </w:rPr>
        <w:t>因乙方原因导致甲方被政府行政部门等单位处罚、导致本项目停工的，其全部责任和损失均由乙方承担。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 xml:space="preserve">3.16 </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自行解决乙方施工工人在本项目的食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相关费用已包含在合同单价中</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b w:val="0"/>
          <w:bCs w:val="0"/>
          <w:color w:val="auto"/>
          <w:highlight w:val="none"/>
        </w:rPr>
      </w:pPr>
      <w:r>
        <w:rPr>
          <w:rFonts w:hint="eastAsia" w:ascii="仿宋" w:hAnsi="仿宋" w:eastAsia="仿宋" w:cs="仿宋"/>
          <w:b w:val="0"/>
          <w:bCs w:val="0"/>
          <w:color w:val="auto"/>
          <w:sz w:val="28"/>
          <w:szCs w:val="28"/>
          <w:highlight w:val="none"/>
          <w:lang w:val="en-US" w:eastAsia="zh-CN"/>
        </w:rPr>
        <w:t>3.17</w:t>
      </w:r>
      <w:r>
        <w:rPr>
          <w:rFonts w:hint="default" w:ascii="仿宋" w:hAnsi="仿宋" w:eastAsia="仿宋" w:cs="仿宋"/>
          <w:b w:val="0"/>
          <w:bCs w:val="0"/>
          <w:color w:val="auto"/>
          <w:sz w:val="28"/>
          <w:szCs w:val="28"/>
          <w:highlight w:val="none"/>
          <w:lang w:val="en-US" w:eastAsia="zh-CN"/>
        </w:rPr>
        <w:t xml:space="preserve"> 乙方负责协调、处理本工程涉及的各类关系（包括但不限于政府主管部门、周边居民等关系），确保进退场及施工过程中合法、合规、不扰民，相关费用已包含在本合同总价内，不另行计取</w:t>
      </w:r>
      <w:r>
        <w:rPr>
          <w:rFonts w:hint="eastAsia" w:ascii="仿宋" w:hAnsi="仿宋" w:eastAsia="仿宋" w:cs="仿宋"/>
          <w:b w:val="0"/>
          <w:bCs w:val="0"/>
          <w:color w:val="auto"/>
          <w:sz w:val="28"/>
          <w:szCs w:val="28"/>
          <w:highlight w:val="none"/>
          <w:lang w:val="en-US" w:eastAsia="zh-CN"/>
        </w:rPr>
        <w:t>。</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294" w:beforeLines="10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工期</w:t>
      </w:r>
      <w:bookmarkEnd w:id="12"/>
      <w:bookmarkEnd w:id="13"/>
    </w:p>
    <w:p>
      <w:pPr>
        <w:keepNext w:val="0"/>
        <w:keepLines w:val="0"/>
        <w:pageBreakBefore w:val="0"/>
        <w:widowControl w:val="0"/>
        <w:shd w:val="clear"/>
        <w:tabs>
          <w:tab w:val="right" w:pos="8306"/>
        </w:tabs>
        <w:kinsoku/>
        <w:wordWrap w:val="0"/>
        <w:overflowPunct/>
        <w:topLinePunct w:val="0"/>
        <w:autoSpaceDE/>
        <w:autoSpaceDN/>
        <w:bidi w:val="0"/>
        <w:adjustRightInd w:val="0"/>
        <w:snapToGrid w:val="0"/>
        <w:spacing w:line="360" w:lineRule="auto"/>
        <w:ind w:left="-197" w:leftChars="-94" w:right="-578" w:rightChars="-275" w:firstLine="417" w:firstLineChars="149"/>
        <w:textAlignment w:val="auto"/>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sz w:val="28"/>
          <w:szCs w:val="28"/>
          <w:highlight w:val="none"/>
          <w:lang w:val="en-US" w:eastAsia="zh-CN"/>
        </w:rPr>
        <w:t>4</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u w:val="none"/>
          <w:lang w:val="en-US" w:eastAsia="zh-CN"/>
        </w:rPr>
        <w:t xml:space="preserve"> </w:t>
      </w:r>
      <w:r>
        <w:rPr>
          <w:rFonts w:hint="eastAsia" w:ascii="仿宋" w:hAnsi="仿宋" w:eastAsia="仿宋" w:cs="仿宋"/>
          <w:i w:val="0"/>
          <w:iCs w:val="0"/>
          <w:color w:val="auto"/>
          <w:sz w:val="28"/>
          <w:szCs w:val="28"/>
          <w:highlight w:val="none"/>
          <w:u w:val="none"/>
          <w:shd w:val="clear" w:color="auto" w:fill="auto"/>
          <w:lang w:val="en-US" w:eastAsia="zh-CN"/>
        </w:rPr>
        <w:t>本工程工期：本工程进场时间</w:t>
      </w:r>
      <w:r>
        <w:rPr>
          <w:rFonts w:hint="eastAsia" w:ascii="仿宋" w:hAnsi="仿宋" w:eastAsia="仿宋" w:cs="仿宋"/>
          <w:b/>
          <w:bCs/>
          <w:i w:val="0"/>
          <w:iCs w:val="0"/>
          <w:color w:val="auto"/>
          <w:sz w:val="28"/>
          <w:szCs w:val="28"/>
          <w:highlight w:val="none"/>
          <w:u w:val="single"/>
          <w:shd w:val="clear" w:color="auto" w:fill="auto"/>
          <w:lang w:val="en-US" w:eastAsia="zh-CN"/>
        </w:rPr>
        <w:t>2024年6月17日</w:t>
      </w:r>
      <w:r>
        <w:rPr>
          <w:rFonts w:hint="eastAsia" w:ascii="仿宋" w:hAnsi="仿宋" w:eastAsia="仿宋" w:cs="仿宋"/>
          <w:i w:val="0"/>
          <w:iCs w:val="0"/>
          <w:color w:val="auto"/>
          <w:sz w:val="28"/>
          <w:szCs w:val="28"/>
          <w:highlight w:val="none"/>
          <w:u w:val="none"/>
          <w:shd w:val="clear" w:color="auto" w:fill="auto"/>
          <w:lang w:val="en-US" w:eastAsia="zh-CN"/>
        </w:rPr>
        <w:t>，工期自甲方通知之日起计算（包含材料设备货期），至本工程完工、验收合格、交付甲方使用止共</w:t>
      </w:r>
      <w:r>
        <w:rPr>
          <w:rFonts w:hint="eastAsia" w:ascii="仿宋" w:hAnsi="仿宋" w:eastAsia="仿宋" w:cs="仿宋"/>
          <w:b/>
          <w:bCs/>
          <w:i w:val="0"/>
          <w:iCs w:val="0"/>
          <w:color w:val="auto"/>
          <w:sz w:val="28"/>
          <w:szCs w:val="28"/>
          <w:highlight w:val="none"/>
          <w:u w:val="single"/>
          <w:shd w:val="clear" w:color="auto" w:fill="auto"/>
          <w:lang w:val="en-US" w:eastAsia="zh-CN"/>
        </w:rPr>
        <w:t>6个日历天</w:t>
      </w:r>
      <w:r>
        <w:rPr>
          <w:rFonts w:hint="eastAsia" w:ascii="仿宋" w:hAnsi="仿宋" w:eastAsia="仿宋" w:cs="仿宋"/>
          <w:b/>
          <w:bCs/>
          <w:i w:val="0"/>
          <w:iCs w:val="0"/>
          <w:color w:val="auto"/>
          <w:sz w:val="28"/>
          <w:szCs w:val="28"/>
          <w:highlight w:val="none"/>
          <w:u w:val="none"/>
          <w:shd w:val="clear" w:color="auto" w:fill="auto"/>
          <w:lang w:val="en-US" w:eastAsia="zh-CN"/>
        </w:rPr>
        <w:t>工期（含洒水养护2个日历天）</w:t>
      </w:r>
      <w:r>
        <w:rPr>
          <w:rFonts w:hint="eastAsia" w:ascii="仿宋" w:hAnsi="仿宋" w:eastAsia="仿宋" w:cs="仿宋"/>
          <w:i w:val="0"/>
          <w:iCs w:val="0"/>
          <w:color w:val="auto"/>
          <w:sz w:val="28"/>
          <w:szCs w:val="28"/>
          <w:highlight w:val="none"/>
          <w:u w:val="none"/>
          <w:shd w:val="clear" w:color="auto" w:fill="auto"/>
          <w:lang w:val="en-US" w:eastAsia="zh-CN"/>
        </w:rPr>
        <w:t>，工期以全面满足甲方要求为准。甲方通知后24小时内，乙方项目现场负责人及主要工作人员须进场开始施工，具体按甲方要求为准，必须满足甲方项目工期要求</w:t>
      </w:r>
      <w:r>
        <w:rPr>
          <w:rFonts w:hint="eastAsia" w:ascii="仿宋" w:hAnsi="仿宋" w:eastAsia="仿宋" w:cs="仿宋"/>
          <w:i w:val="0"/>
          <w:iCs w:val="0"/>
          <w:color w:val="auto"/>
          <w:sz w:val="28"/>
          <w:szCs w:val="28"/>
          <w:highlight w:val="none"/>
          <w:u w:val="none"/>
          <w:lang w:val="en-US" w:eastAsia="zh-CN"/>
        </w:rPr>
        <w:t>。</w:t>
      </w:r>
    </w:p>
    <w:p>
      <w:pPr>
        <w:keepNext w:val="0"/>
        <w:keepLines w:val="0"/>
        <w:pageBreakBefore w:val="0"/>
        <w:widowControl w:val="0"/>
        <w:shd w:val="clear"/>
        <w:tabs>
          <w:tab w:val="right" w:pos="8306"/>
        </w:tabs>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4.2本合同工期开工日期为暂定时间，实际开工、竣工时间以甲方书面通知为准，甲方书面通知形式包括不限于微信、短信、</w:t>
      </w:r>
      <w:r>
        <w:rPr>
          <w:rFonts w:hint="eastAsia" w:ascii="仿宋" w:hAnsi="仿宋" w:eastAsia="仿宋" w:cs="仿宋"/>
          <w:i w:val="0"/>
          <w:iCs w:val="0"/>
          <w:color w:val="auto"/>
          <w:sz w:val="28"/>
          <w:szCs w:val="28"/>
          <w:highlight w:val="none"/>
          <w:shd w:val="clear" w:color="auto" w:fill="auto"/>
          <w:lang w:val="en-US" w:eastAsia="zh-CN"/>
        </w:rPr>
        <w:tab/>
      </w:r>
      <w:r>
        <w:rPr>
          <w:rFonts w:hint="eastAsia" w:ascii="仿宋" w:hAnsi="仿宋" w:eastAsia="仿宋" w:cs="仿宋"/>
          <w:i w:val="0"/>
          <w:iCs w:val="0"/>
          <w:color w:val="auto"/>
          <w:sz w:val="28"/>
          <w:szCs w:val="28"/>
          <w:highlight w:val="none"/>
          <w:shd w:val="clear" w:color="auto" w:fill="auto"/>
          <w:lang w:val="en-US" w:eastAsia="zh-CN"/>
        </w:rPr>
        <w:t>传真、电子邮件、纸质文件等。乙方无条件按甲方要求调整开工、竣工时间。同时，乙方自行调整其人员、材料物资、资金的安排，随时配合甲方开工、竣工并按本合同约定价款执行。因甲方变更工期导致乙方损失的已经包含在</w:t>
      </w:r>
      <w:r>
        <w:rPr>
          <w:rFonts w:hint="eastAsia" w:ascii="仿宋" w:hAnsi="仿宋" w:eastAsia="仿宋" w:cs="仿宋"/>
          <w:b/>
          <w:bCs/>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合同单价</w:t>
      </w:r>
      <w:r>
        <w:rPr>
          <w:rFonts w:hint="eastAsia" w:ascii="仿宋" w:hAnsi="仿宋" w:eastAsia="仿宋" w:cs="仿宋"/>
          <w:b/>
          <w:bCs/>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lang w:val="en-US" w:eastAsia="zh-CN"/>
        </w:rPr>
        <w:t>总价</w:t>
      </w:r>
      <w:r>
        <w:rPr>
          <w:rFonts w:hint="eastAsia" w:ascii="仿宋" w:hAnsi="仿宋" w:eastAsia="仿宋" w:cs="仿宋"/>
          <w:i w:val="0"/>
          <w:iCs w:val="0"/>
          <w:color w:val="auto"/>
          <w:sz w:val="28"/>
          <w:szCs w:val="28"/>
          <w:highlight w:val="none"/>
          <w:shd w:val="clear" w:color="auto" w:fill="auto"/>
          <w:lang w:val="en-US" w:eastAsia="zh-CN"/>
        </w:rPr>
        <w:t>内，甲方不另补偿或增加任何费用给乙方。因甲方原因导致乙方延迟进场的，经甲方书面确认后工期相应顺延，但甲方不额外支付窝工费、停工费等费用给乙方，乙方同意不因此追究甲方任何责任及赔偿损失。</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4.3乙方提交的开工资料需满足甲方要求，且乙方需收到甲方项目经理签发并加盖项目章的开工令后，按开工令（格式详见附件）要求进场。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pPr>
        <w:keepNext w:val="0"/>
        <w:keepLines w:val="0"/>
        <w:pageBreakBefore w:val="0"/>
        <w:widowControl w:val="0"/>
        <w:shd w:val="clear"/>
        <w:tabs>
          <w:tab w:val="right" w:pos="8306"/>
        </w:tabs>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4.</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rPr>
        <w:t>严格遵照甲方制订的施工进度计划</w:t>
      </w:r>
      <w:r>
        <w:rPr>
          <w:rFonts w:hint="eastAsia" w:ascii="仿宋" w:hAnsi="仿宋" w:eastAsia="仿宋" w:cs="仿宋"/>
          <w:b w:val="0"/>
          <w:bCs w:val="0"/>
          <w:i w:val="0"/>
          <w:iCs w:val="0"/>
          <w:color w:val="auto"/>
          <w:sz w:val="28"/>
          <w:szCs w:val="28"/>
          <w:highlight w:val="none"/>
          <w:shd w:val="clear" w:color="auto" w:fill="auto"/>
          <w:lang w:val="en-US" w:eastAsia="zh-CN"/>
        </w:rPr>
        <w:t>实施并完成相关工作</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接受</w:t>
      </w:r>
      <w:r>
        <w:rPr>
          <w:rFonts w:hint="eastAsia" w:ascii="仿宋" w:hAnsi="仿宋" w:eastAsia="仿宋" w:cs="仿宋"/>
          <w:b w:val="0"/>
          <w:bCs w:val="0"/>
          <w:i w:val="0"/>
          <w:iCs w:val="0"/>
          <w:color w:val="auto"/>
          <w:sz w:val="28"/>
          <w:szCs w:val="28"/>
          <w:highlight w:val="none"/>
          <w:shd w:val="clear" w:color="auto" w:fill="auto"/>
        </w:rPr>
        <w:t>甲方项目部施工任务</w:t>
      </w:r>
      <w:r>
        <w:rPr>
          <w:rFonts w:hint="eastAsia" w:ascii="仿宋" w:hAnsi="仿宋" w:eastAsia="仿宋" w:cs="仿宋"/>
          <w:b w:val="0"/>
          <w:bCs w:val="0"/>
          <w:i w:val="0"/>
          <w:iCs w:val="0"/>
          <w:color w:val="auto"/>
          <w:sz w:val="28"/>
          <w:szCs w:val="28"/>
          <w:highlight w:val="none"/>
          <w:shd w:val="clear" w:color="auto" w:fill="auto"/>
          <w:lang w:val="en-US" w:eastAsia="zh-CN"/>
        </w:rPr>
        <w:t>安排，否则甲方可按合同对乙方予以处罚。</w:t>
      </w:r>
    </w:p>
    <w:p>
      <w:pPr>
        <w:keepNext w:val="0"/>
        <w:keepLines w:val="0"/>
        <w:pageBreakBefore w:val="0"/>
        <w:widowControl w:val="0"/>
        <w:shd w:val="clear"/>
        <w:tabs>
          <w:tab w:val="right" w:pos="8306"/>
        </w:tabs>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4.6</w:t>
      </w:r>
      <w:r>
        <w:rPr>
          <w:rFonts w:hint="eastAsia" w:ascii="仿宋" w:hAnsi="仿宋" w:eastAsia="仿宋" w:cs="仿宋"/>
          <w:b w:val="0"/>
          <w:bCs w:val="0"/>
          <w:i w:val="0"/>
          <w:iCs w:val="0"/>
          <w:color w:val="auto"/>
          <w:sz w:val="28"/>
          <w:szCs w:val="28"/>
          <w:highlight w:val="none"/>
          <w:shd w:val="clear" w:color="auto" w:fill="auto"/>
        </w:rPr>
        <w:t>乙方已充分考虑天气</w:t>
      </w:r>
      <w:r>
        <w:rPr>
          <w:rFonts w:hint="eastAsia" w:ascii="仿宋" w:hAnsi="仿宋" w:eastAsia="仿宋" w:cs="仿宋"/>
          <w:b w:val="0"/>
          <w:bCs w:val="0"/>
          <w:i w:val="0"/>
          <w:iCs w:val="0"/>
          <w:color w:val="auto"/>
          <w:sz w:val="28"/>
          <w:szCs w:val="28"/>
          <w:highlight w:val="none"/>
          <w:shd w:val="clear" w:color="auto" w:fill="auto"/>
          <w:lang w:val="en-US" w:eastAsia="zh-CN"/>
        </w:rPr>
        <w:t>及各种因素、除不可抗力（如：地震、海啸、瘟疫、骚乱、戒严、暴动、战争等法定情形外）其他原因</w:t>
      </w:r>
      <w:r>
        <w:rPr>
          <w:rFonts w:hint="eastAsia" w:ascii="仿宋" w:hAnsi="仿宋" w:eastAsia="仿宋" w:cs="仿宋"/>
          <w:b w:val="0"/>
          <w:bCs w:val="0"/>
          <w:i w:val="0"/>
          <w:iCs w:val="0"/>
          <w:color w:val="auto"/>
          <w:sz w:val="28"/>
          <w:szCs w:val="28"/>
          <w:highlight w:val="none"/>
          <w:shd w:val="clear" w:color="auto" w:fill="auto"/>
        </w:rPr>
        <w:t>可能对工期</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影响，</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eastAsia" w:ascii="仿宋" w:hAnsi="仿宋" w:eastAsia="仿宋" w:cs="仿宋"/>
          <w:b w:val="0"/>
          <w:bCs w:val="0"/>
          <w:i w:val="0"/>
          <w:iCs w:val="0"/>
          <w:color w:val="auto"/>
          <w:sz w:val="28"/>
          <w:szCs w:val="28"/>
          <w:highlight w:val="none"/>
          <w:shd w:val="clear" w:color="auto" w:fill="auto"/>
        </w:rPr>
        <w:t>不</w:t>
      </w:r>
      <w:r>
        <w:rPr>
          <w:rFonts w:hint="eastAsia" w:ascii="仿宋" w:hAnsi="仿宋" w:eastAsia="仿宋" w:cs="仿宋"/>
          <w:b w:val="0"/>
          <w:bCs w:val="0"/>
          <w:i w:val="0"/>
          <w:iCs w:val="0"/>
          <w:color w:val="auto"/>
          <w:sz w:val="28"/>
          <w:szCs w:val="28"/>
          <w:highlight w:val="none"/>
          <w:shd w:val="clear" w:color="auto" w:fill="auto"/>
          <w:lang w:val="en-US" w:eastAsia="zh-CN"/>
        </w:rPr>
        <w:t>因</w:t>
      </w:r>
      <w:r>
        <w:rPr>
          <w:rFonts w:hint="eastAsia" w:ascii="仿宋" w:hAnsi="仿宋" w:eastAsia="仿宋" w:cs="仿宋"/>
          <w:b w:val="0"/>
          <w:bCs w:val="0"/>
          <w:i w:val="0"/>
          <w:iCs w:val="0"/>
          <w:color w:val="auto"/>
          <w:sz w:val="28"/>
          <w:szCs w:val="28"/>
          <w:highlight w:val="none"/>
          <w:shd w:val="clear" w:color="auto" w:fill="auto"/>
        </w:rPr>
        <w:t>任何</w:t>
      </w:r>
      <w:r>
        <w:rPr>
          <w:rFonts w:hint="eastAsia" w:ascii="仿宋" w:hAnsi="仿宋" w:eastAsia="仿宋" w:cs="仿宋"/>
          <w:b w:val="0"/>
          <w:bCs w:val="0"/>
          <w:i w:val="0"/>
          <w:iCs w:val="0"/>
          <w:color w:val="auto"/>
          <w:sz w:val="28"/>
          <w:szCs w:val="28"/>
          <w:highlight w:val="none"/>
          <w:shd w:val="clear" w:color="auto" w:fill="auto"/>
          <w:lang w:val="en-US" w:eastAsia="zh-CN"/>
        </w:rPr>
        <w:t>原因</w:t>
      </w:r>
      <w:r>
        <w:rPr>
          <w:rFonts w:hint="eastAsia" w:ascii="仿宋" w:hAnsi="仿宋" w:eastAsia="仿宋" w:cs="仿宋"/>
          <w:b w:val="0"/>
          <w:bCs w:val="0"/>
          <w:i w:val="0"/>
          <w:iCs w:val="0"/>
          <w:color w:val="auto"/>
          <w:sz w:val="28"/>
          <w:szCs w:val="28"/>
          <w:highlight w:val="none"/>
          <w:shd w:val="clear" w:color="auto" w:fill="auto"/>
        </w:rPr>
        <w:t>要求延长工期。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4.</w:t>
      </w:r>
      <w:r>
        <w:rPr>
          <w:rFonts w:hint="eastAsia" w:ascii="仿宋" w:hAnsi="仿宋" w:eastAsia="仿宋" w:cs="仿宋"/>
          <w:i w:val="0"/>
          <w:iCs w:val="0"/>
          <w:color w:val="auto"/>
          <w:sz w:val="28"/>
          <w:szCs w:val="28"/>
          <w:highlight w:val="none"/>
          <w:shd w:val="clear" w:color="auto" w:fill="auto"/>
          <w:lang w:val="en-US" w:eastAsia="zh-CN"/>
        </w:rPr>
        <w:t>7</w:t>
      </w:r>
      <w:r>
        <w:rPr>
          <w:rFonts w:hint="eastAsia" w:ascii="仿宋" w:hAnsi="仿宋" w:eastAsia="仿宋" w:cs="仿宋"/>
          <w:i w:val="0"/>
          <w:iCs w:val="0"/>
          <w:color w:val="auto"/>
          <w:sz w:val="28"/>
          <w:szCs w:val="28"/>
          <w:highlight w:val="none"/>
          <w:u w:val="none"/>
          <w:shd w:val="clear" w:color="auto" w:fill="auto"/>
        </w:rPr>
        <w:t>乙方必须满足</w:t>
      </w:r>
      <w:r>
        <w:rPr>
          <w:rFonts w:hint="eastAsia" w:ascii="仿宋" w:hAnsi="仿宋" w:eastAsia="仿宋" w:cs="仿宋"/>
          <w:i w:val="0"/>
          <w:iCs w:val="0"/>
          <w:color w:val="auto"/>
          <w:sz w:val="28"/>
          <w:szCs w:val="28"/>
          <w:highlight w:val="none"/>
          <w:u w:val="none"/>
          <w:shd w:val="clear" w:color="auto" w:fill="auto"/>
          <w:lang w:val="en-US" w:eastAsia="zh-CN"/>
        </w:rPr>
        <w:t>甲方</w:t>
      </w:r>
      <w:r>
        <w:rPr>
          <w:rFonts w:hint="eastAsia" w:ascii="仿宋" w:hAnsi="仿宋" w:eastAsia="仿宋" w:cs="仿宋"/>
          <w:i w:val="0"/>
          <w:iCs w:val="0"/>
          <w:color w:val="auto"/>
          <w:sz w:val="28"/>
          <w:szCs w:val="28"/>
          <w:highlight w:val="none"/>
          <w:u w:val="none"/>
          <w:shd w:val="clear" w:color="auto" w:fill="auto"/>
        </w:rPr>
        <w:t>工期要求，</w:t>
      </w:r>
      <w:r>
        <w:rPr>
          <w:rFonts w:hint="eastAsia" w:ascii="仿宋" w:hAnsi="仿宋" w:eastAsia="仿宋" w:cs="仿宋"/>
          <w:i w:val="0"/>
          <w:iCs w:val="0"/>
          <w:color w:val="auto"/>
          <w:sz w:val="28"/>
          <w:szCs w:val="28"/>
          <w:highlight w:val="none"/>
          <w:u w:val="none"/>
          <w:shd w:val="clear" w:color="auto" w:fill="auto"/>
          <w:lang w:val="en-US" w:eastAsia="zh-CN"/>
        </w:rPr>
        <w:t>配合甲方</w:t>
      </w:r>
      <w:r>
        <w:rPr>
          <w:rFonts w:hint="eastAsia" w:ascii="仿宋" w:hAnsi="仿宋" w:eastAsia="仿宋" w:cs="仿宋"/>
          <w:i w:val="0"/>
          <w:iCs w:val="0"/>
          <w:color w:val="auto"/>
          <w:sz w:val="28"/>
          <w:szCs w:val="28"/>
          <w:highlight w:val="none"/>
          <w:u w:val="none"/>
          <w:shd w:val="clear" w:color="auto" w:fill="auto"/>
        </w:rPr>
        <w:t>随时增加或减少</w:t>
      </w:r>
      <w:r>
        <w:rPr>
          <w:rFonts w:hint="eastAsia" w:ascii="仿宋" w:hAnsi="仿宋" w:eastAsia="仿宋" w:cs="仿宋"/>
          <w:i w:val="0"/>
          <w:iCs w:val="0"/>
          <w:color w:val="auto"/>
          <w:sz w:val="28"/>
          <w:szCs w:val="28"/>
          <w:highlight w:val="none"/>
          <w:u w:val="none"/>
          <w:shd w:val="clear" w:color="auto" w:fill="auto"/>
          <w:lang w:val="en-US" w:eastAsia="zh-CN"/>
        </w:rPr>
        <w:t>乙方</w:t>
      </w:r>
      <w:r>
        <w:rPr>
          <w:rFonts w:hint="eastAsia" w:ascii="仿宋" w:hAnsi="仿宋" w:eastAsia="仿宋" w:cs="仿宋"/>
          <w:i w:val="0"/>
          <w:iCs w:val="0"/>
          <w:color w:val="auto"/>
          <w:sz w:val="28"/>
          <w:szCs w:val="28"/>
          <w:highlight w:val="none"/>
          <w:u w:val="none"/>
          <w:shd w:val="clear" w:color="auto" w:fill="auto"/>
        </w:rPr>
        <w:t>人员</w:t>
      </w:r>
      <w:r>
        <w:rPr>
          <w:rFonts w:hint="eastAsia" w:ascii="仿宋" w:hAnsi="仿宋" w:eastAsia="仿宋" w:cs="仿宋"/>
          <w:i w:val="0"/>
          <w:iCs w:val="0"/>
          <w:color w:val="auto"/>
          <w:sz w:val="28"/>
          <w:szCs w:val="28"/>
          <w:highlight w:val="none"/>
          <w:u w:val="none"/>
          <w:shd w:val="clear" w:color="auto" w:fill="auto"/>
          <w:lang w:val="en-US" w:eastAsia="zh-CN"/>
        </w:rPr>
        <w:t>以满足本工程施工要求</w:t>
      </w:r>
      <w:r>
        <w:rPr>
          <w:rFonts w:hint="eastAsia" w:ascii="仿宋" w:hAnsi="仿宋" w:eastAsia="仿宋" w:cs="仿宋"/>
          <w:i w:val="0"/>
          <w:iCs w:val="0"/>
          <w:color w:val="auto"/>
          <w:sz w:val="28"/>
          <w:szCs w:val="28"/>
          <w:highlight w:val="none"/>
          <w:u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4.8乙方确定在本合同签订前，已勘察本项目现场场地，对本工程特性全部清楚，因甲方原因导致施工计划调整的，乙方积极配合。</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4.9</w:t>
      </w:r>
      <w:r>
        <w:rPr>
          <w:rFonts w:hint="eastAsia" w:ascii="仿宋" w:hAnsi="仿宋" w:eastAsia="仿宋" w:cs="仿宋"/>
          <w:i w:val="0"/>
          <w:iCs w:val="0"/>
          <w:color w:val="auto"/>
          <w:sz w:val="28"/>
          <w:szCs w:val="28"/>
          <w:highlight w:val="none"/>
          <w:shd w:val="clear" w:color="auto" w:fill="auto"/>
        </w:rPr>
        <w:t>乙方认为甲方或其他单位未配合提供</w:t>
      </w:r>
      <w:r>
        <w:rPr>
          <w:rFonts w:hint="eastAsia" w:ascii="仿宋" w:hAnsi="仿宋" w:eastAsia="仿宋" w:cs="仿宋"/>
          <w:i w:val="0"/>
          <w:iCs w:val="0"/>
          <w:color w:val="auto"/>
          <w:sz w:val="28"/>
          <w:szCs w:val="28"/>
          <w:highlight w:val="none"/>
          <w:shd w:val="clear" w:color="auto" w:fill="auto"/>
          <w:lang w:val="en-US" w:eastAsia="zh-CN"/>
        </w:rPr>
        <w:t>所需</w:t>
      </w:r>
      <w:r>
        <w:rPr>
          <w:rFonts w:hint="eastAsia" w:ascii="仿宋" w:hAnsi="仿宋" w:eastAsia="仿宋" w:cs="仿宋"/>
          <w:i w:val="0"/>
          <w:iCs w:val="0"/>
          <w:color w:val="auto"/>
          <w:sz w:val="28"/>
          <w:szCs w:val="28"/>
          <w:highlight w:val="none"/>
          <w:shd w:val="clear" w:color="auto" w:fill="auto"/>
        </w:rPr>
        <w:t>工作面</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机具及材料而影响施工进度</w:t>
      </w:r>
      <w:r>
        <w:rPr>
          <w:rFonts w:hint="eastAsia" w:ascii="仿宋" w:hAnsi="仿宋" w:eastAsia="仿宋" w:cs="仿宋"/>
          <w:i w:val="0"/>
          <w:iCs w:val="0"/>
          <w:color w:val="auto"/>
          <w:sz w:val="28"/>
          <w:szCs w:val="28"/>
          <w:highlight w:val="none"/>
          <w:shd w:val="clear" w:color="auto" w:fill="auto"/>
          <w:lang w:val="en-US" w:eastAsia="zh-CN"/>
        </w:rPr>
        <w:t>时</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须</w:t>
      </w:r>
      <w:r>
        <w:rPr>
          <w:rFonts w:hint="eastAsia" w:ascii="仿宋" w:hAnsi="仿宋" w:eastAsia="仿宋" w:cs="仿宋"/>
          <w:i w:val="0"/>
          <w:iCs w:val="0"/>
          <w:color w:val="auto"/>
          <w:sz w:val="28"/>
          <w:szCs w:val="28"/>
          <w:highlight w:val="none"/>
          <w:shd w:val="clear" w:color="auto" w:fill="auto"/>
        </w:rPr>
        <w:t>书面</w:t>
      </w:r>
      <w:r>
        <w:rPr>
          <w:rFonts w:hint="eastAsia" w:ascii="仿宋" w:hAnsi="仿宋" w:eastAsia="仿宋" w:cs="仿宋"/>
          <w:i w:val="0"/>
          <w:iCs w:val="0"/>
          <w:color w:val="auto"/>
          <w:sz w:val="28"/>
          <w:szCs w:val="28"/>
          <w:highlight w:val="none"/>
          <w:shd w:val="clear" w:color="auto" w:fill="auto"/>
          <w:lang w:val="en-US" w:eastAsia="zh-CN"/>
        </w:rPr>
        <w:t>报</w:t>
      </w:r>
      <w:r>
        <w:rPr>
          <w:rFonts w:hint="eastAsia" w:ascii="仿宋" w:hAnsi="仿宋" w:eastAsia="仿宋" w:cs="仿宋"/>
          <w:i w:val="0"/>
          <w:iCs w:val="0"/>
          <w:color w:val="auto"/>
          <w:sz w:val="28"/>
          <w:szCs w:val="28"/>
          <w:highlight w:val="none"/>
          <w:shd w:val="clear" w:color="auto" w:fill="auto"/>
        </w:rPr>
        <w:t>告甲方并</w:t>
      </w:r>
      <w:r>
        <w:rPr>
          <w:rFonts w:hint="eastAsia" w:ascii="仿宋" w:hAnsi="仿宋" w:eastAsia="仿宋" w:cs="仿宋"/>
          <w:i w:val="0"/>
          <w:iCs w:val="0"/>
          <w:color w:val="auto"/>
          <w:sz w:val="28"/>
          <w:szCs w:val="28"/>
          <w:highlight w:val="none"/>
          <w:shd w:val="clear" w:color="auto" w:fill="auto"/>
          <w:lang w:val="en-US" w:eastAsia="zh-CN"/>
        </w:rPr>
        <w:t>按</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要求办理相关事宜</w:t>
      </w:r>
      <w:r>
        <w:rPr>
          <w:rFonts w:hint="eastAsia" w:ascii="仿宋" w:hAnsi="仿宋" w:eastAsia="仿宋" w:cs="仿宋"/>
          <w:i w:val="0"/>
          <w:iCs w:val="0"/>
          <w:color w:val="auto"/>
          <w:sz w:val="28"/>
          <w:szCs w:val="28"/>
          <w:highlight w:val="none"/>
          <w:shd w:val="clear" w:color="auto" w:fill="auto"/>
        </w:rPr>
        <w:t>，否则视为不影响乙方施工，乙方不得</w:t>
      </w:r>
      <w:r>
        <w:rPr>
          <w:rFonts w:hint="eastAsia" w:ascii="仿宋" w:hAnsi="仿宋" w:eastAsia="仿宋" w:cs="仿宋"/>
          <w:i w:val="0"/>
          <w:iCs w:val="0"/>
          <w:color w:val="auto"/>
          <w:sz w:val="28"/>
          <w:szCs w:val="28"/>
          <w:highlight w:val="none"/>
          <w:shd w:val="clear" w:color="auto" w:fill="auto"/>
          <w:lang w:val="en-US" w:eastAsia="zh-CN"/>
        </w:rPr>
        <w:t>因此</w:t>
      </w:r>
      <w:r>
        <w:rPr>
          <w:rFonts w:hint="eastAsia" w:ascii="仿宋" w:hAnsi="仿宋" w:eastAsia="仿宋" w:cs="仿宋"/>
          <w:i w:val="0"/>
          <w:iCs w:val="0"/>
          <w:color w:val="auto"/>
          <w:sz w:val="28"/>
          <w:szCs w:val="28"/>
          <w:highlight w:val="none"/>
          <w:shd w:val="clear" w:color="auto" w:fill="auto"/>
        </w:rPr>
        <w:t>要求延</w:t>
      </w:r>
      <w:r>
        <w:rPr>
          <w:rFonts w:hint="eastAsia" w:ascii="仿宋" w:hAnsi="仿宋" w:eastAsia="仿宋" w:cs="仿宋"/>
          <w:i w:val="0"/>
          <w:iCs w:val="0"/>
          <w:color w:val="auto"/>
          <w:sz w:val="28"/>
          <w:szCs w:val="28"/>
          <w:highlight w:val="none"/>
          <w:shd w:val="clear" w:color="auto" w:fill="auto"/>
          <w:lang w:val="en-US" w:eastAsia="zh-CN"/>
        </w:rPr>
        <w:t>长</w:t>
      </w:r>
      <w:r>
        <w:rPr>
          <w:rFonts w:hint="eastAsia" w:ascii="仿宋" w:hAnsi="仿宋" w:eastAsia="仿宋" w:cs="仿宋"/>
          <w:i w:val="0"/>
          <w:iCs w:val="0"/>
          <w:color w:val="auto"/>
          <w:sz w:val="28"/>
          <w:szCs w:val="28"/>
          <w:highlight w:val="none"/>
          <w:shd w:val="clear" w:color="auto" w:fill="auto"/>
        </w:rPr>
        <w:t>工期。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4.10本项目竣工验收移交甲方后、保修期结束前，如甲方在本项目内有新增工程且要求乙方进行报价施工时，乙方须予配合。</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u w:val="none"/>
          <w:lang w:val="en-US" w:eastAsia="zh-CN"/>
        </w:rPr>
      </w:pPr>
      <w:bookmarkStart w:id="14" w:name="_Toc9456"/>
      <w:bookmarkStart w:id="15" w:name="_Toc9090"/>
      <w:bookmarkStart w:id="16" w:name="_Toc2060"/>
      <w:bookmarkStart w:id="17" w:name="_Toc19252"/>
      <w:r>
        <w:rPr>
          <w:rFonts w:hint="eastAsia" w:ascii="仿宋" w:hAnsi="仿宋" w:eastAsia="仿宋" w:cs="仿宋"/>
          <w:i w:val="0"/>
          <w:iCs w:val="0"/>
          <w:color w:val="auto"/>
          <w:sz w:val="28"/>
          <w:szCs w:val="28"/>
          <w:highlight w:val="none"/>
          <w:u w:val="none"/>
          <w:shd w:val="clear" w:color="auto" w:fill="auto"/>
          <w:lang w:val="en-US" w:eastAsia="zh-CN"/>
        </w:rPr>
        <w:t>4.11</w:t>
      </w:r>
      <w:r>
        <w:rPr>
          <w:rFonts w:hint="eastAsia" w:ascii="仿宋" w:hAnsi="仿宋" w:eastAsia="仿宋" w:cs="仿宋"/>
          <w:b w:val="0"/>
          <w:bCs w:val="0"/>
          <w:i w:val="0"/>
          <w:iCs w:val="0"/>
          <w:color w:val="auto"/>
          <w:sz w:val="28"/>
          <w:szCs w:val="28"/>
          <w:highlight w:val="none"/>
          <w:u w:val="none"/>
          <w:lang w:val="en-US" w:eastAsia="zh-CN"/>
        </w:rPr>
        <w:t>乙方需严格遵照甲方制订的施工进度计划开展具体施工工作，每周必须到甲方项目部在《施工任务表》上签认施工任务并保证完成，违者主动接受相应的扣款处罚。</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4"/>
      <w:bookmarkEnd w:id="15"/>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1质量标准：</w:t>
      </w:r>
      <w:r>
        <w:rPr>
          <w:rFonts w:hint="eastAsia" w:ascii="仿宋" w:hAnsi="仿宋" w:eastAsia="仿宋" w:cs="仿宋"/>
          <w:i w:val="0"/>
          <w:iCs w:val="0"/>
          <w:color w:val="auto"/>
          <w:sz w:val="28"/>
          <w:szCs w:val="28"/>
          <w:highlight w:val="none"/>
          <w:shd w:val="clear" w:color="auto" w:fill="auto"/>
          <w:lang w:val="en-US" w:eastAsia="zh-CN"/>
        </w:rPr>
        <w:t>本工程须</w:t>
      </w:r>
      <w:r>
        <w:rPr>
          <w:rFonts w:hint="eastAsia" w:ascii="仿宋" w:hAnsi="仿宋" w:eastAsia="仿宋" w:cs="仿宋"/>
          <w:i w:val="0"/>
          <w:iCs w:val="0"/>
          <w:color w:val="auto"/>
          <w:sz w:val="28"/>
          <w:szCs w:val="28"/>
          <w:highlight w:val="none"/>
          <w:shd w:val="clear" w:color="auto" w:fill="auto"/>
        </w:rPr>
        <w:t>达到国家</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行业</w:t>
      </w:r>
      <w:r>
        <w:rPr>
          <w:rFonts w:hint="eastAsia" w:ascii="仿宋" w:hAnsi="仿宋" w:eastAsia="仿宋" w:cs="仿宋"/>
          <w:i w:val="0"/>
          <w:iCs w:val="0"/>
          <w:color w:val="auto"/>
          <w:sz w:val="28"/>
          <w:szCs w:val="28"/>
          <w:highlight w:val="none"/>
          <w:shd w:val="clear" w:color="auto" w:fill="auto"/>
          <w:lang w:val="en-US" w:eastAsia="zh-CN"/>
        </w:rPr>
        <w:t>相关</w:t>
      </w:r>
      <w:r>
        <w:rPr>
          <w:rFonts w:hint="eastAsia" w:ascii="仿宋" w:hAnsi="仿宋" w:eastAsia="仿宋" w:cs="仿宋"/>
          <w:i w:val="0"/>
          <w:iCs w:val="0"/>
          <w:color w:val="auto"/>
          <w:sz w:val="28"/>
          <w:szCs w:val="28"/>
          <w:highlight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rPr>
        <w:t xml:space="preserve"> 优良 </w:t>
      </w:r>
      <w:r>
        <w:rPr>
          <w:rFonts w:hint="eastAsia" w:ascii="仿宋" w:hAnsi="仿宋" w:eastAsia="仿宋" w:cs="仿宋"/>
          <w:i w:val="0"/>
          <w:iCs w:val="0"/>
          <w:color w:val="auto"/>
          <w:sz w:val="28"/>
          <w:szCs w:val="28"/>
          <w:highlight w:val="none"/>
          <w:shd w:val="clear" w:color="auto" w:fill="auto"/>
        </w:rPr>
        <w:t>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甲方（或监理、</w:t>
      </w:r>
      <w:r>
        <w:rPr>
          <w:rFonts w:hint="eastAsia" w:ascii="仿宋" w:hAnsi="仿宋" w:eastAsia="仿宋" w:cs="仿宋"/>
          <w:b w:val="0"/>
          <w:bCs w:val="0"/>
          <w:i w:val="0"/>
          <w:iCs w:val="0"/>
          <w:color w:val="auto"/>
          <w:sz w:val="28"/>
          <w:szCs w:val="28"/>
          <w:highlight w:val="none"/>
          <w:shd w:val="clear" w:color="auto" w:fill="auto"/>
          <w:lang w:val="en-US" w:eastAsia="zh-CN"/>
        </w:rPr>
        <w:t>建设单位、政府部门）</w:t>
      </w:r>
      <w:r>
        <w:rPr>
          <w:rFonts w:hint="eastAsia" w:ascii="仿宋" w:hAnsi="仿宋" w:eastAsia="仿宋" w:cs="仿宋"/>
          <w:b w:val="0"/>
          <w:bCs w:val="0"/>
          <w:i w:val="0"/>
          <w:iCs w:val="0"/>
          <w:color w:val="auto"/>
          <w:sz w:val="28"/>
          <w:szCs w:val="28"/>
          <w:highlight w:val="none"/>
          <w:shd w:val="clear" w:color="auto" w:fill="auto"/>
        </w:rPr>
        <w:t>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工程或项目</w:t>
      </w:r>
      <w:r>
        <w:rPr>
          <w:rFonts w:hint="eastAsia" w:ascii="仿宋" w:hAnsi="仿宋" w:eastAsia="仿宋" w:cs="仿宋"/>
          <w:b w:val="0"/>
          <w:bCs w:val="0"/>
          <w:i w:val="0"/>
          <w:iCs w:val="0"/>
          <w:color w:val="auto"/>
          <w:sz w:val="28"/>
          <w:szCs w:val="28"/>
          <w:highlight w:val="none"/>
          <w:shd w:val="clear" w:color="auto" w:fill="auto"/>
        </w:rPr>
        <w:t>时，</w:t>
      </w:r>
      <w:r>
        <w:rPr>
          <w:rFonts w:hint="eastAsia" w:ascii="仿宋" w:hAnsi="仿宋" w:eastAsia="仿宋" w:cs="仿宋"/>
          <w:b w:val="0"/>
          <w:bCs w:val="0"/>
          <w:i w:val="0"/>
          <w:iCs w:val="0"/>
          <w:color w:val="auto"/>
          <w:sz w:val="28"/>
          <w:szCs w:val="28"/>
          <w:highlight w:val="none"/>
          <w:shd w:val="clear" w:color="auto" w:fill="auto"/>
          <w:lang w:val="en-US" w:eastAsia="zh-CN"/>
        </w:rPr>
        <w:t>乙方需</w:t>
      </w:r>
      <w:r>
        <w:rPr>
          <w:rFonts w:hint="eastAsia" w:ascii="仿宋" w:hAnsi="仿宋" w:eastAsia="仿宋" w:cs="仿宋"/>
          <w:b w:val="0"/>
          <w:bCs w:val="0"/>
          <w:i w:val="0"/>
          <w:iCs w:val="0"/>
          <w:color w:val="auto"/>
          <w:sz w:val="28"/>
          <w:szCs w:val="28"/>
          <w:highlight w:val="none"/>
          <w:shd w:val="clear" w:color="auto" w:fill="auto"/>
        </w:rPr>
        <w:t>安排管理人员配合检查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否则每次向甲方承担违约金人民币壹万元。</w:t>
      </w:r>
      <w:r>
        <w:rPr>
          <w:rFonts w:hint="eastAsia" w:ascii="仿宋" w:hAnsi="仿宋" w:eastAsia="仿宋" w:cs="仿宋"/>
          <w:b w:val="0"/>
          <w:bCs w:val="0"/>
          <w:i w:val="0"/>
          <w:iCs w:val="0"/>
          <w:color w:val="auto"/>
          <w:sz w:val="28"/>
          <w:szCs w:val="28"/>
          <w:highlight w:val="none"/>
          <w:shd w:val="clear" w:color="auto" w:fill="auto"/>
        </w:rPr>
        <w:t>乙方施工过程中必须进行质量检查，</w:t>
      </w:r>
      <w:r>
        <w:rPr>
          <w:rFonts w:hint="eastAsia" w:ascii="仿宋" w:hAnsi="仿宋" w:eastAsia="仿宋" w:cs="仿宋"/>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并按甲方要求做好标记及书面资料，严格执行三级检查制度。乙方须坚决落实甲方、政府部门提出的整改要求，凡未按要求落实整改的，甲方有权对乙方罚款贰仟至伍万元/次，整改二次以上的</w:t>
      </w:r>
      <w:r>
        <w:rPr>
          <w:rFonts w:hint="eastAsia" w:ascii="仿宋" w:hAnsi="仿宋" w:eastAsia="仿宋" w:cs="仿宋"/>
          <w:b w:val="0"/>
          <w:bCs w:val="0"/>
          <w:i w:val="0"/>
          <w:iCs w:val="0"/>
          <w:color w:val="auto"/>
          <w:sz w:val="28"/>
          <w:szCs w:val="28"/>
          <w:highlight w:val="none"/>
          <w:shd w:val="clear" w:color="auto" w:fill="auto"/>
        </w:rPr>
        <w:t>甲方有权</w:t>
      </w:r>
      <w:r>
        <w:rPr>
          <w:rFonts w:hint="eastAsia" w:ascii="仿宋" w:hAnsi="仿宋" w:eastAsia="仿宋" w:cs="仿宋"/>
          <w:b w:val="0"/>
          <w:bCs w:val="0"/>
          <w:i w:val="0"/>
          <w:iCs w:val="0"/>
          <w:color w:val="auto"/>
          <w:sz w:val="28"/>
          <w:szCs w:val="28"/>
          <w:highlight w:val="none"/>
          <w:shd w:val="clear" w:color="auto" w:fill="auto"/>
          <w:lang w:val="en-US" w:eastAsia="zh-CN"/>
        </w:rPr>
        <w:t>对本工程</w:t>
      </w:r>
      <w:r>
        <w:rPr>
          <w:rFonts w:hint="eastAsia" w:ascii="仿宋" w:hAnsi="仿宋" w:eastAsia="仿宋" w:cs="仿宋"/>
          <w:b w:val="0"/>
          <w:bCs w:val="0"/>
          <w:i w:val="0"/>
          <w:iCs w:val="0"/>
          <w:color w:val="auto"/>
          <w:sz w:val="28"/>
          <w:szCs w:val="28"/>
          <w:highlight w:val="none"/>
          <w:shd w:val="clear" w:color="auto" w:fill="auto"/>
        </w:rPr>
        <w:t>按□</w:t>
      </w:r>
      <w:r>
        <w:rPr>
          <w:rFonts w:hint="eastAsia" w:ascii="仿宋" w:hAnsi="仿宋" w:eastAsia="仿宋" w:cs="仿宋"/>
          <w:i w:val="0"/>
          <w:iCs w:val="0"/>
          <w:color w:val="auto"/>
          <w:sz w:val="28"/>
          <w:szCs w:val="28"/>
          <w:highlight w:val="none"/>
          <w:shd w:val="clear" w:color="auto" w:fill="auto"/>
        </w:rPr>
        <w:t>合同</w:t>
      </w:r>
      <w:r>
        <w:rPr>
          <w:rFonts w:hint="eastAsia" w:ascii="仿宋" w:hAnsi="仿宋" w:eastAsia="仿宋" w:cs="仿宋"/>
          <w:i w:val="0"/>
          <w:iCs w:val="0"/>
          <w:color w:val="auto"/>
          <w:sz w:val="28"/>
          <w:szCs w:val="28"/>
          <w:highlight w:val="none"/>
          <w:shd w:val="clear" w:color="auto" w:fill="auto"/>
          <w:lang w:val="en-US" w:eastAsia="zh-CN"/>
        </w:rPr>
        <w:t>总</w:t>
      </w:r>
      <w:r>
        <w:rPr>
          <w:rFonts w:hint="eastAsia" w:ascii="仿宋" w:hAnsi="仿宋" w:eastAsia="仿宋" w:cs="仿宋"/>
          <w:i w:val="0"/>
          <w:iCs w:val="0"/>
          <w:color w:val="auto"/>
          <w:sz w:val="28"/>
          <w:szCs w:val="28"/>
          <w:highlight w:val="none"/>
          <w:shd w:val="clear" w:color="auto" w:fill="auto"/>
        </w:rPr>
        <w:t>价</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合同单价</w:t>
      </w:r>
      <w:r>
        <w:rPr>
          <w:rFonts w:hint="eastAsia" w:ascii="仿宋" w:hAnsi="仿宋" w:eastAsia="仿宋" w:cs="仿宋"/>
          <w:i w:val="0"/>
          <w:iCs w:val="0"/>
          <w:color w:val="auto"/>
          <w:sz w:val="28"/>
          <w:szCs w:val="28"/>
          <w:highlight w:val="none"/>
          <w:u w:val="none"/>
          <w:shd w:val="clear" w:color="auto" w:fill="auto"/>
          <w:lang w:val="en-US" w:eastAsia="zh-CN"/>
        </w:rPr>
        <w:t>下浮5%进行结算</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3质量要点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bookmarkStart w:id="18" w:name="_Toc807"/>
      <w:bookmarkStart w:id="19" w:name="_Toc11160"/>
      <w:r>
        <w:rPr>
          <w:rFonts w:hint="eastAsia" w:ascii="仿宋" w:hAnsi="仿宋" w:eastAsia="仿宋" w:cs="仿宋"/>
          <w:i w:val="0"/>
          <w:iCs w:val="0"/>
          <w:color w:val="auto"/>
          <w:sz w:val="28"/>
          <w:szCs w:val="28"/>
          <w:highlight w:val="none"/>
          <w:shd w:val="clear" w:color="auto" w:fill="auto"/>
          <w:lang w:val="en-US" w:eastAsia="zh-CN"/>
        </w:rPr>
        <w:t>5.3.1 材料必须符合设计要求，有材料出厂合格证、质量检验报告和现场抽样复验报告。</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5.3.2 各施工部位细部做法必须符合设计和规范要求。</w:t>
      </w:r>
      <w:bookmarkEnd w:id="18"/>
      <w:bookmarkEnd w:id="19"/>
      <w:bookmarkStart w:id="20" w:name="_Toc444"/>
      <w:bookmarkStart w:id="21" w:name="_Toc14842"/>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default"/>
          <w:color w:val="auto"/>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5.3.3活动板房：颜色须满足甲方要求，以甲方确认样板为准。板房须满足地方住建主管部门质量标准、防火要求等相关安全规定，并出具相应的合格检验检测报告。</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5.4乙供材料收货验收流程及标准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5.4.1乙方中标后15日内须将所有进入施工现场的材料、机械、仪表、设备等报订货进场计划申报单，并将其明细报交甲方项目部核实并存档，清单须包含材料的名称、规格型号、数量、订货时间（附合同或订货依据）、抵达乙方时间、抵达施工现场时间等内容，各方签字确认并留存，以做为各阶段进度计划的附页及退场时的核查依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178" w:rightChars="-85" w:firstLine="627" w:firstLineChars="224"/>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乙方在选择运输材料机具时，需提前报备甲方项目部安全员，选择适合的路线准时抵达，避免现场车辆拥堵，运输车辆总重不得超过现场道路限载，并需服从甲方项目人员指挥，装卸时注意施工安全。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178" w:rightChars="-85" w:firstLine="627" w:firstLineChars="224"/>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施工周转材料和小型机具，进场前应报甲方项目部进行检查，并做好特殊标记，并由备案人员进行清点后方可使用，无特殊标记的周转材料不得进场，私自进场的不得外运。</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178" w:rightChars="-85" w:firstLine="627" w:firstLineChars="224"/>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5.4.2甲方项目施工员在乙供材料、设备进场时对品牌、规格、型号、质量等进行抽检并拍照留存。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178" w:rightChars="-85" w:firstLine="627" w:firstLineChars="224"/>
        <w:textAlignment w:val="auto"/>
        <w:rPr>
          <w:rFonts w:hint="eastAsia"/>
          <w:color w:val="auto"/>
          <w:highlight w:val="none"/>
          <w:lang w:val="en-US" w:eastAsia="zh-CN"/>
        </w:rPr>
      </w:pPr>
      <w:r>
        <w:rPr>
          <w:rFonts w:hint="eastAsia" w:ascii="仿宋" w:hAnsi="仿宋" w:eastAsia="仿宋" w:cs="仿宋"/>
          <w:color w:val="auto"/>
          <w:sz w:val="28"/>
          <w:szCs w:val="28"/>
          <w:highlight w:val="none"/>
          <w:u w:val="none"/>
          <w:lang w:val="en-US" w:eastAsia="zh-CN"/>
        </w:rPr>
        <w:t>5.4.3</w:t>
      </w:r>
      <w:r>
        <w:rPr>
          <w:rFonts w:hint="eastAsia" w:ascii="仿宋" w:hAnsi="仿宋" w:eastAsia="仿宋" w:cs="仿宋"/>
          <w:color w:val="auto"/>
          <w:sz w:val="28"/>
          <w:szCs w:val="28"/>
          <w:highlight w:val="none"/>
          <w:u w:val="none"/>
        </w:rPr>
        <w:t>乙方所供材料质量如不符本合同要求，甲方项目部无权同意用于本工程（无论是否折价交易），此种情况下，无论甲方项目部任何人员签字同意均无效且视为乙方未履行提供合格材料的义务，甲方亦不支付该款项。乙方须按合同约定承担未提供合格材料的违约责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178" w:rightChars="-85" w:firstLine="627" w:firstLineChars="224"/>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5.4.4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一笔应付乙方的合同款中自行扣取违约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178" w:rightChars="-85" w:firstLine="627" w:firstLineChars="224"/>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5.4.5乙方使用于本工程的所有材料及机械设备必须符合现行国家及项目当地的相关规定，同时按甲方《分包单位材料管理制度》执行。</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合同价款</w:t>
      </w:r>
      <w:bookmarkEnd w:id="16"/>
      <w:bookmarkEnd w:id="17"/>
      <w:bookmarkEnd w:id="20"/>
      <w:bookmarkEnd w:id="21"/>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w:t>
      </w:r>
      <w:r>
        <w:rPr>
          <w:rFonts w:hint="eastAsia" w:ascii="仿宋" w:hAnsi="仿宋" w:eastAsia="仿宋" w:cs="仿宋"/>
          <w:i w:val="0"/>
          <w:iCs w:val="0"/>
          <w:color w:val="auto"/>
          <w:sz w:val="28"/>
          <w:szCs w:val="28"/>
          <w:highlight w:val="none"/>
          <w:lang w:val="en-US" w:eastAsia="zh-CN"/>
        </w:rPr>
        <w:t>本</w:t>
      </w:r>
      <w:r>
        <w:rPr>
          <w:rFonts w:hint="eastAsia" w:ascii="仿宋" w:hAnsi="仿宋" w:eastAsia="仿宋" w:cs="仿宋"/>
          <w:i w:val="0"/>
          <w:iCs w:val="0"/>
          <w:color w:val="auto"/>
          <w:sz w:val="28"/>
          <w:szCs w:val="28"/>
          <w:highlight w:val="none"/>
        </w:rPr>
        <w:t>合同第</w:t>
      </w:r>
      <w:r>
        <w:rPr>
          <w:rFonts w:hint="eastAsia" w:ascii="仿宋" w:hAnsi="仿宋" w:eastAsia="仿宋" w:cs="仿宋"/>
          <w:i w:val="0"/>
          <w:iCs w:val="0"/>
          <w:color w:val="auto"/>
          <w:sz w:val="28"/>
          <w:szCs w:val="28"/>
          <w:highlight w:val="none"/>
          <w:lang w:val="en-US" w:eastAsia="zh-CN"/>
        </w:rPr>
        <w:t>三</w:t>
      </w:r>
      <w:r>
        <w:rPr>
          <w:rFonts w:hint="eastAsia" w:ascii="仿宋" w:hAnsi="仿宋" w:eastAsia="仿宋" w:cs="仿宋"/>
          <w:i w:val="0"/>
          <w:iCs w:val="0"/>
          <w:color w:val="auto"/>
          <w:sz w:val="28"/>
          <w:szCs w:val="28"/>
          <w:highlight w:val="none"/>
          <w:lang w:eastAsia="zh-CN"/>
        </w:rPr>
        <w:t>章</w:t>
      </w:r>
      <w:r>
        <w:rPr>
          <w:rFonts w:hint="eastAsia" w:ascii="仿宋" w:hAnsi="仿宋" w:eastAsia="仿宋" w:cs="仿宋"/>
          <w:i w:val="0"/>
          <w:iCs w:val="0"/>
          <w:color w:val="auto"/>
          <w:sz w:val="28"/>
          <w:szCs w:val="28"/>
          <w:highlight w:val="none"/>
          <w:lang w:val="en-US" w:eastAsia="zh-CN"/>
        </w:rPr>
        <w:t>承包</w:t>
      </w:r>
      <w:r>
        <w:rPr>
          <w:rFonts w:hint="eastAsia" w:ascii="仿宋" w:hAnsi="仿宋" w:eastAsia="仿宋" w:cs="仿宋"/>
          <w:i w:val="0"/>
          <w:iCs w:val="0"/>
          <w:color w:val="auto"/>
          <w:sz w:val="28"/>
          <w:szCs w:val="28"/>
          <w:highlight w:val="none"/>
        </w:rPr>
        <w:t>范围内所有工作</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实现第四章工期要求及承担合同义务、责任、风险</w:t>
      </w:r>
      <w:r>
        <w:rPr>
          <w:rFonts w:hint="eastAsia" w:ascii="仿宋" w:hAnsi="仿宋" w:eastAsia="仿宋" w:cs="仿宋"/>
          <w:b w:val="0"/>
          <w:bCs w:val="0"/>
          <w:i w:val="0"/>
          <w:iCs w:val="0"/>
          <w:color w:val="auto"/>
          <w:sz w:val="28"/>
          <w:szCs w:val="28"/>
          <w:highlight w:val="none"/>
        </w:rPr>
        <w:t>的费用</w:t>
      </w:r>
      <w:r>
        <w:rPr>
          <w:rFonts w:hint="eastAsia" w:ascii="仿宋" w:hAnsi="仿宋" w:eastAsia="仿宋" w:cs="仿宋"/>
          <w:b w:val="0"/>
          <w:bCs w:val="0"/>
          <w:i w:val="0"/>
          <w:iCs w:val="0"/>
          <w:color w:val="auto"/>
          <w:sz w:val="28"/>
          <w:szCs w:val="28"/>
          <w:highlight w:val="none"/>
          <w:lang w:val="en-US" w:eastAsia="zh-CN"/>
        </w:rPr>
        <w:t>已</w:t>
      </w:r>
      <w:r>
        <w:rPr>
          <w:rFonts w:hint="eastAsia" w:ascii="仿宋" w:hAnsi="仿宋" w:eastAsia="仿宋" w:cs="仿宋"/>
          <w:b w:val="0"/>
          <w:bCs w:val="0"/>
          <w:i w:val="0"/>
          <w:iCs w:val="0"/>
          <w:color w:val="auto"/>
          <w:sz w:val="28"/>
          <w:szCs w:val="28"/>
          <w:highlight w:val="none"/>
        </w:rPr>
        <w:t>包括在下列合同价</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以打</w:t>
      </w:r>
      <w:r>
        <w:rPr>
          <w:rFonts w:hint="eastAsia" w:ascii="仿宋" w:hAnsi="仿宋" w:eastAsia="仿宋" w:cs="仿宋"/>
          <w:b w:val="0"/>
          <w:bCs w:val="0"/>
          <w:i w:val="0"/>
          <w:iCs w:val="0"/>
          <w:color w:val="auto"/>
          <w:sz w:val="28"/>
          <w:szCs w:val="28"/>
          <w:highlight w:val="none"/>
        </w:rPr>
        <w:sym w:font="Wingdings 2" w:char="0052"/>
      </w:r>
      <w:r>
        <w:rPr>
          <w:rFonts w:hint="eastAsia" w:ascii="仿宋" w:hAnsi="仿宋" w:eastAsia="仿宋" w:cs="仿宋"/>
          <w:b w:val="0"/>
          <w:bCs w:val="0"/>
          <w:i w:val="0"/>
          <w:iCs w:val="0"/>
          <w:color w:val="auto"/>
          <w:sz w:val="28"/>
          <w:szCs w:val="28"/>
          <w:highlight w:val="none"/>
          <w:lang w:val="en-US" w:eastAsia="zh-CN"/>
        </w:rPr>
        <w:t>为准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中。</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6.1.1</w:t>
      </w:r>
      <w:r>
        <w:rPr>
          <w:rFonts w:hint="eastAsia" w:ascii="仿宋" w:hAnsi="仿宋" w:eastAsia="仿宋" w:cs="仿宋"/>
          <w:b w:val="0"/>
          <w:bCs w:val="0"/>
          <w:i w:val="0"/>
          <w:iCs w:val="0"/>
          <w:color w:val="auto"/>
          <w:sz w:val="28"/>
          <w:szCs w:val="28"/>
          <w:highlight w:val="none"/>
        </w:rPr>
        <w:sym w:font="Wingdings 2" w:char="00A3"/>
      </w:r>
      <w:r>
        <w:rPr>
          <w:rFonts w:hint="eastAsia" w:ascii="仿宋" w:hAnsi="仿宋" w:eastAsia="仿宋" w:cs="仿宋"/>
          <w:b w:val="0"/>
          <w:bCs w:val="0"/>
          <w:color w:val="auto"/>
          <w:sz w:val="28"/>
          <w:szCs w:val="28"/>
          <w:highlight w:val="none"/>
        </w:rPr>
        <w:t>本合同为固定总价合同，合同总价为人民币</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rPr>
        <w:t>元整</w:t>
      </w:r>
      <w:r>
        <w:rPr>
          <w:rFonts w:hint="eastAsia" w:ascii="仿宋" w:hAnsi="仿宋" w:eastAsia="仿宋" w:cs="仿宋"/>
          <w:b w:val="0"/>
          <w:bCs w:val="0"/>
          <w:color w:val="auto"/>
          <w:sz w:val="28"/>
          <w:szCs w:val="28"/>
          <w:highlight w:val="none"/>
        </w:rPr>
        <w:t>，此价含税，乙方开具税率</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rPr>
        <w:t>的增值税专用发票（税率按国家政策执行，如税率调整，合同总价随之调整）。合同总价包含乙方完成合同附件所述内容的费用，除合同另有约定外，不作调整</w:t>
      </w:r>
      <w:r>
        <w:rPr>
          <w:rFonts w:hint="eastAsia" w:ascii="仿宋" w:hAnsi="仿宋" w:eastAsia="仿宋" w:cs="仿宋"/>
          <w:b w:val="0"/>
          <w:bCs w:val="0"/>
          <w:i w:val="0"/>
          <w:iCs w:val="0"/>
          <w:color w:val="auto"/>
          <w:sz w:val="28"/>
          <w:szCs w:val="28"/>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本合同为固定单价合同，工程量按实结算。合同单价（详见附件）为全费用固定综合单价，乙方开具税率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单价随之调整）。合同单价包含乙方完成本合同及本合同附件所述内容的全部费用，除合同另有约定外，不作任何调整。合同单价适用于本项目用地红线范围内的本工程全部工作内容，已有价格的子目双方无需另行确定单价，均按已确定价格执行。本合同暂定含税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元，此价仅供参考，不作结算用途</w:t>
      </w:r>
      <w:r>
        <w:rPr>
          <w:rFonts w:hint="eastAsia" w:ascii="仿宋" w:hAnsi="仿宋" w:eastAsia="仿宋" w:cs="仿宋"/>
          <w:b w:val="0"/>
          <w:bCs w:val="0"/>
          <w:i w:val="0"/>
          <w:iCs w:val="0"/>
          <w:color w:val="auto"/>
          <w:sz w:val="28"/>
          <w:szCs w:val="28"/>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9" w:firstLineChars="149"/>
        <w:rPr>
          <w:rFonts w:hint="eastAsia" w:ascii="仿宋" w:hAnsi="仿宋" w:eastAsia="仿宋" w:cs="仿宋"/>
          <w:b w:val="0"/>
          <w:bCs w:val="0"/>
          <w:i w:val="0"/>
          <w:iCs w:val="0"/>
          <w:color w:val="auto"/>
          <w:sz w:val="28"/>
          <w:szCs w:val="28"/>
          <w:highlight w:val="none"/>
          <w:shd w:val="clear" w:color="auto" w:fill="auto"/>
          <w:lang w:val="en-US"/>
        </w:rPr>
      </w:pPr>
      <w:r>
        <w:rPr>
          <w:rFonts w:hint="eastAsia" w:ascii="仿宋" w:hAnsi="仿宋" w:eastAsia="仿宋" w:cs="仿宋"/>
          <w:b/>
          <w:bCs/>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shd w:val="clear" w:color="auto" w:fill="auto"/>
          <w:lang w:val="en-US" w:eastAsia="zh-CN"/>
        </w:rPr>
        <w:t>乙方完成下述工作及应对下述情况、风险的费用</w:t>
      </w:r>
      <w:r>
        <w:rPr>
          <w:rFonts w:hint="eastAsia" w:ascii="仿宋" w:hAnsi="仿宋" w:eastAsia="仿宋" w:cs="仿宋"/>
          <w:b w:val="0"/>
          <w:bCs w:val="0"/>
          <w:i w:val="0"/>
          <w:iCs w:val="0"/>
          <w:color w:val="auto"/>
          <w:sz w:val="28"/>
          <w:szCs w:val="28"/>
          <w:highlight w:val="none"/>
          <w:shd w:val="clear" w:color="auto" w:fill="auto"/>
          <w:lang w:val="en-US" w:eastAsia="zh-CN"/>
        </w:rPr>
        <w:t>已包含在合同单价中，甲方无需另行付费给乙方：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eastAsia="zh-CN"/>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完成本工程</w:t>
      </w:r>
      <w:r>
        <w:rPr>
          <w:rFonts w:hint="eastAsia" w:ascii="仿宋" w:hAnsi="仿宋" w:eastAsia="仿宋" w:cs="仿宋"/>
          <w:b w:val="0"/>
          <w:bCs w:val="0"/>
          <w:i w:val="0"/>
          <w:iCs w:val="0"/>
          <w:color w:val="auto"/>
          <w:sz w:val="28"/>
          <w:szCs w:val="28"/>
          <w:highlight w:val="none"/>
          <w:shd w:val="clear" w:color="auto" w:fill="auto"/>
        </w:rPr>
        <w:t>图纸范围内的全部</w:t>
      </w:r>
      <w:r>
        <w:rPr>
          <w:rFonts w:hint="eastAsia" w:ascii="仿宋" w:hAnsi="仿宋" w:eastAsia="仿宋" w:cs="仿宋"/>
          <w:b w:val="0"/>
          <w:bCs w:val="0"/>
          <w:i w:val="0"/>
          <w:iCs w:val="0"/>
          <w:color w:val="auto"/>
          <w:sz w:val="28"/>
          <w:szCs w:val="28"/>
          <w:highlight w:val="none"/>
          <w:u w:val="none"/>
          <w:lang w:val="en-US" w:eastAsia="zh-CN"/>
        </w:rPr>
        <w:t>临时设施建设工程，具体范围及内容以甲乙双方协商并签定补充协议为准。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eastAsia="zh-CN"/>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对相关</w:t>
      </w:r>
      <w:r>
        <w:rPr>
          <w:rFonts w:hint="eastAsia" w:ascii="仿宋" w:hAnsi="仿宋" w:eastAsia="仿宋" w:cs="仿宋"/>
          <w:b w:val="0"/>
          <w:bCs w:val="0"/>
          <w:i w:val="0"/>
          <w:iCs w:val="0"/>
          <w:color w:val="auto"/>
          <w:sz w:val="28"/>
          <w:szCs w:val="28"/>
          <w:highlight w:val="none"/>
        </w:rPr>
        <w:t>施工机械及</w:t>
      </w:r>
      <w:r>
        <w:rPr>
          <w:rFonts w:hint="eastAsia" w:ascii="仿宋" w:hAnsi="仿宋" w:eastAsia="仿宋" w:cs="仿宋"/>
          <w:b w:val="0"/>
          <w:bCs w:val="0"/>
          <w:i w:val="0"/>
          <w:iCs w:val="0"/>
          <w:color w:val="auto"/>
          <w:sz w:val="28"/>
          <w:szCs w:val="28"/>
          <w:highlight w:val="none"/>
          <w:lang w:val="en-US" w:eastAsia="zh-CN"/>
        </w:rPr>
        <w:t>总分配电</w:t>
      </w:r>
      <w:r>
        <w:rPr>
          <w:rFonts w:hint="eastAsia" w:ascii="仿宋" w:hAnsi="仿宋" w:eastAsia="仿宋" w:cs="仿宋"/>
          <w:b w:val="0"/>
          <w:bCs w:val="0"/>
          <w:i w:val="0"/>
          <w:iCs w:val="0"/>
          <w:color w:val="auto"/>
          <w:sz w:val="28"/>
          <w:szCs w:val="28"/>
          <w:highlight w:val="none"/>
        </w:rPr>
        <w:t>箱、电缆线</w:t>
      </w:r>
      <w:r>
        <w:rPr>
          <w:rFonts w:hint="eastAsia" w:ascii="仿宋" w:hAnsi="仿宋" w:eastAsia="仿宋" w:cs="仿宋"/>
          <w:b w:val="0"/>
          <w:bCs w:val="0"/>
          <w:i w:val="0"/>
          <w:iCs w:val="0"/>
          <w:color w:val="auto"/>
          <w:sz w:val="28"/>
          <w:szCs w:val="28"/>
          <w:highlight w:val="none"/>
          <w:lang w:val="en-US" w:eastAsia="zh-CN"/>
        </w:rPr>
        <w:t>进</w:t>
      </w:r>
      <w:r>
        <w:rPr>
          <w:rFonts w:hint="eastAsia" w:ascii="仿宋" w:hAnsi="仿宋" w:eastAsia="仿宋" w:cs="仿宋"/>
          <w:b w:val="0"/>
          <w:bCs w:val="0"/>
          <w:i w:val="0"/>
          <w:iCs w:val="0"/>
          <w:color w:val="auto"/>
          <w:sz w:val="28"/>
          <w:szCs w:val="28"/>
          <w:highlight w:val="none"/>
        </w:rPr>
        <w:t>行维护、保养</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甲方只负责将配电箱接至施工区域附近，乙方自行接至工作面</w:t>
      </w:r>
      <w:r>
        <w:rPr>
          <w:rFonts w:hint="eastAsia" w:ascii="仿宋" w:hAnsi="仿宋" w:eastAsia="仿宋" w:cs="仿宋"/>
          <w:b w:val="0"/>
          <w:bCs w:val="0"/>
          <w:i w:val="0"/>
          <w:iCs w:val="0"/>
          <w:color w:val="auto"/>
          <w:sz w:val="28"/>
          <w:szCs w:val="28"/>
          <w:highlight w:val="none"/>
          <w:lang w:val="en-US" w:eastAsia="zh-CN"/>
        </w:rPr>
        <w:t>开关箱，</w:t>
      </w:r>
      <w:r>
        <w:rPr>
          <w:rFonts w:hint="eastAsia" w:ascii="仿宋" w:hAnsi="仿宋" w:eastAsia="仿宋" w:cs="仿宋"/>
          <w:b w:val="0"/>
          <w:bCs w:val="0"/>
          <w:i w:val="0"/>
          <w:iCs w:val="0"/>
          <w:color w:val="auto"/>
          <w:sz w:val="28"/>
          <w:szCs w:val="28"/>
          <w:highlight w:val="none"/>
        </w:rPr>
        <w:t>电线、电缆由乙方负责</w:t>
      </w:r>
      <w:r>
        <w:rPr>
          <w:rFonts w:hint="eastAsia" w:ascii="仿宋" w:hAnsi="仿宋" w:eastAsia="仿宋" w:cs="仿宋"/>
          <w:b w:val="0"/>
          <w:bCs w:val="0"/>
          <w:i w:val="0"/>
          <w:iCs w:val="0"/>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确保本工程</w:t>
      </w:r>
      <w:r>
        <w:rPr>
          <w:rFonts w:hint="eastAsia" w:ascii="仿宋" w:hAnsi="仿宋" w:eastAsia="仿宋" w:cs="仿宋"/>
          <w:b w:val="0"/>
          <w:bCs w:val="0"/>
          <w:i w:val="0"/>
          <w:iCs w:val="0"/>
          <w:color w:val="auto"/>
          <w:sz w:val="28"/>
          <w:szCs w:val="28"/>
          <w:highlight w:val="none"/>
          <w:shd w:val="clear" w:color="auto" w:fill="auto"/>
        </w:rPr>
        <w:t>满足</w:t>
      </w:r>
      <w:r>
        <w:rPr>
          <w:rFonts w:hint="eastAsia" w:ascii="仿宋" w:hAnsi="仿宋" w:eastAsia="仿宋" w:cs="仿宋"/>
          <w:b w:val="0"/>
          <w:bCs w:val="0"/>
          <w:i w:val="0"/>
          <w:iCs w:val="0"/>
          <w:color w:val="auto"/>
          <w:sz w:val="28"/>
          <w:szCs w:val="28"/>
          <w:highlight w:val="none"/>
          <w:shd w:val="clear" w:color="auto" w:fill="auto"/>
          <w:lang w:val="en-US" w:eastAsia="zh-CN"/>
        </w:rPr>
        <w:t>本项目</w:t>
      </w:r>
      <w:r>
        <w:rPr>
          <w:rFonts w:hint="eastAsia" w:ascii="仿宋" w:hAnsi="仿宋" w:eastAsia="仿宋" w:cs="仿宋"/>
          <w:b w:val="0"/>
          <w:bCs w:val="0"/>
          <w:i w:val="0"/>
          <w:iCs w:val="0"/>
          <w:color w:val="auto"/>
          <w:sz w:val="28"/>
          <w:szCs w:val="28"/>
          <w:highlight w:val="none"/>
          <w:shd w:val="clear" w:color="auto" w:fill="auto"/>
        </w:rPr>
        <w:t>所在地建设安全管理标准化施工</w:t>
      </w:r>
      <w:r>
        <w:rPr>
          <w:rFonts w:hint="eastAsia" w:ascii="仿宋" w:hAnsi="仿宋" w:eastAsia="仿宋" w:cs="仿宋"/>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 w:hAnsi="仿宋" w:eastAsia="仿宋" w:cs="仿宋"/>
          <w:b w:val="0"/>
          <w:bCs w:val="0"/>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春节、元旦、五一、十一、周末等法定节假日及技术要求或进度计划要求</w:t>
      </w:r>
      <w:r>
        <w:rPr>
          <w:rFonts w:hint="eastAsia" w:ascii="仿宋" w:hAnsi="仿宋" w:eastAsia="仿宋" w:cs="仿宋"/>
          <w:b w:val="0"/>
          <w:bCs w:val="0"/>
          <w:i w:val="0"/>
          <w:iCs w:val="0"/>
          <w:color w:val="auto"/>
          <w:sz w:val="28"/>
          <w:szCs w:val="28"/>
          <w:highlight w:val="none"/>
          <w:shd w:val="clear" w:color="auto" w:fill="auto"/>
          <w:lang w:val="en-US" w:eastAsia="zh-CN"/>
        </w:rPr>
        <w:t>进行</w:t>
      </w:r>
      <w:r>
        <w:rPr>
          <w:rFonts w:hint="eastAsia" w:ascii="仿宋" w:hAnsi="仿宋" w:eastAsia="仿宋" w:cs="仿宋"/>
          <w:b w:val="0"/>
          <w:bCs w:val="0"/>
          <w:i w:val="0"/>
          <w:iCs w:val="0"/>
          <w:color w:val="auto"/>
          <w:sz w:val="28"/>
          <w:szCs w:val="28"/>
          <w:highlight w:val="none"/>
          <w:shd w:val="clear" w:color="auto" w:fill="auto"/>
        </w:rPr>
        <w:t>赶工、加班。</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jc w:val="left"/>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参与甲供材料（如有）申报采购、验收和收货，其数量作为乙方使用材料损耗率指标的核算依据。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t>施工过程出现赶工、交叉作业、停工及工人工资、材料费、机具费上涨等</w:t>
      </w:r>
      <w:r>
        <w:rPr>
          <w:rFonts w:hint="eastAsia" w:ascii="仿宋" w:hAnsi="仿宋" w:eastAsia="仿宋" w:cs="仿宋"/>
          <w:b w:val="0"/>
          <w:bCs w:val="0"/>
          <w:i w:val="0"/>
          <w:iCs w:val="0"/>
          <w:color w:val="auto"/>
          <w:sz w:val="28"/>
          <w:szCs w:val="28"/>
          <w:highlight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shd w:val="clear" w:color="auto" w:fill="auto"/>
        </w:rPr>
        <w:t>增</w:t>
      </w:r>
      <w:r>
        <w:rPr>
          <w:rFonts w:hint="eastAsia" w:ascii="仿宋" w:hAnsi="仿宋" w:eastAsia="仿宋" w:cs="仿宋"/>
          <w:b w:val="0"/>
          <w:bCs w:val="0"/>
          <w:i w:val="0"/>
          <w:iCs w:val="0"/>
          <w:color w:val="auto"/>
          <w:sz w:val="28"/>
          <w:szCs w:val="28"/>
          <w:highlight w:val="none"/>
          <w:shd w:val="clear" w:color="auto" w:fill="auto"/>
          <w:lang w:val="en-US" w:eastAsia="zh-CN"/>
        </w:rPr>
        <w:t>加</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不因此</w:t>
      </w:r>
      <w:r>
        <w:rPr>
          <w:rFonts w:hint="eastAsia" w:ascii="仿宋" w:hAnsi="仿宋" w:eastAsia="仿宋" w:cs="仿宋"/>
          <w:b w:val="0"/>
          <w:bCs w:val="0"/>
          <w:i w:val="0"/>
          <w:iCs w:val="0"/>
          <w:color w:val="auto"/>
          <w:sz w:val="28"/>
          <w:szCs w:val="28"/>
          <w:highlight w:val="none"/>
          <w:shd w:val="clear" w:color="auto" w:fill="auto"/>
        </w:rPr>
        <w:t>要求甲方对合同价</w:t>
      </w:r>
      <w:r>
        <w:rPr>
          <w:rFonts w:hint="eastAsia" w:ascii="仿宋" w:hAnsi="仿宋" w:eastAsia="仿宋" w:cs="仿宋"/>
          <w:b w:val="0"/>
          <w:bCs w:val="0"/>
          <w:i w:val="0"/>
          <w:iCs w:val="0"/>
          <w:color w:val="auto"/>
          <w:sz w:val="28"/>
          <w:szCs w:val="28"/>
          <w:highlight w:val="none"/>
          <w:shd w:val="clear" w:color="auto" w:fill="auto"/>
          <w:lang w:val="en-US" w:eastAsia="zh-CN"/>
        </w:rPr>
        <w:t>格</w:t>
      </w:r>
      <w:r>
        <w:rPr>
          <w:rFonts w:hint="eastAsia" w:ascii="仿宋" w:hAnsi="仿宋" w:eastAsia="仿宋" w:cs="仿宋"/>
          <w:b w:val="0"/>
          <w:bCs w:val="0"/>
          <w:i w:val="0"/>
          <w:iCs w:val="0"/>
          <w:color w:val="auto"/>
          <w:sz w:val="28"/>
          <w:szCs w:val="28"/>
          <w:highlight w:val="none"/>
          <w:shd w:val="clear" w:color="auto" w:fill="auto"/>
        </w:rPr>
        <w:t>进行调整和另行</w:t>
      </w:r>
      <w:r>
        <w:rPr>
          <w:rFonts w:hint="eastAsia" w:ascii="仿宋" w:hAnsi="仿宋" w:eastAsia="仿宋" w:cs="仿宋"/>
          <w:b w:val="0"/>
          <w:bCs w:val="0"/>
          <w:i w:val="0"/>
          <w:iCs w:val="0"/>
          <w:color w:val="auto"/>
          <w:sz w:val="28"/>
          <w:szCs w:val="28"/>
          <w:highlight w:val="none"/>
          <w:shd w:val="clear" w:color="auto" w:fill="auto"/>
          <w:lang w:val="en-US" w:eastAsia="zh-CN"/>
        </w:rPr>
        <w:t>增补</w:t>
      </w:r>
      <w:r>
        <w:rPr>
          <w:rFonts w:hint="eastAsia" w:ascii="仿宋" w:hAnsi="仿宋" w:eastAsia="仿宋" w:cs="仿宋"/>
          <w:b w:val="0"/>
          <w:bCs w:val="0"/>
          <w:i w:val="0"/>
          <w:iCs w:val="0"/>
          <w:color w:val="auto"/>
          <w:sz w:val="28"/>
          <w:szCs w:val="28"/>
          <w:highlight w:val="none"/>
          <w:shd w:val="clear" w:color="auto" w:fill="auto"/>
        </w:rPr>
        <w:t>费用</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各种风险费用已包含在本合同价款内</w:t>
      </w:r>
      <w:r>
        <w:rPr>
          <w:rFonts w:hint="eastAsia" w:ascii="仿宋" w:hAnsi="仿宋" w:eastAsia="仿宋" w:cs="仿宋"/>
          <w:b w:val="0"/>
          <w:bCs w:val="0"/>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6.2本合同第6.1</w:t>
      </w:r>
      <w:r>
        <w:rPr>
          <w:rFonts w:hint="eastAsia" w:ascii="仿宋" w:hAnsi="仿宋" w:eastAsia="仿宋" w:cs="仿宋"/>
          <w:b w:val="0"/>
          <w:bCs w:val="0"/>
          <w:i w:val="0"/>
          <w:iCs w:val="0"/>
          <w:color w:val="auto"/>
          <w:sz w:val="28"/>
          <w:szCs w:val="28"/>
          <w:highlight w:val="none"/>
          <w:lang w:val="en-US" w:eastAsia="zh-CN"/>
        </w:rPr>
        <w:t>条所述价格已考虑疫情等流行疾病影响，乙方不以疫情等疾病防控为由要求甲方对该价格、合同结算办法及工期等合同条款进行调整，疾病防疫措施的一切费用已包含在合同单价内，不另计费。</w:t>
      </w:r>
      <w:bookmarkStart w:id="22" w:name="_Toc32757"/>
      <w:bookmarkStart w:id="23" w:name="_Toc5821"/>
      <w:bookmarkStart w:id="24" w:name="_Toc9761"/>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22"/>
    <w:bookmarkEnd w:id="23"/>
    <w:bookmarkEnd w:id="24"/>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jc w:val="left"/>
        <w:rPr>
          <w:rFonts w:hint="default"/>
          <w:color w:val="auto"/>
          <w:highlight w:val="none"/>
          <w:lang w:val="en-US" w:eastAsia="zh-CN"/>
        </w:rPr>
      </w:pPr>
      <w:bookmarkStart w:id="25" w:name="_Toc27562"/>
      <w:bookmarkStart w:id="26" w:name="_Toc16650"/>
      <w:r>
        <w:rPr>
          <w:rFonts w:hint="eastAsia" w:ascii="仿宋" w:hAnsi="仿宋" w:eastAsia="仿宋" w:cs="仿宋"/>
          <w:i w:val="0"/>
          <w:iCs w:val="0"/>
          <w:color w:val="auto"/>
          <w:sz w:val="28"/>
          <w:szCs w:val="28"/>
          <w:highlight w:val="none"/>
          <w:lang w:val="en-US" w:eastAsia="zh-CN"/>
        </w:rPr>
        <w:t>6.4</w:t>
      </w:r>
      <w:r>
        <w:rPr>
          <w:rFonts w:hint="eastAsia" w:ascii="仿宋" w:hAnsi="仿宋" w:eastAsia="仿宋" w:cs="仿宋"/>
          <w:color w:val="auto"/>
          <w:sz w:val="28"/>
          <w:highlight w:val="none"/>
          <w:u w:val="none"/>
          <w:lang w:val="en-US" w:eastAsia="zh-CN"/>
        </w:rPr>
        <w:t>乙方在合同履约过程中，报送甲方项目部签名的台班记录单、送货单、对账单等单据中，表述的各种违背本合同约定的文字内容均无效，乙方承诺均按本合同执行。</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计量计价方式及结算方式（各组团按甲方要求分别独立结算）</w:t>
      </w:r>
      <w:bookmarkEnd w:id="25"/>
      <w:bookmarkEnd w:id="26"/>
      <w:r>
        <w:rPr>
          <w:rFonts w:hint="eastAsia" w:ascii="仿宋" w:hAnsi="仿宋" w:eastAsia="仿宋" w:cs="仿宋"/>
          <w:b/>
          <w:bCs/>
          <w:i w:val="0"/>
          <w:iCs w:val="0"/>
          <w:color w:val="auto"/>
          <w:sz w:val="28"/>
          <w:szCs w:val="28"/>
          <w:highlight w:val="none"/>
          <w:shd w:val="clear" w:color="auto" w:fill="auto"/>
          <w:lang w:val="en-US" w:eastAsia="zh-CN"/>
        </w:rPr>
        <w:tab/>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bookmarkStart w:id="27" w:name="_Toc16700"/>
      <w:bookmarkStart w:id="28" w:name="_Toc317"/>
      <w:bookmarkStart w:id="29" w:name="_Toc26012"/>
      <w:bookmarkStart w:id="30" w:name="_Toc2235"/>
      <w:r>
        <w:rPr>
          <w:rFonts w:hint="eastAsia" w:ascii="仿宋" w:hAnsi="仿宋" w:eastAsia="仿宋" w:cs="仿宋"/>
          <w:b w:val="0"/>
          <w:bCs w:val="0"/>
          <w:i w:val="0"/>
          <w:iCs w:val="0"/>
          <w:color w:val="auto"/>
          <w:sz w:val="28"/>
          <w:szCs w:val="28"/>
          <w:highlight w:val="none"/>
          <w:lang w:val="en-US" w:eastAsia="zh-CN"/>
        </w:rPr>
        <w:t>7.1</w:t>
      </w:r>
      <w:r>
        <w:rPr>
          <w:rFonts w:hint="eastAsia" w:ascii="仿宋" w:hAnsi="仿宋" w:eastAsia="仿宋" w:cs="仿宋"/>
          <w:color w:val="auto"/>
          <w:sz w:val="28"/>
          <w:szCs w:val="32"/>
          <w:highlight w:val="none"/>
          <w:shd w:val="clear" w:color="auto" w:fill="auto"/>
          <w:lang w:val="en-US" w:eastAsia="zh-CN"/>
        </w:rPr>
        <w:t>工程量有竣工图纸部分，按竣工图计算，无图纸部分以甲方与建设单位签字确认的签证单工程量或按照甲方《分包单位签证管理制度》和《临时设施管理制度》等签证相关要求（如本合同7.5条等）执行</w:t>
      </w:r>
      <w:r>
        <w:rPr>
          <w:rFonts w:hint="eastAsia" w:ascii="仿宋" w:hAnsi="仿宋" w:eastAsia="仿宋" w:cs="仿宋"/>
          <w:b w:val="0"/>
          <w:bCs w:val="0"/>
          <w:i w:val="0"/>
          <w:iCs w:val="0"/>
          <w:color w:val="auto"/>
          <w:sz w:val="28"/>
          <w:szCs w:val="28"/>
          <w:highlight w:val="none"/>
          <w:lang w:val="en-US" w:eastAsia="zh-CN"/>
        </w:rPr>
        <w:t>。经甲方验收合格的工程，按合同约定的计价方式结算。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固定总价合同结算方式：结算总价=固定合同总价-合同内未施工内容+合同外增加内容（须有建设单位与甲方的签证或甲方确认的“分包签证确认单”和“分项工程/认质认价申报审批表”等定价文件）-合同约定扣除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固定单价合同结算方式：结算总价=完成并达到合同标准的实际工程量（按实际完成水平投影面积以平方米计算）×合同单价-合同约定扣除费用</w:t>
      </w:r>
      <w:r>
        <w:rPr>
          <w:rFonts w:hint="eastAsia" w:ascii="仿宋" w:hAnsi="仿宋" w:eastAsia="仿宋" w:cs="仿宋"/>
          <w:b w:val="0"/>
          <w:bCs w:val="0"/>
          <w:i w:val="0"/>
          <w:iCs w:val="0"/>
          <w:color w:val="auto"/>
          <w:sz w:val="28"/>
          <w:szCs w:val="28"/>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7.2签证工程管理制度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7.2.1签证必须包括的内容资料及要求（格式详见合同附件）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7.2.1.1签证单签发时间及编号；</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7.2.1.2签证事实发生的原因、工作内容、完成的工程量；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7.2.1.3签证单（含附件：①草签单，②通知单/联系单/设计变更文件，③影像资料）由乙方按甲方规定的格式填写。</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7.2.1.4执行签证事实的依据：例如甲方签发的建设单位通知、联系函、设计变更等文件。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7.2.1.5对于无法按图计算的工程内容或者比较重要的签证，须附现场彩色相片，特别是临时增补工程，比如：园林苗木的更换、基础换填、零星工程、隐蔽工程、水电迁移、拆改过程等；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7.2.1.6对于一些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85" w:rightChars="-88"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1.7签证执行“一事一签证”的原则，分别列明，不能混编，当出现零星维修、抢修、改造工程，工程量少，过程中间接工序多，无法实际、准确反映乙方产生实际成本的，必须清楚记录具体部位和实际用工记录。</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85" w:rightChars="-88"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.1.8乙方现场执行人签名及印章，内容不清楚、不齐全的签证单或工程量计算单，甲方项目部有权拒收。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85" w:rightChars="-88"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.1.9甲方与乙方的签证和建设方与甲方的签证，以小的量、价对乙方签证确认。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85" w:rightChars="-88"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.1.10甲方与建设方办理了签证单，而该签证单内容甲方又分给了多家施工单位完成的，则乙方须提供甲乙双方确认的《签证单分包说明》作为乙方结算依据方可结算。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85" w:rightChars="-88"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.1.11甲方与建设方未办理签证单，但属于绿色文明施工范围内或因其它原因（如临时设施等）使得甲方确需与乙方办理签证的情况，则乙方须提供甲方签认的《分包签证确认单》方可作为结算依据。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7.2.1.12签证单必须有甲方项目经理签名且加盖甲方项目章方为有效签证，否则甲方不予办理结算。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7.2.2乙方申报签证程序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7.2.2.1乙方须在工程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7.2.2.2草签单由甲方的施工员、成本管理员、副经理共同现场收方、见证完成并签名，乙方则由合同约定的现场执行人签认。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7.2.2.3草签单须提供施工前、施工中、施工后的照片、签证预算书作为乙方向甲方办理“分包签证确认单”的必备附件。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7.2.3零星工时计价及相关规定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7.2.3.1零星用工以分包签证确认单的方式结算，工程量以该签证单确认工程量计算。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7.2.3.2甲方范围内的零星用工单价：按</w:t>
      </w:r>
      <w:r>
        <w:rPr>
          <w:rFonts w:hint="eastAsia" w:ascii="仿宋" w:hAnsi="仿宋" w:eastAsia="仿宋" w:cs="仿宋"/>
          <w:b w:val="0"/>
          <w:bCs w:val="0"/>
          <w:i w:val="0"/>
          <w:iCs w:val="0"/>
          <w:color w:val="auto"/>
          <w:sz w:val="28"/>
          <w:szCs w:val="28"/>
          <w:highlight w:val="none"/>
          <w:u w:val="single"/>
          <w:lang w:val="en-US" w:eastAsia="zh-CN"/>
        </w:rPr>
        <w:t xml:space="preserve"> 230 </w:t>
      </w:r>
      <w:r>
        <w:rPr>
          <w:rFonts w:hint="eastAsia" w:ascii="仿宋" w:hAnsi="仿宋" w:eastAsia="仿宋" w:cs="仿宋"/>
          <w:b w:val="0"/>
          <w:bCs w:val="0"/>
          <w:i w:val="0"/>
          <w:iCs w:val="0"/>
          <w:color w:val="auto"/>
          <w:sz w:val="28"/>
          <w:szCs w:val="28"/>
          <w:highlight w:val="none"/>
          <w:lang w:val="en-US" w:eastAsia="zh-CN"/>
        </w:rPr>
        <w:t>元/工日（含税）计取。</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7.2.3.3零星时工填写签证单时，格式按甲方规定的格式填写，属甲方承担的填写《分包签证确认单》、《工程量现场草签记录表》；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7.2.3.4零星时工签证要求及申报程序按照本合同第7.5.1~7.5.3条款执行。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7.3计价依据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7.3.1合同范围内的工程，按合同价格执行；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7.3.2合同范围外的签证、变更、增加工程，按下述办法执行：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7.3.2.1合同中已有适用于该工程的价格时，按合同已有的价格执行；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7.3.2.2合同中只有类似于该工程的价格时，可在合理范围内参照类似价格执行；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strike w:val="0"/>
          <w:dstrike/>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7.3.2.3合同中没有适用或类似于该工程的价格时，</w:t>
      </w:r>
      <w:r>
        <w:rPr>
          <w:rFonts w:hint="eastAsia" w:ascii="仿宋" w:hAnsi="仿宋" w:eastAsia="仿宋" w:cs="仿宋"/>
          <w:color w:val="auto"/>
          <w:sz w:val="28"/>
          <w:szCs w:val="28"/>
          <w:highlight w:val="none"/>
          <w:lang w:val="en-US" w:eastAsia="zh-CN"/>
        </w:rPr>
        <w:t>由乙方按施工同期的市场价格合理报价给甲方作认质认价办理。报价文件须提供相关证明文件（含材料的厂家、品牌、型号、规格等），经甲方确认的综合单价作为结算依据。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bCs/>
          <w:i w:val="0"/>
          <w:iCs w:val="0"/>
          <w:strike w:val="0"/>
          <w:dstrike/>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7.3.4税率：按国家建设行政主管部门及国家税务部门的最新规定执行。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7.4甲方巡检发现存在质量问题或验收不合格的工程，工程量不予结算。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乙方未完成自身工作的（即较甲方要求的时间延误三天以上未完成的），甲方有权安排他人完成并500元/工日/人计价且从应付给乙方的款项中直接扣款，如实际费用超出500元/工日/人，甲方按实际发生的费用从应付给乙方的款项中直接扣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7.6乙方递交的结算资料要求：①递交完整的结算书一式两份（正副本各一份）及电子档文件（计价软件、模型算量要求使用“广联达”，计算表格要求“Excel”格式，图纸要求PDF和 CAD格式）；②装订要求：胶装、盖骑缝章、法人签章；③ 结算资料排序：封面、目录、结算申请表、承包单位工程结算送审承诺书、工程结算资料审查表、工程合同、工程验收单、分包单位结算情况说明、</w:t>
      </w:r>
      <w:r>
        <w:rPr>
          <w:rFonts w:hint="eastAsia" w:ascii="仿宋" w:hAnsi="仿宋" w:eastAsia="仿宋" w:cs="仿宋"/>
          <w:color w:val="auto"/>
          <w:sz w:val="28"/>
          <w:szCs w:val="32"/>
          <w:highlight w:val="none"/>
          <w:shd w:val="clear" w:color="auto" w:fill="auto"/>
          <w:lang w:val="en-US" w:eastAsia="zh-CN"/>
        </w:rPr>
        <w:t>工程结算支付证明单、</w:t>
      </w:r>
      <w:r>
        <w:rPr>
          <w:rFonts w:hint="eastAsia" w:ascii="仿宋" w:hAnsi="仿宋" w:eastAsia="仿宋" w:cs="仿宋"/>
          <w:b w:val="0"/>
          <w:bCs w:val="0"/>
          <w:color w:val="auto"/>
          <w:sz w:val="28"/>
          <w:szCs w:val="28"/>
          <w:highlight w:val="none"/>
          <w:lang w:val="en-US" w:eastAsia="zh-CN"/>
        </w:rPr>
        <w:t>分包签证确认单</w:t>
      </w:r>
      <w:r>
        <w:rPr>
          <w:rFonts w:hint="eastAsia" w:ascii="仿宋" w:hAnsi="仿宋" w:eastAsia="仿宋" w:cs="仿宋"/>
          <w:b w:val="0"/>
          <w:bCs w:val="0"/>
          <w:i w:val="0"/>
          <w:iCs w:val="0"/>
          <w:color w:val="auto"/>
          <w:sz w:val="28"/>
          <w:szCs w:val="28"/>
          <w:highlight w:val="none"/>
          <w:lang w:val="en-US" w:eastAsia="zh-CN"/>
        </w:rPr>
        <w:t>（签证单必须有甲方项目经理签名且加盖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填写。</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7.7乙方办理结算时必须按甲方要求对合同范围内每个组团或每个地块或每栋楼单独结算，否则甲方有权不予结算且不承担任何违约责任。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7.8乙方办理工程进度款申请书、结算书时必须提供甲方主管施工员和项目经理签名的“工完场清交接单”（详见附件），否则甲方有权不予办理付款及结算。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7.9乙方须实事求是申报工程结算资料，不得虚报工程结算。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7.10合同内未施工的清单分项、图纸内容，乙方在申报结算书中未扣减其相应费用的，甲方有权要求乙方按其未施工项目金额的200%支付违约金，违约金可在任一期结算金额中扣除。</w:t>
      </w:r>
    </w:p>
    <w:p>
      <w:pPr>
        <w:keepNext w:val="0"/>
        <w:keepLines w:val="0"/>
        <w:pageBreakBefore w:val="0"/>
        <w:shd w:val="clear" w:color="auto" w:fill="auto"/>
        <w:kinsoku/>
        <w:wordWrap/>
        <w:overflowPunct/>
        <w:topLinePunct w:val="0"/>
        <w:autoSpaceDE/>
        <w:autoSpaceDN/>
        <w:bidi w:val="0"/>
        <w:adjustRightInd w:val="0"/>
        <w:snapToGrid w:val="0"/>
        <w:spacing w:line="360" w:lineRule="auto"/>
        <w:ind w:left="-197" w:leftChars="-94" w:right="-178" w:rightChars="-85" w:firstLine="618" w:firstLineChars="22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w:t>
      </w:r>
      <w:r>
        <w:rPr>
          <w:rFonts w:hint="eastAsia" w:ascii="仿宋" w:hAnsi="仿宋" w:eastAsia="仿宋" w:cs="仿宋"/>
          <w:color w:val="auto"/>
          <w:sz w:val="28"/>
          <w:szCs w:val="32"/>
          <w:highlight w:val="none"/>
          <w:shd w:val="clear" w:color="auto" w:fill="auto"/>
          <w:lang w:val="en-US" w:eastAsia="zh-CN"/>
        </w:rPr>
        <w:t>本工程</w:t>
      </w:r>
      <w:r>
        <w:rPr>
          <w:rFonts w:hint="eastAsia" w:ascii="仿宋" w:hAnsi="仿宋" w:eastAsia="仿宋" w:cs="仿宋"/>
          <w:color w:val="auto"/>
          <w:sz w:val="28"/>
          <w:szCs w:val="32"/>
          <w:highlight w:val="none"/>
          <w:shd w:val="clear" w:color="auto" w:fill="auto"/>
        </w:rPr>
        <w:t>结算书</w:t>
      </w:r>
      <w:r>
        <w:rPr>
          <w:rFonts w:hint="eastAsia" w:ascii="仿宋" w:hAnsi="仿宋" w:eastAsia="仿宋" w:cs="仿宋"/>
          <w:color w:val="auto"/>
          <w:sz w:val="28"/>
          <w:szCs w:val="32"/>
          <w:highlight w:val="none"/>
          <w:shd w:val="clear" w:color="auto" w:fill="auto"/>
          <w:lang w:val="en-US" w:eastAsia="zh-CN"/>
        </w:rPr>
        <w:t>及相关结算资料</w:t>
      </w:r>
      <w:r>
        <w:rPr>
          <w:rFonts w:hint="eastAsia" w:ascii="仿宋" w:hAnsi="仿宋" w:eastAsia="仿宋" w:cs="仿宋"/>
          <w:color w:val="auto"/>
          <w:sz w:val="28"/>
          <w:szCs w:val="32"/>
          <w:highlight w:val="none"/>
          <w:shd w:val="clear" w:color="auto" w:fill="auto"/>
        </w:rPr>
        <w:t>由乙方</w:t>
      </w:r>
      <w:r>
        <w:rPr>
          <w:rFonts w:hint="eastAsia" w:ascii="仿宋" w:hAnsi="仿宋" w:eastAsia="仿宋" w:cs="仿宋"/>
          <w:color w:val="auto"/>
          <w:sz w:val="28"/>
          <w:szCs w:val="32"/>
          <w:highlight w:val="none"/>
          <w:shd w:val="clear" w:color="auto" w:fill="auto"/>
          <w:lang w:val="en-US" w:eastAsia="zh-CN"/>
        </w:rPr>
        <w:t>自行</w:t>
      </w:r>
      <w:r>
        <w:rPr>
          <w:rFonts w:hint="eastAsia" w:ascii="仿宋" w:hAnsi="仿宋" w:eastAsia="仿宋" w:cs="仿宋"/>
          <w:color w:val="auto"/>
          <w:sz w:val="28"/>
          <w:szCs w:val="32"/>
          <w:highlight w:val="none"/>
          <w:shd w:val="clear" w:color="auto" w:fill="auto"/>
        </w:rPr>
        <w:t>编制</w:t>
      </w:r>
      <w:r>
        <w:rPr>
          <w:rFonts w:hint="eastAsia" w:ascii="仿宋" w:hAnsi="仿宋" w:eastAsia="仿宋" w:cs="仿宋"/>
          <w:color w:val="auto"/>
          <w:sz w:val="28"/>
          <w:szCs w:val="32"/>
          <w:highlight w:val="none"/>
          <w:shd w:val="clear" w:color="auto" w:fill="auto"/>
          <w:lang w:val="en-US" w:eastAsia="zh-CN"/>
        </w:rPr>
        <w:t>并一次性报齐给甲方</w:t>
      </w:r>
      <w:r>
        <w:rPr>
          <w:rFonts w:hint="eastAsia" w:ascii="仿宋" w:hAnsi="仿宋" w:eastAsia="仿宋" w:cs="仿宋"/>
          <w:color w:val="auto"/>
          <w:sz w:val="28"/>
          <w:szCs w:val="32"/>
          <w:highlight w:val="none"/>
          <w:shd w:val="clear" w:color="auto" w:fill="auto"/>
        </w:rPr>
        <w:t>，申报</w:t>
      </w:r>
      <w:r>
        <w:rPr>
          <w:rFonts w:hint="eastAsia" w:ascii="仿宋" w:hAnsi="仿宋" w:eastAsia="仿宋" w:cs="仿宋"/>
          <w:color w:val="auto"/>
          <w:sz w:val="28"/>
          <w:szCs w:val="32"/>
          <w:highlight w:val="none"/>
          <w:shd w:val="clear" w:color="auto" w:fill="auto"/>
          <w:lang w:val="en-US" w:eastAsia="zh-CN"/>
        </w:rPr>
        <w:t>次数仅限一次，申报一次后</w:t>
      </w:r>
      <w:r>
        <w:rPr>
          <w:rFonts w:hint="eastAsia" w:ascii="仿宋" w:hAnsi="仿宋" w:eastAsia="仿宋" w:cs="仿宋"/>
          <w:color w:val="auto"/>
          <w:sz w:val="28"/>
          <w:szCs w:val="32"/>
          <w:highlight w:val="none"/>
          <w:shd w:val="clear" w:color="auto" w:fill="auto"/>
        </w:rPr>
        <w:t>不得</w:t>
      </w:r>
      <w:r>
        <w:rPr>
          <w:rFonts w:hint="eastAsia" w:ascii="仿宋" w:hAnsi="仿宋" w:eastAsia="仿宋" w:cs="仿宋"/>
          <w:color w:val="auto"/>
          <w:sz w:val="28"/>
          <w:szCs w:val="32"/>
          <w:highlight w:val="none"/>
          <w:shd w:val="clear" w:color="auto" w:fill="auto"/>
          <w:lang w:val="en-US" w:eastAsia="zh-CN"/>
        </w:rPr>
        <w:t>再</w:t>
      </w:r>
      <w:r>
        <w:rPr>
          <w:rFonts w:hint="eastAsia" w:ascii="仿宋" w:hAnsi="仿宋" w:eastAsia="仿宋" w:cs="仿宋"/>
          <w:color w:val="auto"/>
          <w:sz w:val="28"/>
          <w:szCs w:val="32"/>
          <w:highlight w:val="none"/>
          <w:shd w:val="clear" w:color="auto" w:fill="auto"/>
        </w:rPr>
        <w:t>行增补</w:t>
      </w:r>
      <w:r>
        <w:rPr>
          <w:rFonts w:hint="eastAsia" w:ascii="仿宋" w:hAnsi="仿宋" w:eastAsia="仿宋" w:cs="仿宋"/>
          <w:color w:val="auto"/>
          <w:sz w:val="28"/>
          <w:szCs w:val="32"/>
          <w:highlight w:val="none"/>
          <w:shd w:val="clear" w:color="auto" w:fill="auto"/>
          <w:lang w:val="en-US" w:eastAsia="zh-CN"/>
        </w:rPr>
        <w:t>任何结算资料。</w:t>
      </w:r>
      <w:r>
        <w:rPr>
          <w:rFonts w:hint="eastAsia" w:ascii="仿宋" w:hAnsi="仿宋" w:eastAsia="仿宋" w:cs="仿宋"/>
          <w:color w:val="auto"/>
          <w:sz w:val="28"/>
          <w:szCs w:val="32"/>
          <w:highlight w:val="none"/>
          <w:shd w:val="clear" w:color="auto" w:fill="auto"/>
        </w:rPr>
        <w:t>申报格式及表格等相关要求按照甲方统一要求执行，如乙方所报结算书</w:t>
      </w:r>
      <w:r>
        <w:rPr>
          <w:rFonts w:hint="eastAsia" w:ascii="仿宋" w:hAnsi="仿宋" w:eastAsia="仿宋" w:cs="仿宋"/>
          <w:color w:val="auto"/>
          <w:sz w:val="28"/>
          <w:szCs w:val="32"/>
          <w:highlight w:val="none"/>
          <w:shd w:val="clear" w:color="auto" w:fill="auto"/>
          <w:lang w:val="en-US" w:eastAsia="zh-CN"/>
        </w:rPr>
        <w:t>的</w:t>
      </w:r>
      <w:r>
        <w:rPr>
          <w:rFonts w:hint="eastAsia" w:ascii="仿宋" w:hAnsi="仿宋" w:eastAsia="仿宋" w:cs="仿宋"/>
          <w:color w:val="auto"/>
          <w:sz w:val="28"/>
          <w:szCs w:val="32"/>
          <w:highlight w:val="none"/>
          <w:shd w:val="clear" w:color="auto" w:fill="auto"/>
        </w:rPr>
        <w:t>申报工程量少于实际</w:t>
      </w:r>
      <w:r>
        <w:rPr>
          <w:rFonts w:hint="eastAsia" w:ascii="仿宋" w:hAnsi="仿宋" w:eastAsia="仿宋" w:cs="仿宋"/>
          <w:b w:val="0"/>
          <w:bCs w:val="0"/>
          <w:i w:val="0"/>
          <w:iCs w:val="0"/>
          <w:color w:val="auto"/>
          <w:sz w:val="28"/>
          <w:szCs w:val="28"/>
          <w:highlight w:val="none"/>
          <w:lang w:val="en-US" w:eastAsia="zh-CN"/>
        </w:rPr>
        <w:t>工程量，视为乙方放弃差额部分的权利和款项，结算时不予计算，甲方无需支付。</w:t>
      </w:r>
      <w:r>
        <w:rPr>
          <w:rFonts w:hint="eastAsia" w:ascii="仿宋" w:hAnsi="仿宋" w:eastAsia="仿宋" w:cs="仿宋"/>
          <w:color w:val="auto"/>
          <w:sz w:val="28"/>
          <w:szCs w:val="32"/>
          <w:highlight w:val="none"/>
          <w:shd w:val="clear" w:color="auto" w:fill="auto"/>
          <w:lang w:val="en-US" w:eastAsia="zh-CN"/>
        </w:rPr>
        <w:t>乙方必须认真实事求是编制申报结算费用，若乙方申报的结算价经甲方审核后，</w:t>
      </w:r>
      <w:r>
        <w:rPr>
          <w:rFonts w:hint="eastAsia" w:ascii="仿宋" w:hAnsi="仿宋" w:eastAsia="仿宋" w:cs="仿宋"/>
          <w:b w:val="0"/>
          <w:bCs w:val="0"/>
          <w:i w:val="0"/>
          <w:iCs w:val="0"/>
          <w:color w:val="auto"/>
          <w:sz w:val="28"/>
          <w:szCs w:val="28"/>
          <w:highlight w:val="none"/>
          <w:lang w:val="en-US" w:eastAsia="zh-CN"/>
        </w:rPr>
        <w:t>审减额（审减额=报送总金额-审定金额）与报送总金额之比超过10%以上（含10%）时，核减超过10%以外的金额乘以20%作为罚款在结算中一次性扣除。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7.16本工程甲供材损耗率按本合同第十一章对应条款执行。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7.17乙方提交的结算资料须符合本合同其他条款的要求（格式详见</w:t>
      </w:r>
      <w:r>
        <w:rPr>
          <w:rFonts w:hint="eastAsia" w:ascii="仿宋" w:hAnsi="仿宋" w:eastAsia="仿宋" w:cs="仿宋"/>
          <w:b w:val="0"/>
          <w:bCs w:val="0"/>
          <w:i w:val="0"/>
          <w:iCs w:val="0"/>
          <w:color w:val="auto"/>
          <w:sz w:val="28"/>
          <w:szCs w:val="28"/>
          <w:highlight w:val="none"/>
          <w:u w:val="none"/>
          <w:shd w:val="clear" w:color="auto" w:fill="auto"/>
          <w:lang w:val="en-US" w:eastAsia="zh-CN"/>
        </w:rPr>
        <w:t>附件《工程结算资料目录》</w:t>
      </w:r>
      <w:r>
        <w:rPr>
          <w:rFonts w:hint="eastAsia" w:ascii="仿宋" w:hAnsi="仿宋" w:eastAsia="仿宋" w:cs="仿宋"/>
          <w:b w:val="0"/>
          <w:bCs w:val="0"/>
          <w:i w:val="0"/>
          <w:iCs w:val="0"/>
          <w:color w:val="auto"/>
          <w:sz w:val="28"/>
          <w:szCs w:val="28"/>
          <w:highlight w:val="none"/>
          <w:lang w:val="en-US" w:eastAsia="zh-CN"/>
        </w:rPr>
        <w:t>），否则甲方有权不予办理结算且不违约。</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付款方式（每个组团独立付款、独立开发票）</w:t>
      </w:r>
      <w:bookmarkEnd w:id="27"/>
      <w:bookmarkEnd w:id="28"/>
      <w:bookmarkEnd w:id="29"/>
      <w:bookmarkEnd w:id="30"/>
    </w:p>
    <w:p>
      <w:pPr>
        <w:keepNext w:val="0"/>
        <w:keepLines w:val="0"/>
        <w:pageBreakBefore w:val="0"/>
        <w:widowControl w:val="0"/>
        <w:shd w:val="clear"/>
        <w:kinsoku/>
        <w:wordWrap/>
        <w:overflowPunct/>
        <w:topLinePunct w:val="0"/>
        <w:autoSpaceDE/>
        <w:autoSpaceDN/>
        <w:bidi w:val="0"/>
        <w:adjustRightInd w:val="0"/>
        <w:snapToGrid w:val="0"/>
        <w:spacing w:before="147" w:beforeLines="50" w:line="360" w:lineRule="auto"/>
        <w:ind w:left="-197" w:leftChars="-94" w:right="-578" w:rightChars="-275" w:firstLine="419" w:firstLineChars="149"/>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8.1付款方式一</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8.1.1本工程完工验收合格、交付甲方使用且乙方完全退场后，甲方付至合同暂定总价的70%（含付清乙方全部工人工资）；</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8.1.2本工程经政府主管部门（如有）、建设单位、监理、甲方等验收合格并移交甲方，</w:t>
      </w:r>
      <w:r>
        <w:rPr>
          <w:rFonts w:hint="default" w:ascii="仿宋" w:hAnsi="仿宋" w:eastAsia="仿宋" w:cs="仿宋"/>
          <w:b w:val="0"/>
          <w:bCs w:val="0"/>
          <w:i w:val="0"/>
          <w:iCs w:val="0"/>
          <w:color w:val="auto"/>
          <w:sz w:val="28"/>
          <w:szCs w:val="28"/>
          <w:highlight w:val="none"/>
          <w:lang w:val="en-US" w:eastAsia="zh-CN"/>
        </w:rPr>
        <w:t>且乙方</w:t>
      </w:r>
      <w:r>
        <w:rPr>
          <w:rFonts w:hint="eastAsia" w:ascii="仿宋" w:hAnsi="仿宋" w:eastAsia="仿宋" w:cs="仿宋"/>
          <w:b w:val="0"/>
          <w:bCs w:val="0"/>
          <w:i w:val="0"/>
          <w:iCs w:val="0"/>
          <w:color w:val="auto"/>
          <w:sz w:val="28"/>
          <w:szCs w:val="28"/>
          <w:highlight w:val="none"/>
          <w:lang w:val="en-US" w:eastAsia="zh-CN"/>
        </w:rPr>
        <w:t>将</w:t>
      </w:r>
      <w:r>
        <w:rPr>
          <w:rFonts w:hint="default" w:ascii="仿宋" w:hAnsi="仿宋" w:eastAsia="仿宋" w:cs="仿宋"/>
          <w:b w:val="0"/>
          <w:bCs w:val="0"/>
          <w:i w:val="0"/>
          <w:iCs w:val="0"/>
          <w:color w:val="auto"/>
          <w:sz w:val="28"/>
          <w:szCs w:val="28"/>
          <w:highlight w:val="none"/>
          <w:lang w:val="en-US" w:eastAsia="zh-CN"/>
        </w:rPr>
        <w:t>所有资料原件、复印件列清单、目录移交甲方</w:t>
      </w:r>
      <w:r>
        <w:rPr>
          <w:rFonts w:hint="eastAsia" w:ascii="仿宋" w:hAnsi="仿宋" w:eastAsia="仿宋" w:cs="仿宋"/>
          <w:b w:val="0"/>
          <w:bCs w:val="0"/>
          <w:i w:val="0"/>
          <w:iCs w:val="0"/>
          <w:color w:val="auto"/>
          <w:sz w:val="28"/>
          <w:szCs w:val="28"/>
          <w:highlight w:val="none"/>
          <w:lang w:val="en-US" w:eastAsia="zh-CN"/>
        </w:rPr>
        <w:t>后</w:t>
      </w:r>
      <w:r>
        <w:rPr>
          <w:rFonts w:hint="default"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甲乙双方办理本工程结算，双方就结算金额达成书面一致且乙方开具金额等于结算总价100%的发票给甲方后，甲方付至结算总价的100％。</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w:t>
      </w:r>
      <w:r>
        <w:rPr>
          <w:rFonts w:hint="eastAsia" w:ascii="仿宋" w:hAnsi="仿宋" w:eastAsia="仿宋" w:cs="仿宋"/>
          <w:b w:val="0"/>
          <w:bCs w:val="0"/>
          <w:i w:val="0"/>
          <w:iCs w:val="0"/>
          <w:color w:val="auto"/>
          <w:sz w:val="28"/>
          <w:szCs w:val="28"/>
          <w:highlight w:val="none"/>
          <w:shd w:val="clear" w:color="auto" w:fill="auto"/>
        </w:rPr>
        <w:t>本工程全部完工后，</w:t>
      </w:r>
      <w:r>
        <w:rPr>
          <w:rFonts w:hint="eastAsia" w:ascii="仿宋" w:hAnsi="仿宋" w:eastAsia="仿宋" w:cs="仿宋"/>
          <w:i w:val="0"/>
          <w:iCs w:val="0"/>
          <w:color w:val="auto"/>
          <w:sz w:val="28"/>
          <w:szCs w:val="28"/>
          <w:highlight w:val="none"/>
          <w:shd w:val="clear" w:color="auto" w:fill="auto"/>
          <w:lang w:val="en-US" w:eastAsia="zh-CN"/>
        </w:rPr>
        <w:t>乙方于次月10日前提供本月及次月</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i w:val="0"/>
          <w:iCs w:val="0"/>
          <w:color w:val="auto"/>
          <w:sz w:val="28"/>
          <w:szCs w:val="28"/>
          <w:highlight w:val="none"/>
          <w:shd w:val="clear" w:color="auto" w:fill="auto"/>
          <w:lang w:val="en-US" w:eastAsia="zh-CN"/>
        </w:rPr>
        <w:t>《建筑工人工资表》等相关进度款审批文件给甲方，该进度款支付分配安排如下：</w:t>
      </w:r>
    </w:p>
    <w:p>
      <w:pPr>
        <w:pStyle w:val="5"/>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乙方每月的工人工资款项从甲方工人工资专用账户直接发放至工人本人的银行帐户上。</w:t>
      </w:r>
      <w:r>
        <w:rPr>
          <w:rFonts w:hint="default" w:ascii="仿宋" w:hAnsi="仿宋" w:eastAsia="仿宋" w:cs="仿宋"/>
          <w:color w:val="auto"/>
          <w:kern w:val="2"/>
          <w:sz w:val="28"/>
          <w:szCs w:val="28"/>
          <w:highlight w:val="none"/>
          <w:lang w:val="en-US" w:eastAsia="zh-CN" w:bidi="ar-SA"/>
        </w:rPr>
        <w:t>用于支付工</w:t>
      </w:r>
      <w:r>
        <w:rPr>
          <w:rFonts w:hint="eastAsia" w:ascii="仿宋" w:hAnsi="仿宋" w:eastAsia="仿宋" w:cs="仿宋"/>
          <w:color w:val="auto"/>
          <w:kern w:val="2"/>
          <w:sz w:val="28"/>
          <w:szCs w:val="28"/>
          <w:highlight w:val="none"/>
          <w:lang w:val="en-US" w:eastAsia="zh-CN" w:bidi="ar-SA"/>
        </w:rPr>
        <w:t>人</w:t>
      </w:r>
      <w:r>
        <w:rPr>
          <w:rFonts w:hint="default" w:ascii="仿宋" w:hAnsi="仿宋" w:eastAsia="仿宋" w:cs="仿宋"/>
          <w:color w:val="auto"/>
          <w:kern w:val="2"/>
          <w:sz w:val="28"/>
          <w:szCs w:val="28"/>
          <w:highlight w:val="none"/>
          <w:lang w:val="en-US" w:eastAsia="zh-CN" w:bidi="ar-SA"/>
        </w:rPr>
        <w:t>工资的银行账户所绑定的</w:t>
      </w:r>
      <w:r>
        <w:rPr>
          <w:rFonts w:hint="eastAsia" w:ascii="仿宋" w:hAnsi="仿宋" w:eastAsia="仿宋" w:cs="仿宋"/>
          <w:color w:val="auto"/>
          <w:kern w:val="2"/>
          <w:sz w:val="28"/>
          <w:szCs w:val="28"/>
          <w:highlight w:val="none"/>
          <w:lang w:val="en-US" w:eastAsia="zh-CN" w:bidi="ar-SA"/>
        </w:rPr>
        <w:t>乙方</w:t>
      </w:r>
      <w:r>
        <w:rPr>
          <w:rFonts w:hint="default" w:ascii="仿宋" w:hAnsi="仿宋" w:eastAsia="仿宋" w:cs="仿宋"/>
          <w:color w:val="auto"/>
          <w:kern w:val="2"/>
          <w:sz w:val="28"/>
          <w:szCs w:val="28"/>
          <w:highlight w:val="none"/>
          <w:lang w:val="en-US" w:eastAsia="zh-CN" w:bidi="ar-SA"/>
        </w:rPr>
        <w:t>工</w:t>
      </w:r>
      <w:r>
        <w:rPr>
          <w:rFonts w:hint="eastAsia" w:ascii="仿宋" w:hAnsi="仿宋" w:eastAsia="仿宋" w:cs="仿宋"/>
          <w:color w:val="auto"/>
          <w:kern w:val="2"/>
          <w:sz w:val="28"/>
          <w:szCs w:val="28"/>
          <w:highlight w:val="none"/>
          <w:lang w:val="en-US" w:eastAsia="zh-CN" w:bidi="ar-SA"/>
        </w:rPr>
        <w:t>人</w:t>
      </w:r>
      <w:r>
        <w:rPr>
          <w:rFonts w:hint="default" w:ascii="仿宋" w:hAnsi="仿宋" w:eastAsia="仿宋" w:cs="仿宋"/>
          <w:color w:val="auto"/>
          <w:kern w:val="2"/>
          <w:sz w:val="28"/>
          <w:szCs w:val="28"/>
          <w:highlight w:val="none"/>
          <w:lang w:val="en-US" w:eastAsia="zh-CN" w:bidi="ar-SA"/>
        </w:rPr>
        <w:t>本人银行卡，</w:t>
      </w:r>
      <w:r>
        <w:rPr>
          <w:rFonts w:hint="eastAsia" w:ascii="仿宋" w:hAnsi="仿宋" w:eastAsia="仿宋" w:cs="仿宋"/>
          <w:color w:val="auto"/>
          <w:kern w:val="2"/>
          <w:sz w:val="28"/>
          <w:szCs w:val="28"/>
          <w:highlight w:val="none"/>
          <w:lang w:val="en-US" w:eastAsia="zh-CN" w:bidi="ar-SA"/>
        </w:rPr>
        <w:t>乙方</w:t>
      </w:r>
      <w:r>
        <w:rPr>
          <w:rFonts w:hint="default" w:ascii="仿宋" w:hAnsi="仿宋" w:eastAsia="仿宋" w:cs="仿宋"/>
          <w:color w:val="auto"/>
          <w:kern w:val="2"/>
          <w:sz w:val="28"/>
          <w:szCs w:val="28"/>
          <w:highlight w:val="none"/>
          <w:lang w:val="en-US" w:eastAsia="zh-CN" w:bidi="ar-SA"/>
        </w:rPr>
        <w:t>或者其他人员不得以任何理由扣押或者变相扣押。</w:t>
      </w:r>
      <w:r>
        <w:rPr>
          <w:rFonts w:hint="eastAsia" w:ascii="仿宋" w:hAnsi="仿宋" w:eastAsia="仿宋" w:cs="仿宋"/>
          <w:color w:val="auto"/>
          <w:kern w:val="2"/>
          <w:sz w:val="28"/>
          <w:szCs w:val="28"/>
          <w:highlight w:val="none"/>
          <w:lang w:val="en-US" w:eastAsia="zh-CN" w:bidi="ar-SA"/>
        </w:rPr>
        <w:t>乙方申请进度款时须按甲方要求提交工人工资表等资料，</w:t>
      </w:r>
      <w:r>
        <w:rPr>
          <w:rFonts w:hint="eastAsia" w:ascii="仿宋" w:hAnsi="仿宋" w:eastAsia="仿宋" w:cs="仿宋"/>
          <w:color w:val="auto"/>
          <w:sz w:val="28"/>
          <w:szCs w:val="28"/>
          <w:highlight w:val="none"/>
          <w:lang w:val="en-US" w:eastAsia="zh-CN"/>
        </w:rPr>
        <w:t>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司公章的上月工人工资个税申报表至甲方项目部，否则甲方有权中止后续合同付款并视为乙方违约。乙方工人考勤打卡及实名要求按《项目实名制及劳资管理制度》（详见附件）执行</w:t>
      </w:r>
      <w:r>
        <w:rPr>
          <w:rFonts w:hint="eastAsia" w:ascii="仿宋" w:hAnsi="仿宋" w:eastAsia="仿宋" w:cs="仿宋"/>
          <w:i w:val="0"/>
          <w:iCs w:val="0"/>
          <w:color w:val="auto"/>
          <w:sz w:val="28"/>
          <w:szCs w:val="28"/>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before="147" w:beforeLines="50" w:line="360" w:lineRule="auto"/>
        <w:ind w:left="-197" w:leftChars="-94" w:right="-578" w:rightChars="-275" w:firstLine="419" w:firstLineChars="149"/>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rPr>
        <w:sym w:font="Wingdings 2" w:char="00A3"/>
      </w:r>
      <w:r>
        <w:rPr>
          <w:rFonts w:hint="eastAsia" w:ascii="仿宋" w:hAnsi="仿宋" w:eastAsia="仿宋" w:cs="仿宋"/>
          <w:b/>
          <w:bCs/>
          <w:i w:val="0"/>
          <w:iCs w:val="0"/>
          <w:color w:val="auto"/>
          <w:sz w:val="28"/>
          <w:szCs w:val="28"/>
          <w:highlight w:val="none"/>
          <w:lang w:val="en-US" w:eastAsia="zh-CN"/>
        </w:rPr>
        <w:t>8.1付款方式二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bCs/>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 ）</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color w:val="auto"/>
          <w:sz w:val="28"/>
          <w:szCs w:val="28"/>
          <w:highlight w:val="none"/>
          <w:lang w:val="en-US" w:eastAsia="zh-CN"/>
        </w:rPr>
      </w:pPr>
      <w:bookmarkStart w:id="31" w:name="_Toc19658"/>
      <w:bookmarkStart w:id="32" w:name="_Toc25291"/>
      <w:bookmarkStart w:id="33" w:name="_Toc26423"/>
      <w:bookmarkStart w:id="34" w:name="_Toc31665"/>
      <w:r>
        <w:rPr>
          <w:rFonts w:hint="eastAsia" w:ascii="仿宋" w:hAnsi="仿宋" w:eastAsia="仿宋" w:cs="仿宋"/>
          <w:color w:val="auto"/>
          <w:sz w:val="28"/>
          <w:szCs w:val="28"/>
          <w:highlight w:val="none"/>
          <w:lang w:val="en-US" w:eastAsia="zh-CN"/>
        </w:rPr>
        <w:t>8.2付款形式：优先使用网银、银行承兑汇票等，支票、电汇视情况而定。甲方选择其中任意一种支付形式给乙方工程款，均视为乙方收到该工程款。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rPr>
        <w:t>乙方每次收款</w:t>
      </w:r>
      <w:r>
        <w:rPr>
          <w:rFonts w:hint="eastAsia" w:ascii="仿宋" w:hAnsi="仿宋" w:eastAsia="仿宋" w:cs="仿宋"/>
          <w:b w:val="0"/>
          <w:bCs w:val="0"/>
          <w:i w:val="0"/>
          <w:iCs w:val="0"/>
          <w:color w:val="auto"/>
          <w:sz w:val="28"/>
          <w:szCs w:val="28"/>
          <w:highlight w:val="none"/>
          <w:lang w:val="en-US" w:eastAsia="zh-CN"/>
        </w:rPr>
        <w:t>前</w:t>
      </w:r>
      <w:r>
        <w:rPr>
          <w:rFonts w:hint="eastAsia" w:ascii="仿宋" w:hAnsi="仿宋" w:eastAsia="仿宋" w:cs="仿宋"/>
          <w:b w:val="0"/>
          <w:bCs w:val="0"/>
          <w:i w:val="0"/>
          <w:iCs w:val="0"/>
          <w:color w:val="auto"/>
          <w:sz w:val="28"/>
          <w:szCs w:val="28"/>
          <w:highlight w:val="none"/>
        </w:rPr>
        <w:t>必须提供甲方认可</w:t>
      </w:r>
      <w:r>
        <w:rPr>
          <w:rFonts w:hint="eastAsia" w:ascii="仿宋" w:hAnsi="仿宋" w:eastAsia="仿宋" w:cs="仿宋"/>
          <w:b w:val="0"/>
          <w:bCs w:val="0"/>
          <w:i w:val="0"/>
          <w:iCs w:val="0"/>
          <w:color w:val="auto"/>
          <w:sz w:val="28"/>
          <w:szCs w:val="28"/>
          <w:highlight w:val="none"/>
          <w:lang w:val="en-US" w:eastAsia="zh-CN"/>
        </w:rPr>
        <w:t>且符合合同约定</w:t>
      </w:r>
      <w:r>
        <w:rPr>
          <w:rFonts w:hint="eastAsia" w:ascii="仿宋" w:hAnsi="仿宋" w:eastAsia="仿宋" w:cs="仿宋"/>
          <w:b w:val="0"/>
          <w:bCs w:val="0"/>
          <w:i w:val="0"/>
          <w:iCs w:val="0"/>
          <w:color w:val="auto"/>
          <w:sz w:val="28"/>
          <w:szCs w:val="28"/>
          <w:highlight w:val="none"/>
        </w:rPr>
        <w:t>的等额合法增值税专用发票（开票内容须与合同内容一致，</w:t>
      </w:r>
      <w:r>
        <w:rPr>
          <w:rFonts w:hint="eastAsia" w:ascii="仿宋" w:hAnsi="仿宋" w:eastAsia="仿宋" w:cs="仿宋"/>
          <w:b w:val="0"/>
          <w:bCs w:val="0"/>
          <w:i w:val="0"/>
          <w:iCs w:val="0"/>
          <w:color w:val="auto"/>
          <w:sz w:val="28"/>
          <w:szCs w:val="28"/>
          <w:highlight w:val="none"/>
          <w:lang w:val="en-US" w:eastAsia="zh-CN"/>
        </w:rPr>
        <w:t>按甲方要求</w:t>
      </w:r>
      <w:r>
        <w:rPr>
          <w:rFonts w:hint="eastAsia" w:ascii="仿宋" w:hAnsi="仿宋" w:eastAsia="仿宋" w:cs="仿宋"/>
          <w:b w:val="0"/>
          <w:bCs w:val="0"/>
          <w:i w:val="0"/>
          <w:iCs w:val="0"/>
          <w:color w:val="auto"/>
          <w:sz w:val="28"/>
          <w:szCs w:val="28"/>
          <w:highlight w:val="none"/>
        </w:rPr>
        <w:t>各</w:t>
      </w:r>
      <w:r>
        <w:rPr>
          <w:rFonts w:hint="eastAsia" w:ascii="仿宋" w:hAnsi="仿宋" w:eastAsia="仿宋" w:cs="仿宋"/>
          <w:b w:val="0"/>
          <w:bCs w:val="0"/>
          <w:i w:val="0"/>
          <w:iCs w:val="0"/>
          <w:color w:val="auto"/>
          <w:sz w:val="28"/>
          <w:szCs w:val="28"/>
          <w:highlight w:val="none"/>
          <w:lang w:val="en-US" w:eastAsia="zh-CN"/>
        </w:rPr>
        <w:t>地块</w:t>
      </w:r>
      <w:r>
        <w:rPr>
          <w:rFonts w:hint="eastAsia" w:ascii="仿宋" w:hAnsi="仿宋" w:eastAsia="仿宋" w:cs="仿宋"/>
          <w:b w:val="0"/>
          <w:bCs w:val="0"/>
          <w:i w:val="0"/>
          <w:iCs w:val="0"/>
          <w:color w:val="auto"/>
          <w:sz w:val="28"/>
          <w:szCs w:val="28"/>
          <w:highlight w:val="none"/>
        </w:rPr>
        <w:t>独立开具发票），否则甲方有权不付款</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甲方以实际收到乙方请款资料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包括但不限于本合同附件要求的资料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拒付合同款</w:t>
      </w:r>
      <w:r>
        <w:rPr>
          <w:rFonts w:hint="eastAsia" w:ascii="仿宋" w:hAnsi="仿宋" w:eastAsia="仿宋" w:cs="仿宋"/>
          <w:b w:val="0"/>
          <w:bCs w:val="0"/>
          <w:i w:val="0"/>
          <w:iCs w:val="0"/>
          <w:color w:val="auto"/>
          <w:sz w:val="28"/>
          <w:szCs w:val="28"/>
          <w:highlight w:val="none"/>
          <w:lang w:val="en-US" w:eastAsia="zh-CN"/>
        </w:rPr>
        <w:t>且不</w:t>
      </w:r>
      <w:r>
        <w:rPr>
          <w:rFonts w:hint="eastAsia" w:ascii="仿宋" w:hAnsi="仿宋" w:eastAsia="仿宋" w:cs="仿宋"/>
          <w:b w:val="0"/>
          <w:bCs w:val="0"/>
          <w:i w:val="0"/>
          <w:iCs w:val="0"/>
          <w:color w:val="auto"/>
          <w:sz w:val="28"/>
          <w:szCs w:val="28"/>
          <w:highlight w:val="none"/>
        </w:rPr>
        <w:t>违约</w:t>
      </w:r>
      <w:r>
        <w:rPr>
          <w:rFonts w:hint="eastAsia" w:ascii="仿宋" w:hAnsi="仿宋" w:eastAsia="仿宋" w:cs="仿宋"/>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乙方每次向甲方请款时，</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按甲方要求注明该次请款所含的每个</w:t>
      </w:r>
      <w:r>
        <w:rPr>
          <w:rFonts w:hint="eastAsia" w:ascii="仿宋" w:hAnsi="仿宋" w:eastAsia="仿宋" w:cs="仿宋"/>
          <w:color w:val="auto"/>
          <w:sz w:val="28"/>
          <w:szCs w:val="28"/>
          <w:highlight w:val="none"/>
          <w:lang w:val="en-US" w:eastAsia="zh-CN"/>
        </w:rPr>
        <w:t>组团、每个地块、每栋楼</w:t>
      </w:r>
      <w:r>
        <w:rPr>
          <w:rFonts w:hint="eastAsia" w:ascii="仿宋" w:hAnsi="仿宋" w:eastAsia="仿宋" w:cs="仿宋"/>
          <w:color w:val="auto"/>
          <w:sz w:val="28"/>
          <w:szCs w:val="28"/>
          <w:highlight w:val="none"/>
        </w:rPr>
        <w:t>具体金额，否则甲方有权不付款且不违约。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甲乙</w:t>
      </w:r>
      <w:r>
        <w:rPr>
          <w:rFonts w:hint="eastAsia" w:ascii="仿宋" w:hAnsi="仿宋" w:eastAsia="仿宋" w:cs="仿宋"/>
          <w:color w:val="auto"/>
          <w:sz w:val="28"/>
          <w:szCs w:val="28"/>
          <w:highlight w:val="none"/>
        </w:rPr>
        <w:t>双方对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付款金额、结算金额产生争议，甲方有权暂缓付款</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不违约，甲方无需向乙方支付违约金或利息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直至双方达成一致意见后方可按甲方相应流程办理付款手续</w:t>
      </w:r>
      <w:r>
        <w:rPr>
          <w:rFonts w:hint="eastAsia" w:ascii="仿宋" w:hAnsi="仿宋" w:eastAsia="仿宋" w:cs="仿宋"/>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8.6甲乙双方完成本工程结算且结算款（扣除预留的保修金）支付完毕后，视为乙方关于除保修金外的合同款支付事宜的全部权利全部消灭，乙方不得再基于合同款支付事宜向甲方提出任何权利主张或追索其他任何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8.7乙方必须按税法规定的四流合一执行合同，即合同流、货物流、发票流、资金流一致，否则视为乙方违约，且由乙方承担所有责任及损失，直至满足四流合一，甲方方才付款。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8.8甲方每次支付乙方款项前，乙方向甲方支付所有罚款、代付款、赔偿及违约金等所有应缴纳款项，</w:t>
      </w:r>
      <w:r>
        <w:rPr>
          <w:rFonts w:hint="eastAsia" w:ascii="仿宋" w:hAnsi="仿宋" w:eastAsia="仿宋" w:cs="仿宋"/>
          <w:bCs/>
          <w:i w:val="0"/>
          <w:iCs w:val="0"/>
          <w:color w:val="auto"/>
          <w:sz w:val="28"/>
          <w:szCs w:val="28"/>
          <w:highlight w:val="none"/>
          <w:lang w:val="en-US" w:eastAsia="zh-CN"/>
        </w:rPr>
        <w:t>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8.9乙方在本项目工作但未在本项目实名制登记备案、打卡的人员，甲方不计发该人员在工人工资专用账号的工资，由乙方自行解决，由此所导致的一切后果和全部责任均由乙方承担，同时甲方对乙方上述违约行为按1000元/人/次进行处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w:t>
      </w:r>
      <w:r>
        <w:rPr>
          <w:rFonts w:hint="eastAsia" w:ascii="仿宋" w:hAnsi="仿宋" w:eastAsia="仿宋" w:cs="仿宋"/>
          <w:bCs/>
          <w:i w:val="0"/>
          <w:iCs w:val="0"/>
          <w:color w:val="auto"/>
          <w:sz w:val="28"/>
          <w:szCs w:val="28"/>
          <w:highlight w:val="none"/>
        </w:rPr>
        <w:t>.</w:t>
      </w:r>
      <w:r>
        <w:rPr>
          <w:rFonts w:hint="eastAsia" w:ascii="仿宋" w:hAnsi="仿宋" w:eastAsia="仿宋" w:cs="仿宋"/>
          <w:bCs/>
          <w:i w:val="0"/>
          <w:iCs w:val="0"/>
          <w:color w:val="auto"/>
          <w:sz w:val="28"/>
          <w:szCs w:val="28"/>
          <w:highlight w:val="none"/>
          <w:lang w:val="en-US" w:eastAsia="zh-CN"/>
        </w:rPr>
        <w:t>10如乙方申报了乙方不在本项目工作人员的工人工资，属乙方违约，由此所导致的一切后果和全部责任均由乙方承担，同时甲方对乙方上述违约行为按1000元/人/次收取违约金。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color w:val="auto"/>
          <w:kern w:val="2"/>
          <w:sz w:val="28"/>
          <w:szCs w:val="28"/>
          <w:highlight w:val="none"/>
          <w:shd w:val="clear"/>
          <w:lang w:val="en-US" w:eastAsia="zh-CN" w:bidi="ar"/>
        </w:rPr>
      </w:pPr>
      <w:r>
        <w:rPr>
          <w:rFonts w:hint="eastAsia" w:ascii="仿宋" w:hAnsi="仿宋" w:eastAsia="仿宋" w:cs="仿宋"/>
          <w:bCs/>
          <w:i w:val="0"/>
          <w:iCs w:val="0"/>
          <w:color w:val="auto"/>
          <w:sz w:val="28"/>
          <w:szCs w:val="28"/>
          <w:highlight w:val="none"/>
          <w:lang w:val="en-US" w:eastAsia="zh-CN"/>
        </w:rPr>
        <w:t>8.11</w:t>
      </w:r>
      <w:r>
        <w:rPr>
          <w:rFonts w:hint="eastAsia" w:ascii="仿宋" w:hAnsi="仿宋" w:eastAsia="仿宋" w:cs="仿宋"/>
          <w:color w:val="auto"/>
          <w:kern w:val="2"/>
          <w:sz w:val="28"/>
          <w:szCs w:val="28"/>
          <w:highlight w:val="none"/>
          <w:shd w:val="clear"/>
          <w:lang w:val="en-US" w:eastAsia="zh-CN" w:bidi="ar"/>
        </w:rPr>
        <w:t>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31"/>
      <w:bookmarkEnd w:id="32"/>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9" w:firstLineChars="149"/>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sz w:val="28"/>
          <w:szCs w:val="28"/>
          <w:highlight w:val="none"/>
          <w:lang w:val="en-US" w:eastAsia="zh-CN"/>
        </w:rPr>
        <w:t>9.1甲方责任和权利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9.1.1甲方提供给乙方施工图</w:t>
      </w:r>
      <w:r>
        <w:rPr>
          <w:rFonts w:hint="eastAsia" w:ascii="仿宋" w:hAnsi="仿宋" w:eastAsia="仿宋" w:cs="仿宋"/>
          <w:bCs/>
          <w:i w:val="0"/>
          <w:iCs w:val="0"/>
          <w:color w:val="auto"/>
          <w:sz w:val="28"/>
          <w:szCs w:val="28"/>
          <w:highlight w:val="none"/>
          <w:u w:val="single"/>
          <w:lang w:val="en-US" w:eastAsia="zh-CN"/>
        </w:rPr>
        <w:t xml:space="preserve"> / </w:t>
      </w:r>
      <w:r>
        <w:rPr>
          <w:rFonts w:hint="eastAsia" w:ascii="仿宋" w:hAnsi="仿宋" w:eastAsia="仿宋" w:cs="仿宋"/>
          <w:bCs/>
          <w:i w:val="0"/>
          <w:iCs w:val="0"/>
          <w:color w:val="auto"/>
          <w:sz w:val="28"/>
          <w:szCs w:val="28"/>
          <w:highlight w:val="none"/>
          <w:lang w:val="en-US" w:eastAsia="zh-CN"/>
        </w:rPr>
        <w:t>套及地质钻探资料（含图纸变更通知、图纸会审记录等）；对乙方进行技术交底及质量、安全、进度、文明施工、成本控制等管理。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9.1.2按国家工程质量标准对乙方施工成品进行内部核验，并办理过程验收手续和完工后总体验收手续。在验收合格情况下按照合同约定及时办理结算和付款。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9.1.3若乙方原因导致其工人工资不能及时发放，工人发生停工或静坐、闹事等不良行为的，甲方有权按本合同相关条款（如第十四章等）向乙方收取违约金。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9.1.4工程若有变更，甲方必须以书面形式通知乙方，若因工程变更导致增加工程量，甲方需给予乙方合理的备料期（具体时间双方协商）并办理签证确认。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bookmarkStart w:id="35" w:name="_Toc12475"/>
      <w:bookmarkStart w:id="36" w:name="_Toc27498"/>
      <w:r>
        <w:rPr>
          <w:rFonts w:hint="eastAsia" w:ascii="仿宋" w:hAnsi="仿宋" w:eastAsia="仿宋" w:cs="仿宋"/>
          <w:bCs/>
          <w:i w:val="0"/>
          <w:iCs w:val="0"/>
          <w:color w:val="auto"/>
          <w:sz w:val="28"/>
          <w:szCs w:val="28"/>
          <w:highlight w:val="none"/>
          <w:lang w:val="en-US" w:eastAsia="zh-CN"/>
        </w:rPr>
        <w:t>9.1.5为乙方员工办理人脸识别进场资料，督促乙方及其工人遵章守纪、按章操作，强化现场安全防护工作。</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9.1.6甲方有权根据本项目总体情况安排、调整本工程工期，规定乙方先做某部位后做某部位，何时增加工人何时减少工人，乙方必须服从调动及安排，否则乙方每次向甲方承担违约金人民币十万元。</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9.1.7甲方有权对乙方在施工中出现的不符合设计图纸、违反施工规范和安全操作规程、材料浪费等违规行为强行制止，并要求乙方在规定时间内按要求整改，同时有权根据具体情况对乙方进行扣款处理。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9.1.8甲方有权对乙方及其人员进行技术考核，考核不合格的人员不能上岗且乙方按甲方要求调换合格人员接替上岗。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9.1.9甲方对乙方向乙方人员发放报酬的情况有知情权，乙方工人工资金额由乙方提供书面文件给甲方项目部及甲方工程部核实确定。甲方有权知晓乙方工人的工资分配制度和实施情况，对不合理、违规的分配甲方有权制止及干预。乙方需及时支付工人工资及材料款，如乙方欠款导致甲方被追索，甲方有权自应付给乙方的款项中扣款代付，但此举不视为甲方同意对乙方债务承担责任。乙方对甲方代付行为及金额无异议，如应付给乙方的工程款不足以代付导致甲方需垫付费用，乙方在甲方发出书面通知起3个日历天内还清甲方垫付款并自甲方垫付之日起中国人民银行同期同类贷款基准利率的4倍为标准支付利息给甲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9.1.10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9.1.11凡甲方认为会影响本工程质量或可能导致安全事故的乙方自备材料、机具等，乙方不得用于本项目，否则乙方无条件更换且每次向甲方承担违约金壹万元及不延长工期。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9.1.12甲方因参与本合同履行而发出、或与乙方达成合意所形成的一切相关文件，均须同时加盖甲方公章及经法定代表人（或授权代表人）签名，否则均不对甲方产生约束力，除非事后获得甲方另行追认。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9.1.13对乙方不按合同约定时间向甲方申报其工人工资资料等行为，甲方有权对乙方收取违约金，每逾期一天的违约金不少于伍佰元/人（按乙方在本项目工作的人数计）。</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9" w:firstLineChars="149"/>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sz w:val="28"/>
          <w:szCs w:val="28"/>
          <w:highlight w:val="none"/>
          <w:lang w:val="en-US" w:eastAsia="zh-CN"/>
        </w:rPr>
        <w:t>9.2、乙方责任和权利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按设计图纸和施工规范施工，保证施工成品质量满足合同要求。因乙方原因导致的质量事故，由乙方赔偿甲方损失。乙方未经甲方书面同意而脱离原定图纸擅自施工的，无论是否影响工程质量或工期，乙方除每次向甲方支付违约金人民币贰万元外，因此导致的一切后果甲方有权追责到底。</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9.2.2按时完成本工程阶段性施工任务，保证符合甲方工期要求，因乙方原因导致的工期延误及甲方遭受的损失均由乙方赔偿甲方。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9.2.3乙方负责本合同及图纸范围内的工作内容，须按时完成阶段性施工任务，保证符合甲方的工程工期要求，因乙方原因导致的工期延误及甲方因此遭受的损失均由乙方赔偿甲方。乙方须遵守甲方管理制度，服从甲方管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9.2.4在施工过程中乙方指定专人认真做好施工记录，工程竣工后须及时将资料整理完整，移交甲方资料员。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9.2.5乙方须保护好自身施工的材料、机械等设备，如有被偷盗、损坏等现象发生，由乙方自行负责。</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9.2.6乙方须严格遵守《建设工程安全生产管理条例》及有关文件安全管理规定，组织安排工人施工， 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9.2.7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9.2.8在甲方的监督下办理工人工资发放专户，由银行代发乙方工人工资。</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9.2.9乙方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9.2.10乙方须如实主动申报及发放工人工资，甲方有权核对，如发现乙方弄虚作假，甲方暂停支付乙方工程款。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9.2.11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9.2.12合同履行过程中，如乙方中途自行退场，甲方不支付任何款项，因此造成甲方的损失由乙方赔偿。</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9.2.13乙方须合理使用材料，在保证质量、工期的情况下，按合同约定及相应规范控制使用。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9.2.14乙方施工中须与其他劳务队积极配合，保护所有成品。</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9.2.15如乙方人员使用甲方提供的宿舍，住宿按7人/间配置，凡按乙方人员分配房间超过数量的，甲方将按1000元/间/月（税金另计）向乙方收取房租，乙方必须每月按实缴纳水电费【线路损耗按装表计量实际量加10%损耗计（税金另计）】和空调使用费【按1.3元/间/天计（税金另计），未安装空调的此项不计】和房租给甲方。乙方每次向甲方请款时，甲方合同执行联系人可直接扣除乙方上月产生的房租、生活水电费及空调使用费，并按扣除后的金额申请进度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9.2.16对违章指挥，乙方有权拒绝服从。</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9.2.17因乙方的材料及施工质量问题引起的返工、维修、更换、损失及工期的延误等造成的一切费用由乙方承担。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 xml:space="preserve">9.2.18乙方每批进场材料必须经甲方现场管理人员（或施工员）确认是否符合合同要求及工程所需，如不符合，一律不准进场并按甲方要求更换且不得因此延长工期，同时乙方每次向甲方承担违约金壹万元。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9.2.19乙方确保本工程的工程质量和工程进度一次性满足合同要求，否则造成的一切损失由乙方承担且每次向甲方承担违约金壹万元。</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9.2.20乙方已充分了解工程现场实际情况，确定第六章约定的合同单价/总价已包含处理现场各种因素导致的多次进退场、怠工、误工等不能正常开工情形的费用，甲方无需另行计费给乙方。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9.2.21乙方人员进场时须提供本工程所在地三甲医院出具的体检健康证明，否则甲方有权将无证人员驱逐出施工现场，且乙方须向甲方缴纳违约金每人每次200元。无论乙方是否提供，均须保证乙方人员身体健康，无妨碍从事工作的疾病和生理缺陷，符合进场及本工程工作要求。因乙方人员自身疾病或生理缺陷等原因导致的伤亡均由乙方承担全责，乙方不追究甲方责任及要求甲方承担任何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9.2.22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9.2.23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9.2.24乙方原因导致的一切安全事故，属乙方责任，所有损失及费用由乙方承担。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9.2.25乙方人员在本合同履行期间所发生的所有安全事故，均由乙方承担所发生的全部费用及损失，对甲方造成损失的则由乙方赔偿甲方损失。</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9.2.26乙方人员（包括乙方人员的家属、朋友等）在本项目地点发生的所有安全事故均与甲方无关，甲方不承担任何责任和费用，一切责任和费用由乙方承担。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9.2.27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9.2.28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9.2.29乙方组织施工人员进场时，须提供《技术工人素质承诺书》（格式详见附件）给甲方，否则不得进场，并且须按甲方要求提供技术工人施工样板或组织甲方观摩技术工人现场分步分项施工技能，经甲方检验合格后乙方相关技术工人方可进入本项目施工，不合格人员须无条件按甲方要求当天退场且甲方不因此承担任何费用和责任，乙方同时按甲方要求另行组织合格人员进场施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9.2.30乙方与第三人签订的劳动、租赁、买卖等一切合同，与甲方无关。乙方在施工期间发生的与第三方一切合同债务，由乙方负全责处理并承担责任。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9.2.31乙方与第三方发生的任何经济往来、债务纠纷均与甲方无关。乙方须保证所供应材料无权属上的瑕疵或无知识产权的争议，若因此对甲方造成损失，则由乙方负全责赔偿。</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9.2.32 鉴于工期紧急及情况特殊，乙方同意无条件在甲方通知之日起第二个日历天内完成全面退场，做到工完场清，以免影响本项目下步工作，如有延迟，乙方每日向甲方承担违约金人民币一万元（甲方可从任意一笔合同款中扣款），因此导致甲方及建设单位损失的，由乙方全额赔偿。乙方按前述完成退场后，甲方方需支付合同款给乙方。</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安全生产、文明施工要求</w:t>
      </w:r>
      <w:bookmarkEnd w:id="35"/>
      <w:bookmarkEnd w:id="36"/>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bookmarkStart w:id="37" w:name="_Toc8911"/>
      <w:bookmarkStart w:id="38" w:name="_Toc23189"/>
      <w:r>
        <w:rPr>
          <w:rFonts w:hint="eastAsia" w:ascii="仿宋" w:hAnsi="仿宋" w:eastAsia="仿宋" w:cs="仿宋"/>
          <w:bCs/>
          <w:i w:val="0"/>
          <w:iCs w:val="0"/>
          <w:color w:val="auto"/>
          <w:sz w:val="28"/>
          <w:szCs w:val="28"/>
          <w:highlight w:val="none"/>
          <w:lang w:val="en-US" w:eastAsia="zh-CN"/>
        </w:rPr>
        <w:t>10.1甲方应对乙方进场的施工人员进行安全教育。</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10.2甲方不得违反《建设工程安全生产管理条例》（有更新版本则按最新版本执行）的规定要求乙方违章施工。因甲方指挥失误导致的安全事故由甲方承担相应责任和费用。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10.3乙方须严格遵守《建筑施工安全检查标准》（JGJ59-2011标准，有更新版本则按最新版本执行）、《建设工程安全生产管理条例》（有更新版本则按最新版本执行）等地方政府相关法律法规文件及甲方针对本工程的安全生产、文明施工管理制度的规定，组织安排工人施工，消除安全隐患。</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10.4乙方施工过程中，上道工序完成与下道工序必须进行工作面交接并以书面形式确认，甲方及相关单位签字确认的“隐蔽验收表”作为工程进度款申请书及结算书的附件。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10.5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予办理结算且不违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乙方每天施工过程中须做到工完场清，乙方造成的垃圾由乙方负责清理外运至甲方指定地点，相关费用已含于第六章约定的合同价中，甲方无需另行计费给乙方。</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甲供材料设备</w:t>
      </w:r>
      <w:bookmarkEnd w:id="37"/>
      <w:bookmarkEnd w:id="38"/>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bookmarkStart w:id="39" w:name="_Toc18848"/>
      <w:bookmarkStart w:id="40" w:name="_Toc24023"/>
      <w:r>
        <w:rPr>
          <w:rFonts w:hint="eastAsia" w:ascii="仿宋" w:hAnsi="仿宋" w:eastAsia="仿宋" w:cs="仿宋"/>
          <w:bCs/>
          <w:i w:val="0"/>
          <w:iCs w:val="0"/>
          <w:color w:val="auto"/>
          <w:sz w:val="28"/>
          <w:szCs w:val="28"/>
          <w:highlight w:val="none"/>
          <w:lang w:val="en-US" w:eastAsia="zh-CN"/>
        </w:rPr>
        <w:t>11.1乙方在施工现场使用各种资源都必须按甲方规定办理租用、借用、领用手续。</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11.2乙方对周转材料、建筑材料和施工机具应做到限额合理使用、工完场清，对机具负责正常保养维护。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11.3甲供材损耗率：</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11.3.1乙方使用的甲供材料以甲方出入库单为准，乙方参加验收和签收与出库，甲供材损耗率不得超过</w:t>
      </w:r>
      <w:r>
        <w:rPr>
          <w:rFonts w:hint="eastAsia" w:ascii="仿宋" w:hAnsi="仿宋" w:eastAsia="仿宋" w:cs="仿宋"/>
          <w:bCs/>
          <w:i w:val="0"/>
          <w:iCs w:val="0"/>
          <w:color w:val="auto"/>
          <w:sz w:val="28"/>
          <w:szCs w:val="28"/>
          <w:highlight w:val="none"/>
          <w:u w:val="single"/>
          <w:lang w:val="en-US" w:eastAsia="zh-CN"/>
        </w:rPr>
        <w:t xml:space="preserve"> / </w:t>
      </w:r>
      <w:r>
        <w:rPr>
          <w:rFonts w:hint="eastAsia" w:ascii="仿宋" w:hAnsi="仿宋" w:eastAsia="仿宋" w:cs="仿宋"/>
          <w:bCs/>
          <w:i w:val="0"/>
          <w:iCs w:val="0"/>
          <w:color w:val="auto"/>
          <w:sz w:val="28"/>
          <w:szCs w:val="28"/>
          <w:highlight w:val="none"/>
          <w:lang w:val="en-US" w:eastAsia="zh-CN"/>
        </w:rPr>
        <w:t>%，如超过，乙方对超出部分按施工当期同品牌、同品种、同级别、同规格材料市场价格的200％赔偿甲方。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11.4乙方配合甲方制定本工程甲供材料需求计划，每批甲供材需求单须在领用之日十个工作日前报至甲方项目经理审批，经甲方项目经理审批后方可到甲方仓库领取，乙方每延迟申报一日，向甲方承担违约金伍佰元且不得要求延长工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11.5乙方指定其现场负责人办理甲供材领料手续，由该负责人办理甲供材领料手续，领料流程按甲方相关管理规定执行，乙方现场负责人签署的该流程所有手续在本工程完工后作为乙方材料损耗计量和结算依据。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11.6乙方在甲方领料，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11.7本工程竣工之日起10个日历天内，乙方需前往甲方仓库办理机具退还手续，每延迟一日，向甲方支付违约金人民币伍佰元，且甲方有权不办理结算。</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39"/>
      <w:bookmarkEnd w:id="40"/>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12.1</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sym w:font="Wingdings 2" w:char="00A3"/>
      </w:r>
      <w:r>
        <w:rPr>
          <w:rFonts w:hint="eastAsia" w:ascii="仿宋" w:hAnsi="仿宋" w:eastAsia="仿宋" w:cs="仿宋"/>
          <w:bCs/>
          <w:i w:val="0"/>
          <w:iCs w:val="0"/>
          <w:color w:val="auto"/>
          <w:sz w:val="28"/>
          <w:szCs w:val="28"/>
          <w:highlight w:val="none"/>
          <w:lang w:val="en-US" w:eastAsia="zh-CN"/>
        </w:rPr>
        <w:t>本工程任一组团内容全部完工，乙方自检符合质量要求后提请甲方及建设单位组织验收，经建设行政主管部门、监理、甲方及建设单位验收合格后，移交给建设单位使用之日为本工程该组团内容完工之日。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sym w:font="Wingdings 2" w:char="0052"/>
      </w:r>
      <w:r>
        <w:rPr>
          <w:rFonts w:hint="eastAsia" w:ascii="仿宋" w:hAnsi="仿宋" w:eastAsia="仿宋" w:cs="仿宋"/>
          <w:bCs/>
          <w:i w:val="0"/>
          <w:iCs w:val="0"/>
          <w:color w:val="auto"/>
          <w:sz w:val="28"/>
          <w:szCs w:val="28"/>
          <w:highlight w:val="none"/>
          <w:lang w:val="en-US" w:eastAsia="zh-CN"/>
        </w:rPr>
        <w:t>本工程全部完工，乙方自检符合质量要求后提请甲方及建设单位组织验收，经建设行政主管部门、监理、甲方及建设单位验收合格后，移交给建设单位使用之日为本工程完工之日。</w:t>
      </w:r>
    </w:p>
    <w:bookmarkEnd w:id="33"/>
    <w:bookmarkEnd w:id="34"/>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bookmarkStart w:id="41" w:name="_Toc7101"/>
      <w:bookmarkStart w:id="42" w:name="_Toc11721"/>
      <w:bookmarkStart w:id="43" w:name="_Toc8898"/>
      <w:bookmarkStart w:id="44" w:name="_Toc18983"/>
      <w:r>
        <w:rPr>
          <w:rFonts w:hint="eastAsia" w:ascii="仿宋" w:hAnsi="仿宋" w:eastAsia="仿宋" w:cs="仿宋"/>
          <w:bCs/>
          <w:i w:val="0"/>
          <w:iCs w:val="0"/>
          <w:color w:val="auto"/>
          <w:sz w:val="28"/>
          <w:szCs w:val="28"/>
          <w:highlight w:val="none"/>
          <w:lang w:val="en-US" w:eastAsia="zh-CN"/>
        </w:rPr>
        <w:t>12.2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b/>
          <w:bCs w:val="0"/>
          <w:i w:val="0"/>
          <w:iCs w:val="0"/>
          <w:color w:val="auto"/>
          <w:sz w:val="28"/>
          <w:szCs w:val="28"/>
          <w:highlight w:val="none"/>
          <w:lang w:val="en-US" w:eastAsia="zh-CN"/>
        </w:rPr>
        <w:t>本工程</w:t>
      </w:r>
      <w:r>
        <w:rPr>
          <w:rFonts w:hint="eastAsia" w:ascii="仿宋" w:hAnsi="仿宋" w:eastAsia="仿宋" w:cs="仿宋"/>
          <w:b/>
          <w:bCs w:val="0"/>
          <w:i w:val="0"/>
          <w:iCs w:val="0"/>
          <w:color w:val="auto"/>
          <w:sz w:val="28"/>
          <w:szCs w:val="28"/>
          <w:highlight w:val="none"/>
          <w:lang w:val="en-US" w:eastAsia="zh-CN"/>
        </w:rPr>
        <w:sym w:font="Wingdings 2" w:char="00A3"/>
      </w:r>
      <w:r>
        <w:rPr>
          <w:rFonts w:hint="eastAsia" w:ascii="仿宋" w:hAnsi="仿宋" w:eastAsia="仿宋" w:cs="仿宋"/>
          <w:b/>
          <w:bCs w:val="0"/>
          <w:i w:val="0"/>
          <w:iCs w:val="0"/>
          <w:color w:val="auto"/>
          <w:sz w:val="28"/>
          <w:szCs w:val="28"/>
          <w:highlight w:val="none"/>
          <w:lang w:val="en-US" w:eastAsia="zh-CN"/>
        </w:rPr>
        <w:t>任一组团内容/</w:t>
      </w:r>
      <w:r>
        <w:rPr>
          <w:rFonts w:hint="eastAsia" w:ascii="仿宋" w:hAnsi="仿宋" w:eastAsia="仿宋" w:cs="仿宋"/>
          <w:b/>
          <w:bCs w:val="0"/>
          <w:i w:val="0"/>
          <w:iCs w:val="0"/>
          <w:color w:val="auto"/>
          <w:sz w:val="28"/>
          <w:szCs w:val="28"/>
          <w:highlight w:val="none"/>
          <w:lang w:val="en-US" w:eastAsia="zh-CN"/>
        </w:rPr>
        <w:sym w:font="Wingdings 2" w:char="0052"/>
      </w:r>
      <w:r>
        <w:rPr>
          <w:rFonts w:hint="eastAsia" w:ascii="仿宋" w:hAnsi="仿宋" w:eastAsia="仿宋" w:cs="仿宋"/>
          <w:b/>
          <w:bCs w:val="0"/>
          <w:i w:val="0"/>
          <w:iCs w:val="0"/>
          <w:color w:val="auto"/>
          <w:sz w:val="28"/>
          <w:szCs w:val="28"/>
          <w:highlight w:val="none"/>
          <w:lang w:val="en-US" w:eastAsia="zh-CN"/>
        </w:rPr>
        <w:t>全部内容的保修期为</w:t>
      </w:r>
      <w:r>
        <w:rPr>
          <w:rFonts w:hint="eastAsia" w:ascii="仿宋" w:hAnsi="仿宋" w:eastAsia="仿宋" w:cs="仿宋"/>
          <w:b/>
          <w:bCs w:val="0"/>
          <w:i w:val="0"/>
          <w:iCs w:val="0"/>
          <w:color w:val="auto"/>
          <w:sz w:val="28"/>
          <w:szCs w:val="28"/>
          <w:highlight w:val="none"/>
          <w:u w:val="single"/>
          <w:lang w:val="en-US" w:eastAsia="zh-CN"/>
        </w:rPr>
        <w:t xml:space="preserve"> / </w:t>
      </w:r>
      <w:r>
        <w:rPr>
          <w:rFonts w:hint="eastAsia" w:ascii="仿宋" w:hAnsi="仿宋" w:eastAsia="仿宋" w:cs="仿宋"/>
          <w:b/>
          <w:bCs w:val="0"/>
          <w:i w:val="0"/>
          <w:iCs w:val="0"/>
          <w:color w:val="auto"/>
          <w:sz w:val="28"/>
          <w:szCs w:val="28"/>
          <w:highlight w:val="none"/>
          <w:lang w:val="en-US" w:eastAsia="zh-CN"/>
        </w:rPr>
        <w:t>年（国家或甲方与本项目建设单位另有更长保修期限规定的，从其规定)，保修期自</w:t>
      </w:r>
      <w:r>
        <w:rPr>
          <w:rFonts w:hint="eastAsia" w:ascii="仿宋" w:hAnsi="仿宋" w:eastAsia="仿宋" w:cs="仿宋"/>
          <w:b/>
          <w:bCs w:val="0"/>
          <w:i w:val="0"/>
          <w:iCs w:val="0"/>
          <w:color w:val="auto"/>
          <w:sz w:val="28"/>
          <w:szCs w:val="28"/>
          <w:highlight w:val="none"/>
          <w:u w:val="single"/>
          <w:lang w:val="en-US" w:eastAsia="zh-CN"/>
        </w:rPr>
        <w:t xml:space="preserve"> / </w:t>
      </w:r>
      <w:r>
        <w:rPr>
          <w:rFonts w:hint="eastAsia" w:ascii="仿宋" w:hAnsi="仿宋" w:eastAsia="仿宋" w:cs="仿宋"/>
          <w:b/>
          <w:bCs w:val="0"/>
          <w:i w:val="0"/>
          <w:iCs w:val="0"/>
          <w:color w:val="auto"/>
          <w:sz w:val="28"/>
          <w:szCs w:val="28"/>
          <w:highlight w:val="none"/>
          <w:lang w:val="en-US" w:eastAsia="zh-CN"/>
        </w:rPr>
        <w:t>之日起计。</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12.3保修期内，本工程如因乙方原因出现质量问题，乙方须在接到甲方通知起24小时内派人到达现场处理解决，否则甲方有权自行或委托第三方处理，乙方承担相关费用、责任并向甲方支付违约金一万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12.4保修期内若发生乙方原因导致的质量问题，乙方须赔偿甲方因此造成的一切损失；出现较大质量缺陷，乙方履行保修义务至验收合格后，工程保修期自此时间开始顺延。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12.5保修期届满前，由甲方组织乙方等相关单位人员验收，验收合格后由甲方出具《保修验收合格报告》作为保修金支付凭证，若验收不通过，由乙方整改后再次验收，相关费用由乙方负责。本工程整改一次后才通过验收的，保修期按乙方整改天数顺延，整改两次以上才验收合格的，保修期自验收合格之日起顺延一年。</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保险</w:t>
      </w:r>
      <w:bookmarkEnd w:id="41"/>
      <w:bookmarkEnd w:id="42"/>
      <w:bookmarkEnd w:id="43"/>
      <w:bookmarkEnd w:id="44"/>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13.1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bookmarkStart w:id="45" w:name="_Toc31086"/>
      <w:bookmarkStart w:id="46" w:name="_Toc30883"/>
      <w:bookmarkStart w:id="47" w:name="_Toc12559"/>
      <w:bookmarkStart w:id="48" w:name="_Toc7926"/>
      <w:r>
        <w:rPr>
          <w:rFonts w:hint="eastAsia" w:ascii="仿宋" w:hAnsi="仿宋" w:eastAsia="仿宋" w:cs="仿宋"/>
          <w:bCs/>
          <w:i w:val="0"/>
          <w:iCs w:val="0"/>
          <w:color w:val="auto"/>
          <w:sz w:val="28"/>
          <w:szCs w:val="28"/>
          <w:highlight w:val="none"/>
          <w:lang w:val="en-US" w:eastAsia="zh-CN"/>
        </w:rPr>
        <w:t>13.2甲方未办理本项目“建筑工程社会保险--工伤保险”时，乙方导致的工伤、工亡等全部安全事故和因病死亡情形，一切责任和费用全部由乙方承担，费用已经包含在本合同单价中，甲方不承担任何责任和费用。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13.3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13.4甲乙双方在签订各自的保险合同时，其第三方责任险应将对方互相视为第三方。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13.5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727" w:rightChars="-346"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Cs/>
          <w:i w:val="0"/>
          <w:iCs w:val="0"/>
          <w:color w:val="auto"/>
          <w:sz w:val="28"/>
          <w:szCs w:val="28"/>
          <w:highlight w:val="none"/>
          <w:lang w:val="en-US" w:eastAsia="zh-CN"/>
        </w:rPr>
        <w:t>13.6无论甲乙任何一方有无按照本合同约定办理相关保险事宜，乙方人员或因乙方原因导致在本项目范围内发生的伤亡事故，均由乙方承担责任和费用。</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奖罚条款</w:t>
      </w:r>
      <w:bookmarkEnd w:id="45"/>
      <w:bookmarkEnd w:id="46"/>
      <w:bookmarkEnd w:id="47"/>
      <w:bookmarkEnd w:id="48"/>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9" w:firstLineChars="149"/>
        <w:rPr>
          <w:rFonts w:hint="eastAsia" w:ascii="仿宋" w:hAnsi="仿宋" w:eastAsia="仿宋" w:cs="仿宋"/>
          <w:b/>
          <w:bCs/>
          <w:i w:val="0"/>
          <w:iCs w:val="0"/>
          <w:color w:val="auto"/>
          <w:sz w:val="28"/>
          <w:szCs w:val="28"/>
          <w:highlight w:val="none"/>
          <w:shd w:val="clear" w:color="auto" w:fill="auto"/>
          <w:lang w:eastAsia="zh-CN"/>
        </w:rPr>
      </w:pPr>
      <w:bookmarkStart w:id="49" w:name="_Toc28593"/>
      <w:bookmarkStart w:id="50" w:name="_Toc20613"/>
      <w:bookmarkStart w:id="51" w:name="_Toc27044"/>
      <w:bookmarkStart w:id="52" w:name="_Toc6486"/>
      <w:r>
        <w:rPr>
          <w:rFonts w:hint="eastAsia" w:ascii="仿宋" w:hAnsi="仿宋" w:eastAsia="仿宋" w:cs="仿宋"/>
          <w:b/>
          <w:bCs/>
          <w:i w:val="0"/>
          <w:iCs w:val="0"/>
          <w:color w:val="auto"/>
          <w:sz w:val="28"/>
          <w:szCs w:val="28"/>
          <w:highlight w:val="none"/>
          <w:shd w:val="clear" w:color="auto" w:fill="auto"/>
          <w:lang w:eastAsia="zh-CN"/>
        </w:rPr>
        <w:t>1</w:t>
      </w:r>
      <w:r>
        <w:rPr>
          <w:rFonts w:hint="eastAsia" w:ascii="仿宋" w:hAnsi="仿宋" w:eastAsia="仿宋" w:cs="仿宋"/>
          <w:b/>
          <w:bCs/>
          <w:i w:val="0"/>
          <w:iCs w:val="0"/>
          <w:color w:val="auto"/>
          <w:sz w:val="28"/>
          <w:szCs w:val="28"/>
          <w:highlight w:val="none"/>
          <w:shd w:val="clear" w:color="auto" w:fill="auto"/>
          <w:lang w:val="en-US" w:eastAsia="zh-CN"/>
        </w:rPr>
        <w:t>4</w:t>
      </w:r>
      <w:r>
        <w:rPr>
          <w:rFonts w:hint="eastAsia" w:ascii="仿宋" w:hAnsi="仿宋" w:eastAsia="仿宋" w:cs="仿宋"/>
          <w:b/>
          <w:bCs/>
          <w:i w:val="0"/>
          <w:iCs w:val="0"/>
          <w:color w:val="auto"/>
          <w:sz w:val="28"/>
          <w:szCs w:val="28"/>
          <w:highlight w:val="none"/>
          <w:shd w:val="clear" w:color="auto" w:fill="auto"/>
          <w:lang w:eastAsia="zh-CN"/>
        </w:rPr>
        <w:t>.1奖励</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1.1如乙方施工的产品质量优质，施工进度快，安全生产、文明施工达标，作业队</w:t>
      </w:r>
      <w:r>
        <w:rPr>
          <w:rFonts w:hint="eastAsia" w:ascii="仿宋" w:hAnsi="仿宋" w:eastAsia="仿宋" w:cs="仿宋"/>
          <w:i w:val="0"/>
          <w:iCs w:val="0"/>
          <w:color w:val="auto"/>
          <w:sz w:val="28"/>
          <w:szCs w:val="28"/>
          <w:highlight w:val="none"/>
          <w:shd w:val="clear" w:color="auto" w:fill="auto"/>
          <w:lang w:val="en-US" w:eastAsia="zh-CN"/>
        </w:rPr>
        <w:t>伍</w:t>
      </w:r>
      <w:r>
        <w:rPr>
          <w:rFonts w:hint="eastAsia" w:ascii="仿宋" w:hAnsi="仿宋" w:eastAsia="仿宋" w:cs="仿宋"/>
          <w:i w:val="0"/>
          <w:iCs w:val="0"/>
          <w:color w:val="auto"/>
          <w:sz w:val="28"/>
          <w:szCs w:val="28"/>
          <w:highlight w:val="none"/>
          <w:shd w:val="clear" w:color="auto" w:fill="auto"/>
        </w:rPr>
        <w:t>整体形象受各方好评</w:t>
      </w:r>
      <w:r>
        <w:rPr>
          <w:rFonts w:hint="eastAsia" w:ascii="仿宋" w:hAnsi="仿宋" w:eastAsia="仿宋" w:cs="仿宋"/>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，甲方给</w:t>
      </w:r>
      <w:r>
        <w:rPr>
          <w:rFonts w:hint="eastAsia" w:ascii="仿宋" w:hAnsi="仿宋" w:eastAsia="仿宋" w:cs="仿宋"/>
          <w:i w:val="0"/>
          <w:iCs w:val="0"/>
          <w:color w:val="auto"/>
          <w:sz w:val="28"/>
          <w:szCs w:val="28"/>
          <w:highlight w:val="none"/>
          <w:shd w:val="clear" w:color="auto" w:fill="auto"/>
          <w:lang w:val="en-US" w:eastAsia="zh-CN"/>
        </w:rPr>
        <w:t>予</w:t>
      </w:r>
      <w:r>
        <w:rPr>
          <w:rFonts w:hint="eastAsia" w:ascii="仿宋" w:hAnsi="仿宋" w:eastAsia="仿宋" w:cs="仿宋"/>
          <w:i w:val="0"/>
          <w:iCs w:val="0"/>
          <w:color w:val="auto"/>
          <w:sz w:val="28"/>
          <w:szCs w:val="28"/>
          <w:highlight w:val="none"/>
          <w:shd w:val="clear" w:color="auto" w:fill="auto"/>
        </w:rPr>
        <w:t>乙方一定</w:t>
      </w:r>
      <w:r>
        <w:rPr>
          <w:rFonts w:hint="eastAsia" w:ascii="仿宋" w:hAnsi="仿宋" w:eastAsia="仿宋" w:cs="仿宋"/>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1.1.1甲方组织的各类检查验收中，乙方组建的施工队伍被评为优质作业队。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1.1.2乙方负责施工的成品受到省、市有关部门表彰。</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1.1.3乙方负责施工的成品受到</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、监理好评。</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1.1.4特定情况下，由于乙方的主观努力使甲方避免遭受巨大损失。</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1.1.5乙方工人安全生产、文明施工、节约用料、质量优、进度快。</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9" w:firstLineChars="149"/>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14.</w:t>
      </w:r>
      <w:r>
        <w:rPr>
          <w:rFonts w:hint="eastAsia" w:ascii="仿宋" w:hAnsi="仿宋" w:eastAsia="仿宋" w:cs="仿宋"/>
          <w:b/>
          <w:bCs/>
          <w:i w:val="0"/>
          <w:iCs w:val="0"/>
          <w:color w:val="auto"/>
          <w:sz w:val="28"/>
          <w:szCs w:val="28"/>
          <w:highlight w:val="none"/>
          <w:shd w:val="clear" w:color="auto" w:fill="auto"/>
        </w:rPr>
        <w:t>2惩罚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.2惩罚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2.1如乙方出现下列任一情况，甲方有权单方解除本合同，同时乙方赔偿甲方损失（包括但不限于因</w:t>
      </w:r>
      <w:r>
        <w:rPr>
          <w:rFonts w:hint="eastAsia" w:ascii="仿宋" w:hAnsi="仿宋" w:eastAsia="仿宋" w:cs="仿宋"/>
          <w:i w:val="0"/>
          <w:iCs w:val="0"/>
          <w:color w:val="auto"/>
          <w:sz w:val="28"/>
          <w:szCs w:val="28"/>
          <w:highlight w:val="none"/>
          <w:shd w:val="clear" w:color="auto" w:fill="auto"/>
          <w:lang w:val="en-US" w:eastAsia="zh-CN"/>
        </w:rPr>
        <w:t>工期延误</w:t>
      </w:r>
      <w:r>
        <w:rPr>
          <w:rFonts w:hint="eastAsia" w:ascii="仿宋" w:hAnsi="仿宋" w:eastAsia="仿宋" w:cs="仿宋"/>
          <w:i w:val="0"/>
          <w:iCs w:val="0"/>
          <w:color w:val="auto"/>
          <w:sz w:val="28"/>
          <w:szCs w:val="28"/>
          <w:highlight w:val="none"/>
          <w:shd w:val="clear" w:color="auto" w:fill="auto"/>
        </w:rPr>
        <w:t>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2.1.1乙方</w:t>
      </w:r>
      <w:r>
        <w:rPr>
          <w:rFonts w:hint="eastAsia" w:ascii="仿宋" w:hAnsi="仿宋" w:eastAsia="仿宋" w:cs="仿宋"/>
          <w:i w:val="0"/>
          <w:iCs w:val="0"/>
          <w:color w:val="auto"/>
          <w:sz w:val="28"/>
          <w:szCs w:val="28"/>
          <w:highlight w:val="none"/>
          <w:shd w:val="clear" w:color="auto" w:fill="auto"/>
          <w:lang w:val="en-US" w:eastAsia="zh-CN"/>
        </w:rPr>
        <w:t>在</w:t>
      </w:r>
      <w:r>
        <w:rPr>
          <w:rFonts w:hint="eastAsia" w:ascii="仿宋" w:hAnsi="仿宋" w:eastAsia="仿宋" w:cs="仿宋"/>
          <w:i w:val="0"/>
          <w:iCs w:val="0"/>
          <w:color w:val="auto"/>
          <w:sz w:val="28"/>
          <w:szCs w:val="28"/>
          <w:highlight w:val="none"/>
          <w:shd w:val="clear" w:color="auto" w:fill="auto"/>
        </w:rPr>
        <w:t>质量、进度、安全、管理等方面经甲方</w:t>
      </w:r>
      <w:r>
        <w:rPr>
          <w:rFonts w:hint="eastAsia" w:ascii="仿宋" w:hAnsi="仿宋" w:eastAsia="仿宋" w:cs="仿宋"/>
          <w:i w:val="0"/>
          <w:iCs w:val="0"/>
          <w:color w:val="auto"/>
          <w:sz w:val="28"/>
          <w:szCs w:val="28"/>
          <w:highlight w:val="none"/>
          <w:shd w:val="clear" w:color="auto" w:fill="auto"/>
          <w:lang w:val="en-US" w:eastAsia="zh-CN"/>
        </w:rPr>
        <w:t>三</w:t>
      </w:r>
      <w:r>
        <w:rPr>
          <w:rFonts w:hint="eastAsia" w:ascii="仿宋" w:hAnsi="仿宋" w:eastAsia="仿宋" w:cs="仿宋"/>
          <w:i w:val="0"/>
          <w:iCs w:val="0"/>
          <w:color w:val="auto"/>
          <w:sz w:val="28"/>
          <w:szCs w:val="28"/>
          <w:highlight w:val="none"/>
          <w:shd w:val="clear" w:color="auto" w:fill="auto"/>
        </w:rPr>
        <w:t>次警告</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处罚</w:t>
      </w:r>
      <w:r>
        <w:rPr>
          <w:rFonts w:hint="eastAsia" w:ascii="仿宋" w:hAnsi="仿宋" w:eastAsia="仿宋" w:cs="仿宋"/>
          <w:i w:val="0"/>
          <w:iCs w:val="0"/>
          <w:color w:val="auto"/>
          <w:sz w:val="28"/>
          <w:szCs w:val="28"/>
          <w:highlight w:val="none"/>
          <w:shd w:val="clear" w:color="auto" w:fill="auto"/>
          <w:lang w:val="en-US" w:eastAsia="zh-CN"/>
        </w:rPr>
        <w:t>后</w:t>
      </w:r>
      <w:r>
        <w:rPr>
          <w:rFonts w:hint="eastAsia" w:ascii="仿宋" w:hAnsi="仿宋" w:eastAsia="仿宋" w:cs="仿宋"/>
          <w:i w:val="0"/>
          <w:iCs w:val="0"/>
          <w:color w:val="auto"/>
          <w:sz w:val="28"/>
          <w:szCs w:val="28"/>
          <w:highlight w:val="none"/>
          <w:shd w:val="clear" w:color="auto" w:fill="auto"/>
        </w:rPr>
        <w:t>仍不能明显改善</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14.</w:t>
      </w:r>
      <w:r>
        <w:rPr>
          <w:rFonts w:hint="eastAsia" w:ascii="仿宋" w:hAnsi="仿宋" w:eastAsia="仿宋" w:cs="仿宋"/>
          <w:b w:val="0"/>
          <w:bCs w:val="0"/>
          <w:i w:val="0"/>
          <w:iCs w:val="0"/>
          <w:color w:val="auto"/>
          <w:sz w:val="28"/>
          <w:szCs w:val="28"/>
          <w:highlight w:val="none"/>
          <w:shd w:val="clear" w:color="auto" w:fill="auto"/>
        </w:rPr>
        <w:t>2.1.2乙方将</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rPr>
        <w:t>以各种形式转包</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分包给</w:t>
      </w:r>
      <w:r>
        <w:rPr>
          <w:rFonts w:hint="eastAsia" w:ascii="仿宋" w:hAnsi="仿宋" w:eastAsia="仿宋" w:cs="仿宋"/>
          <w:b w:val="0"/>
          <w:bCs w:val="0"/>
          <w:i w:val="0"/>
          <w:iCs w:val="0"/>
          <w:color w:val="auto"/>
          <w:sz w:val="28"/>
          <w:szCs w:val="28"/>
          <w:highlight w:val="none"/>
          <w:shd w:val="clear" w:color="auto" w:fill="auto"/>
        </w:rPr>
        <w:t>他人</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因下列情况导致的甲方损失均由乙方赔偿（包括但不限于因逾期完工而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①因乙方施工质量事故造成的</w:t>
      </w:r>
      <w:r>
        <w:rPr>
          <w:rFonts w:hint="eastAsia" w:ascii="仿宋" w:hAnsi="仿宋" w:eastAsia="仿宋" w:cs="仿宋"/>
          <w:b w:val="0"/>
          <w:bCs w:val="0"/>
          <w:i w:val="0"/>
          <w:iCs w:val="0"/>
          <w:color w:val="auto"/>
          <w:sz w:val="28"/>
          <w:szCs w:val="28"/>
          <w:highlight w:val="none"/>
          <w:shd w:val="clear" w:color="auto" w:fill="auto"/>
        </w:rPr>
        <w:t>损失</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②因乙方中途退场造成的损失</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14.2.3</w:t>
      </w:r>
      <w:r>
        <w:rPr>
          <w:rFonts w:hint="eastAsia" w:ascii="仿宋" w:hAnsi="仿宋" w:eastAsia="仿宋" w:cs="仿宋"/>
          <w:i w:val="0"/>
          <w:iCs w:val="0"/>
          <w:color w:val="auto"/>
          <w:sz w:val="28"/>
          <w:szCs w:val="28"/>
          <w:highlight w:val="none"/>
          <w:shd w:val="clear" w:color="auto" w:fill="auto"/>
        </w:rPr>
        <w:t>因乙方导致工程质量或工期达不到合同要求或使用</w:t>
      </w:r>
      <w:r>
        <w:rPr>
          <w:rFonts w:hint="eastAsia" w:ascii="仿宋" w:hAnsi="仿宋" w:eastAsia="仿宋" w:cs="仿宋"/>
          <w:i w:val="0"/>
          <w:iCs w:val="0"/>
          <w:color w:val="auto"/>
          <w:sz w:val="28"/>
          <w:szCs w:val="28"/>
          <w:highlight w:val="none"/>
          <w:shd w:val="clear" w:color="auto" w:fill="auto"/>
          <w:lang w:val="en-US" w:eastAsia="zh-CN"/>
        </w:rPr>
        <w:t>甲供</w:t>
      </w:r>
      <w:r>
        <w:rPr>
          <w:rFonts w:hint="eastAsia" w:ascii="仿宋" w:hAnsi="仿宋" w:eastAsia="仿宋" w:cs="仿宋"/>
          <w:i w:val="0"/>
          <w:iCs w:val="0"/>
          <w:color w:val="auto"/>
          <w:sz w:val="28"/>
          <w:szCs w:val="28"/>
          <w:highlight w:val="none"/>
          <w:shd w:val="clear" w:color="auto" w:fill="auto"/>
        </w:rPr>
        <w:t>材料用量超标</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，均属乙方违约，甲方有权单方解除合同且</w:t>
      </w:r>
      <w:r>
        <w:rPr>
          <w:rFonts w:hint="eastAsia" w:ascii="仿宋" w:hAnsi="仿宋" w:eastAsia="仿宋" w:cs="仿宋"/>
          <w:i w:val="0"/>
          <w:iCs w:val="0"/>
          <w:color w:val="auto"/>
          <w:sz w:val="28"/>
          <w:szCs w:val="28"/>
          <w:highlight w:val="none"/>
          <w:shd w:val="clear" w:color="auto" w:fill="auto"/>
          <w:lang w:val="en-US" w:eastAsia="zh-CN"/>
        </w:rPr>
        <w:t>不付款</w:t>
      </w:r>
      <w:r>
        <w:rPr>
          <w:rFonts w:hint="eastAsia" w:ascii="仿宋" w:hAnsi="仿宋" w:eastAsia="仿宋" w:cs="仿宋"/>
          <w:i w:val="0"/>
          <w:iCs w:val="0"/>
          <w:color w:val="auto"/>
          <w:sz w:val="28"/>
          <w:szCs w:val="28"/>
          <w:highlight w:val="none"/>
          <w:shd w:val="clear" w:color="auto" w:fill="auto"/>
        </w:rPr>
        <w:t>，同时乙方承担由此造成的损失责任及费用。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或其</w:t>
      </w:r>
      <w:r>
        <w:rPr>
          <w:rFonts w:hint="eastAsia" w:ascii="仿宋" w:hAnsi="仿宋" w:eastAsia="仿宋" w:cs="仿宋"/>
          <w:i w:val="0"/>
          <w:iCs w:val="0"/>
          <w:color w:val="auto"/>
          <w:sz w:val="28"/>
          <w:szCs w:val="28"/>
          <w:highlight w:val="none"/>
          <w:shd w:val="clear" w:color="auto" w:fill="auto"/>
        </w:rPr>
        <w:t>人</w:t>
      </w:r>
      <w:r>
        <w:rPr>
          <w:rFonts w:hint="eastAsia" w:ascii="仿宋" w:hAnsi="仿宋" w:eastAsia="仿宋" w:cs="仿宋"/>
          <w:i w:val="0"/>
          <w:iCs w:val="0"/>
          <w:color w:val="auto"/>
          <w:sz w:val="28"/>
          <w:szCs w:val="28"/>
          <w:highlight w:val="none"/>
          <w:shd w:val="clear" w:color="auto" w:fill="auto"/>
          <w:lang w:val="en-US" w:eastAsia="zh-CN"/>
        </w:rPr>
        <w:t>员</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b w:val="0"/>
          <w:bCs w:val="0"/>
          <w:i w:val="0"/>
          <w:iCs w:val="0"/>
          <w:color w:val="auto"/>
          <w:sz w:val="28"/>
          <w:szCs w:val="28"/>
          <w:highlight w:val="none"/>
          <w:shd w:val="clear" w:color="auto" w:fill="auto"/>
          <w:lang w:val="en-US" w:eastAsia="zh-CN"/>
        </w:rPr>
        <w:t>伍佰元至叁万</w:t>
      </w:r>
      <w:r>
        <w:rPr>
          <w:rFonts w:hint="eastAsia" w:ascii="仿宋" w:hAnsi="仿宋" w:eastAsia="仿宋" w:cs="仿宋"/>
          <w:i w:val="0"/>
          <w:iCs w:val="0"/>
          <w:color w:val="auto"/>
          <w:sz w:val="28"/>
          <w:szCs w:val="28"/>
          <w:highlight w:val="none"/>
          <w:shd w:val="clear" w:color="auto" w:fill="auto"/>
        </w:rPr>
        <w:t>元的措施：</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.1隐蔽工程一次验收不合格</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.2不能按甲方</w:t>
      </w:r>
      <w:r>
        <w:rPr>
          <w:rFonts w:hint="eastAsia" w:ascii="仿宋" w:hAnsi="仿宋" w:eastAsia="仿宋" w:cs="仿宋"/>
          <w:i w:val="0"/>
          <w:iCs w:val="0"/>
          <w:color w:val="auto"/>
          <w:sz w:val="28"/>
          <w:szCs w:val="28"/>
          <w:highlight w:val="none"/>
          <w:shd w:val="clear" w:color="auto" w:fill="auto"/>
          <w:lang w:val="en-US" w:eastAsia="zh-CN"/>
        </w:rPr>
        <w:t>确定的</w:t>
      </w:r>
      <w:r>
        <w:rPr>
          <w:rFonts w:hint="eastAsia" w:ascii="仿宋" w:hAnsi="仿宋" w:eastAsia="仿宋" w:cs="仿宋"/>
          <w:i w:val="0"/>
          <w:iCs w:val="0"/>
          <w:color w:val="auto"/>
          <w:sz w:val="28"/>
          <w:szCs w:val="28"/>
          <w:highlight w:val="none"/>
          <w:shd w:val="clear" w:color="auto" w:fill="auto"/>
        </w:rPr>
        <w:t>周进度计划完成施工作业延误工期一天</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.3出现因质量、安全</w:t>
      </w:r>
      <w:r>
        <w:rPr>
          <w:rFonts w:hint="eastAsia" w:ascii="仿宋" w:hAnsi="仿宋" w:eastAsia="仿宋" w:cs="仿宋"/>
          <w:i w:val="0"/>
          <w:iCs w:val="0"/>
          <w:color w:val="auto"/>
          <w:sz w:val="28"/>
          <w:szCs w:val="28"/>
          <w:highlight w:val="none"/>
          <w:shd w:val="clear" w:color="auto" w:fill="auto"/>
          <w:lang w:val="en-US" w:eastAsia="zh-CN"/>
        </w:rPr>
        <w:t>不满足本合同约定需</w:t>
      </w:r>
      <w:r>
        <w:rPr>
          <w:rFonts w:hint="eastAsia" w:ascii="仿宋" w:hAnsi="仿宋" w:eastAsia="仿宋" w:cs="仿宋"/>
          <w:i w:val="0"/>
          <w:iCs w:val="0"/>
          <w:color w:val="auto"/>
          <w:sz w:val="28"/>
          <w:szCs w:val="28"/>
          <w:highlight w:val="none"/>
          <w:shd w:val="clear" w:color="auto" w:fill="auto"/>
        </w:rPr>
        <w:t>整改</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.4聚众赌博，影响他人休息</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.5聚众闹事、打人、打架、偷抢行为</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.6容留非</w:t>
      </w:r>
      <w:r>
        <w:rPr>
          <w:rFonts w:hint="eastAsia" w:ascii="仿宋" w:hAnsi="仿宋" w:eastAsia="仿宋" w:cs="仿宋"/>
          <w:i w:val="0"/>
          <w:iCs w:val="0"/>
          <w:color w:val="auto"/>
          <w:sz w:val="28"/>
          <w:szCs w:val="28"/>
          <w:highlight w:val="none"/>
          <w:shd w:val="clear" w:color="auto" w:fill="auto"/>
          <w:lang w:val="en-US" w:eastAsia="zh-CN"/>
        </w:rPr>
        <w:t>本工程现场</w:t>
      </w:r>
      <w:r>
        <w:rPr>
          <w:rFonts w:hint="eastAsia" w:ascii="仿宋" w:hAnsi="仿宋" w:eastAsia="仿宋" w:cs="仿宋"/>
          <w:i w:val="0"/>
          <w:iCs w:val="0"/>
          <w:color w:val="auto"/>
          <w:sz w:val="28"/>
          <w:szCs w:val="28"/>
          <w:highlight w:val="none"/>
          <w:shd w:val="clear" w:color="auto" w:fill="auto"/>
        </w:rPr>
        <w:t>人员在</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rPr>
        <w:t>宿舍住宿</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.7不按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要求加班或人员不足</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延误工期一天</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.8浪费材料、损坏机具或破坏其它设施</w:t>
      </w:r>
      <w:r>
        <w:rPr>
          <w:rFonts w:hint="eastAsia" w:ascii="仿宋" w:hAnsi="仿宋" w:eastAsia="仿宋" w:cs="仿宋"/>
          <w:i w:val="0"/>
          <w:iCs w:val="0"/>
          <w:color w:val="auto"/>
          <w:sz w:val="28"/>
          <w:szCs w:val="28"/>
          <w:highlight w:val="none"/>
          <w:shd w:val="clear" w:color="auto" w:fill="auto"/>
          <w:lang w:val="en-US" w:eastAsia="zh-CN"/>
        </w:rPr>
        <w:t>及成品</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.9在</w:t>
      </w:r>
      <w:r>
        <w:rPr>
          <w:rFonts w:hint="eastAsia" w:ascii="仿宋" w:hAnsi="仿宋" w:eastAsia="仿宋" w:cs="仿宋"/>
          <w:i w:val="0"/>
          <w:iCs w:val="0"/>
          <w:color w:val="auto"/>
          <w:sz w:val="28"/>
          <w:szCs w:val="28"/>
          <w:highlight w:val="none"/>
          <w:shd w:val="clear" w:color="auto" w:fill="auto"/>
          <w:lang w:val="en-US" w:eastAsia="zh-CN"/>
        </w:rPr>
        <w:t>生活区</w:t>
      </w:r>
      <w:r>
        <w:rPr>
          <w:rFonts w:hint="eastAsia" w:ascii="仿宋" w:hAnsi="仿宋" w:eastAsia="仿宋" w:cs="仿宋"/>
          <w:i w:val="0"/>
          <w:iCs w:val="0"/>
          <w:color w:val="auto"/>
          <w:sz w:val="28"/>
          <w:szCs w:val="28"/>
          <w:highlight w:val="none"/>
          <w:shd w:val="clear" w:color="auto" w:fill="auto"/>
        </w:rPr>
        <w:t>存放易燃易爆物品或其它危险品</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.10收留、聘用未成年人</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罚款</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同时驱逐</w:t>
      </w:r>
      <w:r>
        <w:rPr>
          <w:rFonts w:hint="eastAsia" w:ascii="仿宋" w:hAnsi="仿宋" w:eastAsia="仿宋" w:cs="仿宋"/>
          <w:i w:val="0"/>
          <w:iCs w:val="0"/>
          <w:color w:val="auto"/>
          <w:sz w:val="28"/>
          <w:szCs w:val="28"/>
          <w:highlight w:val="none"/>
          <w:shd w:val="clear" w:color="auto" w:fill="auto"/>
          <w:lang w:val="en-US" w:eastAsia="zh-CN"/>
        </w:rPr>
        <w:t>未成年人</w:t>
      </w:r>
      <w:r>
        <w:rPr>
          <w:rFonts w:hint="eastAsia" w:ascii="仿宋" w:hAnsi="仿宋" w:eastAsia="仿宋" w:cs="仿宋"/>
          <w:i w:val="0"/>
          <w:iCs w:val="0"/>
          <w:color w:val="auto"/>
          <w:sz w:val="28"/>
          <w:szCs w:val="28"/>
          <w:highlight w:val="none"/>
          <w:shd w:val="clear" w:color="auto" w:fill="auto"/>
        </w:rPr>
        <w:t>离开</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14.2.4.11在宿舍内做饭、使用大功率电器设备，如电磁炉、电饭煲、电热棒等。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其人员有下列情况之一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的，造成甲方损失的由乙方全额赔偿给甲方，同时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i w:val="0"/>
          <w:iCs w:val="0"/>
          <w:color w:val="auto"/>
          <w:sz w:val="28"/>
          <w:szCs w:val="28"/>
          <w:highlight w:val="none"/>
          <w:shd w:val="clear" w:color="auto" w:fill="auto"/>
          <w:lang w:val="en-US" w:eastAsia="zh-CN"/>
        </w:rPr>
        <w:t>伍拾元</w:t>
      </w:r>
      <w:r>
        <w:rPr>
          <w:rFonts w:hint="eastAsia" w:ascii="仿宋" w:hAnsi="仿宋" w:eastAsia="仿宋" w:cs="仿宋"/>
          <w:b w:val="0"/>
          <w:bCs w:val="0"/>
          <w:i w:val="0"/>
          <w:iCs w:val="0"/>
          <w:color w:val="auto"/>
          <w:sz w:val="28"/>
          <w:szCs w:val="28"/>
          <w:highlight w:val="none"/>
          <w:shd w:val="clear" w:color="auto" w:fill="auto"/>
          <w:lang w:val="en-US" w:eastAsia="zh-CN"/>
        </w:rPr>
        <w:t>至叁万</w:t>
      </w:r>
      <w:r>
        <w:rPr>
          <w:rFonts w:hint="eastAsia" w:ascii="仿宋" w:hAnsi="仿宋" w:eastAsia="仿宋" w:cs="仿宋"/>
          <w:i w:val="0"/>
          <w:iCs w:val="0"/>
          <w:color w:val="auto"/>
          <w:sz w:val="28"/>
          <w:szCs w:val="28"/>
          <w:highlight w:val="none"/>
          <w:shd w:val="clear" w:color="auto" w:fill="auto"/>
        </w:rPr>
        <w:t>元的措施：</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.1管理人员未经</w:t>
      </w:r>
      <w:r>
        <w:rPr>
          <w:rFonts w:hint="eastAsia" w:ascii="仿宋" w:hAnsi="仿宋" w:eastAsia="仿宋" w:cs="仿宋"/>
          <w:i w:val="0"/>
          <w:iCs w:val="0"/>
          <w:color w:val="auto"/>
          <w:sz w:val="28"/>
          <w:szCs w:val="28"/>
          <w:highlight w:val="none"/>
          <w:shd w:val="clear" w:color="auto" w:fill="auto"/>
          <w:lang w:val="en-US" w:eastAsia="zh-CN"/>
        </w:rPr>
        <w:t>甲方同意</w:t>
      </w:r>
      <w:r>
        <w:rPr>
          <w:rFonts w:hint="eastAsia" w:ascii="仿宋" w:hAnsi="仿宋" w:eastAsia="仿宋" w:cs="仿宋"/>
          <w:i w:val="0"/>
          <w:iCs w:val="0"/>
          <w:color w:val="auto"/>
          <w:sz w:val="28"/>
          <w:szCs w:val="28"/>
          <w:highlight w:val="none"/>
          <w:shd w:val="clear" w:color="auto" w:fill="auto"/>
        </w:rPr>
        <w:t>离开工地两天以内</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.2未戴好安全帽、穿拖鞋或赤脚、赤膊进入作业区</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.3不戴工卡上岗</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.4施工人员进场三天内不办理工作卡</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.5未经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批准擅带家属及小孩进入施工现场或在宿舍居住</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.6工棚内乱拉乱接电线，违反生活区管理制度</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.7宿舍卫生不合格</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.8材料</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要求堆放</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建筑垃圾未按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要求处理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随地大小便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随意吸烟</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在墙上乱涂乱画。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178" w:rightChars="-85" w:firstLine="417" w:firstLineChars="149"/>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9乙方人员、车辆不接受甲方门岗保卫检查。</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违约条款</w:t>
      </w:r>
      <w:bookmarkEnd w:id="49"/>
      <w:bookmarkEnd w:id="50"/>
      <w:bookmarkEnd w:id="51"/>
      <w:bookmarkEnd w:id="52"/>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color w:val="auto"/>
          <w:sz w:val="28"/>
          <w:szCs w:val="28"/>
          <w:highlight w:val="none"/>
        </w:rPr>
      </w:pPr>
      <w:bookmarkStart w:id="53" w:name="_Toc10430"/>
      <w:bookmarkStart w:id="54" w:name="_Toc1085"/>
      <w:bookmarkStart w:id="55" w:name="_Toc20177"/>
      <w:bookmarkStart w:id="56" w:name="_Toc2734"/>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.1乙方延迟开工或不能按合同约定的工期完成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任一节点</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，每延迟一个日历天，乙方向甲方支付违约金人民币</w:t>
      </w:r>
      <w:r>
        <w:rPr>
          <w:rFonts w:hint="eastAsia" w:ascii="仿宋" w:hAnsi="仿宋" w:eastAsia="仿宋" w:cs="仿宋"/>
          <w:color w:val="auto"/>
          <w:sz w:val="28"/>
          <w:szCs w:val="28"/>
          <w:highlight w:val="none"/>
          <w:lang w:val="en-US" w:eastAsia="zh-CN"/>
        </w:rPr>
        <w:t>壹万</w:t>
      </w:r>
      <w:r>
        <w:rPr>
          <w:rFonts w:hint="eastAsia" w:ascii="仿宋" w:hAnsi="仿宋" w:eastAsia="仿宋" w:cs="仿宋"/>
          <w:color w:val="auto"/>
          <w:sz w:val="28"/>
          <w:szCs w:val="28"/>
          <w:highlight w:val="none"/>
        </w:rPr>
        <w:t>元整，延迟超过三个日历天的，甲方有权单方解除合同，已完工工程无偿归甲方，甲方无需支付工程款并有权委托其他单位继续完成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乙方还</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的20%支付违约金并按甲方要求准时退场，每延迟一个日历天退场，乙方向甲方另行支付违约金人民币</w:t>
      </w:r>
      <w:r>
        <w:rPr>
          <w:rFonts w:hint="eastAsia" w:ascii="仿宋" w:hAnsi="仿宋" w:eastAsia="仿宋" w:cs="仿宋"/>
          <w:color w:val="auto"/>
          <w:sz w:val="28"/>
          <w:szCs w:val="28"/>
          <w:highlight w:val="none"/>
          <w:lang w:val="en-US" w:eastAsia="zh-CN"/>
        </w:rPr>
        <w:t>壹万</w:t>
      </w:r>
      <w:r>
        <w:rPr>
          <w:rFonts w:hint="eastAsia" w:ascii="仿宋" w:hAnsi="仿宋" w:eastAsia="仿宋" w:cs="仿宋"/>
          <w:color w:val="auto"/>
          <w:sz w:val="28"/>
          <w:szCs w:val="28"/>
          <w:highlight w:val="none"/>
        </w:rPr>
        <w:t>元整，甲方的损失（包括但不限于因逾期而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承担的违约责任、损失赔偿责任等）由乙方赔偿。</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.2乙方原因造成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质量达不到约定的质量标准的，乙方</w:t>
      </w:r>
      <w:r>
        <w:rPr>
          <w:rFonts w:hint="eastAsia" w:ascii="仿宋" w:hAnsi="仿宋" w:eastAsia="仿宋" w:cs="仿宋"/>
          <w:color w:val="auto"/>
          <w:sz w:val="28"/>
          <w:szCs w:val="28"/>
          <w:highlight w:val="none"/>
          <w:lang w:val="en-US" w:eastAsia="zh-CN"/>
        </w:rPr>
        <w:t>无条件返工</w:t>
      </w:r>
      <w:r>
        <w:rPr>
          <w:rFonts w:hint="eastAsia" w:ascii="仿宋" w:hAnsi="仿宋" w:eastAsia="仿宋" w:cs="仿宋"/>
          <w:color w:val="auto"/>
          <w:sz w:val="28"/>
          <w:szCs w:val="28"/>
          <w:highlight w:val="none"/>
        </w:rPr>
        <w:t>至合格</w:t>
      </w:r>
      <w:r>
        <w:rPr>
          <w:rFonts w:hint="eastAsia" w:ascii="仿宋" w:hAnsi="仿宋" w:eastAsia="仿宋" w:cs="仿宋"/>
          <w:color w:val="auto"/>
          <w:sz w:val="28"/>
          <w:szCs w:val="28"/>
          <w:highlight w:val="none"/>
          <w:lang w:val="en-US" w:eastAsia="zh-CN"/>
        </w:rPr>
        <w:t>为止</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要求之日起</w:t>
      </w:r>
      <w:r>
        <w:rPr>
          <w:rFonts w:hint="eastAsia" w:ascii="仿宋" w:hAnsi="仿宋" w:eastAsia="仿宋" w:cs="仿宋"/>
          <w:color w:val="auto"/>
          <w:sz w:val="28"/>
          <w:szCs w:val="28"/>
          <w:highlight w:val="none"/>
        </w:rPr>
        <w:t>3个日历天内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仍未采取</w:t>
      </w:r>
      <w:r>
        <w:rPr>
          <w:rFonts w:hint="eastAsia" w:ascii="仿宋" w:hAnsi="仿宋" w:eastAsia="仿宋" w:cs="仿宋"/>
          <w:color w:val="auto"/>
          <w:sz w:val="28"/>
          <w:szCs w:val="28"/>
          <w:highlight w:val="none"/>
          <w:lang w:val="en-US" w:eastAsia="zh-CN"/>
        </w:rPr>
        <w:t>有效</w:t>
      </w:r>
      <w:r>
        <w:rPr>
          <w:rFonts w:hint="eastAsia" w:ascii="仿宋" w:hAnsi="仿宋" w:eastAsia="仿宋" w:cs="仿宋"/>
          <w:color w:val="auto"/>
          <w:sz w:val="28"/>
          <w:szCs w:val="28"/>
          <w:highlight w:val="none"/>
        </w:rPr>
        <w:t>返工措施或未在甲方要求的期限内</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整改并通过甲方验收的，每延迟一个日历天，乙方向甲方支付违约金人民币</w:t>
      </w:r>
      <w:r>
        <w:rPr>
          <w:rFonts w:hint="eastAsia" w:ascii="仿宋" w:hAnsi="仿宋" w:eastAsia="仿宋" w:cs="仿宋"/>
          <w:color w:val="auto"/>
          <w:sz w:val="28"/>
          <w:szCs w:val="28"/>
          <w:highlight w:val="none"/>
          <w:lang w:val="en-US" w:eastAsia="zh-CN"/>
        </w:rPr>
        <w:t>壹万</w:t>
      </w:r>
      <w:r>
        <w:rPr>
          <w:rFonts w:hint="eastAsia" w:ascii="仿宋" w:hAnsi="仿宋" w:eastAsia="仿宋" w:cs="仿宋"/>
          <w:color w:val="auto"/>
          <w:sz w:val="28"/>
          <w:szCs w:val="28"/>
          <w:highlight w:val="none"/>
        </w:rPr>
        <w:t>元整</w:t>
      </w:r>
      <w:r>
        <w:rPr>
          <w:rFonts w:hint="eastAsia" w:ascii="仿宋" w:hAnsi="仿宋" w:eastAsia="仿宋" w:cs="仿宋"/>
          <w:color w:val="auto"/>
          <w:sz w:val="28"/>
          <w:szCs w:val="28"/>
          <w:highlight w:val="none"/>
          <w:lang w:val="en-US" w:eastAsia="zh-CN"/>
        </w:rPr>
        <w:t>并赔偿</w:t>
      </w:r>
      <w:r>
        <w:rPr>
          <w:rFonts w:hint="eastAsia" w:ascii="仿宋" w:hAnsi="仿宋" w:eastAsia="仿宋" w:cs="仿宋"/>
          <w:color w:val="auto"/>
          <w:sz w:val="28"/>
          <w:szCs w:val="28"/>
          <w:highlight w:val="none"/>
        </w:rPr>
        <w:t>甲方损失（包括但不限于因逾期完工而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承担的违约责任、损失赔偿责任等），同时甲方有权：①单方解除合同并要求乙方期限内无条件撤场，乙方向甲方支付金额等于</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20%的违约金和赔偿甲方全部损失，已完工工程无偿归甲方，甲方无需支付工程款；②另行委托其他单位对</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进行返修，乙方须无条件接受并配合，由此产生的一切费用乙方承担</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.3经甲方验核达不到约定质量标准的检验批（分项或分部），甲方有权对乙方按相应检验批的工程量处以相当于</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5%的违约金处理，如果甲方被政府部门或</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处罚</w:t>
      </w:r>
      <w:r>
        <w:rPr>
          <w:rFonts w:hint="eastAsia" w:ascii="仿宋" w:hAnsi="仿宋" w:eastAsia="仿宋" w:cs="仿宋"/>
          <w:color w:val="auto"/>
          <w:sz w:val="28"/>
          <w:szCs w:val="28"/>
          <w:highlight w:val="none"/>
          <w:lang w:val="en-US" w:eastAsia="zh-CN"/>
        </w:rPr>
        <w:t>而</w:t>
      </w:r>
      <w:r>
        <w:rPr>
          <w:rFonts w:hint="eastAsia" w:ascii="仿宋" w:hAnsi="仿宋" w:eastAsia="仿宋" w:cs="仿宋"/>
          <w:color w:val="auto"/>
          <w:sz w:val="28"/>
          <w:szCs w:val="28"/>
          <w:highlight w:val="none"/>
        </w:rPr>
        <w:t>需承担违约、赔偿责任</w:t>
      </w:r>
      <w:r>
        <w:rPr>
          <w:rFonts w:hint="eastAsia" w:ascii="仿宋" w:hAnsi="仿宋" w:eastAsia="仿宋" w:cs="仿宋"/>
          <w:color w:val="auto"/>
          <w:sz w:val="28"/>
          <w:szCs w:val="28"/>
          <w:highlight w:val="none"/>
          <w:lang w:val="en-US" w:eastAsia="zh-CN"/>
        </w:rPr>
        <w:t>或费用的</w:t>
      </w:r>
      <w:r>
        <w:rPr>
          <w:rFonts w:hint="eastAsia" w:ascii="仿宋" w:hAnsi="仿宋" w:eastAsia="仿宋" w:cs="仿宋"/>
          <w:color w:val="auto"/>
          <w:sz w:val="28"/>
          <w:szCs w:val="28"/>
          <w:highlight w:val="none"/>
        </w:rPr>
        <w:t>，则由乙方全部承担，同时甲方保留对乙方追偿的权利。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7" w:firstLineChars="14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.4合同履行期间，因乙方原因造成甲</w:t>
      </w:r>
      <w:r>
        <w:rPr>
          <w:rFonts w:hint="eastAsia" w:ascii="仿宋" w:hAnsi="仿宋" w:eastAsia="仿宋" w:cs="仿宋"/>
          <w:color w:val="auto"/>
          <w:sz w:val="28"/>
          <w:szCs w:val="28"/>
          <w:highlight w:val="none"/>
          <w:lang w:val="en-US" w:eastAsia="zh-CN"/>
        </w:rPr>
        <w:t>方或本工程或本项目</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lang w:val="en-US" w:eastAsia="zh-CN"/>
        </w:rPr>
        <w:t>政府部门</w:t>
      </w:r>
      <w:r>
        <w:rPr>
          <w:rFonts w:hint="eastAsia" w:ascii="仿宋" w:hAnsi="仿宋" w:eastAsia="仿宋" w:cs="仿宋"/>
          <w:color w:val="auto"/>
          <w:sz w:val="28"/>
          <w:szCs w:val="28"/>
          <w:highlight w:val="none"/>
        </w:rPr>
        <w:t>停工、整改导致扣分的，按贰万元/分由乙方支付给甲方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甲方亦可从任意合同款中扣款</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.5乙方及</w:t>
      </w:r>
      <w:r>
        <w:rPr>
          <w:rFonts w:hint="eastAsia" w:ascii="仿宋" w:hAnsi="仿宋" w:eastAsia="仿宋" w:cs="仿宋"/>
          <w:color w:val="auto"/>
          <w:sz w:val="28"/>
          <w:szCs w:val="28"/>
          <w:highlight w:val="none"/>
          <w:lang w:val="en-US" w:eastAsia="zh-CN"/>
        </w:rPr>
        <w:t>其人员</w:t>
      </w:r>
      <w:r>
        <w:rPr>
          <w:rFonts w:hint="eastAsia" w:ascii="仿宋" w:hAnsi="仿宋" w:eastAsia="仿宋" w:cs="仿宋"/>
          <w:color w:val="auto"/>
          <w:sz w:val="28"/>
          <w:szCs w:val="28"/>
          <w:highlight w:val="none"/>
        </w:rPr>
        <w:t>、供应商不得以任何理由去政府部门上访、投诉，</w:t>
      </w:r>
      <w:r>
        <w:rPr>
          <w:rFonts w:hint="eastAsia" w:ascii="仿宋" w:hAnsi="仿宋" w:eastAsia="仿宋" w:cs="仿宋"/>
          <w:color w:val="auto"/>
          <w:sz w:val="28"/>
          <w:szCs w:val="28"/>
          <w:highlight w:val="none"/>
          <w:lang w:val="en-US" w:eastAsia="zh-CN"/>
        </w:rPr>
        <w:t>不得</w:t>
      </w:r>
      <w:r>
        <w:rPr>
          <w:rFonts w:hint="eastAsia" w:ascii="仿宋" w:hAnsi="仿宋" w:eastAsia="仿宋" w:cs="仿宋"/>
          <w:color w:val="auto"/>
          <w:sz w:val="28"/>
          <w:szCs w:val="28"/>
          <w:highlight w:val="none"/>
        </w:rPr>
        <w:t>去建设单位投诉、静坐，否则视情节轻重</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rPr>
        <w:t>违约金壹万至壹拾万元/次。</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.6乙方无正当理由停工或</w:t>
      </w:r>
      <w:r>
        <w:rPr>
          <w:rFonts w:hint="eastAsia" w:ascii="仿宋" w:hAnsi="仿宋" w:eastAsia="仿宋" w:cs="仿宋"/>
          <w:color w:val="auto"/>
          <w:sz w:val="28"/>
          <w:szCs w:val="28"/>
          <w:highlight w:val="none"/>
          <w:lang w:val="en-US" w:eastAsia="zh-CN"/>
        </w:rPr>
        <w:t>提出</w:t>
      </w:r>
      <w:r>
        <w:rPr>
          <w:rFonts w:hint="eastAsia" w:ascii="仿宋" w:hAnsi="仿宋" w:eastAsia="仿宋" w:cs="仿宋"/>
          <w:color w:val="auto"/>
          <w:sz w:val="28"/>
          <w:szCs w:val="28"/>
          <w:highlight w:val="none"/>
        </w:rPr>
        <w:t>不履行合同</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拖延工期</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不能正常开展工作连续3天以上或无力将</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顺利开展下去的，</w:t>
      </w:r>
      <w:r>
        <w:rPr>
          <w:rFonts w:hint="eastAsia" w:ascii="仿宋" w:hAnsi="仿宋" w:eastAsia="仿宋" w:cs="仿宋"/>
          <w:color w:val="auto"/>
          <w:sz w:val="28"/>
          <w:szCs w:val="28"/>
          <w:highlight w:val="none"/>
          <w:lang w:val="en-US" w:eastAsia="zh-CN"/>
        </w:rPr>
        <w:t>属乙方违约，</w:t>
      </w:r>
      <w:r>
        <w:rPr>
          <w:rFonts w:hint="eastAsia" w:ascii="仿宋" w:hAnsi="仿宋" w:eastAsia="仿宋" w:cs="仿宋"/>
          <w:color w:val="auto"/>
          <w:sz w:val="28"/>
          <w:szCs w:val="28"/>
          <w:highlight w:val="none"/>
        </w:rPr>
        <w:t>甲方有权单方解除合同且对乙方</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合同总价的20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收取</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val="en-US" w:eastAsia="zh-CN"/>
        </w:rPr>
        <w:t>并对乙方处罚贰万元以上罚款，同时</w:t>
      </w:r>
      <w:r>
        <w:rPr>
          <w:rFonts w:hint="eastAsia" w:ascii="仿宋" w:hAnsi="仿宋" w:eastAsia="仿宋" w:cs="仿宋"/>
          <w:color w:val="auto"/>
          <w:sz w:val="28"/>
          <w:szCs w:val="28"/>
          <w:highlight w:val="none"/>
        </w:rPr>
        <w:t>乙方按甲方要求限时退场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承担给甲方造成的所有损失</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15.7乙方未及时发放工人工资或及时支付货款，导致影响甲方或本项目或本工程的，甲方有权对乙方进行处罚，每发生一次劳资纠纷或货款纠纷事件，乙方向甲方另行支付违约金叁万元。若因乙方拖欠工人工资或货款，导致媒体曝光或政府部门介入的，乙方另向甲方支付违约金不少于五万元/次。</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.8凡乙方发生偷工减料行为，甲方视情节轻重计收乙方贰万</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rPr>
        <w:t>至壹拾万元/次</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.9</w:t>
      </w:r>
      <w:r>
        <w:rPr>
          <w:rFonts w:hint="eastAsia" w:ascii="仿宋" w:hAnsi="仿宋" w:eastAsia="仿宋" w:cs="仿宋"/>
          <w:b w:val="0"/>
          <w:bCs w:val="0"/>
          <w:color w:val="auto"/>
          <w:sz w:val="28"/>
          <w:szCs w:val="28"/>
          <w:highlight w:val="none"/>
          <w:lang w:val="en-US" w:eastAsia="zh-CN"/>
        </w:rPr>
        <w:t>合同履行期间，因为乙方原因导致甲方被建设单位、政府行政主管部门等单位进行处罚的，乙方自愿承担该处罚金额2倍以上的违约金给甲方。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15.10因乙方原因导致甲方被起诉或被处分的，乙方除赔偿甲方损失外，甲方每被起诉或处分一次，乙方还须向甲方支付五万元的违约金；若因此导致甲方账号被冻结，乙方须按冻结资金总额的日千分之一向甲方支付利息；因出现此情形属乙方自身管理不当，乙方自愿承担甲方遭受的所有损失，并根据账号被冻结次数，每次额外再向甲方支付五万元的违约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15.11</w:t>
      </w:r>
      <w:r>
        <w:rPr>
          <w:rFonts w:hint="eastAsia" w:ascii="仿宋" w:hAnsi="仿宋" w:eastAsia="仿宋" w:cs="仿宋"/>
          <w:color w:val="auto"/>
          <w:sz w:val="28"/>
          <w:szCs w:val="28"/>
          <w:highlight w:val="none"/>
        </w:rPr>
        <w:t>乙方出现</w:t>
      </w:r>
      <w:r>
        <w:rPr>
          <w:rFonts w:hint="eastAsia" w:ascii="仿宋" w:hAnsi="仿宋" w:eastAsia="仿宋" w:cs="仿宋"/>
          <w:color w:val="auto"/>
          <w:sz w:val="28"/>
          <w:szCs w:val="28"/>
          <w:highlight w:val="none"/>
          <w:lang w:val="en-US" w:eastAsia="zh-CN"/>
        </w:rPr>
        <w:t>上述第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条~第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条</w:t>
      </w:r>
      <w:r>
        <w:rPr>
          <w:rFonts w:hint="eastAsia" w:ascii="仿宋" w:hAnsi="仿宋" w:eastAsia="仿宋" w:cs="仿宋"/>
          <w:i w:val="0"/>
          <w:iCs w:val="0"/>
          <w:color w:val="auto"/>
          <w:kern w:val="0"/>
          <w:sz w:val="28"/>
          <w:szCs w:val="28"/>
          <w:highlight w:val="none"/>
          <w:shd w:val="clear" w:color="auto" w:fill="auto"/>
        </w:rPr>
        <w:t>所述任一行为或未履行合同任一义务的，均属乙方严重违约，乙方除按上述条款承担包括但不限于以上所述的违约责任外，甲方可随时单方解除本合同，所产生的损失由乙方赔偿甲方</w:t>
      </w:r>
      <w:r>
        <w:rPr>
          <w:rFonts w:hint="eastAsia" w:ascii="仿宋" w:hAnsi="仿宋" w:eastAsia="仿宋" w:cs="仿宋"/>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i w:val="0"/>
          <w:iCs w:val="0"/>
          <w:color w:val="auto"/>
          <w:kern w:val="0"/>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2</w:t>
      </w:r>
      <w:r>
        <w:rPr>
          <w:rFonts w:hint="eastAsia" w:ascii="仿宋" w:hAnsi="仿宋" w:eastAsia="仿宋" w:cs="仿宋"/>
          <w:i w:val="0"/>
          <w:iCs w:val="0"/>
          <w:color w:val="auto"/>
          <w:kern w:val="0"/>
          <w:sz w:val="28"/>
          <w:szCs w:val="28"/>
          <w:highlight w:val="none"/>
          <w:shd w:val="clear" w:color="auto" w:fill="auto"/>
        </w:rPr>
        <w:t>因建设单位、设计变更或非甲方原因导致本合同不能履行的，甲、乙双方互不追究违约责任，</w:t>
      </w:r>
      <w:r>
        <w:rPr>
          <w:rFonts w:hint="eastAsia" w:ascii="仿宋" w:hAnsi="仿宋" w:eastAsia="仿宋" w:cs="仿宋"/>
          <w:i w:val="0"/>
          <w:iCs w:val="0"/>
          <w:color w:val="auto"/>
          <w:kern w:val="0"/>
          <w:sz w:val="28"/>
          <w:szCs w:val="28"/>
          <w:highlight w:val="none"/>
          <w:shd w:val="clear" w:color="auto" w:fill="auto"/>
          <w:lang w:eastAsia="zh-CN"/>
        </w:rPr>
        <w:t>按照乙方已完成且经甲方验收合格的工程量进行结算，</w:t>
      </w:r>
      <w:r>
        <w:rPr>
          <w:rFonts w:hint="eastAsia" w:ascii="仿宋" w:hAnsi="仿宋" w:eastAsia="仿宋" w:cs="仿宋"/>
          <w:i w:val="0"/>
          <w:iCs w:val="0"/>
          <w:color w:val="auto"/>
          <w:kern w:val="0"/>
          <w:sz w:val="28"/>
          <w:szCs w:val="28"/>
          <w:highlight w:val="none"/>
          <w:shd w:val="clear" w:color="auto" w:fill="auto"/>
        </w:rPr>
        <w:t>同时双方各自承担自身损失。</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rPr>
        <w:t>乙方不得因停工损失向甲方索赔，同意</w:t>
      </w:r>
      <w:r>
        <w:rPr>
          <w:rFonts w:hint="eastAsia" w:ascii="仿宋" w:hAnsi="仿宋" w:eastAsia="仿宋" w:cs="仿宋"/>
          <w:i w:val="0"/>
          <w:iCs w:val="0"/>
          <w:color w:val="auto"/>
          <w:sz w:val="28"/>
          <w:szCs w:val="28"/>
          <w:highlight w:val="none"/>
          <w:shd w:val="clear" w:color="auto" w:fill="auto"/>
        </w:rPr>
        <w:t>不追究甲方在本合同履行过程中因付款延迟、停工而产生的违约责任。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15.14基于本项目的特殊性，乙方已充分了解其责任义务并自愿承担相应风险，合同所约定的违约金标准经双方友好协商确定，乙方放弃对违约金标准提出任何主张或抗辩。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15.15在本合同履行过程中，可能因乙方原因造成施工质量、安全文明等无法满足甲方及规范要求的，乙方须提供不属于其责任的证明并得到甲方的书面认可，否则视为乙方违约，全部责任及费用和损失由乙方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15.16乙方原因造成本工程质量达不到本合同约定的质量标准或出现影响使用功能和工程结构安全，即使通过技术整改措施仍然无法达到设计要求等永久质量问题的，无论是否在保修期内，乙方须无条件返工至合格为止，并须赔偿甲方因此造成的一切损失，所有费用甲方在乙方任一款项中扣除，乙方工程款不足以赔偿甲方损失的，由乙方在甲方通知5个日历天内自行筹备资金向甲方缴纳，乙方法定代表人及实际控制人自愿承担无限连带清偿责任。若该永久质量问题无法满足设计及合同约定质量标准，而甲方和建设单位也接受现状质量，乙方仍需承担违约责任，自愿接受不合格部位造价20%以上的违约金，同时处以5000元以上的罚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15.17乙方必须按本合同施工图纸及甲方签发的《施工交楼标准》准确预留、预埋或开凿槽施工【包括不限于：楼地面、屋面找平层、墙体、柱子天棚抹灰等施工前完成(甲方另行签证除外）】。本项目禁止泥水找平或抹灰工程完成后再开凿槽、开洞，进行影响工程质量及观感的工作。因乙方原因造成上述情况发生的，属乙方违约，找平层、抹灰层、面层等工程恢复由甲方指定专业泥水分包单位完成，按所产生全部费用的200%（包含不限于工期延误、材料、劳务等费用）由乙方承担。该费用已包含在本合同单（总）价中，不另计价，同时乙方就此违约行为按本合同（暂定）总价的30%向甲方支付违约金，并按1000元/处接受甲方对乙方处罚，相应违约金及扣款在乙方任一工程款中扣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15.18本项目如出现了可能因乙方原因导致的施工材料不合格或工程质量问题，甲方有权按自行估算的最大损失金额在任何合同应付款项中进行暂扣，待责任及损失金额确定后，甲方无息返还非乙方责任的暂扣金额。</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06" w:rightChars="-241" w:firstLine="419" w:firstLineChars="0"/>
        <w:textAlignment w:val="baseline"/>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15.19乙方须对甲供材料进行质量检验检测，并及时出具书面结果给甲方，如乙方施工部分的甲供材料出现质量问题，甲方有权扣除乙方在该施工部分的费用，如造成甲方损失，乙方须全额赔偿并承担全部责任。</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廉洁条款</w:t>
      </w:r>
      <w:bookmarkEnd w:id="53"/>
      <w:bookmarkEnd w:id="54"/>
      <w:bookmarkEnd w:id="55"/>
      <w:bookmarkEnd w:id="56"/>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16.</w:t>
      </w:r>
      <w:r>
        <w:rPr>
          <w:rFonts w:hint="eastAsia" w:ascii="仿宋" w:hAnsi="仿宋" w:eastAsia="仿宋" w:cs="仿宋"/>
          <w:i w:val="0"/>
          <w:iCs w:val="0"/>
          <w:color w:val="auto"/>
          <w:sz w:val="28"/>
          <w:szCs w:val="28"/>
          <w:highlight w:val="none"/>
          <w:shd w:val="clear" w:color="auto" w:fill="auto"/>
        </w:rPr>
        <w:t>1乙方在与甲方合作期间（包括本</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招标、签订、履行期间），不得向甲方职员提供请吃、送礼、旅游、色情服务、行贿、回扣或其他好处，如有违反，乙方每次向甲方支付</w:t>
      </w:r>
      <w:r>
        <w:rPr>
          <w:rFonts w:hint="eastAsia" w:ascii="仿宋" w:hAnsi="仿宋" w:eastAsia="仿宋" w:cs="仿宋"/>
          <w:i w:val="0"/>
          <w:iCs w:val="0"/>
          <w:color w:val="auto"/>
          <w:kern w:val="0"/>
          <w:sz w:val="28"/>
          <w:szCs w:val="28"/>
          <w:highlight w:val="none"/>
          <w:u w:val="single"/>
          <w:shd w:val="clear" w:color="auto" w:fill="auto"/>
        </w:rPr>
        <w:sym w:font="Wingdings 2" w:char="0052"/>
      </w:r>
      <w:r>
        <w:rPr>
          <w:rFonts w:hint="eastAsia" w:ascii="仿宋" w:hAnsi="仿宋" w:eastAsia="仿宋" w:cs="仿宋"/>
          <w:i w:val="0"/>
          <w:iCs w:val="0"/>
          <w:color w:val="auto"/>
          <w:kern w:val="0"/>
          <w:sz w:val="28"/>
          <w:szCs w:val="28"/>
          <w:highlight w:val="none"/>
          <w:u w:val="single"/>
          <w:shd w:val="clear" w:color="auto" w:fill="auto"/>
          <w:lang w:val="en-US" w:eastAsia="zh-CN"/>
        </w:rPr>
        <w:t>合同暂定总价/</w:t>
      </w:r>
      <w:r>
        <w:rPr>
          <w:rFonts w:hint="eastAsia" w:ascii="仿宋" w:hAnsi="仿宋" w:eastAsia="仿宋" w:cs="仿宋"/>
          <w:i w:val="0"/>
          <w:iCs w:val="0"/>
          <w:color w:val="auto"/>
          <w:kern w:val="0"/>
          <w:sz w:val="28"/>
          <w:szCs w:val="28"/>
          <w:highlight w:val="none"/>
          <w:u w:val="single"/>
          <w:shd w:val="clear" w:color="auto" w:fill="auto"/>
        </w:rPr>
        <w:sym w:font="Wingdings 2" w:char="00A3"/>
      </w:r>
      <w:r>
        <w:rPr>
          <w:rFonts w:hint="eastAsia" w:ascii="仿宋" w:hAnsi="仿宋" w:eastAsia="仿宋" w:cs="仿宋"/>
          <w:i w:val="0"/>
          <w:iCs w:val="0"/>
          <w:color w:val="auto"/>
          <w:kern w:val="0"/>
          <w:sz w:val="28"/>
          <w:szCs w:val="28"/>
          <w:highlight w:val="none"/>
          <w:u w:val="singl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rPr>
        <w:t>的10％作为违约金（甲方可从任意一笔合同款中扣款），造成甲方经济或其他损失的，乙方全额赔偿</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16.</w:t>
      </w:r>
      <w:r>
        <w:rPr>
          <w:rFonts w:hint="eastAsia" w:ascii="仿宋" w:hAnsi="仿宋" w:eastAsia="仿宋" w:cs="仿宋"/>
          <w:i w:val="0"/>
          <w:iCs w:val="0"/>
          <w:color w:val="auto"/>
          <w:sz w:val="28"/>
          <w:szCs w:val="28"/>
          <w:highlight w:val="none"/>
          <w:shd w:val="clear" w:color="auto" w:fill="auto"/>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16.</w:t>
      </w:r>
      <w:r>
        <w:rPr>
          <w:rFonts w:hint="eastAsia" w:ascii="仿宋" w:hAnsi="仿宋" w:eastAsia="仿宋" w:cs="仿宋"/>
          <w:i w:val="0"/>
          <w:iCs w:val="0"/>
          <w:color w:val="auto"/>
          <w:sz w:val="28"/>
          <w:szCs w:val="28"/>
          <w:highlight w:val="none"/>
          <w:shd w:val="clear" w:color="auto" w:fill="auto"/>
        </w:rPr>
        <w:t>3 如甲方发现乙方可能存在违反廉洁条款的行为时，甲方有权暂扣违约金/争议工程款/处罚款等对应等额的工程款，直至调查完毕后根据调查结果再作处理，甲方暂不付款的行为不视为甲方违约。</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147" w:beforeLines="50" w:line="360" w:lineRule="auto"/>
        <w:ind w:left="-193" w:leftChars="-95" w:right="-578" w:rightChars="-275" w:hanging="6" w:firstLineChars="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57" w:name="_Toc15001"/>
      <w:bookmarkStart w:id="58" w:name="_Toc7932"/>
      <w:bookmarkStart w:id="59" w:name="_Toc18674"/>
      <w:bookmarkStart w:id="60" w:name="_Toc11790"/>
      <w:r>
        <w:rPr>
          <w:rFonts w:hint="eastAsia" w:ascii="仿宋" w:hAnsi="仿宋" w:eastAsia="仿宋" w:cs="仿宋"/>
          <w:b/>
          <w:bCs/>
          <w:i w:val="0"/>
          <w:iCs w:val="0"/>
          <w:color w:val="auto"/>
          <w:sz w:val="28"/>
          <w:szCs w:val="28"/>
          <w:highlight w:val="none"/>
          <w:shd w:val="clear" w:color="auto" w:fill="auto"/>
          <w:lang w:val="en-US" w:eastAsia="zh-CN"/>
        </w:rPr>
        <w:t>其他</w:t>
      </w:r>
      <w:bookmarkEnd w:id="57"/>
      <w:bookmarkEnd w:id="58"/>
      <w:bookmarkEnd w:id="59"/>
      <w:bookmarkEnd w:id="60"/>
      <w:r>
        <w:rPr>
          <w:rFonts w:hint="eastAsia" w:ascii="仿宋" w:hAnsi="仿宋" w:eastAsia="仿宋" w:cs="仿宋"/>
          <w:b/>
          <w:bCs/>
          <w:i w:val="0"/>
          <w:iCs w:val="0"/>
          <w:color w:val="auto"/>
          <w:sz w:val="28"/>
          <w:szCs w:val="28"/>
          <w:highlight w:val="none"/>
          <w:shd w:val="clear" w:color="auto" w:fill="auto"/>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rPr>
        <w:t>甲乙双方联系人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.1.1甲方指定</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彭善海 </w:t>
      </w:r>
      <w:r>
        <w:rPr>
          <w:rFonts w:hint="eastAsia" w:ascii="仿宋_GB2312" w:hAnsi="仿宋_GB2312" w:eastAsia="仿宋_GB2312" w:cs="仿宋_GB2312"/>
          <w:i w:val="0"/>
          <w:iCs w:val="0"/>
          <w:color w:val="auto"/>
          <w:sz w:val="28"/>
          <w:szCs w:val="28"/>
          <w:highlight w:val="none"/>
          <w:shd w:val="clear" w:color="auto" w:fill="auto"/>
        </w:rPr>
        <w:t>为本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负责人及</w:t>
      </w:r>
      <w:r>
        <w:rPr>
          <w:rFonts w:hint="eastAsia" w:ascii="仿宋_GB2312" w:hAnsi="仿宋_GB2312" w:eastAsia="仿宋_GB2312" w:cs="仿宋_GB2312"/>
          <w:i w:val="0"/>
          <w:iCs w:val="0"/>
          <w:color w:val="auto"/>
          <w:sz w:val="28"/>
          <w:szCs w:val="28"/>
          <w:highlight w:val="none"/>
          <w:shd w:val="clear" w:color="auto" w:fill="auto"/>
          <w:lang w:val="en-US" w:eastAsia="zh-CN"/>
        </w:rPr>
        <w:t>本合同</w:t>
      </w:r>
      <w:r>
        <w:rPr>
          <w:rFonts w:hint="eastAsia" w:ascii="仿宋_GB2312" w:hAnsi="仿宋_GB2312" w:eastAsia="仿宋_GB2312" w:cs="仿宋_GB2312"/>
          <w:i w:val="0"/>
          <w:iCs w:val="0"/>
          <w:color w:val="auto"/>
          <w:sz w:val="28"/>
          <w:szCs w:val="28"/>
          <w:highlight w:val="none"/>
          <w:shd w:val="clear" w:color="auto" w:fill="auto"/>
        </w:rPr>
        <w:t>甲方执行联系人，联系电话：</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13592796498</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未经甲方加盖公章确认，甲方</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项目章样式详见本合同附件）方为有效，否则为无效文件，仅盖章或者</w:t>
      </w:r>
      <w:r>
        <w:rPr>
          <w:rFonts w:hint="eastAsia" w:ascii="仿宋_GB2312" w:hAnsi="仿宋_GB2312" w:eastAsia="仿宋_GB2312" w:cs="仿宋_GB2312"/>
          <w:i w:val="0"/>
          <w:iCs w:val="0"/>
          <w:color w:val="auto"/>
          <w:sz w:val="28"/>
          <w:szCs w:val="28"/>
          <w:highlight w:val="none"/>
          <w:shd w:val="clear" w:color="auto" w:fill="auto"/>
          <w:lang w:val="en-US" w:eastAsia="zh-CN"/>
        </w:rPr>
        <w:t>仅</w:t>
      </w:r>
      <w:r>
        <w:rPr>
          <w:rFonts w:hint="eastAsia" w:ascii="仿宋_GB2312" w:hAnsi="仿宋_GB2312" w:eastAsia="仿宋_GB2312" w:cs="仿宋_GB2312"/>
          <w:i w:val="0"/>
          <w:iCs w:val="0"/>
          <w:color w:val="auto"/>
          <w:sz w:val="28"/>
          <w:szCs w:val="28"/>
          <w:highlight w:val="none"/>
          <w:shd w:val="clear" w:color="auto" w:fill="auto"/>
        </w:rPr>
        <w:t>签名的文件亦无效。甲方项目负责人、执行联系人变更的，甲方将以书面形式通知乙方。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rPr>
        <w:t xml:space="preserve">       （身份证号码：               ；手机号码：          </w:t>
      </w:r>
      <w:r>
        <w:rPr>
          <w:rFonts w:hint="eastAsia" w:ascii="仿宋_GB2312" w:hAnsi="仿宋_GB2312" w:eastAsia="仿宋_GB2312" w:cs="仿宋_GB2312"/>
          <w:b w:val="0"/>
          <w:bCs w:val="0"/>
          <w:i w:val="0"/>
          <w:iCs w:val="0"/>
          <w:color w:val="auto"/>
          <w:sz w:val="28"/>
          <w:szCs w:val="28"/>
          <w:highlight w:val="none"/>
          <w:shd w:val="clear" w:color="auto" w:fill="auto"/>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本合同的乙方</w:t>
      </w:r>
      <w:r>
        <w:rPr>
          <w:rFonts w:hint="eastAsia" w:ascii="仿宋_GB2312" w:hAnsi="仿宋_GB2312" w:eastAsia="仿宋_GB2312" w:cs="仿宋_GB2312"/>
          <w:b w:val="0"/>
          <w:bCs w:val="0"/>
          <w:i w:val="0"/>
          <w:iCs w:val="0"/>
          <w:color w:val="auto"/>
          <w:sz w:val="28"/>
          <w:szCs w:val="28"/>
          <w:highlight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u w:val="none"/>
          <w:shd w:val="clear" w:color="auto" w:fill="auto"/>
        </w:rPr>
        <w:t>乙</w:t>
      </w:r>
      <w:r>
        <w:rPr>
          <w:rFonts w:hint="eastAsia" w:ascii="仿宋_GB2312" w:hAnsi="仿宋_GB2312" w:eastAsia="仿宋_GB2312" w:cs="仿宋_GB2312"/>
          <w:b w:val="0"/>
          <w:bCs w:val="0"/>
          <w:i w:val="0"/>
          <w:iCs w:val="0"/>
          <w:color w:val="auto"/>
          <w:sz w:val="28"/>
          <w:szCs w:val="28"/>
          <w:highlight w:val="none"/>
          <w:shd w:val="clear" w:color="auto" w:fill="auto"/>
        </w:rPr>
        <w:t>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授权</w:t>
      </w:r>
      <w:r>
        <w:rPr>
          <w:rFonts w:hint="eastAsia" w:ascii="仿宋_GB2312" w:hAnsi="仿宋_GB2312" w:eastAsia="仿宋_GB2312" w:cs="仿宋_GB2312"/>
          <w:b w:val="0"/>
          <w:bCs w:val="0"/>
          <w:i w:val="0"/>
          <w:iCs w:val="0"/>
          <w:color w:val="auto"/>
          <w:sz w:val="28"/>
          <w:szCs w:val="28"/>
          <w:highlight w:val="none"/>
          <w:shd w:val="clear" w:color="auto" w:fill="auto"/>
        </w:rPr>
        <w:t>处理与本合同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相关</w:t>
      </w:r>
      <w:r>
        <w:rPr>
          <w:rFonts w:hint="eastAsia" w:ascii="仿宋_GB2312" w:hAnsi="仿宋_GB2312" w:eastAsia="仿宋_GB2312" w:cs="仿宋_GB2312"/>
          <w:b w:val="0"/>
          <w:bCs w:val="0"/>
          <w:i w:val="0"/>
          <w:iCs w:val="0"/>
          <w:color w:val="auto"/>
          <w:sz w:val="28"/>
          <w:szCs w:val="28"/>
          <w:highlight w:val="none"/>
          <w:shd w:val="clear" w:color="auto" w:fill="auto"/>
        </w:rPr>
        <w:t>事项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的执行人，负责与甲方公司总部办理</w:t>
      </w:r>
      <w:r>
        <w:rPr>
          <w:rFonts w:hint="eastAsia" w:ascii="仿宋_GB2312" w:hAnsi="仿宋_GB2312" w:eastAsia="仿宋_GB2312" w:cs="仿宋_GB2312"/>
          <w:b w:val="0"/>
          <w:bCs w:val="0"/>
          <w:i w:val="0"/>
          <w:iCs w:val="0"/>
          <w:color w:val="auto"/>
          <w:sz w:val="28"/>
          <w:szCs w:val="28"/>
          <w:highlight w:val="none"/>
          <w:shd w:val="clear" w:color="auto" w:fill="auto"/>
        </w:rPr>
        <w:t>相关事务（如负责双方来往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函件</w:t>
      </w:r>
      <w:r>
        <w:rPr>
          <w:rFonts w:hint="eastAsia" w:ascii="仿宋_GB2312" w:hAnsi="仿宋_GB2312" w:eastAsia="仿宋_GB2312" w:cs="仿宋_GB2312"/>
          <w:b w:val="0"/>
          <w:bCs w:val="0"/>
          <w:i w:val="0"/>
          <w:iCs w:val="0"/>
          <w:color w:val="auto"/>
          <w:sz w:val="28"/>
          <w:szCs w:val="28"/>
          <w:highlight w:val="none"/>
          <w:shd w:val="clear" w:color="auto" w:fill="auto"/>
        </w:rPr>
        <w:t>签收、签字、验收、确定增减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w:t>
      </w:r>
      <w:r>
        <w:rPr>
          <w:rFonts w:hint="eastAsia" w:ascii="仿宋_GB2312" w:hAnsi="仿宋_GB2312" w:eastAsia="仿宋_GB2312" w:cs="仿宋_GB2312"/>
          <w:b w:val="0"/>
          <w:bCs w:val="0"/>
          <w:i w:val="0"/>
          <w:iCs w:val="0"/>
          <w:color w:val="auto"/>
          <w:sz w:val="28"/>
          <w:szCs w:val="28"/>
          <w:highlight w:val="none"/>
          <w:shd w:val="clear" w:color="auto" w:fill="auto"/>
        </w:rPr>
        <w:t>款、确定结算金额、领款、签收并签认甲方对乙方违约行为作出的处理通知等行为）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17.1.3</w:t>
      </w:r>
      <w:r>
        <w:rPr>
          <w:rFonts w:hint="eastAsia" w:ascii="仿宋_GB2312" w:hAnsi="仿宋_GB2312" w:eastAsia="仿宋_GB2312" w:cs="仿宋_GB2312"/>
          <w:b w:val="0"/>
          <w:bCs w:val="0"/>
          <w:i w:val="0"/>
          <w:iCs w:val="0"/>
          <w:color w:val="auto"/>
          <w:sz w:val="28"/>
          <w:szCs w:val="28"/>
          <w:highlight w:val="none"/>
          <w:shd w:val="clear" w:color="auto" w:fill="auto"/>
        </w:rPr>
        <w:t>乙方指定</w:t>
      </w:r>
      <w:r>
        <w:rPr>
          <w:rFonts w:hint="eastAsia" w:ascii="仿宋_GB2312" w:hAnsi="仿宋_GB2312" w:eastAsia="仿宋_GB2312" w:cs="仿宋_GB2312"/>
          <w:b w:val="0"/>
          <w:bCs w:val="0"/>
          <w:i w:val="0"/>
          <w:iCs w:val="0"/>
          <w:color w:val="auto"/>
          <w:sz w:val="28"/>
          <w:szCs w:val="28"/>
          <w:highlight w:val="none"/>
          <w:u w:val="single"/>
          <w:shd w:val="clear" w:color="auto" w:fill="auto"/>
        </w:rPr>
        <w:t xml:space="preserve">       （身份证号码：               ；手机号码：          </w:t>
      </w:r>
      <w:r>
        <w:rPr>
          <w:rFonts w:hint="eastAsia" w:ascii="仿宋_GB2312" w:hAnsi="仿宋_GB2312" w:eastAsia="仿宋_GB2312" w:cs="仿宋_GB2312"/>
          <w:b w:val="0"/>
          <w:bCs w:val="0"/>
          <w:i w:val="0"/>
          <w:iCs w:val="0"/>
          <w:color w:val="auto"/>
          <w:sz w:val="28"/>
          <w:szCs w:val="28"/>
          <w:highlight w:val="none"/>
          <w:shd w:val="clear" w:color="auto" w:fill="auto"/>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本合同的乙方现场负责人，</w:t>
      </w:r>
      <w:r>
        <w:rPr>
          <w:rFonts w:hint="eastAsia" w:ascii="仿宋_GB2312" w:hAnsi="仿宋_GB2312" w:eastAsia="仿宋_GB2312" w:cs="仿宋_GB2312"/>
          <w:b w:val="0"/>
          <w:bCs w:val="0"/>
          <w:i w:val="0"/>
          <w:iCs w:val="0"/>
          <w:color w:val="auto"/>
          <w:sz w:val="28"/>
          <w:szCs w:val="28"/>
          <w:highlight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乙方授权处理本项目施工现场相关事项执行人，负责与甲方项目现场的工作签认、安排等全部事务。现场负责人必</w:t>
      </w:r>
      <w:r>
        <w:rPr>
          <w:rFonts w:hint="eastAsia" w:ascii="仿宋_GB2312" w:hAnsi="仿宋_GB2312" w:eastAsia="仿宋_GB2312" w:cs="仿宋_GB2312"/>
          <w:b w:val="0"/>
          <w:bCs w:val="0"/>
          <w:i w:val="0"/>
          <w:iCs w:val="0"/>
          <w:color w:val="auto"/>
          <w:sz w:val="28"/>
          <w:szCs w:val="28"/>
          <w:highlight w:val="none"/>
          <w:shd w:val="clear" w:color="auto" w:fill="auto"/>
        </w:rPr>
        <w:t>须常</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驻本项目</w:t>
      </w:r>
      <w:r>
        <w:rPr>
          <w:rFonts w:hint="eastAsia" w:ascii="仿宋_GB2312" w:hAnsi="仿宋_GB2312" w:eastAsia="仿宋_GB2312" w:cs="仿宋_GB2312"/>
          <w:b w:val="0"/>
          <w:bCs w:val="0"/>
          <w:i w:val="0"/>
          <w:iCs w:val="0"/>
          <w:color w:val="auto"/>
          <w:sz w:val="28"/>
          <w:szCs w:val="28"/>
          <w:highlight w:val="none"/>
          <w:shd w:val="clear" w:color="auto" w:fill="auto"/>
        </w:rPr>
        <w:t>施工现场。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578" w:rightChars="-275"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rPr>
        <w:t>乙方对</w:t>
      </w:r>
      <w:r>
        <w:rPr>
          <w:rFonts w:hint="eastAsia" w:ascii="仿宋" w:hAnsi="仿宋" w:eastAsia="仿宋" w:cs="仿宋"/>
          <w:b w:val="0"/>
          <w:bCs w:val="0"/>
          <w:i w:val="0"/>
          <w:iCs w:val="0"/>
          <w:color w:val="auto"/>
          <w:sz w:val="28"/>
          <w:szCs w:val="28"/>
          <w:highlight w:val="none"/>
          <w:shd w:val="clear" w:color="auto" w:fill="auto"/>
          <w:lang w:val="en-US" w:eastAsia="zh-CN"/>
        </w:rPr>
        <w:t>乙方</w:t>
      </w:r>
      <w:r>
        <w:rPr>
          <w:rFonts w:hint="eastAsia" w:ascii="仿宋" w:hAnsi="仿宋" w:eastAsia="仿宋" w:cs="仿宋"/>
          <w:b w:val="0"/>
          <w:bCs w:val="0"/>
          <w:i w:val="0"/>
          <w:iCs w:val="0"/>
          <w:color w:val="auto"/>
          <w:sz w:val="28"/>
          <w:szCs w:val="28"/>
          <w:highlight w:val="none"/>
          <w:shd w:val="clear" w:color="auto" w:fill="auto"/>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及乙方现场负责人的</w:t>
      </w:r>
      <w:r>
        <w:rPr>
          <w:rFonts w:hint="eastAsia" w:ascii="仿宋" w:hAnsi="仿宋" w:eastAsia="仿宋" w:cs="仿宋"/>
          <w:b w:val="0"/>
          <w:bCs w:val="0"/>
          <w:i w:val="0"/>
          <w:iCs w:val="0"/>
          <w:color w:val="auto"/>
          <w:sz w:val="28"/>
          <w:szCs w:val="28"/>
          <w:highlight w:val="none"/>
          <w:shd w:val="clear" w:color="auto" w:fill="auto"/>
        </w:rPr>
        <w:t>行为均予认可并承担一切责任。乙方如需更换授权</w:t>
      </w:r>
      <w:r>
        <w:rPr>
          <w:rFonts w:hint="eastAsia" w:ascii="仿宋" w:hAnsi="仿宋" w:eastAsia="仿宋" w:cs="仿宋"/>
          <w:b w:val="0"/>
          <w:bCs w:val="0"/>
          <w:i w:val="0"/>
          <w:iCs w:val="0"/>
          <w:color w:val="auto"/>
          <w:sz w:val="28"/>
          <w:szCs w:val="28"/>
          <w:highlight w:val="none"/>
          <w:shd w:val="clear" w:color="auto" w:fill="auto"/>
          <w:lang w:val="en-US" w:eastAsia="zh-CN"/>
        </w:rPr>
        <w:t>或现场负责人</w:t>
      </w:r>
      <w:r>
        <w:rPr>
          <w:rFonts w:hint="eastAsia" w:ascii="仿宋" w:hAnsi="仿宋" w:eastAsia="仿宋" w:cs="仿宋"/>
          <w:b w:val="0"/>
          <w:bCs w:val="0"/>
          <w:i w:val="0"/>
          <w:iCs w:val="0"/>
          <w:color w:val="auto"/>
          <w:sz w:val="28"/>
          <w:szCs w:val="28"/>
          <w:highlight w:val="none"/>
          <w:shd w:val="clear" w:color="auto" w:fill="auto"/>
        </w:rPr>
        <w:t>，应提前三个工作日书面报经甲方同意，否则不得更换。</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17.1.4甲乙</w:t>
      </w:r>
      <w:r>
        <w:rPr>
          <w:rFonts w:hint="eastAsia" w:ascii="仿宋" w:hAnsi="仿宋" w:eastAsia="仿宋" w:cs="仿宋"/>
          <w:i w:val="0"/>
          <w:iCs w:val="0"/>
          <w:color w:val="auto"/>
          <w:sz w:val="28"/>
          <w:szCs w:val="28"/>
          <w:highlight w:val="none"/>
          <w:shd w:val="clear" w:color="auto" w:fill="auto"/>
        </w:rPr>
        <w:t>双方确认，甲方用于该项目的项目章，仅供项目部与乙方联系工作和确认施工技术、资料之用。乙方知悉并同意，该项目章用于以下情形时无效：</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1签订工程合同或工程分包合同及机械设备、周材租赁及材料采购类等合同；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2任何类型的欠条或收据；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3任何形式的经济结算凭证；</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4为他人或他单位提供任何形式的担保；</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eastAsia="仿宋"/>
          <w:color w:val="auto"/>
          <w:highlight w:val="none"/>
          <w:lang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5确认任何形式的包含权利义务及责任承担的文件</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jc w:val="left"/>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rPr>
        <w:t>甲方编制的《施工交楼标准》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《常见建筑工程质量通病的标准化施工细则》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隐蔽工程管理制度</w:t>
      </w:r>
      <w:r>
        <w:rPr>
          <w:rFonts w:hint="eastAsia" w:ascii="仿宋" w:hAnsi="仿宋" w:eastAsia="仿宋" w:cs="仿宋"/>
          <w:color w:val="auto"/>
          <w:sz w:val="28"/>
          <w:szCs w:val="28"/>
          <w:highlight w:val="none"/>
          <w:lang w:eastAsia="zh-CN"/>
        </w:rPr>
        <w:t>》、《分包单位施工现场签证管理制度》、《</w:t>
      </w:r>
      <w:r>
        <w:rPr>
          <w:rFonts w:hint="eastAsia" w:ascii="仿宋" w:hAnsi="仿宋" w:eastAsia="仿宋" w:cs="仿宋"/>
          <w:color w:val="auto"/>
          <w:sz w:val="28"/>
          <w:szCs w:val="28"/>
          <w:highlight w:val="none"/>
          <w:lang w:val="en-US" w:eastAsia="zh-CN"/>
        </w:rPr>
        <w:t>临时设施管理制度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为本合同不可分割的组成部分，与合同正文具有同等效力，乙方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照章施工。</w:t>
      </w:r>
      <w:r>
        <w:rPr>
          <w:rFonts w:hint="eastAsia" w:ascii="仿宋" w:hAnsi="仿宋" w:eastAsia="仿宋" w:cs="仿宋"/>
          <w:color w:val="auto"/>
          <w:sz w:val="28"/>
          <w:szCs w:val="28"/>
          <w:highlight w:val="none"/>
          <w:lang w:eastAsia="zh-CN"/>
        </w:rPr>
        <w:t>相关制度文件及附件表格格式以施工当期甲方最新版为准，最终解释权归甲方所有</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3本合同除《工完场清交接单》、《项目用章样式》、《签证单分包说明》、《施工图纸》外，其余合同附件在办理相关手续时，乙方须加盖公章且法人代表签名。</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本合同条款</w:t>
      </w:r>
      <w:r>
        <w:rPr>
          <w:rFonts w:hint="eastAsia" w:ascii="仿宋" w:hAnsi="仿宋" w:eastAsia="仿宋" w:cs="仿宋"/>
          <w:i w:val="0"/>
          <w:iCs w:val="0"/>
          <w:color w:val="auto"/>
          <w:sz w:val="28"/>
          <w:szCs w:val="28"/>
          <w:highlight w:val="none"/>
          <w:shd w:val="clear" w:color="auto" w:fill="auto"/>
          <w:lang w:val="en-US" w:eastAsia="zh-CN"/>
        </w:rPr>
        <w:t>互为矛盾</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按</w:t>
      </w:r>
      <w:r>
        <w:rPr>
          <w:rFonts w:hint="eastAsia" w:ascii="仿宋" w:hAnsi="仿宋" w:eastAsia="仿宋" w:cs="仿宋"/>
          <w:i w:val="0"/>
          <w:iCs w:val="0"/>
          <w:color w:val="auto"/>
          <w:sz w:val="28"/>
          <w:szCs w:val="28"/>
          <w:highlight w:val="none"/>
          <w:shd w:val="clear" w:color="auto" w:fill="auto"/>
        </w:rPr>
        <w:t>最有利于甲方的条款执行。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shd w:val="clear" w:color="auto" w:fill="auto"/>
        </w:rPr>
        <w:t>本合同未尽事宜，须经</w:t>
      </w:r>
      <w:r>
        <w:rPr>
          <w:rFonts w:hint="eastAsia" w:ascii="仿宋" w:hAnsi="仿宋" w:eastAsia="仿宋" w:cs="仿宋"/>
          <w:i w:val="0"/>
          <w:iCs w:val="0"/>
          <w:color w:val="auto"/>
          <w:sz w:val="28"/>
          <w:szCs w:val="28"/>
          <w:highlight w:val="none"/>
          <w:shd w:val="clear" w:color="auto" w:fill="auto"/>
          <w:lang w:val="en-US" w:eastAsia="zh-CN"/>
        </w:rPr>
        <w:t>甲乙</w:t>
      </w:r>
      <w:r>
        <w:rPr>
          <w:rFonts w:hint="eastAsia" w:ascii="仿宋" w:hAnsi="仿宋" w:eastAsia="仿宋" w:cs="仿宋"/>
          <w:i w:val="0"/>
          <w:iCs w:val="0"/>
          <w:color w:val="auto"/>
          <w:sz w:val="28"/>
          <w:szCs w:val="28"/>
          <w:highlight w:val="none"/>
          <w:shd w:val="clear" w:color="auto" w:fill="auto"/>
        </w:rPr>
        <w:t>双方协商</w:t>
      </w:r>
      <w:r>
        <w:rPr>
          <w:rFonts w:hint="eastAsia" w:ascii="仿宋" w:hAnsi="仿宋" w:eastAsia="仿宋" w:cs="仿宋"/>
          <w:i w:val="0"/>
          <w:iCs w:val="0"/>
          <w:color w:val="auto"/>
          <w:sz w:val="28"/>
          <w:szCs w:val="28"/>
          <w:highlight w:val="none"/>
          <w:shd w:val="clear" w:color="auto" w:fill="auto"/>
          <w:lang w:val="en-US" w:eastAsia="zh-CN"/>
        </w:rPr>
        <w:t>一致后</w:t>
      </w:r>
      <w:r>
        <w:rPr>
          <w:rFonts w:hint="eastAsia" w:ascii="仿宋" w:hAnsi="仿宋" w:eastAsia="仿宋" w:cs="仿宋"/>
          <w:i w:val="0"/>
          <w:iCs w:val="0"/>
          <w:color w:val="auto"/>
          <w:sz w:val="28"/>
          <w:szCs w:val="28"/>
          <w:highlight w:val="none"/>
          <w:shd w:val="clear" w:color="auto" w:fill="auto"/>
        </w:rPr>
        <w:t>签订补充协议</w:t>
      </w:r>
      <w:r>
        <w:rPr>
          <w:rFonts w:hint="eastAsia" w:ascii="仿宋" w:hAnsi="仿宋" w:eastAsia="仿宋" w:cs="仿宋"/>
          <w:i w:val="0"/>
          <w:iCs w:val="0"/>
          <w:color w:val="auto"/>
          <w:sz w:val="28"/>
          <w:szCs w:val="28"/>
          <w:highlight w:val="none"/>
          <w:shd w:val="clear" w:color="auto" w:fill="auto"/>
          <w:lang w:val="en-US" w:eastAsia="zh-CN"/>
        </w:rPr>
        <w:t>进行明确。</w:t>
      </w:r>
      <w:r>
        <w:rPr>
          <w:rFonts w:hint="eastAsia" w:ascii="仿宋" w:hAnsi="仿宋" w:eastAsia="仿宋" w:cs="仿宋"/>
          <w:i w:val="0"/>
          <w:iCs w:val="0"/>
          <w:color w:val="auto"/>
          <w:sz w:val="28"/>
          <w:szCs w:val="28"/>
          <w:highlight w:val="none"/>
          <w:shd w:val="clear" w:color="auto" w:fill="auto"/>
        </w:rPr>
        <w:t>补充协议与本合同具有同等法律效力。</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6与</w:t>
      </w:r>
      <w:r>
        <w:rPr>
          <w:rFonts w:hint="eastAsia" w:ascii="仿宋" w:hAnsi="仿宋" w:eastAsia="仿宋" w:cs="仿宋"/>
          <w:i w:val="0"/>
          <w:iCs w:val="0"/>
          <w:color w:val="auto"/>
          <w:sz w:val="28"/>
          <w:szCs w:val="28"/>
          <w:highlight w:val="none"/>
          <w:shd w:val="clear" w:color="auto" w:fill="auto"/>
        </w:rPr>
        <w:t>本合同</w:t>
      </w:r>
      <w:r>
        <w:rPr>
          <w:rFonts w:hint="eastAsia" w:ascii="仿宋" w:hAnsi="仿宋" w:eastAsia="仿宋" w:cs="仿宋"/>
          <w:i w:val="0"/>
          <w:iCs w:val="0"/>
          <w:color w:val="auto"/>
          <w:sz w:val="28"/>
          <w:szCs w:val="28"/>
          <w:highlight w:val="none"/>
          <w:shd w:val="clear" w:color="auto" w:fill="auto"/>
          <w:lang w:val="en-US" w:eastAsia="zh-CN"/>
        </w:rPr>
        <w:t>相关的</w:t>
      </w:r>
      <w:r>
        <w:rPr>
          <w:rFonts w:hint="eastAsia" w:ascii="仿宋" w:hAnsi="仿宋" w:eastAsia="仿宋" w:cs="仿宋"/>
          <w:i w:val="0"/>
          <w:iCs w:val="0"/>
          <w:color w:val="auto"/>
          <w:sz w:val="28"/>
          <w:szCs w:val="28"/>
          <w:highlight w:val="none"/>
          <w:shd w:val="clear" w:color="auto" w:fill="auto"/>
        </w:rPr>
        <w:t>争议，</w:t>
      </w:r>
      <w:r>
        <w:rPr>
          <w:rFonts w:hint="eastAsia" w:ascii="仿宋" w:hAnsi="仿宋" w:eastAsia="仿宋" w:cs="仿宋"/>
          <w:i w:val="0"/>
          <w:iCs w:val="0"/>
          <w:color w:val="auto"/>
          <w:sz w:val="28"/>
          <w:szCs w:val="28"/>
          <w:highlight w:val="none"/>
          <w:shd w:val="clear" w:color="auto" w:fill="auto"/>
          <w:lang w:val="en-US" w:eastAsia="zh-CN"/>
        </w:rPr>
        <w:t>甲乙</w:t>
      </w:r>
      <w:r>
        <w:rPr>
          <w:rFonts w:hint="eastAsia" w:ascii="仿宋" w:hAnsi="仿宋" w:eastAsia="仿宋" w:cs="仿宋"/>
          <w:i w:val="0"/>
          <w:iCs w:val="0"/>
          <w:color w:val="auto"/>
          <w:sz w:val="28"/>
          <w:szCs w:val="28"/>
          <w:highlight w:val="none"/>
          <w:shd w:val="clear" w:color="auto" w:fill="auto"/>
        </w:rPr>
        <w:t>双方</w:t>
      </w:r>
      <w:r>
        <w:rPr>
          <w:rFonts w:hint="eastAsia" w:ascii="仿宋" w:hAnsi="仿宋" w:eastAsia="仿宋" w:cs="仿宋"/>
          <w:i w:val="0"/>
          <w:iCs w:val="0"/>
          <w:color w:val="auto"/>
          <w:sz w:val="28"/>
          <w:szCs w:val="28"/>
          <w:highlight w:val="none"/>
          <w:shd w:val="clear" w:color="auto" w:fill="auto"/>
          <w:lang w:val="en-US" w:eastAsia="zh-CN"/>
        </w:rPr>
        <w:t>应首先</w:t>
      </w:r>
      <w:r>
        <w:rPr>
          <w:rFonts w:hint="eastAsia" w:ascii="仿宋" w:hAnsi="仿宋" w:eastAsia="仿宋" w:cs="仿宋"/>
          <w:i w:val="0"/>
          <w:iCs w:val="0"/>
          <w:color w:val="auto"/>
          <w:sz w:val="28"/>
          <w:szCs w:val="28"/>
          <w:highlight w:val="none"/>
          <w:shd w:val="clear" w:color="auto" w:fill="auto"/>
        </w:rPr>
        <w:t>友好协商解决，</w:t>
      </w:r>
      <w:r>
        <w:rPr>
          <w:rFonts w:hint="eastAsia" w:ascii="仿宋" w:hAnsi="仿宋" w:eastAsia="仿宋" w:cs="仿宋"/>
          <w:i w:val="0"/>
          <w:iCs w:val="0"/>
          <w:color w:val="auto"/>
          <w:sz w:val="28"/>
          <w:szCs w:val="28"/>
          <w:highlight w:val="none"/>
          <w:shd w:val="clear" w:color="auto" w:fill="auto"/>
          <w:lang w:val="en-US" w:eastAsia="zh-CN"/>
        </w:rPr>
        <w:t>协商</w:t>
      </w:r>
      <w:r>
        <w:rPr>
          <w:rFonts w:hint="eastAsia" w:ascii="仿宋" w:hAnsi="仿宋" w:eastAsia="仿宋" w:cs="仿宋"/>
          <w:i w:val="0"/>
          <w:iCs w:val="0"/>
          <w:color w:val="auto"/>
          <w:sz w:val="28"/>
          <w:szCs w:val="28"/>
          <w:highlight w:val="none"/>
          <w:shd w:val="clear" w:color="auto" w:fill="auto"/>
        </w:rPr>
        <w:t>不成则由任一方提交甲方所在地的人民法院诉讼处理。法院送达的文书以合同签章处所列地址为有效地址</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以</w:t>
      </w:r>
      <w:r>
        <w:rPr>
          <w:rFonts w:hint="eastAsia" w:ascii="仿宋" w:hAnsi="仿宋" w:eastAsia="仿宋" w:cs="仿宋"/>
          <w:i w:val="0"/>
          <w:iCs w:val="0"/>
          <w:color w:val="auto"/>
          <w:sz w:val="28"/>
          <w:szCs w:val="28"/>
          <w:highlight w:val="none"/>
          <w:shd w:val="clear" w:color="auto" w:fill="auto"/>
        </w:rPr>
        <w:t>邮寄方式送达的，通过邮政特快专递寄出第三日视为送达</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17.7乙方违反本合同约定给甲方造成损失的，须按本合同约定承担违约责任外，甲方有权直接从应付合同款中直接扣除乙方需承担的违约金、罚款等费用，如所扣款额不足补偿甲方损失，乙方在甲方通知之日起七个日历天内补齐差额给甲方，且甲方向乙方追偿责任所产生的律师费、诉讼费、鉴定费、财产保全担保费等费用由乙方全额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8</w:t>
      </w:r>
      <w:r>
        <w:rPr>
          <w:rFonts w:hint="eastAsia" w:ascii="仿宋" w:hAnsi="仿宋" w:eastAsia="仿宋" w:cs="仿宋"/>
          <w:i w:val="0"/>
          <w:iCs w:val="0"/>
          <w:color w:val="auto"/>
          <w:sz w:val="28"/>
          <w:szCs w:val="28"/>
          <w:highlight w:val="none"/>
          <w:shd w:val="clear" w:color="auto" w:fill="auto"/>
        </w:rPr>
        <w:t>本合同一式</w:t>
      </w:r>
      <w:r>
        <w:rPr>
          <w:rFonts w:hint="eastAsia" w:ascii="仿宋" w:hAnsi="仿宋" w:eastAsia="仿宋" w:cs="仿宋"/>
          <w:i w:val="0"/>
          <w:iCs w:val="0"/>
          <w:color w:val="auto"/>
          <w:sz w:val="28"/>
          <w:szCs w:val="28"/>
          <w:highlight w:val="none"/>
          <w:shd w:val="clear" w:color="auto" w:fill="auto"/>
          <w:lang w:val="en-US" w:eastAsia="zh-CN"/>
        </w:rPr>
        <w:t>二</w:t>
      </w:r>
      <w:r>
        <w:rPr>
          <w:rFonts w:hint="eastAsia" w:ascii="仿宋" w:hAnsi="仿宋" w:eastAsia="仿宋" w:cs="仿宋"/>
          <w:i w:val="0"/>
          <w:iCs w:val="0"/>
          <w:color w:val="auto"/>
          <w:sz w:val="28"/>
          <w:szCs w:val="28"/>
          <w:highlight w:val="none"/>
          <w:shd w:val="clear" w:color="auto" w:fill="auto"/>
        </w:rPr>
        <w:t>份，甲</w:t>
      </w:r>
      <w:r>
        <w:rPr>
          <w:rFonts w:hint="eastAsia" w:ascii="仿宋" w:hAnsi="仿宋" w:eastAsia="仿宋" w:cs="仿宋"/>
          <w:i w:val="0"/>
          <w:iCs w:val="0"/>
          <w:color w:val="auto"/>
          <w:sz w:val="28"/>
          <w:szCs w:val="28"/>
          <w:highlight w:val="none"/>
          <w:shd w:val="clear" w:color="auto" w:fill="auto"/>
          <w:lang w:val="en-US" w:eastAsia="zh-CN"/>
        </w:rPr>
        <w:t>乙双方各执一</w:t>
      </w:r>
      <w:r>
        <w:rPr>
          <w:rFonts w:hint="eastAsia" w:ascii="仿宋" w:hAnsi="仿宋" w:eastAsia="仿宋" w:cs="仿宋"/>
          <w:i w:val="0"/>
          <w:iCs w:val="0"/>
          <w:color w:val="auto"/>
          <w:sz w:val="28"/>
          <w:szCs w:val="28"/>
          <w:highlight w:val="none"/>
          <w:shd w:val="clear" w:color="auto" w:fill="auto"/>
        </w:rPr>
        <w:t>份，均具同等效力。</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17.9</w:t>
      </w:r>
      <w:r>
        <w:rPr>
          <w:rFonts w:hint="eastAsia" w:ascii="仿宋" w:hAnsi="仿宋" w:eastAsia="仿宋" w:cs="仿宋"/>
          <w:b w:val="0"/>
          <w:bCs w:val="0"/>
          <w:i w:val="0"/>
          <w:iCs w:val="0"/>
          <w:color w:val="auto"/>
          <w:sz w:val="28"/>
          <w:szCs w:val="28"/>
          <w:highlight w:val="none"/>
          <w:lang w:val="en-US" w:eastAsia="zh-CN"/>
        </w:rPr>
        <w:t>本合同正文为清洁打印文本，如双方对此合同有任何修改及补充均应另行签订补充协议。合同正文中任何非打印的文字或者图形，除非经双方确认同意，否则不产生约束力。</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17.10甲乙双方均确认已经审阅并理解本合同的条款，且已经就条款相关的任何疑问得到满意的解释，并确认本合同的条款为双方本着诚信互利的原则友好协商一致的结果，不属于任何一方的格式条款。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17.11本合同自甲乙双方签字、加盖公章（或合同章）之日起生效，在竣工结算价款支付完毕、乙方向甲方交付竣工工程后，双方履行完合同义务、责任（除保修条款外）之日，本合同其余条款自动终止。</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17.12以下文件均为合同有效组成部分，各文件互相解释，互为说明。当合同文件中出现不一致时，除合同另有约定外，以下排列顺序就是各合同文件的优先解释顺序：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17.12.1合同履行过程中，双方法人代表或授权人签字并加盖公章的补充协议；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17.12.2本合同书（含附件）；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17.12.3经甲方确认的方案及相关设计变更；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17.12.4本工程招标文件（含相关答疑、补充通知等）；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17.12.5乙方发出的、经甲方确认的本工程投标文件及相关澄清文件；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17.12.6本项目所在地现行的法律、法规、标准、规范。</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5" w:leftChars="-93" w:right="-578" w:rightChars="-275" w:firstLine="616" w:firstLineChars="220"/>
        <w:textAlignment w:val="auto"/>
        <w:outlineLvl w:val="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【以下无正文】</w:t>
      </w:r>
      <w:bookmarkStart w:id="61" w:name="_Toc30304"/>
    </w:p>
    <w:p>
      <w:pPr>
        <w:keepNext w:val="0"/>
        <w:keepLines w:val="0"/>
        <w:pageBreakBefore w:val="0"/>
        <w:widowControl w:val="0"/>
        <w:shd w:val="clear"/>
        <w:kinsoku/>
        <w:wordWrap/>
        <w:overflowPunct/>
        <w:topLinePunct w:val="0"/>
        <w:autoSpaceDE/>
        <w:autoSpaceDN/>
        <w:bidi w:val="0"/>
        <w:adjustRightInd w:val="0"/>
        <w:snapToGrid w:val="0"/>
        <w:spacing w:line="360" w:lineRule="auto"/>
        <w:ind w:left="-195" w:leftChars="-93" w:right="-578" w:rightChars="-275" w:firstLine="618" w:firstLineChars="22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合同附件：</w:t>
      </w:r>
    </w:p>
    <w:bookmarkEnd w:id="61"/>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附件一</w:t>
      </w:r>
      <w:r>
        <w:rPr>
          <w:rFonts w:hint="eastAsia" w:ascii="仿宋" w:hAnsi="仿宋" w:eastAsia="仿宋" w:cs="仿宋"/>
          <w:i w:val="0"/>
          <w:iCs w:val="0"/>
          <w:color w:val="auto"/>
          <w:sz w:val="28"/>
          <w:szCs w:val="28"/>
          <w:highlight w:val="none"/>
          <w:shd w:val="clear" w:color="auto" w:fill="auto"/>
          <w:lang w:val="en-US" w:eastAsia="zh-CN"/>
        </w:rPr>
        <w:t>《工人工资发放承诺书》格式</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附件二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《出险声明函》格式</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附件三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《工程结算支付证明单》格式</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附件四</w:t>
      </w:r>
      <w:r>
        <w:rPr>
          <w:rFonts w:hint="eastAsia" w:ascii="仿宋" w:hAnsi="仿宋" w:eastAsia="仿宋" w:cs="仿宋"/>
          <w:b w:val="0"/>
          <w:bCs w:val="0"/>
          <w:i w:val="0"/>
          <w:iCs w:val="0"/>
          <w:color w:val="auto"/>
          <w:sz w:val="28"/>
          <w:szCs w:val="28"/>
          <w:highlight w:val="none"/>
          <w:u w:val="none"/>
          <w:shd w:val="clear" w:color="auto" w:fill="auto"/>
          <w:lang w:val="en-US" w:eastAsia="zh-CN"/>
        </w:rPr>
        <w:t>《分包签证确认单》格式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附件五《分包单位开工令》格式；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附件六《工程量现场草签记录表》格式；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附件七《分项工程/认质认价申报审批表》格式；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附件八</w:t>
      </w:r>
      <w:r>
        <w:rPr>
          <w:rFonts w:hint="eastAsia" w:ascii="仿宋_GB2312" w:hAnsi="仿宋_GB2312" w:eastAsia="仿宋_GB2312" w:cs="仿宋_GB2312"/>
          <w:i w:val="0"/>
          <w:iCs w:val="0"/>
          <w:color w:val="auto"/>
          <w:sz w:val="28"/>
          <w:szCs w:val="28"/>
          <w:highlight w:val="none"/>
          <w:shd w:val="clear" w:color="auto" w:fill="auto"/>
          <w:lang w:val="en-US" w:eastAsia="zh-CN"/>
        </w:rPr>
        <w:t>《工完场清交接单》</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格式</w:t>
      </w:r>
      <w:r>
        <w:rPr>
          <w:rFonts w:hint="eastAsia" w:ascii="仿宋" w:hAnsi="仿宋" w:eastAsia="仿宋" w:cs="仿宋"/>
          <w:i w:val="0"/>
          <w:iCs w:val="0"/>
          <w:color w:val="auto"/>
          <w:sz w:val="28"/>
          <w:szCs w:val="28"/>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附件九《技术工人素质承诺书》格式；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附件十《签证单分包说明》样式；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附件十一《工程结算资料目录》格式；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附件十二《项目实名制及劳资管理制度》；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附件十三《工程量清单》另页；</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附件十四《施工图纸》。</w:t>
      </w:r>
    </w:p>
    <w:p>
      <w:pPr>
        <w:pStyle w:val="14"/>
        <w:shd w:val="clear"/>
        <w:rPr>
          <w:rFonts w:hint="eastAsia" w:ascii="仿宋" w:hAnsi="仿宋" w:eastAsia="仿宋" w:cs="仿宋"/>
          <w:b w:val="0"/>
          <w:bCs w:val="0"/>
          <w:i w:val="0"/>
          <w:iCs w:val="0"/>
          <w:color w:val="auto"/>
          <w:sz w:val="28"/>
          <w:szCs w:val="28"/>
          <w:highlight w:val="none"/>
          <w:u w:val="none"/>
          <w:shd w:val="clear" w:color="auto" w:fill="auto"/>
          <w:lang w:val="en-US" w:eastAsia="zh-CN"/>
        </w:rPr>
      </w:pPr>
    </w:p>
    <w:p>
      <w:pPr>
        <w:pStyle w:val="14"/>
        <w:shd w:val="clear"/>
        <w:rPr>
          <w:rFonts w:hint="eastAsia" w:ascii="仿宋" w:hAnsi="仿宋" w:eastAsia="仿宋" w:cs="仿宋"/>
          <w:b w:val="0"/>
          <w:bCs w:val="0"/>
          <w:i w:val="0"/>
          <w:iCs w:val="0"/>
          <w:color w:val="auto"/>
          <w:sz w:val="28"/>
          <w:szCs w:val="28"/>
          <w:highlight w:val="none"/>
          <w:u w:val="none"/>
          <w:shd w:val="clear" w:color="auto" w:fill="auto"/>
          <w:lang w:val="en-US" w:eastAsia="zh-CN"/>
        </w:rPr>
      </w:pPr>
    </w:p>
    <w:p>
      <w:pPr>
        <w:pStyle w:val="14"/>
        <w:shd w:val="clear"/>
        <w:rPr>
          <w:rFonts w:hint="eastAsia" w:ascii="仿宋" w:hAnsi="仿宋" w:eastAsia="仿宋" w:cs="仿宋"/>
          <w:b w:val="0"/>
          <w:bCs w:val="0"/>
          <w:i w:val="0"/>
          <w:iCs w:val="0"/>
          <w:color w:val="auto"/>
          <w:sz w:val="28"/>
          <w:szCs w:val="28"/>
          <w:highlight w:val="none"/>
          <w:u w:val="none"/>
          <w:shd w:val="clear" w:color="auto" w:fill="auto"/>
          <w:lang w:val="en-US" w:eastAsia="zh-CN"/>
        </w:rPr>
      </w:pPr>
    </w:p>
    <w:p>
      <w:pPr>
        <w:pStyle w:val="14"/>
        <w:shd w:val="clear"/>
        <w:rPr>
          <w:rFonts w:hint="eastAsia" w:ascii="仿宋" w:hAnsi="仿宋" w:eastAsia="仿宋" w:cs="仿宋"/>
          <w:b w:val="0"/>
          <w:bCs w:val="0"/>
          <w:i w:val="0"/>
          <w:iCs w:val="0"/>
          <w:color w:val="auto"/>
          <w:sz w:val="28"/>
          <w:szCs w:val="28"/>
          <w:highlight w:val="none"/>
          <w:u w:val="none"/>
          <w:shd w:val="clear" w:color="auto" w:fill="auto"/>
          <w:lang w:val="en-US" w:eastAsia="zh-CN"/>
        </w:rPr>
      </w:pPr>
    </w:p>
    <w:p>
      <w:pPr>
        <w:pStyle w:val="14"/>
        <w:shd w:val="clear"/>
        <w:rPr>
          <w:rFonts w:hint="eastAsia" w:ascii="仿宋" w:hAnsi="仿宋" w:eastAsia="仿宋" w:cs="仿宋"/>
          <w:b w:val="0"/>
          <w:bCs w:val="0"/>
          <w:i w:val="0"/>
          <w:iCs w:val="0"/>
          <w:color w:val="auto"/>
          <w:sz w:val="28"/>
          <w:szCs w:val="28"/>
          <w:highlight w:val="none"/>
          <w:u w:val="none"/>
          <w:shd w:val="clear" w:color="auto" w:fill="auto"/>
          <w:lang w:val="en-US" w:eastAsia="zh-CN"/>
        </w:rPr>
      </w:pPr>
    </w:p>
    <w:p>
      <w:pPr>
        <w:keepNext w:val="0"/>
        <w:keepLines w:val="0"/>
        <w:pageBreakBefore w:val="0"/>
        <w:widowControl w:val="0"/>
        <w:shd w:val="clear"/>
        <w:kinsoku/>
        <w:wordWrap/>
        <w:overflowPunct/>
        <w:topLinePunct w:val="0"/>
        <w:autoSpaceDE/>
        <w:autoSpaceDN/>
        <w:bidi w:val="0"/>
        <w:adjustRightInd/>
        <w:snapToGrid w:val="0"/>
        <w:spacing w:after="294" w:afterLines="100" w:line="360" w:lineRule="auto"/>
        <w:ind w:left="-193" w:leftChars="-95" w:right="-578" w:rightChars="-275" w:hanging="6"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甲方(盖章):东莞市中泰建安工程有限公司    乙方(盖章):  </w:t>
      </w:r>
    </w:p>
    <w:p>
      <w:pPr>
        <w:keepNext w:val="0"/>
        <w:keepLines w:val="0"/>
        <w:pageBreakBefore w:val="0"/>
        <w:widowControl w:val="0"/>
        <w:shd w:val="clear"/>
        <w:kinsoku/>
        <w:wordWrap/>
        <w:overflowPunct/>
        <w:topLinePunct w:val="0"/>
        <w:autoSpaceDE/>
        <w:autoSpaceDN/>
        <w:bidi w:val="0"/>
        <w:adjustRightInd/>
        <w:snapToGrid w:val="0"/>
        <w:spacing w:line="440" w:lineRule="exact"/>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p>
    <w:p>
      <w:pPr>
        <w:keepNext w:val="0"/>
        <w:keepLines w:val="0"/>
        <w:pageBreakBefore w:val="0"/>
        <w:widowControl w:val="0"/>
        <w:shd w:val="clear"/>
        <w:kinsoku/>
        <w:wordWrap/>
        <w:overflowPunct/>
        <w:topLinePunct w:val="0"/>
        <w:autoSpaceDE/>
        <w:autoSpaceDN/>
        <w:bidi w:val="0"/>
        <w:adjustRightInd/>
        <w:snapToGrid w:val="0"/>
        <w:spacing w:line="440" w:lineRule="exact"/>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签约代表: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签约代表:</w:t>
      </w:r>
    </w:p>
    <w:p>
      <w:pPr>
        <w:keepNext w:val="0"/>
        <w:keepLines w:val="0"/>
        <w:pageBreakBefore w:val="0"/>
        <w:widowControl w:val="0"/>
        <w:shd w:val="clear"/>
        <w:kinsoku/>
        <w:wordWrap/>
        <w:overflowPunct/>
        <w:topLinePunct w:val="0"/>
        <w:autoSpaceDE/>
        <w:autoSpaceDN/>
        <w:bidi w:val="0"/>
        <w:adjustRightInd/>
        <w:snapToGrid w:val="0"/>
        <w:spacing w:line="440" w:lineRule="exact"/>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纳税号：91441900732168546R               纳税号：</w:t>
      </w:r>
    </w:p>
    <w:p>
      <w:pPr>
        <w:keepNext w:val="0"/>
        <w:keepLines w:val="0"/>
        <w:pageBreakBefore w:val="0"/>
        <w:widowControl w:val="0"/>
        <w:shd w:val="clear"/>
        <w:kinsoku/>
        <w:wordWrap/>
        <w:overflowPunct/>
        <w:topLinePunct w:val="0"/>
        <w:autoSpaceDE/>
        <w:autoSpaceDN/>
        <w:bidi w:val="0"/>
        <w:adjustRightInd/>
        <w:snapToGrid w:val="0"/>
        <w:spacing w:line="440" w:lineRule="exact"/>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账  号：</w:t>
      </w:r>
      <w:r>
        <w:rPr>
          <w:rFonts w:hint="eastAsia" w:ascii="仿宋" w:hAnsi="仿宋" w:eastAsia="仿宋" w:cs="仿宋"/>
          <w:b/>
          <w:bCs/>
          <w:i w:val="0"/>
          <w:iCs w:val="0"/>
          <w:color w:val="auto"/>
          <w:sz w:val="24"/>
          <w:szCs w:val="24"/>
          <w:highlight w:val="none"/>
          <w:shd w:val="clear" w:color="auto" w:fill="auto"/>
          <w:lang w:val="en-US" w:eastAsia="zh-CN"/>
        </w:rPr>
        <w:t>548000013639239</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账  号：</w:t>
      </w:r>
    </w:p>
    <w:p>
      <w:pPr>
        <w:keepNext w:val="0"/>
        <w:keepLines w:val="0"/>
        <w:pageBreakBefore w:val="0"/>
        <w:widowControl w:val="0"/>
        <w:shd w:val="clear"/>
        <w:kinsoku/>
        <w:wordWrap/>
        <w:overflowPunct/>
        <w:topLinePunct w:val="0"/>
        <w:autoSpaceDE/>
        <w:autoSpaceDN/>
        <w:bidi w:val="0"/>
        <w:adjustRightInd/>
        <w:snapToGrid w:val="0"/>
        <w:spacing w:line="440" w:lineRule="exact"/>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开户行：</w:t>
      </w:r>
      <w:r>
        <w:rPr>
          <w:rFonts w:hint="eastAsia" w:ascii="仿宋" w:hAnsi="仿宋" w:eastAsia="仿宋" w:cs="仿宋"/>
          <w:b/>
          <w:bCs/>
          <w:i w:val="0"/>
          <w:iCs w:val="0"/>
          <w:color w:val="auto"/>
          <w:sz w:val="24"/>
          <w:szCs w:val="24"/>
          <w:highlight w:val="none"/>
          <w:shd w:val="clear" w:color="auto" w:fill="auto"/>
          <w:lang w:val="en-US" w:eastAsia="zh-CN"/>
        </w:rPr>
        <w:t>东莞银行股份有限公司元美支行</w:t>
      </w:r>
      <w:r>
        <w:rPr>
          <w:rFonts w:hint="eastAsia" w:ascii="仿宋" w:hAnsi="仿宋" w:eastAsia="仿宋" w:cs="仿宋"/>
          <w:b/>
          <w:bCs/>
          <w:i w:val="0"/>
          <w:iCs w:val="0"/>
          <w:color w:val="auto"/>
          <w:sz w:val="24"/>
          <w:szCs w:val="24"/>
          <w:highlight w:val="none"/>
          <w:shd w:val="clear" w:color="auto" w:fill="auto"/>
        </w:rPr>
        <w:t xml:space="preserve">     开户行：               </w:t>
      </w:r>
    </w:p>
    <w:p>
      <w:pPr>
        <w:keepNext w:val="0"/>
        <w:keepLines w:val="0"/>
        <w:pageBreakBefore w:val="0"/>
        <w:widowControl w:val="0"/>
        <w:shd w:val="clear"/>
        <w:kinsoku/>
        <w:wordWrap/>
        <w:overflowPunct/>
        <w:topLinePunct w:val="0"/>
        <w:autoSpaceDE/>
        <w:autoSpaceDN/>
        <w:bidi w:val="0"/>
        <w:adjustRightInd/>
        <w:snapToGrid w:val="0"/>
        <w:spacing w:line="440" w:lineRule="exact"/>
        <w:ind w:left="-196" w:leftChars="-95" w:right="-578" w:rightChars="-275" w:hanging="3" w:firstLineChars="0"/>
        <w:jc w:val="left"/>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地 址：广东省东莞市南城街道鸿福路</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地  址：</w:t>
      </w:r>
    </w:p>
    <w:p>
      <w:pPr>
        <w:keepNext w:val="0"/>
        <w:keepLines w:val="0"/>
        <w:pageBreakBefore w:val="0"/>
        <w:widowControl w:val="0"/>
        <w:shd w:val="clear"/>
        <w:kinsoku/>
        <w:wordWrap/>
        <w:overflowPunct/>
        <w:topLinePunct w:val="0"/>
        <w:autoSpaceDE/>
        <w:autoSpaceDN/>
        <w:bidi w:val="0"/>
        <w:adjustRightInd/>
        <w:snapToGrid w:val="0"/>
        <w:spacing w:line="440" w:lineRule="exact"/>
        <w:ind w:left="40" w:leftChars="19" w:right="-578" w:rightChars="-275" w:firstLine="718" w:firstLineChars="298"/>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106号1栋1712室01</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pPr>
        <w:keepNext w:val="0"/>
        <w:keepLines w:val="0"/>
        <w:pageBreakBefore w:val="0"/>
        <w:widowControl w:val="0"/>
        <w:shd w:val="clear"/>
        <w:kinsoku/>
        <w:wordWrap/>
        <w:overflowPunct/>
        <w:topLinePunct w:val="0"/>
        <w:autoSpaceDE/>
        <w:autoSpaceDN/>
        <w:bidi w:val="0"/>
        <w:adjustRightInd/>
        <w:snapToGrid w:val="0"/>
        <w:spacing w:line="440" w:lineRule="exact"/>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w:t>
      </w:r>
      <w:r>
        <w:rPr>
          <w:rFonts w:hint="eastAsia" w:ascii="仿宋" w:hAnsi="仿宋" w:eastAsia="仿宋" w:cs="仿宋"/>
          <w:b/>
          <w:bCs/>
          <w:i w:val="0"/>
          <w:iCs w:val="0"/>
          <w:color w:val="auto"/>
          <w:sz w:val="24"/>
          <w:szCs w:val="24"/>
          <w:highlight w:val="none"/>
          <w:shd w:val="clear" w:color="auto" w:fill="auto"/>
          <w:lang w:val="en-US" w:eastAsia="zh-CN"/>
        </w:rPr>
        <w:t>311322</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电  话:</w:t>
      </w:r>
    </w:p>
    <w:p>
      <w:pPr>
        <w:keepNext w:val="0"/>
        <w:keepLines w:val="0"/>
        <w:pageBreakBefore w:val="0"/>
        <w:widowControl w:val="0"/>
        <w:shd w:val="clear"/>
        <w:kinsoku/>
        <w:wordWrap/>
        <w:overflowPunct/>
        <w:topLinePunct w:val="0"/>
        <w:autoSpaceDE/>
        <w:autoSpaceDN/>
        <w:bidi w:val="0"/>
        <w:adjustRightInd/>
        <w:snapToGrid/>
        <w:spacing w:line="400" w:lineRule="exact"/>
        <w:ind w:left="-416" w:leftChars="-198" w:right="-132" w:rightChars="-63" w:firstLine="547" w:firstLineChars="227"/>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lang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附件一</w:t>
      </w:r>
    </w:p>
    <w:p>
      <w:pPr>
        <w:shd w:val="clear"/>
        <w:spacing w:before="241" w:line="360" w:lineRule="auto"/>
        <w:ind w:left="0"/>
        <w:jc w:val="center"/>
        <w:rPr>
          <w:rFonts w:hint="eastAsia" w:ascii="仿宋" w:hAnsi="仿宋" w:eastAsia="仿宋" w:cs="仿宋"/>
          <w:b/>
          <w:bCs/>
          <w:color w:val="auto"/>
          <w:spacing w:val="-4"/>
          <w:position w:val="21"/>
          <w:sz w:val="8"/>
          <w:szCs w:val="8"/>
          <w:highlight w:val="none"/>
        </w:rPr>
      </w:pPr>
      <w:bookmarkStart w:id="62" w:name="_Toc9945"/>
      <w:bookmarkStart w:id="63" w:name="_Toc2087"/>
      <w:bookmarkStart w:id="64" w:name="_Toc12135"/>
      <w:bookmarkStart w:id="65" w:name="_Toc21156"/>
      <w:bookmarkStart w:id="66" w:name="_Toc19900"/>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pPr>
        <w:keepNext w:val="0"/>
        <w:keepLines w:val="0"/>
        <w:pageBreakBefore w:val="0"/>
        <w:shd w:val="clear"/>
        <w:kinsoku/>
        <w:wordWrap/>
        <w:overflowPunct/>
        <w:topLinePunct w:val="0"/>
        <w:autoSpaceDE/>
        <w:autoSpaceDN/>
        <w:bidi w:val="0"/>
        <w:adjustRightInd/>
        <w:snapToGrid/>
        <w:spacing w:after="171" w:afterLines="50" w:line="500" w:lineRule="exact"/>
        <w:ind w:left="253"/>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致：</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有限公司</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一、我司与贵司于****年**月**日签订了《*****合同》(以下简称“施工合同”），合同约定由我司承接贵司****本工程***分项工程（以下简称“该工程”），该工程合同价****元，其中工人工资共计约***元。</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8"/>
          <w:sz w:val="24"/>
          <w:szCs w:val="24"/>
          <w:highlight w:val="none"/>
          <w:lang w:val="en-US" w:eastAsia="zh-CN"/>
        </w:rPr>
        <w:t>二、目前该工程在</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 xml:space="preserve">施工过程中  </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结算过程中</w:t>
      </w:r>
      <w:r>
        <w:rPr>
          <w:rFonts w:hint="eastAsia" w:ascii="仿宋" w:hAnsi="仿宋" w:eastAsia="仿宋" w:cs="仿宋"/>
          <w:color w:val="auto"/>
          <w:spacing w:val="8"/>
          <w:sz w:val="24"/>
          <w:szCs w:val="24"/>
          <w:highlight w:val="none"/>
          <w:lang w:val="en-US" w:eastAsia="zh-CN"/>
        </w:rPr>
        <w:t>。现我司申请贵司向我司支付 ****月份工程款共计</w:t>
      </w:r>
      <w:r>
        <w:rPr>
          <w:rFonts w:hint="eastAsia" w:ascii="仿宋" w:hAnsi="仿宋" w:eastAsia="仿宋" w:cs="仿宋"/>
          <w:color w:val="auto"/>
          <w:spacing w:val="8"/>
          <w:sz w:val="24"/>
          <w:szCs w:val="24"/>
          <w:highlight w:val="none"/>
          <w:u w:val="single"/>
          <w:lang w:val="en-US" w:eastAsia="zh-CN"/>
        </w:rPr>
        <w:t>**** 元</w:t>
      </w:r>
      <w:r>
        <w:rPr>
          <w:rFonts w:hint="eastAsia" w:ascii="仿宋" w:hAnsi="仿宋" w:eastAsia="仿宋" w:cs="仿宋"/>
          <w:color w:val="auto"/>
          <w:spacing w:val="8"/>
          <w:sz w:val="24"/>
          <w:szCs w:val="24"/>
          <w:highlight w:val="none"/>
          <w:lang w:val="en-US" w:eastAsia="zh-CN"/>
        </w:rPr>
        <w:t>，大写：</w:t>
      </w:r>
      <w:r>
        <w:rPr>
          <w:rFonts w:hint="eastAsia" w:ascii="仿宋" w:hAnsi="仿宋" w:eastAsia="仿宋" w:cs="仿宋"/>
          <w:color w:val="auto"/>
          <w:spacing w:val="8"/>
          <w:sz w:val="24"/>
          <w:szCs w:val="24"/>
          <w:highlight w:val="none"/>
          <w:u w:val="single"/>
          <w:lang w:val="en-US" w:eastAsia="zh-CN"/>
        </w:rPr>
        <w:t xml:space="preserve"> **** 元</w:t>
      </w:r>
      <w:r>
        <w:rPr>
          <w:rFonts w:hint="eastAsia" w:ascii="仿宋" w:hAnsi="仿宋" w:eastAsia="仿宋" w:cs="仿宋"/>
          <w:color w:val="auto"/>
          <w:spacing w:val="8"/>
          <w:sz w:val="24"/>
          <w:szCs w:val="24"/>
          <w:highlight w:val="none"/>
          <w:lang w:val="en-US" w:eastAsia="zh-CN"/>
        </w:rPr>
        <w:t>。我司承诺累计已发放工人工资***元，</w:t>
      </w:r>
      <w:r>
        <w:rPr>
          <w:rFonts w:hint="eastAsia" w:ascii="仿宋" w:hAnsi="仿宋" w:eastAsia="仿宋" w:cs="仿宋"/>
          <w:color w:val="auto"/>
          <w:spacing w:val="8"/>
          <w:sz w:val="24"/>
          <w:szCs w:val="24"/>
          <w:highlight w:val="none"/>
          <w:u w:val="none"/>
          <w:lang w:val="en-US" w:eastAsia="zh-CN"/>
        </w:rPr>
        <w:t>占该项目工人工资</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lang w:val="en-US" w:eastAsia="zh-CN"/>
        </w:rPr>
        <w:t xml:space="preserve">并承诺在收到上述工程进度款后**日内，向我司履行施工合同中合作的所有施工工人（名单及支付金额详见附件）支付其工资 </w:t>
      </w:r>
      <w:r>
        <w:rPr>
          <w:rFonts w:hint="eastAsia" w:ascii="仿宋" w:hAnsi="仿宋" w:eastAsia="仿宋" w:cs="仿宋"/>
          <w:color w:val="auto"/>
          <w:spacing w:val="8"/>
          <w:sz w:val="24"/>
          <w:szCs w:val="24"/>
          <w:highlight w:val="none"/>
          <w:u w:val="single"/>
          <w:lang w:val="en-US" w:eastAsia="zh-CN"/>
        </w:rPr>
        <w:t>**** 元</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u w:val="none"/>
          <w:lang w:val="en-US" w:eastAsia="zh-CN"/>
        </w:rPr>
        <w:t>占该项目工人工资** %。</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三、若我司不按本承诺书分配其款项而拖欠支付以上费用，导致出现本项目分包工程工人因欠薪去政府相关部门上访、投诉、静坐、非法讨要工资，在贵司相关场所非法集结讨要工资、阻碍现场施工等不良行为，属我司严重违约，我司愿意按以下方式来处理：</w:t>
      </w:r>
    </w:p>
    <w:p>
      <w:pPr>
        <w:keepNext w:val="0"/>
        <w:keepLines w:val="0"/>
        <w:pageBreakBefore w:val="0"/>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1、我司愿意由贵司直接代为支付本项目拖欠的工人工资，并按代付工资总额的50%向贵司支付违约金。每发生一次劳资纠纷事件，或因我司拖欠工人工资而导致媒体曝光或政府部门介入的，我司按合同约定承担违约责任及向贵司支付相应违约金。以上费用贵司有权在我司任一工程进度款/结算款中扣除，剩余工程款不足扣除上述费用的，由我司另行支付并承担因此给贵司造成的全部损失及费用，我司法定代表人XXX和实际控制人XXX自愿对上述所有费用承担连带清偿责任。</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2、我司负责相应的善后工作及消除对贵司造成的不良影响。</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四、我司保证该工程完工后**日内，将该工程的工人工资全部结清给所有工人，否则，我司同意贵司暂不向我司支付结算工程款且不给我司办理结算，并同意贵司按上述第三条中的第1、第2条处理。</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五、担保</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本人（法定代表人）</w:t>
      </w:r>
      <w:r>
        <w:rPr>
          <w:rFonts w:hint="eastAsia" w:ascii="仿宋" w:hAnsi="仿宋" w:eastAsia="仿宋" w:cs="仿宋"/>
          <w:color w:val="auto"/>
          <w:spacing w:val="8"/>
          <w:sz w:val="24"/>
          <w:szCs w:val="24"/>
          <w:highlight w:val="none"/>
          <w:u w:val="single"/>
          <w:lang w:val="en-US" w:eastAsia="zh-CN"/>
        </w:rPr>
        <w:t xml:space="preserve"> **** （身份证号： ****** ）</w:t>
      </w:r>
      <w:r>
        <w:rPr>
          <w:rFonts w:hint="eastAsia" w:ascii="仿宋" w:hAnsi="仿宋" w:eastAsia="仿宋" w:cs="仿宋"/>
          <w:color w:val="auto"/>
          <w:spacing w:val="8"/>
          <w:sz w:val="24"/>
          <w:szCs w:val="24"/>
          <w:highlight w:val="none"/>
          <w:lang w:val="en-US" w:eastAsia="zh-CN"/>
        </w:rPr>
        <w:t>、本人（实际控制人）</w:t>
      </w:r>
      <w:r>
        <w:rPr>
          <w:rFonts w:hint="eastAsia" w:ascii="仿宋" w:hAnsi="仿宋" w:eastAsia="仿宋" w:cs="仿宋"/>
          <w:color w:val="auto"/>
          <w:spacing w:val="8"/>
          <w:sz w:val="24"/>
          <w:szCs w:val="24"/>
          <w:highlight w:val="none"/>
          <w:u w:val="single"/>
          <w:lang w:val="en-US" w:eastAsia="zh-CN"/>
        </w:rPr>
        <w:t>**** （身份证号： ****** ）</w:t>
      </w:r>
      <w:r>
        <w:rPr>
          <w:rFonts w:hint="eastAsia" w:ascii="仿宋" w:hAnsi="仿宋" w:eastAsia="仿宋" w:cs="仿宋"/>
          <w:color w:val="auto"/>
          <w:spacing w:val="8"/>
          <w:sz w:val="24"/>
          <w:szCs w:val="24"/>
          <w:highlight w:val="none"/>
          <w:lang w:val="en-US" w:eastAsia="zh-CN"/>
        </w:rPr>
        <w:t>同意就 **** 公司履行本承诺书，自愿无条件向****公司提供连带责任保证，保证范围为本承诺书项下可能发生的全部债务和贵司为实现该等债权支出的所有费用，保证期间为三年。</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464" w:firstLineChars="200"/>
        <w:jc w:val="both"/>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特此承诺！</w:t>
      </w:r>
    </w:p>
    <w:p>
      <w:pPr>
        <w:keepNext w:val="0"/>
        <w:keepLines w:val="0"/>
        <w:pageBreakBefore w:val="0"/>
        <w:widowControl/>
        <w:numPr>
          <w:ilvl w:val="0"/>
          <w:numId w:val="0"/>
        </w:numPr>
        <w:shd w:val="clear"/>
        <w:kinsoku/>
        <w:wordWrap/>
        <w:overflowPunct/>
        <w:topLinePunct w:val="0"/>
        <w:autoSpaceDE/>
        <w:autoSpaceDN/>
        <w:bidi w:val="0"/>
        <w:adjustRightInd/>
        <w:snapToGrid/>
        <w:spacing w:before="120" w:after="171" w:afterLines="50" w:line="500" w:lineRule="exact"/>
        <w:ind w:right="238" w:rightChars="0" w:firstLine="464" w:firstLineChars="200"/>
        <w:jc w:val="both"/>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附件：担保人身份证复印件正反面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left="220" w:leftChars="105" w:right="238" w:rightChars="0" w:firstLine="3589" w:firstLineChars="1547"/>
        <w:jc w:val="center"/>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承诺单位（盖章）：</w:t>
      </w:r>
      <w:r>
        <w:rPr>
          <w:rFonts w:hint="eastAsia" w:ascii="仿宋" w:hAnsi="仿宋" w:eastAsia="仿宋" w:cs="仿宋"/>
          <w:color w:val="auto"/>
          <w:spacing w:val="-4"/>
          <w:sz w:val="24"/>
          <w:szCs w:val="24"/>
          <w:highlight w:val="none"/>
          <w:u w:val="none"/>
          <w:lang w:val="en-US" w:eastAsia="zh-CN"/>
        </w:rPr>
        <w:t>*******</w:t>
      </w:r>
      <w:r>
        <w:rPr>
          <w:rFonts w:hint="eastAsia" w:ascii="仿宋" w:hAnsi="仿宋" w:eastAsia="仿宋" w:cs="仿宋"/>
          <w:color w:val="auto"/>
          <w:spacing w:val="-4"/>
          <w:sz w:val="24"/>
          <w:szCs w:val="24"/>
          <w:highlight w:val="none"/>
          <w:lang w:val="en-US" w:eastAsia="zh-CN"/>
        </w:rPr>
        <w:t>公司</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left="220" w:leftChars="105" w:right="238" w:rightChars="0" w:firstLine="577" w:firstLineChars="249"/>
        <w:jc w:val="center"/>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 xml:space="preserve">         担  保  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left="220" w:leftChars="105" w:right="238" w:rightChars="0" w:firstLine="577" w:firstLineChars="249"/>
        <w:jc w:val="center"/>
        <w:textAlignment w:val="auto"/>
        <w:rPr>
          <w:rFonts w:hint="eastAsia" w:ascii="仿宋" w:hAnsi="仿宋" w:eastAsia="仿宋" w:cs="仿宋"/>
          <w:color w:val="auto"/>
          <w:sz w:val="25"/>
          <w:szCs w:val="25"/>
          <w:highlight w:val="none"/>
          <w:lang w:val="en-US" w:eastAsia="zh-CN"/>
        </w:rPr>
      </w:pPr>
      <w:r>
        <w:rPr>
          <w:rFonts w:hint="eastAsia" w:ascii="仿宋" w:hAnsi="仿宋" w:eastAsia="仿宋" w:cs="仿宋"/>
          <w:color w:val="auto"/>
          <w:spacing w:val="-4"/>
          <w:sz w:val="24"/>
          <w:szCs w:val="24"/>
          <w:highlight w:val="none"/>
          <w:lang w:val="en-US" w:eastAsia="zh-CN"/>
        </w:rPr>
        <w:t xml:space="preserve">                    日   期：****年**月**日</w:t>
      </w:r>
    </w:p>
    <w:p>
      <w:pPr>
        <w:shd w:val="clear"/>
        <w:spacing w:line="48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bookmarkEnd w:id="62"/>
    <w:bookmarkEnd w:id="63"/>
    <w:bookmarkEnd w:id="64"/>
    <w:bookmarkEnd w:id="65"/>
    <w:bookmarkEnd w:id="66"/>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附件二</w:t>
      </w:r>
    </w:p>
    <w:p>
      <w:pPr>
        <w:pStyle w:val="14"/>
        <w:rPr>
          <w:rFonts w:hint="eastAsia"/>
          <w:color w:val="auto"/>
          <w:lang w:val="en-US" w:eastAsia="zh-CN"/>
        </w:rPr>
      </w:pPr>
    </w:p>
    <w:p>
      <w:pPr>
        <w:shd w:val="clear"/>
        <w:tabs>
          <w:tab w:val="left" w:pos="2205"/>
          <w:tab w:val="left" w:pos="2760"/>
        </w:tabs>
        <w:adjustRightInd w:val="0"/>
        <w:snapToGrid w:val="0"/>
        <w:spacing w:line="240" w:lineRule="auto"/>
        <w:ind w:right="-578" w:rightChars="-275"/>
        <w:jc w:val="center"/>
        <w:outlineLvl w:val="0"/>
        <w:rPr>
          <w:rFonts w:hint="eastAsia" w:ascii="仿宋" w:hAnsi="仿宋" w:eastAsia="仿宋" w:cs="仿宋"/>
          <w:b/>
          <w:bCs/>
          <w:i w:val="0"/>
          <w:iCs w:val="0"/>
          <w:color w:val="auto"/>
          <w:sz w:val="40"/>
          <w:szCs w:val="40"/>
          <w:highlight w:val="none"/>
          <w:lang w:val="en-US" w:eastAsia="zh-CN"/>
        </w:rPr>
      </w:pPr>
      <w:r>
        <w:rPr>
          <w:rFonts w:hint="eastAsia" w:ascii="仿宋" w:hAnsi="仿宋" w:eastAsia="仿宋" w:cs="仿宋"/>
          <w:b/>
          <w:bCs/>
          <w:i w:val="0"/>
          <w:iCs w:val="0"/>
          <w:color w:val="auto"/>
          <w:sz w:val="40"/>
          <w:szCs w:val="40"/>
          <w:highlight w:val="none"/>
          <w:lang w:val="en-US" w:eastAsia="zh-CN"/>
        </w:rPr>
        <w:t xml:space="preserve">出 险 声 明 函 </w:t>
      </w:r>
    </w:p>
    <w:p>
      <w:pPr>
        <w:shd w:val="clear"/>
        <w:tabs>
          <w:tab w:val="left" w:pos="2205"/>
          <w:tab w:val="left" w:pos="2760"/>
        </w:tabs>
        <w:adjustRightInd w:val="0"/>
        <w:snapToGrid w:val="0"/>
        <w:spacing w:line="240" w:lineRule="auto"/>
        <w:ind w:right="-578" w:rightChars="-275"/>
        <w:jc w:val="center"/>
        <w:outlineLvl w:val="0"/>
        <w:rPr>
          <w:rFonts w:hint="eastAsia" w:ascii="仿宋" w:hAnsi="仿宋" w:eastAsia="仿宋" w:cs="仿宋"/>
          <w:b/>
          <w:bCs/>
          <w:i w:val="0"/>
          <w:iCs w:val="0"/>
          <w:color w:val="auto"/>
          <w:sz w:val="40"/>
          <w:szCs w:val="40"/>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480" w:lineRule="exact"/>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71" w:afterLines="50" w:line="500" w:lineRule="exact"/>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w:t>
      </w:r>
      <w:r>
        <w:rPr>
          <w:rFonts w:hint="eastAsia" w:ascii="仿宋" w:hAnsi="仿宋" w:eastAsia="仿宋" w:cs="仿宋"/>
          <w:color w:val="auto"/>
          <w:sz w:val="24"/>
          <w:szCs w:val="24"/>
          <w:highlight w:val="none"/>
          <w:shd w:val="clear" w:color="auto" w:fill="auto"/>
          <w:lang w:val="en-US" w:eastAsia="zh-CN"/>
        </w:rPr>
        <w:t>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71" w:afterLines="50" w:line="500" w:lineRule="exact"/>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b w:val="0"/>
          <w:bCs w:val="0"/>
          <w:color w:val="auto"/>
          <w:sz w:val="24"/>
          <w:szCs w:val="24"/>
          <w:highlight w:val="none"/>
          <w:shd w:val="clear" w:color="auto" w:fill="auto"/>
          <w:lang w:val="en-US" w:eastAsia="zh-CN"/>
        </w:rPr>
        <w:t>本</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71" w:afterLines="50" w:line="500" w:lineRule="exact"/>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建立了劳动关系，我司仍须按劳动合同承担该员工雇用期间应承担的用人责任。</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71" w:afterLines="50" w:line="500" w:lineRule="exact"/>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现</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；如社保部门不予认定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自行解决。</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71" w:afterLines="50" w:line="500" w:lineRule="exact"/>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r>
        <w:rPr>
          <w:rFonts w:hint="eastAsia" w:ascii="仿宋" w:hAnsi="仿宋" w:eastAsia="仿宋" w:cs="仿宋"/>
          <w:color w:val="auto"/>
          <w:sz w:val="24"/>
          <w:szCs w:val="24"/>
          <w:highlight w:val="none"/>
          <w:shd w:val="clear" w:color="auto" w:fill="auto"/>
          <w:lang w:eastAsia="zh-CN"/>
        </w:rPr>
        <w:t>若</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的损失我司赔偿全部损失，且我司自愿向贵司支付金额等于本次工伤/亡事故全部费用1.5倍的违约金。</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71" w:afterLines="50" w:line="500" w:lineRule="exact"/>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5、我司法定代表人对上述可能发生的全部债务和贵司为实现该等债权支出的所有费用承担连带保证责任，保证期间为三年。</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71" w:afterLines="50" w:line="500" w:lineRule="exact"/>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特此声明！                                </w:t>
      </w:r>
    </w:p>
    <w:p>
      <w:pPr>
        <w:keepNext w:val="0"/>
        <w:keepLines w:val="0"/>
        <w:pageBreakBefore w:val="0"/>
        <w:widowControl w:val="0"/>
        <w:shd w:val="clear"/>
        <w:kinsoku/>
        <w:wordWrap/>
        <w:overflowPunct/>
        <w:topLinePunct w:val="0"/>
        <w:autoSpaceDE/>
        <w:autoSpaceDN/>
        <w:bidi w:val="0"/>
        <w:adjustRightInd/>
        <w:snapToGrid/>
        <w:spacing w:line="500" w:lineRule="exact"/>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声明单位：（全名称并盖公章） </w:t>
      </w:r>
    </w:p>
    <w:p>
      <w:pPr>
        <w:keepNext w:val="0"/>
        <w:keepLines w:val="0"/>
        <w:pageBreakBefore w:val="0"/>
        <w:widowControl w:val="0"/>
        <w:shd w:val="clear"/>
        <w:kinsoku/>
        <w:wordWrap/>
        <w:overflowPunct/>
        <w:topLinePunct w:val="0"/>
        <w:autoSpaceDE/>
        <w:autoSpaceDN/>
        <w:bidi w:val="0"/>
        <w:adjustRightInd/>
        <w:snapToGrid/>
        <w:spacing w:line="500" w:lineRule="exact"/>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法定代表人签章：</w:t>
      </w:r>
    </w:p>
    <w:p>
      <w:pPr>
        <w:keepNext w:val="0"/>
        <w:keepLines w:val="0"/>
        <w:pageBreakBefore w:val="0"/>
        <w:widowControl w:val="0"/>
        <w:shd w:val="clear"/>
        <w:kinsoku/>
        <w:wordWrap/>
        <w:overflowPunct/>
        <w:topLinePunct w:val="0"/>
        <w:autoSpaceDE/>
        <w:autoSpaceDN/>
        <w:bidi w:val="0"/>
        <w:adjustRightInd/>
        <w:snapToGrid/>
        <w:spacing w:line="500" w:lineRule="exact"/>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电    话：</w:t>
      </w:r>
    </w:p>
    <w:p>
      <w:pPr>
        <w:keepNext w:val="0"/>
        <w:keepLines w:val="0"/>
        <w:pageBreakBefore w:val="0"/>
        <w:widowControl w:val="0"/>
        <w:shd w:val="clear"/>
        <w:kinsoku/>
        <w:wordWrap/>
        <w:overflowPunct/>
        <w:topLinePunct w:val="0"/>
        <w:autoSpaceDE/>
        <w:autoSpaceDN/>
        <w:bidi w:val="0"/>
        <w:adjustRightInd/>
        <w:snapToGrid/>
        <w:spacing w:line="500" w:lineRule="exact"/>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  </w:t>
      </w: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hd w:val="clea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hd w:val="clear"/>
        <w:jc w:val="center"/>
        <w:rPr>
          <w:rFonts w:ascii="宋体" w:hAnsi="宋体" w:cs="宋体"/>
          <w:color w:val="auto"/>
          <w:sz w:val="28"/>
          <w:szCs w:val="28"/>
          <w:highlight w:val="none"/>
        </w:rPr>
      </w:pPr>
      <w:r>
        <w:rPr>
          <w:rFonts w:hint="eastAsia" w:ascii="宋体" w:hAnsi="宋体" w:cs="宋体"/>
          <w:b/>
          <w:bCs/>
          <w:color w:val="auto"/>
          <w:sz w:val="44"/>
          <w:szCs w:val="44"/>
          <w:highlight w:val="none"/>
          <w:lang w:val="en-US" w:eastAsia="zh-CN"/>
        </w:rPr>
        <w:t xml:space="preserve">  </w:t>
      </w: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p>
    <w:p>
      <w:pPr>
        <w:shd w:val="clear"/>
        <w:ind w:left="-208" w:leftChars="-99" w:firstLine="791" w:firstLineChars="197"/>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附件三</w:t>
      </w: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pStyle w:val="14"/>
        <w:shd w:val="clear"/>
        <w:rPr>
          <w:rFonts w:hint="eastAsia"/>
          <w:color w:val="auto"/>
          <w:highlight w:val="none"/>
          <w:lang w:val="en-US" w:eastAsia="zh-CN"/>
        </w:rPr>
      </w:pP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pPr>
        <w:shd w:val="clea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pPr>
        <w:shd w:val="clear"/>
        <w:jc w:val="center"/>
        <w:rPr>
          <w:color w:val="auto"/>
          <w:sz w:val="32"/>
          <w:szCs w:val="32"/>
          <w:highlight w:val="none"/>
        </w:rPr>
      </w:pPr>
    </w:p>
    <w:p>
      <w:pPr>
        <w:pStyle w:val="14"/>
        <w:shd w:val="clear"/>
        <w:rPr>
          <w:color w:val="auto"/>
          <w:sz w:val="32"/>
          <w:szCs w:val="32"/>
          <w:highlight w:val="none"/>
        </w:rPr>
      </w:pPr>
    </w:p>
    <w:p>
      <w:pPr>
        <w:pStyle w:val="14"/>
        <w:shd w:val="clea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tcPr>
          <w:p>
            <w:pPr>
              <w:shd w:val="clear"/>
              <w:jc w:val="center"/>
              <w:rPr>
                <w:b/>
                <w:color w:val="auto"/>
                <w:sz w:val="30"/>
                <w:szCs w:val="30"/>
                <w:highlight w:val="none"/>
              </w:rPr>
            </w:pPr>
            <w:r>
              <w:rPr>
                <w:rFonts w:hint="eastAsia"/>
                <w:b/>
                <w:color w:val="auto"/>
                <w:sz w:val="30"/>
                <w:szCs w:val="30"/>
                <w:highlight w:val="none"/>
              </w:rPr>
              <w:t>序号</w:t>
            </w:r>
          </w:p>
        </w:tc>
        <w:tc>
          <w:tcPr>
            <w:tcW w:w="8428" w:type="dxa"/>
          </w:tcPr>
          <w:p>
            <w:pPr>
              <w:shd w:val="clear"/>
              <w:jc w:val="center"/>
              <w:rPr>
                <w:b/>
                <w:color w:val="auto"/>
                <w:sz w:val="30"/>
                <w:szCs w:val="30"/>
                <w:highlight w:val="none"/>
              </w:rPr>
            </w:pPr>
            <w:r>
              <w:rPr>
                <w:rFonts w:hint="eastAsia"/>
                <w:b/>
                <w:color w:val="auto"/>
                <w:sz w:val="30"/>
                <w:szCs w:val="30"/>
                <w:highlight w:val="none"/>
              </w:rPr>
              <w:t>结算明细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color w:val="auto"/>
                <w:sz w:val="30"/>
                <w:szCs w:val="30"/>
                <w:highlight w:val="none"/>
              </w:rPr>
            </w:pPr>
            <w:r>
              <w:rPr>
                <w:rFonts w:hint="eastAsia"/>
                <w:color w:val="auto"/>
                <w:sz w:val="28"/>
                <w:szCs w:val="28"/>
                <w:highlight w:val="none"/>
              </w:rPr>
              <w:t>1</w:t>
            </w:r>
          </w:p>
        </w:tc>
        <w:tc>
          <w:tcPr>
            <w:tcW w:w="8428" w:type="dxa"/>
          </w:tcPr>
          <w:p>
            <w:pPr>
              <w:shd w:val="clear"/>
              <w:jc w:val="left"/>
              <w:rPr>
                <w:color w:val="auto"/>
                <w:sz w:val="30"/>
                <w:szCs w:val="30"/>
                <w:highlight w:val="none"/>
              </w:rPr>
            </w:pPr>
            <w:r>
              <w:rPr>
                <w:rFonts w:hint="eastAsia"/>
                <w:color w:val="auto"/>
                <w:sz w:val="28"/>
                <w:szCs w:val="28"/>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color w:val="auto"/>
                <w:sz w:val="28"/>
                <w:szCs w:val="28"/>
                <w:highlight w:val="none"/>
              </w:rPr>
            </w:pPr>
            <w:r>
              <w:rPr>
                <w:rFonts w:hint="eastAsia"/>
                <w:color w:val="auto"/>
                <w:sz w:val="28"/>
                <w:szCs w:val="28"/>
                <w:highlight w:val="none"/>
              </w:rPr>
              <w:t>2</w:t>
            </w:r>
          </w:p>
        </w:tc>
        <w:tc>
          <w:tcPr>
            <w:tcW w:w="8428" w:type="dxa"/>
          </w:tcPr>
          <w:p>
            <w:pPr>
              <w:shd w:val="clear"/>
              <w:jc w:val="left"/>
              <w:rPr>
                <w:color w:val="auto"/>
                <w:sz w:val="28"/>
                <w:szCs w:val="28"/>
                <w:highlight w:val="none"/>
              </w:rPr>
            </w:pPr>
            <w:r>
              <w:rPr>
                <w:rFonts w:hint="eastAsia"/>
                <w:color w:val="auto"/>
                <w:sz w:val="28"/>
                <w:szCs w:val="28"/>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color w:val="auto"/>
                <w:sz w:val="28"/>
                <w:szCs w:val="28"/>
                <w:highlight w:val="none"/>
              </w:rPr>
            </w:pPr>
            <w:r>
              <w:rPr>
                <w:rFonts w:hint="eastAsia"/>
                <w:color w:val="auto"/>
                <w:sz w:val="28"/>
                <w:szCs w:val="28"/>
                <w:highlight w:val="none"/>
              </w:rPr>
              <w:t>3</w:t>
            </w:r>
          </w:p>
        </w:tc>
        <w:tc>
          <w:tcPr>
            <w:tcW w:w="8428" w:type="dxa"/>
          </w:tcPr>
          <w:p>
            <w:pPr>
              <w:shd w:val="clear"/>
              <w:jc w:val="left"/>
              <w:rPr>
                <w:color w:val="auto"/>
                <w:sz w:val="28"/>
                <w:szCs w:val="28"/>
                <w:highlight w:val="none"/>
              </w:rPr>
            </w:pPr>
            <w:r>
              <w:rPr>
                <w:rFonts w:hint="eastAsia"/>
                <w:color w:val="auto"/>
                <w:sz w:val="28"/>
                <w:szCs w:val="28"/>
                <w:highlight w:val="none"/>
              </w:rPr>
              <w:t>合同单位负责人: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rFonts w:hint="eastAsia"/>
                <w:color w:val="auto"/>
                <w:sz w:val="28"/>
                <w:szCs w:val="28"/>
                <w:highlight w:val="none"/>
              </w:rPr>
            </w:pPr>
            <w:r>
              <w:rPr>
                <w:rFonts w:hint="eastAsia"/>
                <w:color w:val="auto"/>
                <w:sz w:val="28"/>
                <w:szCs w:val="28"/>
                <w:highlight w:val="none"/>
              </w:rPr>
              <w:t>4</w:t>
            </w:r>
          </w:p>
        </w:tc>
        <w:tc>
          <w:tcPr>
            <w:tcW w:w="8428" w:type="dxa"/>
          </w:tcPr>
          <w:p>
            <w:pPr>
              <w:shd w:val="clear"/>
              <w:jc w:val="left"/>
              <w:rPr>
                <w:rFonts w:hint="eastAsia"/>
                <w:color w:val="auto"/>
                <w:sz w:val="28"/>
                <w:szCs w:val="28"/>
                <w:highlight w:val="none"/>
              </w:rPr>
            </w:pPr>
            <w:r>
              <w:rPr>
                <w:rFonts w:hint="eastAsia"/>
                <w:color w:val="auto"/>
                <w:sz w:val="28"/>
                <w:szCs w:val="28"/>
                <w:highlight w:val="none"/>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color w:val="auto"/>
                <w:sz w:val="28"/>
                <w:szCs w:val="28"/>
                <w:highlight w:val="none"/>
              </w:rPr>
            </w:pPr>
            <w:r>
              <w:rPr>
                <w:rFonts w:hint="eastAsia"/>
                <w:color w:val="auto"/>
                <w:sz w:val="28"/>
                <w:szCs w:val="28"/>
                <w:highlight w:val="none"/>
              </w:rPr>
              <w:t>5</w:t>
            </w:r>
          </w:p>
        </w:tc>
        <w:tc>
          <w:tcPr>
            <w:tcW w:w="8428" w:type="dxa"/>
          </w:tcPr>
          <w:p>
            <w:pPr>
              <w:shd w:val="clea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color w:val="auto"/>
                <w:sz w:val="28"/>
                <w:szCs w:val="28"/>
                <w:highlight w:val="none"/>
              </w:rPr>
            </w:pPr>
            <w:r>
              <w:rPr>
                <w:rFonts w:hint="eastAsia"/>
                <w:color w:val="auto"/>
                <w:sz w:val="28"/>
                <w:szCs w:val="28"/>
                <w:highlight w:val="none"/>
              </w:rPr>
              <w:t>6</w:t>
            </w:r>
          </w:p>
        </w:tc>
        <w:tc>
          <w:tcPr>
            <w:tcW w:w="8428" w:type="dxa"/>
          </w:tcPr>
          <w:p>
            <w:pPr>
              <w:shd w:val="clea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color w:val="auto"/>
                <w:sz w:val="28"/>
                <w:szCs w:val="28"/>
                <w:highlight w:val="none"/>
              </w:rPr>
            </w:pPr>
            <w:r>
              <w:rPr>
                <w:rFonts w:hint="eastAsia"/>
                <w:color w:val="auto"/>
                <w:sz w:val="28"/>
                <w:szCs w:val="28"/>
                <w:highlight w:val="none"/>
              </w:rPr>
              <w:t>7</w:t>
            </w:r>
          </w:p>
        </w:tc>
        <w:tc>
          <w:tcPr>
            <w:tcW w:w="8428" w:type="dxa"/>
          </w:tcPr>
          <w:p>
            <w:pPr>
              <w:shd w:val="clea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shd w:val="clear"/>
              <w:jc w:val="center"/>
              <w:rPr>
                <w:color w:val="auto"/>
                <w:sz w:val="28"/>
                <w:szCs w:val="28"/>
                <w:highlight w:val="none"/>
              </w:rPr>
            </w:pPr>
            <w:r>
              <w:rPr>
                <w:rFonts w:hint="eastAsia"/>
                <w:color w:val="auto"/>
                <w:sz w:val="28"/>
                <w:szCs w:val="28"/>
                <w:highlight w:val="none"/>
              </w:rPr>
              <w:t>8</w:t>
            </w:r>
          </w:p>
        </w:tc>
        <w:tc>
          <w:tcPr>
            <w:tcW w:w="8428" w:type="dxa"/>
          </w:tcPr>
          <w:p>
            <w:pPr>
              <w:shd w:val="clea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pPr>
        <w:shd w:val="clear"/>
        <w:jc w:val="center"/>
        <w:rPr>
          <w:color w:val="auto"/>
          <w:sz w:val="36"/>
          <w:szCs w:val="36"/>
          <w:highlight w:val="none"/>
        </w:rPr>
      </w:pPr>
    </w:p>
    <w:p>
      <w:pPr>
        <w:shd w:val="clear"/>
        <w:jc w:val="center"/>
        <w:rPr>
          <w:rFonts w:ascii="宋体" w:hAnsi="宋体" w:cs="宋体"/>
          <w:color w:val="auto"/>
          <w:sz w:val="28"/>
          <w:szCs w:val="28"/>
          <w:highlight w:val="none"/>
        </w:rPr>
      </w:pPr>
    </w:p>
    <w:p>
      <w:pPr>
        <w:shd w:val="clear"/>
        <w:jc w:val="center"/>
        <w:rPr>
          <w:rFonts w:ascii="宋体" w:hAnsi="宋体" w:cs="宋体"/>
          <w:color w:val="auto"/>
          <w:sz w:val="28"/>
          <w:szCs w:val="28"/>
          <w:highlight w:val="none"/>
        </w:rPr>
      </w:pPr>
    </w:p>
    <w:p>
      <w:pPr>
        <w:shd w:val="clea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left="-208" w:leftChars="-99" w:right="-672" w:rightChars="-320" w:firstLine="791" w:firstLineChars="197"/>
        <w:rPr>
          <w:rFonts w:hint="eastAsia" w:ascii="仿宋_GB2312" w:hAnsi="仿宋_GB2312" w:eastAsia="仿宋_GB2312" w:cs="仿宋_GB2312"/>
          <w:b/>
          <w:bCs w:val="0"/>
          <w:color w:val="auto"/>
          <w:sz w:val="40"/>
          <w:szCs w:val="40"/>
          <w:highlight w:val="none"/>
          <w:shd w:val="clear" w:color="auto" w:fill="auto"/>
          <w:lang w:val="en-US" w:eastAsia="zh-CN"/>
        </w:rPr>
      </w:pPr>
    </w:p>
    <w:p>
      <w:pPr>
        <w:pStyle w:val="14"/>
        <w:shd w:val="clear"/>
        <w:rPr>
          <w:rFonts w:hint="eastAsia"/>
          <w:color w:val="auto"/>
          <w:highlight w:val="none"/>
          <w:lang w:val="en-US" w:eastAsia="zh-CN"/>
        </w:rPr>
      </w:pPr>
    </w:p>
    <w:p>
      <w:pPr>
        <w:shd w:val="clear"/>
        <w:ind w:firstLineChars="0"/>
        <w:jc w:val="right"/>
        <w:rPr>
          <w:rFonts w:hint="default"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附件四</w:t>
      </w:r>
    </w:p>
    <w:tbl>
      <w:tblPr>
        <w:tblStyle w:val="15"/>
        <w:tblW w:w="4984" w:type="pct"/>
        <w:tblInd w:w="-127" w:type="dxa"/>
        <w:tblLayout w:type="autofit"/>
        <w:tblCellMar>
          <w:top w:w="15" w:type="dxa"/>
          <w:left w:w="15" w:type="dxa"/>
          <w:bottom w:w="15" w:type="dxa"/>
          <w:right w:w="15" w:type="dxa"/>
        </w:tblCellMar>
      </w:tblPr>
      <w:tblGrid>
        <w:gridCol w:w="8734"/>
      </w:tblGrid>
      <w:tr>
        <w:tblPrEx>
          <w:tblCellMar>
            <w:top w:w="15" w:type="dxa"/>
            <w:left w:w="15" w:type="dxa"/>
            <w:bottom w:w="15" w:type="dxa"/>
            <w:right w:w="15" w:type="dxa"/>
          </w:tblCellMar>
        </w:tblPrEx>
        <w:trPr>
          <w:trHeight w:val="13066" w:hRule="atLeast"/>
        </w:trPr>
        <w:tc>
          <w:tcPr>
            <w:tcW w:w="5000" w:type="pct"/>
            <w:noWrap w:val="0"/>
            <w:vAlign w:val="center"/>
          </w:tcPr>
          <w:p>
            <w:pPr>
              <w:shd w:val="clear"/>
              <w:spacing w:before="90" w:line="226" w:lineRule="auto"/>
              <w:ind w:left="3175"/>
              <w:outlineLvl w:val="0"/>
              <w:rPr>
                <w:rFonts w:ascii="仿宋" w:hAnsi="仿宋" w:eastAsia="仿宋" w:cs="仿宋"/>
                <w:color w:val="auto"/>
                <w:sz w:val="31"/>
                <w:szCs w:val="31"/>
                <w:highlight w:val="none"/>
              </w:rPr>
            </w:pPr>
            <w:r>
              <w:rPr>
                <w:rFonts w:ascii="仿宋" w:hAnsi="仿宋" w:eastAsia="仿宋" w:cs="仿宋"/>
                <w:color w:val="auto"/>
                <w:spacing w:val="9"/>
                <w:sz w:val="31"/>
                <w:szCs w:val="31"/>
                <w:highlight w:val="none"/>
                <w14:textOutline w14:w="5793" w14:cap="sq" w14:cmpd="sng">
                  <w14:solidFill>
                    <w14:srgbClr w14:val="000000"/>
                  </w14:solidFill>
                  <w14:prstDash w14:val="solid"/>
                  <w14:bevel/>
                </w14:textOutline>
              </w:rPr>
              <w:t>分</w:t>
            </w:r>
            <w:r>
              <w:rPr>
                <w:rFonts w:ascii="仿宋" w:hAnsi="仿宋" w:eastAsia="仿宋" w:cs="仿宋"/>
                <w:color w:val="auto"/>
                <w:spacing w:val="7"/>
                <w:sz w:val="31"/>
                <w:szCs w:val="31"/>
                <w:highlight w:val="none"/>
                <w14:textOutline w14:w="5793" w14:cap="sq" w14:cmpd="sng">
                  <w14:solidFill>
                    <w14:srgbClr w14:val="000000"/>
                  </w14:solidFill>
                  <w14:prstDash w14:val="solid"/>
                  <w14:bevel/>
                </w14:textOutline>
              </w:rPr>
              <w:t>包签证确认单</w:t>
            </w:r>
          </w:p>
          <w:tbl>
            <w:tblPr>
              <w:tblStyle w:val="32"/>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59"/>
              <w:gridCol w:w="2362"/>
              <w:gridCol w:w="2068"/>
              <w:gridCol w:w="25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1" w:type="pct"/>
                  <w:tcBorders>
                    <w:right w:val="nil"/>
                  </w:tcBorders>
                  <w:vAlign w:val="top"/>
                </w:tcPr>
                <w:p>
                  <w:pPr>
                    <w:shd w:val="clea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14:textOutline w14:w="3614" w14:cap="sq" w14:cmpd="sng">
                        <w14:solidFill>
                          <w14:srgbClr w14:val="000000"/>
                        </w14:solidFill>
                        <w14:prstDash w14:val="solid"/>
                        <w14:bevel/>
                      </w14:textOutline>
                    </w:rPr>
                    <w:t>工</w:t>
                  </w:r>
                  <w:r>
                    <w:rPr>
                      <w:rFonts w:hint="eastAsia" w:ascii="仿宋" w:hAnsi="仿宋" w:eastAsia="仿宋" w:cs="仿宋"/>
                      <w:color w:val="auto"/>
                      <w:spacing w:val="4"/>
                      <w:sz w:val="20"/>
                      <w:szCs w:val="20"/>
                      <w:highlight w:val="none"/>
                      <w14:textOutline w14:w="3614" w14:cap="sq" w14:cmpd="sng">
                        <w14:solidFill>
                          <w14:srgbClr w14:val="000000"/>
                        </w14:solidFill>
                        <w14:prstDash w14:val="solid"/>
                        <w14:bevel/>
                      </w14:textOutline>
                    </w:rPr>
                    <w:t>程名称：</w:t>
                  </w:r>
                </w:p>
              </w:tc>
              <w:tc>
                <w:tcPr>
                  <w:tcW w:w="3988" w:type="pct"/>
                  <w:gridSpan w:val="3"/>
                  <w:tcBorders>
                    <w:left w:val="nil"/>
                  </w:tcBorders>
                  <w:vAlign w:val="top"/>
                </w:tcPr>
                <w:p>
                  <w:pPr>
                    <w:shd w:val="clea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14:textOutline w14:w="3614" w14:cap="sq" w14:cmpd="sng">
                        <w14:solidFill>
                          <w14:srgbClr w14:val="000000"/>
                        </w14:solidFill>
                        <w14:prstDash w14:val="solid"/>
                        <w14:bevel/>
                      </w14:textOutline>
                    </w:rPr>
                    <w:t>分</w:t>
                  </w:r>
                  <w:r>
                    <w:rPr>
                      <w:rFonts w:hint="eastAsia" w:ascii="仿宋" w:hAnsi="仿宋" w:eastAsia="仿宋" w:cs="仿宋"/>
                      <w:color w:val="auto"/>
                      <w:spacing w:val="6"/>
                      <w:sz w:val="20"/>
                      <w:szCs w:val="20"/>
                      <w:highlight w:val="none"/>
                      <w14:textOutline w14:w="3614" w14:cap="sq" w14:cmpd="sng">
                        <w14:solidFill>
                          <w14:srgbClr w14:val="000000"/>
                        </w14:solidFill>
                        <w14:prstDash w14:val="solid"/>
                        <w14:bevel/>
                      </w14:textOutline>
                    </w:rPr>
                    <w:t>包工程名称：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11" w:type="pct"/>
                  <w:tcBorders>
                    <w:right w:val="nil"/>
                  </w:tcBorders>
                  <w:vAlign w:val="top"/>
                </w:tcPr>
                <w:p>
                  <w:pPr>
                    <w:shd w:val="clea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14:textOutline w14:w="3614" w14:cap="sq" w14:cmpd="sng">
                        <w14:solidFill>
                          <w14:srgbClr w14:val="000000"/>
                        </w14:solidFill>
                        <w14:prstDash w14:val="solid"/>
                        <w14:bevel/>
                      </w14:textOutline>
                    </w:rPr>
                    <w:t>分</w:t>
                  </w:r>
                  <w:r>
                    <w:rPr>
                      <w:rFonts w:hint="eastAsia" w:ascii="仿宋" w:hAnsi="仿宋" w:eastAsia="仿宋" w:cs="仿宋"/>
                      <w:color w:val="auto"/>
                      <w:spacing w:val="5"/>
                      <w:sz w:val="20"/>
                      <w:szCs w:val="20"/>
                      <w:highlight w:val="none"/>
                      <w14:textOutline w14:w="3614" w14:cap="sq" w14:cmpd="sng">
                        <w14:solidFill>
                          <w14:srgbClr w14:val="000000"/>
                        </w14:solidFill>
                        <w14:prstDash w14:val="solid"/>
                        <w14:bevel/>
                      </w14:textOutline>
                    </w:rPr>
                    <w:t>包单位：</w:t>
                  </w:r>
                </w:p>
              </w:tc>
              <w:tc>
                <w:tcPr>
                  <w:tcW w:w="2547" w:type="pct"/>
                  <w:gridSpan w:val="2"/>
                  <w:tcBorders>
                    <w:left w:val="nil"/>
                    <w:right w:val="nil"/>
                  </w:tcBorders>
                  <w:vAlign w:val="top"/>
                </w:tcPr>
                <w:p>
                  <w:pPr>
                    <w:shd w:val="clea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14:textOutline w14:w="3614" w14:cap="sq" w14:cmpd="sng">
                        <w14:solidFill>
                          <w14:srgbClr w14:val="000000"/>
                        </w14:solidFill>
                        <w14:prstDash w14:val="solid"/>
                        <w14:bevel/>
                      </w14:textOutline>
                    </w:rPr>
                    <w:t>填</w:t>
                  </w:r>
                  <w:r>
                    <w:rPr>
                      <w:rFonts w:hint="eastAsia" w:ascii="仿宋" w:hAnsi="仿宋" w:eastAsia="仿宋" w:cs="仿宋"/>
                      <w:color w:val="auto"/>
                      <w:spacing w:val="5"/>
                      <w:sz w:val="20"/>
                      <w:szCs w:val="20"/>
                      <w:highlight w:val="none"/>
                      <w14:textOutline w14:w="3614" w14:cap="sq" w14:cmpd="sng">
                        <w14:solidFill>
                          <w14:srgbClr w14:val="000000"/>
                        </w14:solidFill>
                        <w14:prstDash w14:val="solid"/>
                        <w14:bevel/>
                      </w14:textOutline>
                    </w:rPr>
                    <w:t>表日期：</w:t>
                  </w:r>
                </w:p>
              </w:tc>
              <w:tc>
                <w:tcPr>
                  <w:tcW w:w="1440" w:type="pct"/>
                  <w:tcBorders>
                    <w:left w:val="nil"/>
                  </w:tcBorders>
                  <w:vAlign w:val="top"/>
                </w:tcPr>
                <w:p>
                  <w:pPr>
                    <w:shd w:val="clea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14:textOutline w14:w="3614" w14:cap="sq" w14:cmpd="sng">
                        <w14:solidFill>
                          <w14:srgbClr w14:val="000000"/>
                        </w14:solidFill>
                        <w14:prstDash w14:val="solid"/>
                        <w14:bevel/>
                      </w14:textOutline>
                    </w:rPr>
                    <w:t>编号</w:t>
                  </w:r>
                  <w:r>
                    <w:rPr>
                      <w:rFonts w:hint="eastAsia" w:ascii="仿宋" w:hAnsi="仿宋" w:eastAsia="仿宋" w:cs="仿宋"/>
                      <w:color w:val="auto"/>
                      <w:spacing w:val="1"/>
                      <w:sz w:val="20"/>
                      <w:szCs w:val="20"/>
                      <w:highlight w:val="none"/>
                      <w14:textOutline w14:w="3614"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000" w:type="pct"/>
                  <w:gridSpan w:val="4"/>
                  <w:vAlign w:val="top"/>
                </w:tcPr>
                <w:p>
                  <w:pPr>
                    <w:shd w:val="clea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11" w:type="pct"/>
                  <w:vAlign w:val="top"/>
                </w:tcPr>
                <w:p>
                  <w:pPr>
                    <w:shd w:val="clea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3988" w:type="pct"/>
                  <w:gridSpan w:val="3"/>
                  <w:vAlign w:val="top"/>
                </w:tcPr>
                <w:p>
                  <w:pPr>
                    <w:shd w:val="clear"/>
                    <w:rPr>
                      <w:rFonts w:hint="eastAsia" w:ascii="仿宋" w:hAnsi="仿宋" w:eastAsia="仿宋" w:cs="仿宋"/>
                      <w:color w:val="auto"/>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11" w:type="pct"/>
                  <w:vAlign w:val="top"/>
                </w:tcPr>
                <w:p>
                  <w:pPr>
                    <w:shd w:val="clea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3988" w:type="pct"/>
                  <w:gridSpan w:val="3"/>
                  <w:vAlign w:val="top"/>
                </w:tcPr>
                <w:p>
                  <w:pPr>
                    <w:shd w:val="clear"/>
                    <w:rPr>
                      <w:rFonts w:hint="eastAsia" w:ascii="仿宋" w:hAnsi="仿宋" w:eastAsia="仿宋" w:cs="仿宋"/>
                      <w:color w:val="auto"/>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000" w:type="pct"/>
                  <w:gridSpan w:val="4"/>
                  <w:vAlign w:val="top"/>
                </w:tcPr>
                <w:p>
                  <w:pPr>
                    <w:shd w:val="clea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0" distR="0">
                        <wp:extent cx="90805" cy="139700"/>
                        <wp:effectExtent l="0" t="0" r="4445" b="13335"/>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9"/>
                                <a:stretch>
                                  <a:fillRect/>
                                </a:stretch>
                              </pic:blipFill>
                              <pic:spPr>
                                <a:xfrm>
                                  <a:off x="0" y="0"/>
                                  <a:ext cx="91361" cy="140012"/>
                                </a:xfrm>
                                <a:prstGeom prst="rect">
                                  <a:avLst/>
                                </a:prstGeom>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0" distR="0">
                        <wp:extent cx="90805" cy="139700"/>
                        <wp:effectExtent l="0" t="0" r="4445" b="13335"/>
                        <wp:docPr id="6" name="IM 3"/>
                        <wp:cNvGraphicFramePr/>
                        <a:graphic xmlns:a="http://schemas.openxmlformats.org/drawingml/2006/main">
                          <a:graphicData uri="http://schemas.openxmlformats.org/drawingml/2006/picture">
                            <pic:pic xmlns:pic="http://schemas.openxmlformats.org/drawingml/2006/picture">
                              <pic:nvPicPr>
                                <pic:cNvPr id="6" name="IM 3"/>
                                <pic:cNvPicPr/>
                              </pic:nvPicPr>
                              <pic:blipFill>
                                <a:blip r:embed="rId9"/>
                                <a:stretch>
                                  <a:fillRect/>
                                </a:stretch>
                              </pic:blipFill>
                              <pic:spPr>
                                <a:xfrm>
                                  <a:off x="0" y="0"/>
                                  <a:ext cx="91362" cy="140012"/>
                                </a:xfrm>
                                <a:prstGeom prst="rect">
                                  <a:avLst/>
                                </a:prstGeom>
                              </pic:spPr>
                            </pic:pic>
                          </a:graphicData>
                        </a:graphic>
                      </wp:inline>
                    </w:drawing>
                  </w:r>
                  <w:r>
                    <w:rPr>
                      <w:rFonts w:hint="eastAsia" w:ascii="仿宋" w:hAnsi="仿宋" w:eastAsia="仿宋" w:cs="仿宋"/>
                      <w:color w:val="auto"/>
                      <w:spacing w:val="2"/>
                      <w:sz w:val="20"/>
                      <w:szCs w:val="20"/>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000" w:type="pct"/>
                  <w:gridSpan w:val="4"/>
                  <w:vAlign w:val="top"/>
                </w:tcPr>
                <w:p>
                  <w:pPr>
                    <w:shd w:val="clea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2369" w:type="pct"/>
                  <w:gridSpan w:val="2"/>
                  <w:vAlign w:val="top"/>
                </w:tcPr>
                <w:p>
                  <w:pPr>
                    <w:shd w:val="clea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14:textOutline w14:w="3614" w14:cap="sq" w14:cmpd="sng">
                        <w14:solidFill>
                          <w14:srgbClr w14:val="000000"/>
                        </w14:solidFill>
                        <w14:prstDash w14:val="solid"/>
                        <w14:bevel/>
                      </w14:textOutline>
                    </w:rPr>
                    <w:t>分</w:t>
                  </w:r>
                  <w:r>
                    <w:rPr>
                      <w:rFonts w:hint="eastAsia" w:ascii="仿宋" w:hAnsi="仿宋" w:eastAsia="仿宋" w:cs="仿宋"/>
                      <w:color w:val="auto"/>
                      <w:spacing w:val="4"/>
                      <w:sz w:val="20"/>
                      <w:szCs w:val="20"/>
                      <w:highlight w:val="none"/>
                      <w14:textOutline w14:w="3614" w14:cap="sq" w14:cmpd="sng">
                        <w14:solidFill>
                          <w14:srgbClr w14:val="000000"/>
                        </w14:solidFill>
                        <w14:prstDash w14:val="solid"/>
                        <w14:bevel/>
                      </w14:textOutline>
                    </w:rPr>
                    <w:t>包方</w:t>
                  </w:r>
                </w:p>
              </w:tc>
              <w:tc>
                <w:tcPr>
                  <w:tcW w:w="2630" w:type="pct"/>
                  <w:gridSpan w:val="2"/>
                  <w:vAlign w:val="top"/>
                </w:tcPr>
                <w:p>
                  <w:pPr>
                    <w:shd w:val="clea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14:textOutline w14:w="3614" w14:cap="sq" w14:cmpd="sng">
                        <w14:solidFill>
                          <w14:srgbClr w14:val="000000"/>
                        </w14:solidFill>
                        <w14:prstDash w14:val="solid"/>
                        <w14:bevel/>
                      </w14:textOutline>
                    </w:rPr>
                    <w:t>承</w:t>
                  </w:r>
                  <w:r>
                    <w:rPr>
                      <w:rFonts w:hint="eastAsia" w:ascii="仿宋" w:hAnsi="仿宋" w:eastAsia="仿宋" w:cs="仿宋"/>
                      <w:color w:val="auto"/>
                      <w:spacing w:val="5"/>
                      <w:sz w:val="20"/>
                      <w:szCs w:val="20"/>
                      <w:highlight w:val="none"/>
                      <w14:textOutline w14:w="3614" w14:cap="sq" w14:cmpd="sng">
                        <w14:solidFill>
                          <w14:srgbClr w14:val="000000"/>
                        </w14:solidFill>
                        <w14:prstDash w14:val="solid"/>
                        <w14:bevel/>
                      </w14:textOutline>
                    </w:rPr>
                    <w:t>包方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2369" w:type="pct"/>
                  <w:gridSpan w:val="2"/>
                  <w:vMerge w:val="restart"/>
                  <w:tcBorders>
                    <w:bottom w:val="nil"/>
                  </w:tcBorders>
                  <w:vAlign w:val="top"/>
                </w:tcPr>
                <w:p>
                  <w:pPr>
                    <w:shd w:val="clea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2630" w:type="pct"/>
                  <w:gridSpan w:val="2"/>
                  <w:vAlign w:val="top"/>
                </w:tcPr>
                <w:p>
                  <w:pPr>
                    <w:shd w:val="clea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pPr>
                    <w:shd w:val="clea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369" w:type="pct"/>
                  <w:gridSpan w:val="2"/>
                  <w:vMerge w:val="continue"/>
                  <w:tcBorders>
                    <w:top w:val="nil"/>
                    <w:bottom w:val="nil"/>
                  </w:tcBorders>
                  <w:vAlign w:val="top"/>
                </w:tcPr>
                <w:p>
                  <w:pPr>
                    <w:shd w:val="clear"/>
                    <w:rPr>
                      <w:rFonts w:hint="eastAsia" w:ascii="仿宋" w:hAnsi="仿宋" w:eastAsia="仿宋" w:cs="仿宋"/>
                      <w:color w:val="auto"/>
                      <w:sz w:val="22"/>
                      <w:szCs w:val="22"/>
                      <w:highlight w:val="none"/>
                    </w:rPr>
                  </w:pPr>
                </w:p>
              </w:tc>
              <w:tc>
                <w:tcPr>
                  <w:tcW w:w="2630" w:type="pct"/>
                  <w:gridSpan w:val="2"/>
                  <w:vAlign w:val="top"/>
                </w:tcPr>
                <w:p>
                  <w:pPr>
                    <w:shd w:val="clea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pPr>
                    <w:shd w:val="clea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2369" w:type="pct"/>
                  <w:gridSpan w:val="2"/>
                  <w:vMerge w:val="continue"/>
                  <w:tcBorders>
                    <w:top w:val="nil"/>
                    <w:bottom w:val="nil"/>
                  </w:tcBorders>
                  <w:vAlign w:val="top"/>
                </w:tcPr>
                <w:p>
                  <w:pPr>
                    <w:shd w:val="clear"/>
                    <w:rPr>
                      <w:rFonts w:hint="eastAsia" w:ascii="仿宋" w:hAnsi="仿宋" w:eastAsia="仿宋" w:cs="仿宋"/>
                      <w:color w:val="auto"/>
                      <w:sz w:val="22"/>
                      <w:szCs w:val="22"/>
                      <w:highlight w:val="none"/>
                    </w:rPr>
                  </w:pPr>
                </w:p>
              </w:tc>
              <w:tc>
                <w:tcPr>
                  <w:tcW w:w="2630" w:type="pct"/>
                  <w:gridSpan w:val="2"/>
                  <w:vAlign w:val="top"/>
                </w:tcPr>
                <w:p>
                  <w:pPr>
                    <w:shd w:val="clear"/>
                    <w:spacing w:before="50" w:line="516" w:lineRule="exact"/>
                    <w:ind w:left="25"/>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pPr>
                    <w:shd w:val="clea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2369" w:type="pct"/>
                  <w:gridSpan w:val="2"/>
                  <w:vMerge w:val="continue"/>
                  <w:tcBorders>
                    <w:top w:val="nil"/>
                    <w:bottom w:val="nil"/>
                  </w:tcBorders>
                  <w:vAlign w:val="top"/>
                </w:tcPr>
                <w:p>
                  <w:pPr>
                    <w:shd w:val="clear"/>
                    <w:rPr>
                      <w:rFonts w:hint="eastAsia" w:ascii="仿宋" w:hAnsi="仿宋" w:eastAsia="仿宋" w:cs="仿宋"/>
                      <w:color w:val="auto"/>
                      <w:sz w:val="22"/>
                      <w:szCs w:val="22"/>
                      <w:highlight w:val="none"/>
                    </w:rPr>
                  </w:pPr>
                </w:p>
              </w:tc>
              <w:tc>
                <w:tcPr>
                  <w:tcW w:w="2630" w:type="pct"/>
                  <w:gridSpan w:val="2"/>
                  <w:vAlign w:val="top"/>
                </w:tcPr>
                <w:p>
                  <w:pPr>
                    <w:shd w:val="clea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pPr>
                    <w:shd w:val="clea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2369" w:type="pct"/>
                  <w:gridSpan w:val="2"/>
                  <w:vMerge w:val="continue"/>
                  <w:tcBorders>
                    <w:top w:val="nil"/>
                  </w:tcBorders>
                  <w:vAlign w:val="top"/>
                </w:tcPr>
                <w:p>
                  <w:pPr>
                    <w:shd w:val="clear"/>
                    <w:rPr>
                      <w:rFonts w:hint="eastAsia" w:ascii="仿宋" w:hAnsi="仿宋" w:eastAsia="仿宋" w:cs="仿宋"/>
                      <w:color w:val="auto"/>
                      <w:sz w:val="22"/>
                      <w:szCs w:val="22"/>
                      <w:highlight w:val="none"/>
                    </w:rPr>
                  </w:pPr>
                </w:p>
              </w:tc>
              <w:tc>
                <w:tcPr>
                  <w:tcW w:w="2630" w:type="pct"/>
                  <w:gridSpan w:val="2"/>
                  <w:vAlign w:val="top"/>
                </w:tcPr>
                <w:p>
                  <w:pPr>
                    <w:shd w:val="clea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pPr>
                    <w:shd w:val="clea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5000" w:type="pct"/>
                  <w:gridSpan w:val="4"/>
                  <w:vAlign w:val="top"/>
                </w:tcPr>
                <w:p>
                  <w:pPr>
                    <w:shd w:val="clear"/>
                    <w:spacing w:before="49" w:line="231" w:lineRule="auto"/>
                    <w:ind w:left="32"/>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 (事前、事中、事后) 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附后；一式二份原件，项目成本管理员和分包方各一份。</w:t>
                  </w:r>
                </w:p>
                <w:p>
                  <w:pPr>
                    <w:shd w:val="clea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r>
                    <w:rPr>
                      <w:rFonts w:hint="eastAsia" w:ascii="仿宋" w:hAnsi="仿宋" w:eastAsia="仿宋" w:cs="仿宋"/>
                      <w:color w:val="auto"/>
                      <w:spacing w:val="8"/>
                      <w:position w:val="1"/>
                      <w:sz w:val="20"/>
                      <w:szCs w:val="20"/>
                      <w:highlight w:val="none"/>
                      <w:lang w:val="en-US" w:eastAsia="zh-CN"/>
                    </w:rPr>
                    <w:t>附件为《工程量现场草签记录表》。</w:t>
                  </w:r>
                </w:p>
                <w:p>
                  <w:pPr>
                    <w:shd w:val="clea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pPr>
              <w:widowControl/>
              <w:shd w:val="clear"/>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附件五</w:t>
      </w:r>
    </w:p>
    <w:p>
      <w:pPr>
        <w:shd w:val="clear"/>
        <w:spacing w:after="156" w:afterLines="50"/>
        <w:jc w:val="center"/>
        <w:outlineLvl w:val="2"/>
        <w:rPr>
          <w:rFonts w:hint="eastAsia" w:ascii="黑体" w:hAnsi="黑体" w:eastAsia="黑体" w:cs="仿宋"/>
          <w:b/>
          <w:bCs/>
          <w:color w:val="auto"/>
          <w:sz w:val="40"/>
          <w:szCs w:val="40"/>
          <w:highlight w:val="none"/>
          <w:lang w:val="en-US" w:eastAsia="zh-CN"/>
        </w:rPr>
      </w:pPr>
    </w:p>
    <w:p>
      <w:pPr>
        <w:shd w:val="clear"/>
        <w:spacing w:after="156" w:afterLines="50"/>
        <w:jc w:val="center"/>
        <w:outlineLvl w:val="2"/>
        <w:rPr>
          <w:rFonts w:ascii="黑体" w:hAnsi="黑体" w:eastAsia="黑体"/>
          <w:color w:val="auto"/>
          <w:sz w:val="40"/>
          <w:szCs w:val="40"/>
          <w:highlight w:val="none"/>
        </w:rPr>
      </w:pPr>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p>
    <w:p>
      <w:pPr>
        <w:shd w:val="clear"/>
        <w:spacing w:line="360" w:lineRule="auto"/>
        <w:rPr>
          <w:color w:val="auto"/>
          <w:highlight w:val="none"/>
        </w:rPr>
      </w:pPr>
      <w:r>
        <w:rPr>
          <w:rFonts w:hint="eastAsia"/>
          <w:color w:val="auto"/>
          <w:highlight w:val="none"/>
        </w:rPr>
        <w:t>合同名称：</w:t>
      </w:r>
      <w:r>
        <w:rPr>
          <w:color w:val="auto"/>
          <w:highlight w:val="none"/>
        </w:rPr>
        <w:t xml:space="preserve"> </w:t>
      </w:r>
    </w:p>
    <w:p>
      <w:pPr>
        <w:shd w:val="clear"/>
        <w:spacing w:line="360" w:lineRule="auto"/>
        <w:rPr>
          <w:color w:val="auto"/>
          <w:highlight w:val="none"/>
        </w:rPr>
      </w:pPr>
      <w:r>
        <w:rPr>
          <w:rFonts w:hint="eastAsia"/>
          <w:color w:val="auto"/>
          <w:highlight w:val="none"/>
        </w:rPr>
        <w:t xml:space="preserve">合同编号：                           </w:t>
      </w:r>
    </w:p>
    <w:p>
      <w:pPr>
        <w:shd w:val="clear"/>
        <w:rPr>
          <w:color w:val="auto"/>
          <w:highlight w:val="none"/>
        </w:rPr>
      </w:pPr>
    </w:p>
    <w:tbl>
      <w:tblPr>
        <w:tblStyle w:val="15"/>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6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shd w:val="clear" w:color="auto" w:fill="auto"/>
            <w:noWrap/>
            <w:tcMar>
              <w:top w:w="15" w:type="dxa"/>
              <w:left w:w="15" w:type="dxa"/>
              <w:right w:w="15" w:type="dxa"/>
            </w:tcMar>
            <w:vAlign w:val="center"/>
          </w:tcPr>
          <w:p>
            <w:pPr>
              <w:shd w:val="clear"/>
              <w:rPr>
                <w:rFonts w:ascii="宋体" w:hAnsi="宋体" w:eastAsia="宋体" w:cs="宋体"/>
                <w:color w:val="auto"/>
                <w:sz w:val="22"/>
                <w:szCs w:val="22"/>
                <w:highlight w:val="none"/>
              </w:rPr>
            </w:pPr>
          </w:p>
          <w:p>
            <w:pPr>
              <w:shd w:val="clear"/>
              <w:spacing w:line="480" w:lineRule="auto"/>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pPr>
              <w:shd w:val="clear"/>
              <w:spacing w:line="480" w:lineRule="auto"/>
              <w:ind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cs="宋体"/>
                <w:color w:val="auto"/>
                <w:sz w:val="22"/>
                <w:szCs w:val="22"/>
                <w:highlight w:val="none"/>
                <w:u w:val="none"/>
                <w:lang w:val="en-US" w:eastAsia="zh-CN"/>
              </w:rPr>
              <w:t xml:space="preserve"> 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工程已具备施工条件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pPr>
              <w:shd w:val="clear"/>
              <w:spacing w:line="480" w:lineRule="auto"/>
              <w:ind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hd w:val="clea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hd w:val="clear"/>
              <w:spacing w:line="360" w:lineRule="auto"/>
              <w:ind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pPr>
              <w:shd w:val="clear"/>
              <w:rPr>
                <w:rFonts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shd w:val="clear" w:color="auto" w:fill="auto"/>
            <w:noWrap/>
            <w:tcMar>
              <w:top w:w="15" w:type="dxa"/>
              <w:left w:w="15" w:type="dxa"/>
              <w:right w:w="15" w:type="dxa"/>
            </w:tcMar>
            <w:vAlign w:val="center"/>
          </w:tcPr>
          <w:p>
            <w:pPr>
              <w:shd w:val="clear"/>
              <w:rPr>
                <w:rFonts w:ascii="宋体" w:hAnsi="宋体" w:eastAsia="宋体" w:cs="宋体"/>
                <w:color w:val="auto"/>
                <w:sz w:val="22"/>
                <w:szCs w:val="22"/>
                <w:highlight w:val="none"/>
              </w:rPr>
            </w:pPr>
          </w:p>
          <w:p>
            <w:pPr>
              <w:pStyle w:val="14"/>
              <w:shd w:val="clear"/>
              <w:rPr>
                <w:color w:val="auto"/>
                <w:highlight w:val="none"/>
              </w:rPr>
            </w:pPr>
          </w:p>
          <w:p>
            <w:pPr>
              <w:shd w:val="clea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pPr>
              <w:shd w:val="clear"/>
              <w:spacing w:line="360" w:lineRule="auto"/>
              <w:ind w:firstLine="3520" w:firstLineChars="1600"/>
              <w:rPr>
                <w:rFonts w:ascii="宋体" w:hAnsi="宋体" w:eastAsia="宋体" w:cs="宋体"/>
                <w:color w:val="auto"/>
                <w:sz w:val="22"/>
                <w:szCs w:val="22"/>
                <w:highlight w:val="none"/>
              </w:rPr>
            </w:pPr>
          </w:p>
          <w:p>
            <w:pPr>
              <w:pStyle w:val="14"/>
              <w:shd w:val="clear"/>
              <w:rPr>
                <w:color w:val="auto"/>
                <w:highlight w:val="none"/>
              </w:rPr>
            </w:pPr>
          </w:p>
          <w:p>
            <w:pPr>
              <w:shd w:val="clear"/>
              <w:spacing w:line="360" w:lineRule="auto"/>
              <w:ind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pPr>
        <w:pStyle w:val="14"/>
        <w:shd w:val="clear"/>
        <w:rPr>
          <w:rFonts w:hint="eastAsia" w:ascii="仿宋" w:hAnsi="仿宋" w:eastAsia="仿宋" w:cs="仿宋"/>
          <w:b/>
          <w:bCs/>
          <w:i w:val="0"/>
          <w:iCs w:val="0"/>
          <w:color w:val="auto"/>
          <w:sz w:val="24"/>
          <w:szCs w:val="24"/>
          <w:highlight w:val="none"/>
          <w:lang w:val="en-US" w:eastAsia="zh-CN"/>
        </w:rPr>
      </w:pPr>
    </w:p>
    <w:p>
      <w:pPr>
        <w:pStyle w:val="7"/>
        <w:shd w:val="clear"/>
        <w:rPr>
          <w:rFonts w:hint="eastAsia" w:ascii="仿宋" w:hAnsi="仿宋" w:eastAsia="仿宋" w:cs="仿宋"/>
          <w:b/>
          <w:bCs/>
          <w:i w:val="0"/>
          <w:iCs w:val="0"/>
          <w:color w:val="auto"/>
          <w:sz w:val="24"/>
          <w:szCs w:val="24"/>
          <w:highlight w:val="none"/>
          <w:lang w:val="en-US" w:eastAsia="zh-CN"/>
        </w:rPr>
      </w:pPr>
    </w:p>
    <w:p>
      <w:pPr>
        <w:pStyle w:val="7"/>
        <w:shd w:val="clear"/>
        <w:rPr>
          <w:rFonts w:hint="eastAsia" w:ascii="仿宋" w:hAnsi="仿宋" w:eastAsia="仿宋" w:cs="仿宋"/>
          <w:b/>
          <w:bCs/>
          <w:i w:val="0"/>
          <w:iCs w:val="0"/>
          <w:color w:val="auto"/>
          <w:sz w:val="24"/>
          <w:szCs w:val="24"/>
          <w:highlight w:val="none"/>
          <w:lang w:val="en-US" w:eastAsia="zh-CN"/>
        </w:rPr>
      </w:pPr>
    </w:p>
    <w:p>
      <w:pPr>
        <w:pStyle w:val="7"/>
        <w:shd w:val="clear"/>
        <w:rPr>
          <w:rFonts w:hint="eastAsia" w:ascii="仿宋" w:hAnsi="仿宋" w:eastAsia="仿宋" w:cs="仿宋"/>
          <w:b/>
          <w:bCs/>
          <w:i w:val="0"/>
          <w:iCs w:val="0"/>
          <w:color w:val="auto"/>
          <w:sz w:val="24"/>
          <w:szCs w:val="24"/>
          <w:highlight w:val="none"/>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附件六</w:t>
      </w:r>
    </w:p>
    <w:p>
      <w:pPr>
        <w:widowControl/>
        <w:shd w:val="clear"/>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14:textOutline w14:w="5793" w14:cap="sq" w14:cmpd="sng">
            <w14:solidFill>
              <w14:srgbClr w14:val="000000"/>
            </w14:solidFill>
            <w14:prstDash w14:val="solid"/>
            <w14:bevel/>
          </w14:textOutline>
        </w:rPr>
      </w:pPr>
      <w:r>
        <w:rPr>
          <w:rFonts w:ascii="仿宋" w:hAnsi="仿宋" w:eastAsia="仿宋" w:cs="仿宋"/>
          <w:snapToGrid w:val="0"/>
          <w:color w:val="auto"/>
          <w:spacing w:val="10"/>
          <w:kern w:val="0"/>
          <w:sz w:val="31"/>
          <w:szCs w:val="31"/>
          <w:highlight w:val="none"/>
          <w14:textOutline w14:w="5793" w14:cap="sq" w14:cmpd="sng">
            <w14:solidFill>
              <w14:srgbClr w14:val="000000"/>
            </w14:solidFill>
            <w14:prstDash w14:val="solid"/>
            <w14:bevel/>
          </w14:textOutline>
        </w:rPr>
        <w:t>工</w:t>
      </w:r>
      <w:r>
        <w:rPr>
          <w:rFonts w:ascii="仿宋" w:hAnsi="仿宋" w:eastAsia="仿宋" w:cs="仿宋"/>
          <w:snapToGrid w:val="0"/>
          <w:color w:val="auto"/>
          <w:spacing w:val="8"/>
          <w:kern w:val="0"/>
          <w:sz w:val="31"/>
          <w:szCs w:val="31"/>
          <w:highlight w:val="none"/>
          <w14:textOutline w14:w="5793" w14:cap="sq" w14:cmpd="sng">
            <w14:solidFill>
              <w14:srgbClr w14:val="000000"/>
            </w14:solidFill>
            <w14:prstDash w14:val="solid"/>
            <w14:bevel/>
          </w14:textOutline>
        </w:rPr>
        <w:t>程量现场草签记录表</w:t>
      </w:r>
    </w:p>
    <w:p>
      <w:pPr>
        <w:widowControl/>
        <w:shd w:val="clear"/>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14:textOutline w14:w="5793" w14:cap="sq" w14:cmpd="sng">
            <w14:solidFill>
              <w14:srgbClr w14:val="000000"/>
            </w14:solidFill>
            <w14:prstDash w14:val="solid"/>
            <w14:bevel/>
          </w14:textOutline>
        </w:rPr>
      </w:pPr>
    </w:p>
    <w:tbl>
      <w:tblPr>
        <w:tblStyle w:val="3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vAlign w:val="top"/>
          </w:tcPr>
          <w:p>
            <w:pPr>
              <w:widowControl/>
              <w:shd w:val="clear"/>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14:textOutline w14:w="4358" w14:cap="sq" w14:cmpd="sng">
                  <w14:solidFill>
                    <w14:srgbClr w14:val="000000"/>
                  </w14:solidFill>
                  <w14:prstDash w14:val="solid"/>
                  <w14:bevel/>
                </w14:textOutline>
              </w:rPr>
              <w:t>工程名称</w:t>
            </w:r>
          </w:p>
        </w:tc>
        <w:tc>
          <w:tcPr>
            <w:tcW w:w="7427" w:type="dxa"/>
            <w:gridSpan w:val="6"/>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vAlign w:val="top"/>
          </w:tcPr>
          <w:p>
            <w:pPr>
              <w:widowControl/>
              <w:shd w:val="clear"/>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14:textOutline w14:w="4358" w14:cap="sq" w14:cmpd="sng">
                  <w14:solidFill>
                    <w14:srgbClr w14:val="000000"/>
                  </w14:solidFill>
                  <w14:prstDash w14:val="solid"/>
                  <w14:bevel/>
                </w14:textOutline>
              </w:rPr>
              <w:t>承</w:t>
            </w:r>
            <w:r>
              <w:rPr>
                <w:rFonts w:ascii="仿宋" w:hAnsi="仿宋" w:eastAsia="仿宋" w:cs="仿宋"/>
                <w:snapToGrid w:val="0"/>
                <w:color w:val="auto"/>
                <w:spacing w:val="5"/>
                <w:kern w:val="0"/>
                <w:sz w:val="23"/>
                <w:szCs w:val="23"/>
                <w:highlight w:val="none"/>
                <w14:textOutline w14:w="4358" w14:cap="sq" w14:cmpd="sng">
                  <w14:solidFill>
                    <w14:srgbClr w14:val="000000"/>
                  </w14:solidFill>
                  <w14:prstDash w14:val="solid"/>
                  <w14:bevel/>
                </w14:textOutline>
              </w:rPr>
              <w:t>包方</w:t>
            </w:r>
          </w:p>
        </w:tc>
        <w:tc>
          <w:tcPr>
            <w:tcW w:w="3628" w:type="dxa"/>
            <w:gridSpan w:val="2"/>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vAlign w:val="top"/>
          </w:tcPr>
          <w:p>
            <w:pPr>
              <w:widowControl/>
              <w:shd w:val="clear"/>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14:textOutline w14:w="4358" w14:cap="sq" w14:cmpd="sng">
                  <w14:solidFill>
                    <w14:srgbClr w14:val="000000"/>
                  </w14:solidFill>
                  <w14:prstDash w14:val="solid"/>
                  <w14:bevel/>
                </w14:textOutline>
              </w:rPr>
              <w:t>单</w:t>
            </w:r>
            <w:r>
              <w:rPr>
                <w:rFonts w:ascii="仿宋" w:hAnsi="仿宋" w:eastAsia="仿宋" w:cs="仿宋"/>
                <w:snapToGrid w:val="0"/>
                <w:color w:val="auto"/>
                <w:kern w:val="0"/>
                <w:sz w:val="23"/>
                <w:szCs w:val="23"/>
                <w:highlight w:val="none"/>
                <w14:textOutline w14:w="4358" w14:cap="sq" w14:cmpd="sng">
                  <w14:solidFill>
                    <w14:srgbClr w14:val="000000"/>
                  </w14:solidFill>
                  <w14:prstDash w14:val="solid"/>
                  <w14:bevel/>
                </w14:textOutline>
              </w:rPr>
              <w:t>号</w:t>
            </w:r>
          </w:p>
        </w:tc>
        <w:tc>
          <w:tcPr>
            <w:tcW w:w="2990" w:type="dxa"/>
            <w:gridSpan w:val="3"/>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vAlign w:val="top"/>
          </w:tcPr>
          <w:p>
            <w:pPr>
              <w:widowControl/>
              <w:shd w:val="clear"/>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14:textOutline w14:w="4358" w14:cap="sq" w14:cmpd="sng">
                  <w14:solidFill>
                    <w14:srgbClr w14:val="000000"/>
                  </w14:solidFill>
                  <w14:prstDash w14:val="solid"/>
                  <w14:bevel/>
                </w14:textOutline>
              </w:rPr>
              <w:t>分</w:t>
            </w:r>
            <w:r>
              <w:rPr>
                <w:rFonts w:ascii="仿宋" w:hAnsi="仿宋" w:eastAsia="仿宋" w:cs="仿宋"/>
                <w:snapToGrid w:val="0"/>
                <w:color w:val="auto"/>
                <w:spacing w:val="4"/>
                <w:kern w:val="0"/>
                <w:sz w:val="23"/>
                <w:szCs w:val="23"/>
                <w:highlight w:val="none"/>
                <w14:textOutline w14:w="4358" w14:cap="sq" w14:cmpd="sng">
                  <w14:solidFill>
                    <w14:srgbClr w14:val="000000"/>
                  </w14:solidFill>
                  <w14:prstDash w14:val="solid"/>
                  <w14:bevel/>
                </w14:textOutline>
              </w:rPr>
              <w:t>包方</w:t>
            </w:r>
          </w:p>
        </w:tc>
        <w:tc>
          <w:tcPr>
            <w:tcW w:w="3628" w:type="dxa"/>
            <w:gridSpan w:val="2"/>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vAlign w:val="top"/>
          </w:tcPr>
          <w:p>
            <w:pPr>
              <w:widowControl/>
              <w:shd w:val="clear"/>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14:textOutline w14:w="4358" w14:cap="sq" w14:cmpd="sng">
                  <w14:solidFill>
                    <w14:srgbClr w14:val="000000"/>
                  </w14:solidFill>
                  <w14:prstDash w14:val="solid"/>
                  <w14:bevel/>
                </w14:textOutline>
              </w:rPr>
              <w:t>原</w:t>
            </w:r>
            <w:r>
              <w:rPr>
                <w:rFonts w:ascii="仿宋" w:hAnsi="仿宋" w:eastAsia="仿宋" w:cs="仿宋"/>
                <w:snapToGrid w:val="0"/>
                <w:color w:val="auto"/>
                <w:kern w:val="0"/>
                <w:sz w:val="23"/>
                <w:szCs w:val="23"/>
                <w:highlight w:val="none"/>
                <w14:textOutline w14:w="4358" w14:cap="sq" w14:cmpd="sng">
                  <w14:solidFill>
                    <w14:srgbClr w14:val="000000"/>
                  </w14:solidFill>
                  <w14:prstDash w14:val="solid"/>
                  <w14:bevel/>
                </w14:textOutline>
              </w:rPr>
              <w:t>因</w:t>
            </w:r>
          </w:p>
        </w:tc>
        <w:tc>
          <w:tcPr>
            <w:tcW w:w="2990" w:type="dxa"/>
            <w:gridSpan w:val="3"/>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vAlign w:val="top"/>
          </w:tcPr>
          <w:p>
            <w:pPr>
              <w:widowControl/>
              <w:shd w:val="clear"/>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vAlign w:val="top"/>
          </w:tcPr>
          <w:p>
            <w:pPr>
              <w:widowControl/>
              <w:shd w:val="clear"/>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vAlign w:val="top"/>
          </w:tcPr>
          <w:p>
            <w:pPr>
              <w:widowControl/>
              <w:shd w:val="clear"/>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vAlign w:val="top"/>
          </w:tcPr>
          <w:p>
            <w:pPr>
              <w:widowControl/>
              <w:shd w:val="clear"/>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vAlign w:val="top"/>
          </w:tcPr>
          <w:p>
            <w:pPr>
              <w:widowControl/>
              <w:shd w:val="clear"/>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vAlign w:val="top"/>
          </w:tcPr>
          <w:p>
            <w:pPr>
              <w:widowControl/>
              <w:shd w:val="clear"/>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vAlign w:val="top"/>
          </w:tcPr>
          <w:p>
            <w:pPr>
              <w:widowControl/>
              <w:shd w:val="clear"/>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vAlign w:val="top"/>
          </w:tcPr>
          <w:p>
            <w:pPr>
              <w:widowControl/>
              <w:shd w:val="clear"/>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vAlign w:val="top"/>
          </w:tcPr>
          <w:p>
            <w:pPr>
              <w:widowControl/>
              <w:shd w:val="clea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vAlign w:val="top"/>
          </w:tcPr>
          <w:p>
            <w:pPr>
              <w:widowControl/>
              <w:shd w:val="clear"/>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14:textOutline w14:w="4358" w14:cap="sq" w14:cmpd="sng">
                  <w14:solidFill>
                    <w14:srgbClr w14:val="000000"/>
                  </w14:solidFill>
                  <w14:prstDash w14:val="solid"/>
                  <w14:bevel/>
                </w14:textOutline>
              </w:rPr>
              <w:t>分</w:t>
            </w:r>
            <w:r>
              <w:rPr>
                <w:rFonts w:ascii="仿宋" w:hAnsi="仿宋" w:eastAsia="仿宋" w:cs="仿宋"/>
                <w:snapToGrid w:val="0"/>
                <w:color w:val="auto"/>
                <w:spacing w:val="7"/>
                <w:kern w:val="0"/>
                <w:sz w:val="23"/>
                <w:szCs w:val="23"/>
                <w:highlight w:val="none"/>
                <w14:textOutline w14:w="4358" w14:cap="sq" w14:cmpd="sng">
                  <w14:solidFill>
                    <w14:srgbClr w14:val="000000"/>
                  </w14:solidFill>
                  <w14:prstDash w14:val="solid"/>
                  <w14:bevel/>
                </w14:textOutline>
              </w:rPr>
              <w:t>包方代表</w:t>
            </w:r>
          </w:p>
        </w:tc>
        <w:tc>
          <w:tcPr>
            <w:tcW w:w="3073" w:type="dxa"/>
            <w:gridSpan w:val="2"/>
            <w:vAlign w:val="top"/>
          </w:tcPr>
          <w:p>
            <w:pPr>
              <w:widowControl/>
              <w:shd w:val="clear"/>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14:textOutline w14:w="4358" w14:cap="sq" w14:cmpd="sng">
                  <w14:solidFill>
                    <w14:srgbClr w14:val="000000"/>
                  </w14:solidFill>
                  <w14:prstDash w14:val="solid"/>
                  <w14:bevel/>
                </w14:textOutline>
              </w:rPr>
              <w:t>承</w:t>
            </w:r>
            <w:r>
              <w:rPr>
                <w:rFonts w:ascii="仿宋" w:hAnsi="仿宋" w:eastAsia="仿宋" w:cs="仿宋"/>
                <w:snapToGrid w:val="0"/>
                <w:color w:val="auto"/>
                <w:spacing w:val="7"/>
                <w:kern w:val="0"/>
                <w:sz w:val="23"/>
                <w:szCs w:val="23"/>
                <w:highlight w:val="none"/>
                <w14:textOutline w14:w="4358" w14:cap="sq" w14:cmpd="sng">
                  <w14:solidFill>
                    <w14:srgbClr w14:val="000000"/>
                  </w14:solidFill>
                  <w14:prstDash w14:val="solid"/>
                  <w14:bevel/>
                </w14:textOutline>
              </w:rPr>
              <w:t>包方代表</w:t>
            </w:r>
          </w:p>
        </w:tc>
        <w:tc>
          <w:tcPr>
            <w:tcW w:w="2990" w:type="dxa"/>
            <w:gridSpan w:val="3"/>
            <w:vAlign w:val="top"/>
          </w:tcPr>
          <w:p>
            <w:pPr>
              <w:widowControl/>
              <w:shd w:val="clear"/>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14:textOutline w14:w="4358" w14:cap="sq" w14:cmpd="sng">
                  <w14:solidFill>
                    <w14:srgbClr w14:val="000000"/>
                  </w14:solidFill>
                  <w14:prstDash w14:val="solid"/>
                  <w14:bevel/>
                </w14:textOutline>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vAlign w:val="top"/>
          </w:tcPr>
          <w:p>
            <w:pPr>
              <w:widowControl/>
              <w:shd w:val="clear"/>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vAlign w:val="top"/>
          </w:tcPr>
          <w:p>
            <w:pPr>
              <w:widowControl/>
              <w:shd w:val="clear"/>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pPr>
              <w:widowControl/>
              <w:shd w:val="clear"/>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pPr>
              <w:widowControl/>
              <w:shd w:val="clea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vAlign w:val="top"/>
          </w:tcPr>
          <w:p>
            <w:pPr>
              <w:widowControl/>
              <w:shd w:val="clear"/>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vAlign w:val="top"/>
          </w:tcPr>
          <w:p>
            <w:pPr>
              <w:widowControl/>
              <w:shd w:val="clear"/>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vAlign w:val="top"/>
          </w:tcPr>
          <w:p>
            <w:pPr>
              <w:widowControl/>
              <w:shd w:val="clear"/>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vAlign w:val="top"/>
          </w:tcPr>
          <w:p>
            <w:pPr>
              <w:widowControl/>
              <w:shd w:val="clear"/>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附件七</w:t>
      </w:r>
    </w:p>
    <w:p>
      <w:pPr>
        <w:pStyle w:val="14"/>
        <w:shd w:val="clear"/>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pPr>
        <w:pStyle w:val="14"/>
        <w:shd w:val="clear"/>
        <w:rPr>
          <w:rFonts w:hint="eastAsia"/>
          <w:color w:val="auto"/>
          <w:highlight w:val="none"/>
          <w:lang w:val="en-US" w:eastAsia="zh-CN"/>
        </w:rPr>
      </w:pP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pPr>
              <w:shd w:val="clea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pPr>
              <w:shd w:val="clea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pPr>
              <w:shd w:val="clea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pPr>
              <w:shd w:val="clea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pPr>
              <w:shd w:val="clea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pPr>
              <w:shd w:val="clear"/>
              <w:jc w:val="center"/>
              <w:rPr>
                <w:rFonts w:hint="eastAsia" w:ascii="仿宋" w:hAnsi="仿宋" w:eastAsia="仿宋" w:cs="仿宋"/>
                <w:b w:val="0"/>
                <w:bCs/>
                <w:color w:val="auto"/>
                <w:sz w:val="21"/>
                <w:szCs w:val="21"/>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pPr>
              <w:shd w:val="clea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pPr>
              <w:shd w:val="clea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pPr>
              <w:shd w:val="clea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pPr>
              <w:shd w:val="clea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pPr>
              <w:shd w:val="clea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pPr>
              <w:shd w:val="clea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pPr>
              <w:shd w:val="clea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pPr>
              <w:shd w:val="clear"/>
              <w:jc w:val="center"/>
              <w:rPr>
                <w:rFonts w:hint="eastAsia" w:ascii="仿宋" w:hAnsi="仿宋" w:eastAsia="仿宋" w:cs="仿宋"/>
                <w:b w:val="0"/>
                <w:bCs/>
                <w:color w:val="auto"/>
                <w:sz w:val="21"/>
                <w:szCs w:val="21"/>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pPr>
              <w:shd w:val="clea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pPr>
              <w:shd w:val="clear"/>
              <w:jc w:val="left"/>
              <w:rPr>
                <w:rFonts w:hint="eastAsia" w:ascii="仿宋" w:hAnsi="仿宋" w:eastAsia="仿宋" w:cs="仿宋"/>
                <w:b w:val="0"/>
                <w:bCs/>
                <w:color w:val="auto"/>
                <w:sz w:val="21"/>
                <w:szCs w:val="21"/>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pPr>
              <w:shd w:val="clea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pPr>
              <w:shd w:val="clear"/>
              <w:jc w:val="left"/>
              <w:rPr>
                <w:rFonts w:hint="eastAsia" w:ascii="仿宋" w:hAnsi="仿宋" w:eastAsia="仿宋" w:cs="仿宋"/>
                <w:b w:val="0"/>
                <w:bCs/>
                <w:color w:val="auto"/>
                <w:sz w:val="21"/>
                <w:szCs w:val="21"/>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pPr>
              <w:shd w:val="clea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pPr>
              <w:shd w:val="clear"/>
              <w:jc w:val="left"/>
              <w:rPr>
                <w:rFonts w:hint="eastAsia" w:ascii="仿宋" w:hAnsi="仿宋" w:eastAsia="仿宋" w:cs="仿宋"/>
                <w:b w:val="0"/>
                <w:bCs/>
                <w:color w:val="auto"/>
                <w:sz w:val="21"/>
                <w:szCs w:val="21"/>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pPr>
              <w:shd w:val="clea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pPr>
              <w:shd w:val="clear"/>
              <w:jc w:val="left"/>
              <w:rPr>
                <w:rFonts w:hint="eastAsia" w:ascii="仿宋" w:hAnsi="仿宋" w:eastAsia="仿宋" w:cs="仿宋"/>
                <w:b w:val="0"/>
                <w:bCs/>
                <w:color w:val="auto"/>
                <w:sz w:val="21"/>
                <w:szCs w:val="21"/>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pPr>
              <w:shd w:val="clea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pPr>
              <w:shd w:val="clear"/>
              <w:jc w:val="left"/>
              <w:rPr>
                <w:rFonts w:hint="eastAsia" w:ascii="仿宋" w:hAnsi="仿宋" w:eastAsia="仿宋" w:cs="仿宋"/>
                <w:b w:val="0"/>
                <w:bCs/>
                <w:color w:val="auto"/>
                <w:sz w:val="21"/>
                <w:szCs w:val="21"/>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pPr>
              <w:shd w:val="clea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p>
            <w:pPr>
              <w:shd w:val="clear"/>
              <w:rPr>
                <w:rFonts w:hint="eastAsia" w:ascii="仿宋" w:hAnsi="仿宋" w:eastAsia="仿宋" w:cs="仿宋"/>
                <w:b w:val="0"/>
                <w:bCs/>
                <w:color w:val="auto"/>
                <w:sz w:val="21"/>
                <w:szCs w:val="21"/>
                <w:highlight w:val="none"/>
              </w:rPr>
            </w:pPr>
          </w:p>
          <w:p>
            <w:pPr>
              <w:shd w:val="clear"/>
              <w:ind w:right="284"/>
              <w:jc w:val="left"/>
              <w:rPr>
                <w:rFonts w:hint="eastAsia" w:ascii="仿宋" w:hAnsi="仿宋" w:eastAsia="仿宋" w:cs="仿宋"/>
                <w:b w:val="0"/>
                <w:bCs/>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pPr>
              <w:shd w:val="clea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pPr>
              <w:shd w:val="clear"/>
              <w:ind w:right="284"/>
              <w:jc w:val="left"/>
              <w:rPr>
                <w:rFonts w:hint="eastAsia" w:ascii="仿宋" w:hAnsi="仿宋" w:eastAsia="仿宋" w:cs="仿宋"/>
                <w:b/>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pPr>
              <w:shd w:val="clea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pPr>
              <w:shd w:val="clear"/>
              <w:ind w:right="284"/>
              <w:jc w:val="left"/>
              <w:rPr>
                <w:rFonts w:hint="eastAsia" w:ascii="仿宋" w:hAnsi="仿宋" w:eastAsia="仿宋" w:cs="仿宋"/>
                <w:b/>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pPr>
              <w:shd w:val="clea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pPr>
              <w:shd w:val="clear"/>
              <w:ind w:right="284"/>
              <w:jc w:val="left"/>
              <w:rPr>
                <w:rFonts w:hint="eastAsia" w:ascii="仿宋" w:hAnsi="仿宋" w:eastAsia="仿宋" w:cs="仿宋"/>
                <w:b/>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pPr>
              <w:shd w:val="clea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pPr>
              <w:shd w:val="clea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pPr>
              <w:shd w:val="clear"/>
              <w:ind w:right="284"/>
              <w:jc w:val="left"/>
              <w:rPr>
                <w:rFonts w:hint="eastAsia" w:ascii="仿宋" w:hAnsi="仿宋" w:eastAsia="仿宋" w:cs="仿宋"/>
                <w:b/>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pPr>
              <w:shd w:val="clea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pPr>
              <w:shd w:val="clear"/>
              <w:ind w:right="284"/>
              <w:jc w:val="left"/>
              <w:rPr>
                <w:rFonts w:hint="eastAsia" w:ascii="仿宋" w:hAnsi="仿宋" w:eastAsia="仿宋" w:cs="仿宋"/>
                <w:b/>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pPr>
              <w:shd w:val="clea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成本中心</w:t>
            </w:r>
          </w:p>
        </w:tc>
        <w:tc>
          <w:tcPr>
            <w:tcW w:w="7910" w:type="dxa"/>
            <w:gridSpan w:val="10"/>
            <w:noWrap w:val="0"/>
            <w:vAlign w:val="center"/>
          </w:tcPr>
          <w:p>
            <w:pPr>
              <w:shd w:val="clear"/>
              <w:ind w:right="284"/>
              <w:jc w:val="left"/>
              <w:rPr>
                <w:rFonts w:hint="eastAsia" w:ascii="仿宋" w:hAnsi="仿宋" w:eastAsia="仿宋" w:cs="仿宋"/>
                <w:b/>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pPr>
              <w:shd w:val="clea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pPr>
              <w:shd w:val="clear"/>
              <w:ind w:right="284"/>
              <w:jc w:val="left"/>
              <w:rPr>
                <w:rFonts w:hint="eastAsia" w:ascii="仿宋" w:hAnsi="仿宋" w:eastAsia="仿宋" w:cs="仿宋"/>
                <w:b/>
                <w:color w:val="auto"/>
                <w:sz w:val="21"/>
                <w:szCs w:val="21"/>
                <w:highlight w:val="none"/>
              </w:rPr>
            </w:pPr>
          </w:p>
        </w:tc>
      </w:tr>
    </w:tbl>
    <w:p>
      <w:pPr>
        <w:pStyle w:val="14"/>
        <w:shd w:val="clear"/>
        <w:rPr>
          <w:rFonts w:hint="eastAsia"/>
          <w:color w:val="auto"/>
          <w:highlight w:val="none"/>
          <w:lang w:val="en-US" w:eastAsia="zh-CN"/>
        </w:rPr>
      </w:pPr>
    </w:p>
    <w:p>
      <w:pPr>
        <w:pStyle w:val="14"/>
        <w:shd w:val="clear"/>
        <w:rPr>
          <w:rFonts w:hint="eastAsia"/>
          <w:color w:val="auto"/>
          <w:highlight w:val="none"/>
          <w:lang w:val="en-US" w:eastAsia="zh-CN"/>
        </w:rPr>
      </w:pPr>
    </w:p>
    <w:p>
      <w:pPr>
        <w:shd w:val="clear"/>
        <w:wordWrap w:val="0"/>
        <w:spacing w:line="360" w:lineRule="auto"/>
        <w:ind w:right="-307" w:rightChars="-146"/>
        <w:jc w:val="right"/>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附件八</w:t>
      </w:r>
    </w:p>
    <w:tbl>
      <w:tblPr>
        <w:tblStyle w:val="15"/>
        <w:tblW w:w="9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4451"/>
        <w:gridCol w:w="1410"/>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shd w:val="clear" w:color="auto" w:fill="auto"/>
            <w:vAlign w:val="center"/>
          </w:tcPr>
          <w:p>
            <w:pPr>
              <w:keepNext w:val="0"/>
              <w:keepLines w:val="0"/>
              <w:widowControl/>
              <w:suppressLineNumbers w:val="0"/>
              <w:shd w:val="clear"/>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shd w:val="clear" w:color="auto" w:fill="auto"/>
            <w:noWrap/>
            <w:vAlign w:val="center"/>
          </w:tcPr>
          <w:p>
            <w:pPr>
              <w:shd w:val="clea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clea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hd w:val="clea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注：1、本表一式三份，交接单位及项目部各执一份，本表格签字完善后作为分包单位申请工程进度款的依据。2、移交人和接收人均须为合同约定的现场负责人。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shd w:val="clear" w:color="auto" w:fill="auto"/>
            <w:vAlign w:val="center"/>
          </w:tcPr>
          <w:p>
            <w:pPr>
              <w:shd w:val="clear"/>
              <w:jc w:val="left"/>
              <w:rPr>
                <w:rFonts w:hint="eastAsia" w:ascii="仿宋" w:hAnsi="仿宋" w:eastAsia="仿宋" w:cs="仿宋"/>
                <w:i w:val="0"/>
                <w:iCs w:val="0"/>
                <w:color w:val="auto"/>
                <w:sz w:val="24"/>
                <w:szCs w:val="24"/>
                <w:highlight w:val="none"/>
                <w:u w:val="none"/>
              </w:rPr>
            </w:pPr>
          </w:p>
        </w:tc>
      </w:tr>
    </w:tbl>
    <w:p>
      <w:pPr>
        <w:pStyle w:val="14"/>
        <w:shd w:val="clear"/>
        <w:rPr>
          <w:rFonts w:hint="default"/>
          <w:color w:val="auto"/>
          <w:highlight w:val="none"/>
          <w:lang w:val="en-US" w:eastAsia="zh-CN"/>
        </w:rPr>
      </w:pPr>
    </w:p>
    <w:p>
      <w:pPr>
        <w:pStyle w:val="14"/>
        <w:shd w:val="clear"/>
        <w:rPr>
          <w:rFonts w:hint="default"/>
          <w:color w:val="auto"/>
          <w:highlight w:val="none"/>
          <w:lang w:val="en-US" w:eastAsia="zh-CN"/>
        </w:rPr>
      </w:pPr>
    </w:p>
    <w:p>
      <w:pPr>
        <w:pStyle w:val="14"/>
        <w:shd w:val="clear"/>
        <w:rPr>
          <w:rFonts w:hint="default"/>
          <w:color w:val="auto"/>
          <w:highlight w:val="none"/>
          <w:lang w:val="en-US" w:eastAsia="zh-CN"/>
        </w:rPr>
      </w:pPr>
    </w:p>
    <w:p>
      <w:pPr>
        <w:pStyle w:val="14"/>
        <w:shd w:val="clear"/>
        <w:rPr>
          <w:rFonts w:hint="default"/>
          <w:color w:val="auto"/>
          <w:highlight w:val="none"/>
          <w:lang w:val="en-US" w:eastAsia="zh-CN"/>
        </w:rPr>
      </w:pPr>
    </w:p>
    <w:p>
      <w:pPr>
        <w:pStyle w:val="14"/>
        <w:shd w:val="clear"/>
        <w:rPr>
          <w:rFonts w:hint="default"/>
          <w:color w:val="auto"/>
          <w:highlight w:val="none"/>
          <w:lang w:val="en-US" w:eastAsia="zh-CN"/>
        </w:rPr>
      </w:pPr>
    </w:p>
    <w:p>
      <w:pPr>
        <w:pStyle w:val="14"/>
        <w:shd w:val="clear"/>
        <w:rPr>
          <w:rFonts w:hint="default"/>
          <w:color w:val="auto"/>
          <w:highlight w:val="none"/>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附件九</w:t>
      </w:r>
    </w:p>
    <w:p>
      <w:pPr>
        <w:shd w:val="clear"/>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 xml:space="preserve">  </w:t>
      </w:r>
    </w:p>
    <w:p>
      <w:pPr>
        <w:jc w:val="center"/>
        <w:rPr>
          <w:rFonts w:hint="eastAsia"/>
          <w:b/>
          <w:bCs/>
          <w:sz w:val="36"/>
          <w:szCs w:val="36"/>
          <w:highlight w:val="none"/>
          <w:lang w:val="en-US" w:eastAsia="zh-CN"/>
        </w:rPr>
      </w:pPr>
      <w:r>
        <w:rPr>
          <w:rFonts w:hint="eastAsia"/>
          <w:b/>
          <w:bCs/>
          <w:sz w:val="36"/>
          <w:szCs w:val="36"/>
          <w:highlight w:val="none"/>
          <w:lang w:val="en-US" w:eastAsia="zh-CN"/>
        </w:rPr>
        <w:t>技术工人素质承诺书</w:t>
      </w:r>
    </w:p>
    <w:p>
      <w:pPr>
        <w:jc w:val="center"/>
        <w:rPr>
          <w:rFonts w:hint="eastAsia"/>
          <w:b/>
          <w:bCs/>
          <w:sz w:val="30"/>
          <w:szCs w:val="30"/>
          <w:highlight w:val="none"/>
          <w:lang w:val="en-US" w:eastAsia="zh-CN"/>
        </w:rPr>
      </w:pPr>
    </w:p>
    <w:p>
      <w:pPr>
        <w:jc w:val="both"/>
        <w:rPr>
          <w:rFonts w:hint="eastAsia"/>
          <w:b w:val="0"/>
          <w:bCs w:val="0"/>
          <w:sz w:val="28"/>
          <w:szCs w:val="28"/>
          <w:highlight w:val="none"/>
          <w:lang w:val="en-US" w:eastAsia="zh-CN"/>
        </w:rPr>
      </w:pPr>
      <w:r>
        <w:rPr>
          <w:rFonts w:hint="eastAsia"/>
          <w:b w:val="0"/>
          <w:bCs w:val="0"/>
          <w:sz w:val="28"/>
          <w:szCs w:val="28"/>
          <w:highlight w:val="none"/>
          <w:lang w:val="en-US" w:eastAsia="zh-CN"/>
        </w:rPr>
        <w:t>致东莞市中泰建安工程有限公司</w:t>
      </w:r>
      <w:r>
        <w:rPr>
          <w:rFonts w:hint="eastAsia" w:ascii="宋体" w:hAnsi="宋体" w:eastAsia="宋体" w:cs="宋体"/>
          <w:sz w:val="28"/>
          <w:szCs w:val="28"/>
          <w:highlight w:val="none"/>
          <w:lang w:val="en-US" w:eastAsia="zh-CN"/>
        </w:rPr>
        <w:t>（以下简称“甲方”）</w:t>
      </w:r>
      <w:r>
        <w:rPr>
          <w:rFonts w:hint="eastAsia"/>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highlight w:val="none"/>
          <w:u w:val="none"/>
          <w:lang w:val="en-US" w:eastAsia="zh-CN"/>
        </w:rPr>
      </w:pPr>
      <w:r>
        <w:rPr>
          <w:rFonts w:hint="eastAsia"/>
          <w:b w:val="0"/>
          <w:bCs w:val="0"/>
          <w:sz w:val="28"/>
          <w:szCs w:val="28"/>
          <w:highlight w:val="none"/>
          <w:lang w:val="en-US" w:eastAsia="zh-CN"/>
        </w:rPr>
        <w:t>由我司承接甲方的</w:t>
      </w:r>
      <w:r>
        <w:rPr>
          <w:rFonts w:hint="eastAsia" w:ascii="宋体" w:hAnsi="宋体" w:eastAsia="宋体" w:cs="宋体"/>
          <w:b w:val="0"/>
          <w:bCs w:val="0"/>
          <w:sz w:val="28"/>
          <w:szCs w:val="28"/>
          <w:highlight w:val="none"/>
          <w:u w:val="single"/>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eastAsia="宋体" w:cs="宋体"/>
          <w:sz w:val="28"/>
          <w:szCs w:val="28"/>
          <w:highlight w:val="none"/>
          <w:u w:val="single"/>
        </w:rPr>
        <w:t>（项目名称</w:t>
      </w:r>
      <w:r>
        <w:rPr>
          <w:rFonts w:hint="eastAsia" w:ascii="宋体" w:hAnsi="宋体" w:eastAsia="宋体" w:cs="宋体"/>
          <w:sz w:val="28"/>
          <w:szCs w:val="28"/>
          <w:highlight w:val="none"/>
          <w:u w:val="singl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lang w:eastAsia="zh-CN"/>
        </w:rPr>
        <w:t>（</w:t>
      </w:r>
      <w:r>
        <w:rPr>
          <w:rFonts w:hint="eastAsia" w:ascii="宋体" w:hAnsi="宋体" w:cs="宋体"/>
          <w:sz w:val="28"/>
          <w:szCs w:val="28"/>
          <w:highlight w:val="none"/>
          <w:u w:val="none"/>
          <w:lang w:val="en-US" w:eastAsia="zh-CN"/>
        </w:rPr>
        <w:t>以下简称“本项目”</w:t>
      </w:r>
      <w:r>
        <w:rPr>
          <w:rFonts w:hint="eastAsia" w:ascii="宋体" w:hAnsi="宋体" w:cs="宋体"/>
          <w:sz w:val="28"/>
          <w:szCs w:val="28"/>
          <w:highlight w:val="none"/>
          <w:u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w:t>
      </w:r>
      <w:r>
        <w:rPr>
          <w:rFonts w:hint="eastAsia" w:ascii="宋体" w:hAnsi="宋体" w:eastAsia="宋体" w:cs="宋体"/>
          <w:color w:val="auto"/>
          <w:sz w:val="28"/>
          <w:szCs w:val="28"/>
          <w:highlight w:val="none"/>
          <w:u w:val="single"/>
          <w:lang w:eastAsia="zh-CN"/>
        </w:rPr>
        <w:t>分项工程</w:t>
      </w:r>
      <w:r>
        <w:rPr>
          <w:rFonts w:hint="eastAsia" w:ascii="宋体" w:hAnsi="宋体" w:eastAsia="宋体" w:cs="宋体"/>
          <w:color w:val="auto"/>
          <w:sz w:val="28"/>
          <w:szCs w:val="28"/>
          <w:highlight w:val="none"/>
          <w:u w:val="single"/>
        </w:rPr>
        <w:t>名称）</w:t>
      </w:r>
      <w:r>
        <w:rPr>
          <w:rFonts w:hint="eastAsia" w:ascii="宋体" w:hAnsi="宋体" w:cs="宋体"/>
          <w:color w:val="auto"/>
          <w:sz w:val="28"/>
          <w:szCs w:val="28"/>
          <w:highlight w:val="none"/>
          <w:lang w:eastAsia="zh-CN"/>
        </w:rPr>
        <w:t>涉及</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 xml:space="preserve">  （工种名称）</w:t>
      </w:r>
      <w:r>
        <w:rPr>
          <w:rFonts w:hint="eastAsia" w:ascii="宋体" w:hAnsi="宋体" w:cs="宋体"/>
          <w:sz w:val="28"/>
          <w:szCs w:val="28"/>
          <w:highlight w:val="none"/>
          <w:u w:val="none"/>
          <w:lang w:val="en-US" w:eastAsia="zh-CN"/>
        </w:rPr>
        <w:t>等</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lang w:val="en-US" w:eastAsia="zh-CN"/>
        </w:rPr>
        <w:t>个工种，关于每个工种工人的技术素质能力，我司在此郑重承诺：</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我司进场的技术工人均具备优秀的专业技术能力，熟练掌握</w:t>
      </w:r>
      <w:r>
        <w:rPr>
          <w:rFonts w:hint="eastAsia" w:ascii="宋体" w:hAnsi="宋体" w:cs="宋体"/>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各自工种的具体</w:t>
      </w:r>
      <w:r>
        <w:rPr>
          <w:rFonts w:hint="eastAsia" w:ascii="宋体" w:hAnsi="宋体" w:cs="宋体"/>
          <w:sz w:val="28"/>
          <w:szCs w:val="28"/>
          <w:highlight w:val="none"/>
          <w:u w:val="none"/>
          <w:lang w:val="en-US" w:eastAsia="zh-CN"/>
        </w:rPr>
        <w:t>施工工艺流程和技术要领，熟练操作、使用各自工种涉及的相关工、器具，特种作业人员（如架子工、电工）必须持证上岗。</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highlight w:val="none"/>
          <w:u w:val="none"/>
          <w:lang w:val="en-US" w:eastAsia="zh-CN"/>
        </w:rPr>
      </w:pPr>
      <w:bookmarkStart w:id="67" w:name="_Toc2993"/>
      <w:r>
        <w:rPr>
          <w:rFonts w:hint="eastAsia" w:ascii="宋体" w:hAnsi="宋体" w:cs="宋体"/>
          <w:sz w:val="28"/>
          <w:szCs w:val="28"/>
          <w:highlight w:val="none"/>
          <w:u w:val="none"/>
          <w:lang w:val="en-US" w:eastAsia="zh-CN"/>
        </w:rPr>
        <w:t>我司保证满足甲方工期要求，计划配备熟练技术工人不少于</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lang w:val="en-US" w:eastAsia="zh-CN"/>
        </w:rPr>
        <w:t>人（涉及多个工种时，需分别列出），并随时增加或减少我司人员以满足工程施工工期要求。如有增加人员，我司承诺必定满足前述第1、2点之条件。</w:t>
      </w:r>
      <w:bookmarkEnd w:id="67"/>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我司人员进场前须向甲方缴纳1000元/人（仅针对技术工人，普工除外）的样板保证金，保证金由甲方从合同款中直接暂扣。样板未通过则相应罚款从样板保证金中扣除，所有进场技术工人的样板全部通过后，剩余保证金由甲方无息支付给我司。</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default"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我司进场人员均须具备良好安全意识，按规定穿戴好安全防护用具，严格遵守各项安全规则和操作规范，做到时刻警惕，确保自身和他人的安全。</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7、</w:t>
      </w:r>
      <w:r>
        <w:rPr>
          <w:rFonts w:hint="default" w:ascii="宋体" w:hAnsi="宋体" w:cs="宋体"/>
          <w:sz w:val="28"/>
          <w:szCs w:val="28"/>
          <w:highlight w:val="none"/>
          <w:u w:val="none"/>
          <w:lang w:val="en-US" w:eastAsia="zh-CN"/>
        </w:rPr>
        <w:t>担保</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cs="宋体"/>
          <w:sz w:val="28"/>
          <w:szCs w:val="28"/>
          <w:highlight w:val="none"/>
          <w:u w:val="none"/>
          <w:lang w:val="en-US" w:eastAsia="zh-CN"/>
        </w:rPr>
      </w:pPr>
      <w:r>
        <w:rPr>
          <w:rFonts w:hint="default" w:ascii="宋体" w:hAnsi="宋体" w:cs="宋体"/>
          <w:sz w:val="28"/>
          <w:szCs w:val="28"/>
          <w:highlight w:val="none"/>
          <w:u w:val="none"/>
          <w:lang w:val="en-US" w:eastAsia="zh-CN"/>
        </w:rPr>
        <w:t>本人（法定代表人）</w:t>
      </w:r>
      <w:r>
        <w:rPr>
          <w:rFonts w:hint="default"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 xml:space="preserve">    </w:t>
      </w:r>
      <w:r>
        <w:rPr>
          <w:rFonts w:hint="default"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 xml:space="preserve">   </w:t>
      </w:r>
      <w:r>
        <w:rPr>
          <w:rFonts w:hint="default" w:ascii="宋体" w:hAnsi="宋体" w:cs="宋体"/>
          <w:sz w:val="28"/>
          <w:szCs w:val="28"/>
          <w:highlight w:val="none"/>
          <w:u w:val="none"/>
          <w:lang w:val="en-US" w:eastAsia="zh-CN"/>
        </w:rPr>
        <w:t>（身份证号：</w:t>
      </w:r>
      <w:r>
        <w:rPr>
          <w:rFonts w:hint="eastAsia" w:ascii="宋体" w:hAnsi="宋体" w:cs="宋体"/>
          <w:sz w:val="28"/>
          <w:szCs w:val="28"/>
          <w:highlight w:val="none"/>
          <w:u w:val="single"/>
          <w:lang w:val="en-US" w:eastAsia="zh-CN"/>
        </w:rPr>
        <w:t xml:space="preserve">              </w:t>
      </w:r>
      <w:r>
        <w:rPr>
          <w:rFonts w:hint="default" w:ascii="宋体" w:hAnsi="宋体" w:cs="宋体"/>
          <w:sz w:val="28"/>
          <w:szCs w:val="28"/>
          <w:highlight w:val="none"/>
          <w:u w:val="none"/>
          <w:lang w:val="en-US" w:eastAsia="zh-CN"/>
        </w:rPr>
        <w:t xml:space="preserve"> ）、本人（实际控制人）</w:t>
      </w:r>
      <w:r>
        <w:rPr>
          <w:rFonts w:hint="eastAsia" w:ascii="宋体" w:hAnsi="宋体" w:cs="宋体"/>
          <w:sz w:val="28"/>
          <w:szCs w:val="28"/>
          <w:highlight w:val="none"/>
          <w:u w:val="single"/>
          <w:lang w:val="en-US" w:eastAsia="zh-CN"/>
        </w:rPr>
        <w:t xml:space="preserve">           </w:t>
      </w:r>
      <w:r>
        <w:rPr>
          <w:rFonts w:hint="default" w:ascii="宋体" w:hAnsi="宋体" w:cs="宋体"/>
          <w:sz w:val="28"/>
          <w:szCs w:val="28"/>
          <w:highlight w:val="none"/>
          <w:u w:val="none"/>
          <w:lang w:val="en-US" w:eastAsia="zh-CN"/>
        </w:rPr>
        <w:t xml:space="preserve">（身份证号： </w:t>
      </w:r>
      <w:r>
        <w:rPr>
          <w:rFonts w:hint="eastAsia" w:ascii="宋体" w:hAnsi="宋体" w:cs="宋体"/>
          <w:sz w:val="28"/>
          <w:szCs w:val="28"/>
          <w:highlight w:val="none"/>
          <w:u w:val="single"/>
          <w:lang w:val="en-US" w:eastAsia="zh-CN"/>
        </w:rPr>
        <w:t xml:space="preserve">              </w:t>
      </w:r>
      <w:r>
        <w:rPr>
          <w:rFonts w:hint="default" w:ascii="宋体" w:hAnsi="宋体" w:cs="宋体"/>
          <w:sz w:val="28"/>
          <w:szCs w:val="28"/>
          <w:highlight w:val="none"/>
          <w:u w:val="none"/>
          <w:lang w:val="en-US" w:eastAsia="zh-CN"/>
        </w:rPr>
        <w:t>）同意就</w:t>
      </w:r>
      <w:r>
        <w:rPr>
          <w:rFonts w:hint="default" w:ascii="宋体" w:hAnsi="宋体" w:cs="宋体"/>
          <w:sz w:val="28"/>
          <w:szCs w:val="28"/>
          <w:highlight w:val="none"/>
          <w:u w:val="single"/>
          <w:lang w:val="en-US" w:eastAsia="zh-CN"/>
        </w:rPr>
        <w:t xml:space="preserve"> ×××公司</w:t>
      </w:r>
      <w:r>
        <w:rPr>
          <w:rFonts w:hint="default" w:ascii="宋体" w:hAnsi="宋体" w:cs="宋体"/>
          <w:sz w:val="28"/>
          <w:szCs w:val="28"/>
          <w:highlight w:val="none"/>
          <w:u w:val="none"/>
          <w:lang w:val="en-US" w:eastAsia="zh-CN"/>
        </w:rPr>
        <w:t>履行本承诺书，自愿无条件向</w:t>
      </w:r>
      <w:r>
        <w:rPr>
          <w:rFonts w:hint="eastAsia" w:ascii="宋体" w:hAnsi="宋体" w:cs="宋体"/>
          <w:sz w:val="28"/>
          <w:szCs w:val="28"/>
          <w:highlight w:val="none"/>
          <w:u w:val="none"/>
          <w:lang w:val="en-US" w:eastAsia="zh-CN"/>
        </w:rPr>
        <w:t>甲方</w:t>
      </w:r>
      <w:r>
        <w:rPr>
          <w:rFonts w:hint="default" w:ascii="宋体" w:hAnsi="宋体" w:cs="宋体"/>
          <w:sz w:val="28"/>
          <w:szCs w:val="28"/>
          <w:highlight w:val="none"/>
          <w:u w:val="none"/>
          <w:lang w:val="en-US" w:eastAsia="zh-CN"/>
        </w:rPr>
        <w:t>提供连带</w:t>
      </w:r>
      <w:r>
        <w:rPr>
          <w:rFonts w:hint="eastAsia" w:ascii="宋体" w:hAnsi="宋体" w:cs="宋体"/>
          <w:sz w:val="28"/>
          <w:szCs w:val="28"/>
          <w:highlight w:val="none"/>
          <w:u w:val="none"/>
          <w:lang w:val="en-US" w:eastAsia="zh-CN"/>
        </w:rPr>
        <w:t>保证</w:t>
      </w:r>
      <w:r>
        <w:rPr>
          <w:rFonts w:hint="default" w:ascii="宋体" w:hAnsi="宋体" w:cs="宋体"/>
          <w:sz w:val="28"/>
          <w:szCs w:val="28"/>
          <w:highlight w:val="none"/>
          <w:u w:val="none"/>
          <w:lang w:val="en-US" w:eastAsia="zh-CN"/>
        </w:rPr>
        <w:t>责任</w:t>
      </w:r>
      <w:r>
        <w:rPr>
          <w:rFonts w:hint="eastAsia" w:ascii="宋体" w:hAnsi="宋体" w:cs="宋体"/>
          <w:sz w:val="28"/>
          <w:szCs w:val="28"/>
          <w:highlight w:val="none"/>
          <w:u w:val="none"/>
          <w:lang w:val="en-US" w:eastAsia="zh-CN"/>
        </w:rPr>
        <w:t>，保证期间为三年，自本承诺书签章之日起计</w:t>
      </w:r>
      <w:r>
        <w:rPr>
          <w:rFonts w:hint="default" w:ascii="宋体" w:hAnsi="宋体" w:cs="宋体"/>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cs="宋体"/>
          <w:sz w:val="28"/>
          <w:szCs w:val="28"/>
          <w:highlight w:val="none"/>
          <w:u w:val="none"/>
          <w:lang w:val="en-US" w:eastAsia="zh-CN"/>
        </w:rPr>
      </w:pPr>
      <w:r>
        <w:rPr>
          <w:rFonts w:hint="default" w:ascii="宋体" w:hAnsi="宋体" w:cs="宋体"/>
          <w:sz w:val="28"/>
          <w:szCs w:val="28"/>
          <w:highlight w:val="none"/>
          <w:u w:val="none"/>
          <w:lang w:val="en-US" w:eastAsia="zh-CN"/>
        </w:rPr>
        <w:t>特此承诺！</w:t>
      </w:r>
    </w:p>
    <w:p>
      <w:pPr>
        <w:pStyle w:val="14"/>
        <w:rPr>
          <w:rFonts w:hint="default"/>
          <w:color w:val="auto"/>
          <w:sz w:val="28"/>
          <w:szCs w:val="28"/>
          <w:highlight w:val="none"/>
          <w:lang w:val="en-US" w:eastAsia="zh-CN"/>
        </w:rPr>
      </w:pPr>
      <w:r>
        <w:rPr>
          <w:rFonts w:hint="default"/>
          <w:color w:val="auto"/>
          <w:sz w:val="28"/>
          <w:szCs w:val="28"/>
          <w:highlight w:val="none"/>
          <w:lang w:val="en-US" w:eastAsia="zh-CN"/>
        </w:rPr>
        <w:t>【以下无正文】</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cs="宋体"/>
          <w:sz w:val="28"/>
          <w:szCs w:val="28"/>
          <w:highlight w:val="none"/>
          <w:u w:val="none"/>
          <w:lang w:val="en-US" w:eastAsia="zh-CN"/>
        </w:rPr>
      </w:pPr>
    </w:p>
    <w:p>
      <w:pPr>
        <w:pStyle w:val="14"/>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cs="宋体"/>
          <w:sz w:val="28"/>
          <w:szCs w:val="28"/>
          <w:highlight w:val="none"/>
          <w:u w:val="none"/>
          <w:lang w:val="en-US" w:eastAsia="zh-CN"/>
        </w:rPr>
      </w:pPr>
      <w:r>
        <w:rPr>
          <w:rFonts w:hint="default" w:ascii="宋体" w:hAnsi="宋体" w:cs="宋体"/>
          <w:sz w:val="28"/>
          <w:szCs w:val="28"/>
          <w:highlight w:val="none"/>
          <w:u w:val="none"/>
          <w:lang w:val="en-US" w:eastAsia="zh-CN"/>
        </w:rPr>
        <w:t>附件：担保人身份证复印件正反面</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firstLine="4200" w:firstLineChars="1500"/>
        <w:jc w:val="both"/>
        <w:textAlignment w:val="auto"/>
        <w:rPr>
          <w:rFonts w:hint="default" w:ascii="宋体" w:hAnsi="宋体" w:cs="宋体"/>
          <w:sz w:val="28"/>
          <w:szCs w:val="28"/>
          <w:highlight w:val="none"/>
          <w:u w:val="none"/>
          <w:lang w:val="en-US" w:eastAsia="zh-CN"/>
        </w:rPr>
      </w:pPr>
      <w:r>
        <w:rPr>
          <w:rFonts w:hint="default" w:ascii="宋体" w:hAnsi="宋体" w:cs="宋体"/>
          <w:sz w:val="28"/>
          <w:szCs w:val="28"/>
          <w:highlight w:val="none"/>
          <w:u w:val="none"/>
          <w:lang w:val="en-US" w:eastAsia="zh-CN"/>
        </w:rPr>
        <w:t>承诺单位（盖章）：×××公司</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cs="宋体"/>
          <w:sz w:val="28"/>
          <w:szCs w:val="28"/>
          <w:highlight w:val="none"/>
          <w:u w:val="none"/>
          <w:lang w:val="en-US" w:eastAsia="zh-CN"/>
        </w:rPr>
      </w:pPr>
      <w:r>
        <w:rPr>
          <w:rFonts w:hint="default" w:ascii="宋体" w:hAnsi="宋体" w:cs="宋体"/>
          <w:sz w:val="28"/>
          <w:szCs w:val="28"/>
          <w:highlight w:val="none"/>
          <w:u w:val="none"/>
          <w:lang w:val="en-US" w:eastAsia="zh-CN"/>
        </w:rPr>
        <w:t xml:space="preserve">        </w:t>
      </w:r>
      <w:r>
        <w:rPr>
          <w:rFonts w:hint="eastAsia" w:ascii="宋体" w:hAnsi="宋体" w:cs="宋体"/>
          <w:sz w:val="28"/>
          <w:szCs w:val="28"/>
          <w:highlight w:val="none"/>
          <w:u w:val="none"/>
          <w:lang w:val="en-US" w:eastAsia="zh-CN"/>
        </w:rPr>
        <w:t xml:space="preserve">                 </w:t>
      </w:r>
      <w:r>
        <w:rPr>
          <w:rFonts w:hint="default" w:ascii="宋体" w:hAnsi="宋体" w:cs="宋体"/>
          <w:sz w:val="28"/>
          <w:szCs w:val="28"/>
          <w:highlight w:val="none"/>
          <w:u w:val="none"/>
          <w:lang w:val="en-US" w:eastAsia="zh-CN"/>
        </w:rPr>
        <w:t xml:space="preserve"> 担 保 人</w:t>
      </w:r>
      <w:r>
        <w:rPr>
          <w:rFonts w:hint="eastAsia" w:ascii="宋体" w:hAnsi="宋体" w:cs="宋体"/>
          <w:sz w:val="28"/>
          <w:szCs w:val="28"/>
          <w:highlight w:val="none"/>
          <w:u w:val="none"/>
          <w:lang w:val="en-US" w:eastAsia="zh-CN"/>
        </w:rPr>
        <w:t>（签名）</w:t>
      </w:r>
      <w:r>
        <w:rPr>
          <w:rFonts w:hint="default" w:ascii="宋体" w:hAnsi="宋体" w:cs="宋体"/>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cs="宋体"/>
          <w:sz w:val="28"/>
          <w:szCs w:val="28"/>
          <w:highlight w:val="none"/>
          <w:u w:val="none"/>
          <w:lang w:val="en-US" w:eastAsia="zh-CN"/>
        </w:rPr>
      </w:pPr>
      <w:r>
        <w:rPr>
          <w:rFonts w:hint="default" w:ascii="宋体" w:hAnsi="宋体" w:cs="宋体"/>
          <w:sz w:val="28"/>
          <w:szCs w:val="28"/>
          <w:highlight w:val="none"/>
          <w:u w:val="none"/>
          <w:lang w:val="en-US" w:eastAsia="zh-CN"/>
        </w:rPr>
        <w:t xml:space="preserve">                          日   期：××年××月××日</w:t>
      </w:r>
    </w:p>
    <w:p>
      <w:pPr>
        <w:pStyle w:val="14"/>
        <w:shd w:val="clear"/>
        <w:rPr>
          <w:rFonts w:hint="eastAsia"/>
          <w:color w:val="auto"/>
          <w:highlight w:val="none"/>
          <w:lang w:val="en-US" w:eastAsia="zh-CN"/>
        </w:rPr>
      </w:pPr>
    </w:p>
    <w:p>
      <w:pPr>
        <w:pStyle w:val="14"/>
        <w:shd w:val="clear"/>
        <w:rPr>
          <w:rFonts w:hint="eastAsia"/>
          <w:color w:val="auto"/>
          <w:highlight w:val="none"/>
          <w:lang w:val="en-US" w:eastAsia="zh-CN"/>
        </w:rPr>
      </w:pPr>
    </w:p>
    <w:p>
      <w:pPr>
        <w:shd w:val="clear"/>
        <w:spacing w:line="360" w:lineRule="auto"/>
        <w:ind w:right="-672" w:rightChars="-320" w:firstLine="8031" w:firstLineChars="2000"/>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附件十</w:t>
      </w:r>
    </w:p>
    <w:p>
      <w:pPr>
        <w:shd w:val="clear"/>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 xml:space="preserve">  </w:t>
      </w:r>
    </w:p>
    <w:p>
      <w:pPr>
        <w:widowControl/>
        <w:shd w:val="clear"/>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14:textOutline w14:w="5793" w14:cap="sq" w14:cmpd="sng">
            <w14:solidFill>
              <w14:srgbClr w14:val="000000"/>
            </w14:solidFill>
            <w14:prstDash w14:val="solid"/>
            <w14:bevel/>
          </w14:textOutline>
        </w:rPr>
        <w:t>签</w:t>
      </w:r>
      <w:r>
        <w:rPr>
          <w:rFonts w:ascii="仿宋" w:hAnsi="仿宋" w:eastAsia="仿宋" w:cs="仿宋"/>
          <w:snapToGrid w:val="0"/>
          <w:color w:val="auto"/>
          <w:spacing w:val="6"/>
          <w:kern w:val="0"/>
          <w:sz w:val="31"/>
          <w:szCs w:val="31"/>
          <w:highlight w:val="none"/>
          <w14:textOutline w14:w="5793" w14:cap="sq" w14:cmpd="sng">
            <w14:solidFill>
              <w14:srgbClr w14:val="000000"/>
            </w14:solidFill>
            <w14:prstDash w14:val="solid"/>
            <w14:bevel/>
          </w14:textOutline>
        </w:rPr>
        <w:t>证单分包说明</w:t>
      </w:r>
    </w:p>
    <w:p>
      <w:pPr>
        <w:widowControl/>
        <w:shd w:val="clear"/>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vAlign w:val="top"/>
          </w:tcPr>
          <w:p>
            <w:pPr>
              <w:widowControl/>
              <w:shd w:val="clear"/>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vAlign w:val="top"/>
          </w:tcPr>
          <w:p>
            <w:pPr>
              <w:widowControl/>
              <w:shd w:val="clear"/>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vAlign w:val="top"/>
          </w:tcPr>
          <w:p>
            <w:pPr>
              <w:widowControl/>
              <w:shd w:val="clear"/>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vAlign w:val="top"/>
          </w:tcPr>
          <w:p>
            <w:pPr>
              <w:widowControl/>
              <w:shd w:val="clear"/>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vAlign w:val="top"/>
          </w:tcPr>
          <w:p>
            <w:pPr>
              <w:widowControl/>
              <w:shd w:val="clear"/>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pPr>
              <w:widowControl/>
              <w:shd w:val="clear"/>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内容，其中</w:t>
            </w:r>
          </w:p>
          <w:p>
            <w:pPr>
              <w:widowControl/>
              <w:shd w:val="clear"/>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pPr>
              <w:widowControl/>
              <w:shd w:val="clear"/>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pPr>
              <w:widowControl/>
              <w:shd w:val="clear"/>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pPr>
              <w:widowControl/>
              <w:shd w:val="clear"/>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pPr>
              <w:widowControl/>
              <w:shd w:val="clear"/>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pPr>
        <w:widowControl/>
        <w:shd w:val="clear"/>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pPr>
        <w:widowControl/>
        <w:shd w:val="clea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pPr>
        <w:widowControl/>
        <w:shd w:val="clear"/>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pPr>
        <w:widowControl/>
        <w:shd w:val="clear"/>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pPr>
        <w:pStyle w:val="14"/>
        <w:shd w:val="clear"/>
        <w:rPr>
          <w:rFonts w:hint="default"/>
          <w:color w:val="auto"/>
          <w:highlight w:val="none"/>
          <w:lang w:val="en-US" w:eastAsia="zh-CN"/>
        </w:rPr>
      </w:pPr>
    </w:p>
    <w:p>
      <w:pPr>
        <w:shd w:val="clear"/>
        <w:rPr>
          <w:rFonts w:hint="eastAsia"/>
          <w:b/>
          <w:bCs/>
          <w:color w:val="auto"/>
          <w:highlight w:val="none"/>
          <w:lang w:eastAsia="zh-CN"/>
        </w:rPr>
      </w:pPr>
    </w:p>
    <w:p>
      <w:pPr>
        <w:shd w:val="clear"/>
        <w:spacing w:line="360" w:lineRule="auto"/>
        <w:ind w:left="-619" w:leftChars="-295" w:right="-672" w:rightChars="-320" w:firstLine="0" w:firstLineChars="0"/>
        <w:rPr>
          <w:rFonts w:hint="eastAsia" w:ascii="仿宋" w:hAnsi="仿宋" w:eastAsia="仿宋" w:cs="仿宋"/>
          <w:b/>
          <w:bCs/>
          <w:i w:val="0"/>
          <w:iCs w:val="0"/>
          <w:color w:val="auto"/>
          <w:sz w:val="24"/>
          <w:szCs w:val="24"/>
          <w:highlight w:val="none"/>
          <w:lang w:val="en-US" w:eastAsia="zh-CN"/>
        </w:rPr>
      </w:pPr>
    </w:p>
    <w:p>
      <w:pPr>
        <w:pStyle w:val="14"/>
        <w:shd w:val="clear"/>
        <w:rPr>
          <w:rFonts w:hint="eastAsia" w:ascii="仿宋" w:hAnsi="仿宋" w:eastAsia="仿宋" w:cs="仿宋"/>
          <w:b/>
          <w:bCs/>
          <w:i w:val="0"/>
          <w:iCs w:val="0"/>
          <w:color w:val="auto"/>
          <w:sz w:val="24"/>
          <w:szCs w:val="24"/>
          <w:highlight w:val="none"/>
          <w:lang w:val="en-US" w:eastAsia="zh-CN"/>
        </w:rPr>
      </w:pPr>
    </w:p>
    <w:p>
      <w:pPr>
        <w:pStyle w:val="14"/>
        <w:shd w:val="clear"/>
        <w:rPr>
          <w:rFonts w:hint="eastAsia" w:ascii="仿宋" w:hAnsi="仿宋" w:eastAsia="仿宋" w:cs="仿宋"/>
          <w:b/>
          <w:bCs/>
          <w:i w:val="0"/>
          <w:iCs w:val="0"/>
          <w:color w:val="auto"/>
          <w:sz w:val="24"/>
          <w:szCs w:val="24"/>
          <w:highlight w:val="none"/>
          <w:lang w:val="en-US" w:eastAsia="zh-CN"/>
        </w:rPr>
      </w:pPr>
    </w:p>
    <w:p>
      <w:pPr>
        <w:shd w:val="clear"/>
        <w:spacing w:line="360" w:lineRule="auto"/>
        <w:ind w:right="-307" w:rightChars="-146"/>
        <w:jc w:val="right"/>
        <w:rPr>
          <w:rFonts w:hint="eastAsia" w:ascii="仿宋" w:hAnsi="仿宋" w:eastAsia="仿宋" w:cs="仿宋"/>
          <w:b/>
          <w:bCs w:val="0"/>
          <w:color w:val="auto"/>
          <w:sz w:val="40"/>
          <w:szCs w:val="40"/>
          <w:highlight w:val="none"/>
          <w:shd w:val="clear" w:color="auto" w:fill="auto"/>
          <w:lang w:val="en-US" w:eastAsia="zh-CN"/>
        </w:rPr>
      </w:pPr>
    </w:p>
    <w:p>
      <w:pPr>
        <w:shd w:val="clear"/>
        <w:spacing w:line="360" w:lineRule="auto"/>
        <w:ind w:right="-307" w:rightChars="-146"/>
        <w:jc w:val="right"/>
        <w:rPr>
          <w:rFonts w:hint="eastAsia" w:ascii="仿宋" w:hAnsi="仿宋" w:eastAsia="仿宋" w:cs="仿宋"/>
          <w:b/>
          <w:bCs w:val="0"/>
          <w:color w:val="auto"/>
          <w:sz w:val="40"/>
          <w:szCs w:val="40"/>
          <w:highlight w:val="none"/>
          <w:shd w:val="clear" w:color="auto" w:fill="auto"/>
          <w:lang w:val="en-US" w:eastAsia="zh-CN"/>
        </w:rPr>
      </w:pPr>
    </w:p>
    <w:p>
      <w:pPr>
        <w:shd w:val="clear"/>
        <w:spacing w:line="360" w:lineRule="auto"/>
        <w:ind w:right="-307" w:rightChars="-146"/>
        <w:jc w:val="right"/>
        <w:rPr>
          <w:rFonts w:hint="eastAsia" w:ascii="仿宋" w:hAnsi="仿宋" w:eastAsia="仿宋" w:cs="仿宋"/>
          <w:b/>
          <w:bCs w:val="0"/>
          <w:color w:val="auto"/>
          <w:sz w:val="40"/>
          <w:szCs w:val="40"/>
          <w:highlight w:val="none"/>
          <w:shd w:val="clear" w:color="auto" w:fill="auto"/>
          <w:lang w:val="en-US" w:eastAsia="zh-CN"/>
        </w:rPr>
      </w:pPr>
    </w:p>
    <w:p>
      <w:pPr>
        <w:shd w:val="clear"/>
        <w:spacing w:line="360" w:lineRule="auto"/>
        <w:ind w:right="-307" w:rightChars="-146"/>
        <w:jc w:val="right"/>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附件十一</w:t>
      </w:r>
    </w:p>
    <w:p>
      <w:pPr>
        <w:shd w:val="clear"/>
        <w:jc w:val="center"/>
        <w:rPr>
          <w:rFonts w:hint="eastAsia" w:ascii="宋体" w:hAnsi="宋体" w:eastAsia="宋体" w:cs="宋体"/>
          <w:color w:val="auto"/>
          <w:sz w:val="36"/>
          <w:szCs w:val="36"/>
          <w:highlight w:val="none"/>
          <w:u w:val="single"/>
        </w:rPr>
      </w:pPr>
      <w:r>
        <w:rPr>
          <w:rFonts w:hint="eastAsia" w:ascii="宋体" w:hAnsi="宋体" w:cs="宋体"/>
          <w:color w:val="auto"/>
          <w:sz w:val="36"/>
          <w:szCs w:val="36"/>
          <w:highlight w:val="none"/>
          <w:u w:val="single"/>
          <w:lang w:val="en-US" w:eastAsia="zh-CN"/>
        </w:rPr>
        <w:t xml:space="preserve"> XXXXXXXX工程</w:t>
      </w:r>
      <w:r>
        <w:rPr>
          <w:rFonts w:hint="eastAsia" w:ascii="宋体" w:hAnsi="宋体" w:eastAsia="宋体" w:cs="宋体"/>
          <w:color w:val="auto"/>
          <w:sz w:val="36"/>
          <w:szCs w:val="36"/>
          <w:highlight w:val="none"/>
        </w:rPr>
        <w:t>结算资料目录</w:t>
      </w:r>
    </w:p>
    <w:p>
      <w:pPr>
        <w:shd w:val="clear"/>
        <w:ind w:firstLine="960" w:firstLineChars="400"/>
        <w:rPr>
          <w:rFonts w:hint="eastAsia"/>
          <w:color w:val="auto"/>
          <w:sz w:val="24"/>
          <w:highlight w:val="none"/>
        </w:rPr>
      </w:pPr>
    </w:p>
    <w:p>
      <w:pPr>
        <w:shd w:val="clear"/>
        <w:ind w:firstLine="960" w:firstLineChars="400"/>
        <w:rPr>
          <w:rFonts w:hint="eastAsia"/>
          <w:color w:val="auto"/>
          <w:sz w:val="24"/>
          <w:highlight w:val="none"/>
          <w:u w:val="single"/>
          <w:lang w:eastAsia="zh-CN"/>
        </w:rPr>
      </w:pPr>
      <w:r>
        <w:rPr>
          <w:rFonts w:hint="eastAsia"/>
          <w:color w:val="auto"/>
          <w:sz w:val="24"/>
          <w:highlight w:val="none"/>
        </w:rPr>
        <w:t>填表日期:</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eastAsia="zh-CN"/>
        </w:rPr>
        <w:t>年</w:t>
      </w:r>
      <w:r>
        <w:rPr>
          <w:rFonts w:hint="eastAsia"/>
          <w:color w:val="auto"/>
          <w:sz w:val="24"/>
          <w:highlight w:val="none"/>
          <w:u w:val="single"/>
          <w:lang w:val="en-US" w:eastAsia="zh-CN"/>
        </w:rPr>
        <w:t xml:space="preserve">    </w:t>
      </w:r>
      <w:r>
        <w:rPr>
          <w:rFonts w:hint="eastAsia"/>
          <w:color w:val="auto"/>
          <w:sz w:val="24"/>
          <w:highlight w:val="none"/>
          <w:u w:val="single"/>
          <w:lang w:eastAsia="zh-CN"/>
        </w:rPr>
        <w:t>月</w:t>
      </w:r>
      <w:r>
        <w:rPr>
          <w:rFonts w:hint="eastAsia"/>
          <w:color w:val="auto"/>
          <w:sz w:val="24"/>
          <w:highlight w:val="none"/>
          <w:u w:val="single"/>
          <w:lang w:val="en-US" w:eastAsia="zh-CN"/>
        </w:rPr>
        <w:t xml:space="preserve">    </w:t>
      </w:r>
      <w:r>
        <w:rPr>
          <w:rFonts w:hint="eastAsia"/>
          <w:color w:val="auto"/>
          <w:sz w:val="24"/>
          <w:highlight w:val="none"/>
          <w:u w:val="single"/>
          <w:lang w:eastAsia="zh-CN"/>
        </w:rPr>
        <w:t>日</w:t>
      </w:r>
      <w:r>
        <w:rPr>
          <w:rFonts w:hint="eastAsia"/>
          <w:color w:val="auto"/>
          <w:sz w:val="24"/>
          <w:highlight w:val="none"/>
        </w:rPr>
        <w:t xml:space="preserve">             </w:t>
      </w:r>
    </w:p>
    <w:tbl>
      <w:tblPr>
        <w:tblStyle w:val="15"/>
        <w:tblW w:w="8519" w:type="dxa"/>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9"/>
        <w:gridCol w:w="489"/>
        <w:gridCol w:w="1662"/>
        <w:gridCol w:w="2551"/>
        <w:gridCol w:w="726"/>
        <w:gridCol w:w="2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968" w:type="dxa"/>
            <w:gridSpan w:val="2"/>
            <w:tcBorders>
              <w:top w:val="single" w:color="auto" w:sz="12" w:space="0"/>
              <w:bottom w:val="single" w:color="auto" w:sz="12" w:space="0"/>
            </w:tcBorders>
            <w:noWrap w:val="0"/>
            <w:vAlign w:val="center"/>
          </w:tcPr>
          <w:p>
            <w:pPr>
              <w:shd w:val="clear"/>
              <w:spacing w:line="440" w:lineRule="atLeast"/>
              <w:jc w:val="center"/>
              <w:rPr>
                <w:rFonts w:hint="eastAsia"/>
                <w:b/>
                <w:color w:val="auto"/>
                <w:sz w:val="24"/>
                <w:highlight w:val="none"/>
              </w:rPr>
            </w:pPr>
            <w:r>
              <w:rPr>
                <w:rFonts w:hint="eastAsia"/>
                <w:b/>
                <w:color w:val="auto"/>
                <w:sz w:val="24"/>
                <w:highlight w:val="none"/>
              </w:rPr>
              <w:t>序号</w:t>
            </w:r>
          </w:p>
        </w:tc>
        <w:tc>
          <w:tcPr>
            <w:tcW w:w="4213" w:type="dxa"/>
            <w:gridSpan w:val="2"/>
            <w:tcBorders>
              <w:top w:val="single" w:color="auto" w:sz="12" w:space="0"/>
              <w:bottom w:val="single" w:color="auto" w:sz="12" w:space="0"/>
            </w:tcBorders>
            <w:noWrap w:val="0"/>
            <w:vAlign w:val="center"/>
          </w:tcPr>
          <w:p>
            <w:pPr>
              <w:shd w:val="clear"/>
              <w:spacing w:line="440" w:lineRule="atLeast"/>
              <w:jc w:val="center"/>
              <w:rPr>
                <w:rFonts w:hint="eastAsia"/>
                <w:b/>
                <w:color w:val="auto"/>
                <w:sz w:val="24"/>
                <w:highlight w:val="none"/>
              </w:rPr>
            </w:pPr>
            <w:r>
              <w:rPr>
                <w:rFonts w:hint="eastAsia"/>
                <w:b/>
                <w:color w:val="auto"/>
                <w:sz w:val="24"/>
                <w:highlight w:val="none"/>
              </w:rPr>
              <w:t>资料目录及内容</w:t>
            </w:r>
          </w:p>
        </w:tc>
        <w:tc>
          <w:tcPr>
            <w:tcW w:w="726" w:type="dxa"/>
            <w:tcBorders>
              <w:top w:val="single" w:color="auto" w:sz="12" w:space="0"/>
              <w:bottom w:val="single" w:color="auto" w:sz="12" w:space="0"/>
            </w:tcBorders>
            <w:noWrap w:val="0"/>
            <w:vAlign w:val="center"/>
          </w:tcPr>
          <w:p>
            <w:pPr>
              <w:shd w:val="clea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612" w:type="dxa"/>
            <w:tcBorders>
              <w:top w:val="single" w:color="auto" w:sz="12" w:space="0"/>
              <w:bottom w:val="single" w:color="auto" w:sz="12" w:space="0"/>
            </w:tcBorders>
            <w:noWrap w:val="0"/>
            <w:vAlign w:val="center"/>
          </w:tcPr>
          <w:p>
            <w:pPr>
              <w:shd w:val="clear"/>
              <w:spacing w:line="440" w:lineRule="atLeast"/>
              <w:jc w:val="center"/>
              <w:rPr>
                <w:rFonts w:hint="eastAsia"/>
                <w:b/>
                <w:color w:val="auto"/>
                <w:sz w:val="24"/>
                <w:highlight w:val="none"/>
              </w:rPr>
            </w:pPr>
            <w:r>
              <w:rPr>
                <w:rFonts w:hint="eastAsia"/>
                <w:b/>
                <w:color w:val="auto"/>
                <w:sz w:val="24"/>
                <w:highlight w:val="none"/>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8519" w:type="dxa"/>
            <w:gridSpan w:val="6"/>
            <w:tcBorders>
              <w:top w:val="single" w:color="auto" w:sz="12" w:space="0"/>
              <w:bottom w:val="single" w:color="auto" w:sz="8" w:space="0"/>
            </w:tcBorders>
            <w:noWrap w:val="0"/>
            <w:vAlign w:val="center"/>
          </w:tcPr>
          <w:p>
            <w:pPr>
              <w:shd w:val="clea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成本中心提供（正副本各一份）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968" w:type="dxa"/>
            <w:gridSpan w:val="2"/>
            <w:tcBorders>
              <w:top w:val="single" w:color="auto" w:sz="8" w:space="0"/>
              <w:bottom w:val="single" w:color="auto" w:sz="8" w:space="0"/>
            </w:tcBorders>
            <w:noWrap w:val="0"/>
            <w:vAlign w:val="center"/>
          </w:tcPr>
          <w:p>
            <w:pPr>
              <w:shd w:val="clea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213" w:type="dxa"/>
            <w:gridSpan w:val="2"/>
            <w:tcBorders>
              <w:top w:val="single" w:color="auto" w:sz="8" w:space="0"/>
              <w:bottom w:val="single" w:color="auto" w:sz="8" w:space="0"/>
            </w:tcBorders>
            <w:noWrap w:val="0"/>
            <w:vAlign w:val="center"/>
          </w:tcPr>
          <w:p>
            <w:pPr>
              <w:shd w:val="clea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26" w:type="dxa"/>
            <w:tcBorders>
              <w:top w:val="single" w:color="auto" w:sz="8" w:space="0"/>
              <w:bottom w:val="single" w:color="auto" w:sz="8" w:space="0"/>
            </w:tcBorders>
            <w:noWrap w:val="0"/>
            <w:vAlign w:val="center"/>
          </w:tcPr>
          <w:p>
            <w:pPr>
              <w:shd w:val="clea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612" w:type="dxa"/>
            <w:tcBorders>
              <w:top w:val="single" w:color="auto" w:sz="8" w:space="0"/>
              <w:bottom w:val="single" w:color="auto" w:sz="8" w:space="0"/>
            </w:tcBorders>
            <w:noWrap w:val="0"/>
            <w:vAlign w:val="center"/>
          </w:tcPr>
          <w:p>
            <w:pPr>
              <w:shd w:val="clear"/>
              <w:spacing w:line="440" w:lineRule="atLeast"/>
              <w:jc w:val="center"/>
              <w:rPr>
                <w:rFonts w:hint="eastAsia" w:eastAsia="宋体"/>
                <w:b/>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968" w:type="dxa"/>
            <w:gridSpan w:val="2"/>
            <w:tcBorders>
              <w:top w:val="single" w:color="auto" w:sz="8" w:space="0"/>
            </w:tcBorders>
            <w:noWrap w:val="0"/>
            <w:vAlign w:val="center"/>
          </w:tcPr>
          <w:p>
            <w:pPr>
              <w:shd w:val="clea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213" w:type="dxa"/>
            <w:gridSpan w:val="2"/>
            <w:tcBorders>
              <w:top w:val="single" w:color="auto" w:sz="8" w:space="0"/>
            </w:tcBorders>
            <w:noWrap w:val="0"/>
            <w:vAlign w:val="center"/>
          </w:tcPr>
          <w:p>
            <w:pPr>
              <w:shd w:val="clea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26" w:type="dxa"/>
            <w:tcBorders>
              <w:top w:val="single" w:color="auto" w:sz="8" w:space="0"/>
            </w:tcBorders>
            <w:noWrap w:val="0"/>
            <w:vAlign w:val="center"/>
          </w:tcPr>
          <w:p>
            <w:pPr>
              <w:shd w:val="clea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612" w:type="dxa"/>
            <w:tcBorders>
              <w:top w:val="single" w:color="auto" w:sz="8" w:space="0"/>
            </w:tcBorders>
            <w:noWrap w:val="0"/>
            <w:vAlign w:val="center"/>
          </w:tcPr>
          <w:p>
            <w:pPr>
              <w:shd w:val="clear"/>
              <w:spacing w:line="440" w:lineRule="atLeast"/>
              <w:jc w:val="center"/>
              <w:rPr>
                <w:rFonts w:hint="eastAsia"/>
                <w:color w:val="auto"/>
                <w:sz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968" w:type="dxa"/>
            <w:gridSpan w:val="2"/>
            <w:tcBorders>
              <w:top w:val="nil"/>
            </w:tcBorders>
            <w:noWrap w:val="0"/>
            <w:vAlign w:val="center"/>
          </w:tcPr>
          <w:p>
            <w:pPr>
              <w:shd w:val="clea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213" w:type="dxa"/>
            <w:gridSpan w:val="2"/>
            <w:tcBorders>
              <w:top w:val="nil"/>
            </w:tcBorders>
            <w:noWrap w:val="0"/>
            <w:vAlign w:val="center"/>
          </w:tcPr>
          <w:p>
            <w:pPr>
              <w:shd w:val="clea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26" w:type="dxa"/>
            <w:tcBorders>
              <w:top w:val="nil"/>
            </w:tcBorders>
            <w:noWrap w:val="0"/>
            <w:vAlign w:val="center"/>
          </w:tcPr>
          <w:p>
            <w:pPr>
              <w:shd w:val="clea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612" w:type="dxa"/>
            <w:tcBorders>
              <w:top w:val="nil"/>
            </w:tcBorders>
            <w:noWrap w:val="0"/>
            <w:vAlign w:val="center"/>
          </w:tcPr>
          <w:p>
            <w:pPr>
              <w:shd w:val="clear"/>
              <w:spacing w:line="440" w:lineRule="atLeast"/>
              <w:jc w:val="center"/>
              <w:rPr>
                <w:rFonts w:hint="eastAsia"/>
                <w:color w:val="auto"/>
                <w:sz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968" w:type="dxa"/>
            <w:gridSpan w:val="2"/>
            <w:tcBorders>
              <w:top w:val="nil"/>
            </w:tcBorders>
            <w:noWrap w:val="0"/>
            <w:vAlign w:val="center"/>
          </w:tcPr>
          <w:p>
            <w:pPr>
              <w:shd w:val="clea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pPr>
              <w:shd w:val="clear"/>
              <w:spacing w:line="440" w:lineRule="atLeast"/>
              <w:jc w:val="center"/>
              <w:rPr>
                <w:rFonts w:hint="eastAsia"/>
                <w:color w:val="auto"/>
                <w:sz w:val="24"/>
                <w:highlight w:val="none"/>
                <w:lang w:val="en-US" w:eastAsia="zh-CN"/>
              </w:rPr>
            </w:pPr>
          </w:p>
          <w:p>
            <w:pPr>
              <w:shd w:val="clear"/>
              <w:spacing w:line="440" w:lineRule="atLeast"/>
              <w:jc w:val="center"/>
              <w:rPr>
                <w:rFonts w:hint="default"/>
                <w:color w:val="auto"/>
                <w:sz w:val="24"/>
                <w:highlight w:val="none"/>
                <w:lang w:val="en-US" w:eastAsia="zh-CN"/>
              </w:rPr>
            </w:pPr>
          </w:p>
        </w:tc>
        <w:tc>
          <w:tcPr>
            <w:tcW w:w="4213" w:type="dxa"/>
            <w:gridSpan w:val="2"/>
            <w:tcBorders>
              <w:top w:val="nil"/>
            </w:tcBorders>
            <w:noWrap w:val="0"/>
            <w:vAlign w:val="center"/>
          </w:tcPr>
          <w:p>
            <w:pPr>
              <w:shd w:val="clea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26"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color w:val="auto"/>
                <w:sz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8519" w:type="dxa"/>
            <w:gridSpan w:val="6"/>
            <w:tcBorders>
              <w:top w:val="nil"/>
            </w:tcBorders>
            <w:noWrap w:val="0"/>
            <w:vAlign w:val="center"/>
          </w:tcPr>
          <w:p>
            <w:pPr>
              <w:shd w:val="clea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479" w:type="dxa"/>
            <w:vMerge w:val="restart"/>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213" w:type="dxa"/>
            <w:gridSpan w:val="2"/>
            <w:tcBorders>
              <w:top w:val="nil"/>
            </w:tcBorders>
            <w:noWrap w:val="0"/>
            <w:vAlign w:val="center"/>
          </w:tcPr>
          <w:p>
            <w:pPr>
              <w:shd w:val="clea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26"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default"/>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eastAsia="宋体"/>
                <w:color w:val="auto"/>
                <w:kern w:val="2"/>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213" w:type="dxa"/>
            <w:gridSpan w:val="2"/>
            <w:tcBorders>
              <w:top w:val="nil"/>
            </w:tcBorders>
            <w:noWrap w:val="0"/>
            <w:vAlign w:val="center"/>
          </w:tcPr>
          <w:p>
            <w:pPr>
              <w:shd w:val="clea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26"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eastAsia="宋体"/>
                <w:color w:val="auto"/>
                <w:kern w:val="2"/>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213" w:type="dxa"/>
            <w:gridSpan w:val="2"/>
            <w:tcBorders>
              <w:top w:val="nil"/>
            </w:tcBorders>
            <w:noWrap w:val="0"/>
            <w:vAlign w:val="center"/>
          </w:tcPr>
          <w:p>
            <w:pPr>
              <w:shd w:val="clea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26" w:type="dxa"/>
            <w:tcBorders>
              <w:top w:val="nil"/>
            </w:tcBorders>
            <w:noWrap w:val="0"/>
            <w:vAlign w:val="center"/>
          </w:tcPr>
          <w:p>
            <w:pPr>
              <w:shd w:val="clea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213" w:type="dxa"/>
            <w:gridSpan w:val="2"/>
            <w:tcBorders>
              <w:top w:val="nil"/>
            </w:tcBorders>
            <w:noWrap w:val="0"/>
            <w:vAlign w:val="center"/>
          </w:tcPr>
          <w:p>
            <w:pPr>
              <w:shd w:val="clea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26"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213" w:type="dxa"/>
            <w:gridSpan w:val="2"/>
            <w:tcBorders>
              <w:top w:val="nil"/>
            </w:tcBorders>
            <w:noWrap w:val="0"/>
            <w:vAlign w:val="center"/>
          </w:tcPr>
          <w:p>
            <w:pPr>
              <w:shd w:val="clea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26"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213" w:type="dxa"/>
            <w:gridSpan w:val="2"/>
            <w:tcBorders>
              <w:top w:val="nil"/>
            </w:tcBorders>
            <w:noWrap w:val="0"/>
            <w:vAlign w:val="center"/>
          </w:tcPr>
          <w:p>
            <w:pPr>
              <w:shd w:val="clea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26"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213" w:type="dxa"/>
            <w:gridSpan w:val="2"/>
            <w:tcBorders>
              <w:top w:val="nil"/>
            </w:tcBorders>
            <w:noWrap w:val="0"/>
            <w:vAlign w:val="center"/>
          </w:tcPr>
          <w:p>
            <w:pPr>
              <w:shd w:val="clea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pPr>
              <w:shd w:val="clear"/>
              <w:tabs>
                <w:tab w:val="left" w:pos="1138"/>
              </w:tabs>
              <w:spacing w:line="440" w:lineRule="atLeast"/>
              <w:rPr>
                <w:rFonts w:hint="eastAsia"/>
                <w:color w:val="auto"/>
                <w:sz w:val="24"/>
                <w:highlight w:val="none"/>
                <w:lang w:val="en-US" w:eastAsia="zh-CN"/>
              </w:rPr>
            </w:pPr>
          </w:p>
        </w:tc>
        <w:tc>
          <w:tcPr>
            <w:tcW w:w="726"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213" w:type="dxa"/>
            <w:gridSpan w:val="2"/>
            <w:tcBorders>
              <w:top w:val="nil"/>
            </w:tcBorders>
            <w:noWrap w:val="0"/>
            <w:vAlign w:val="center"/>
          </w:tcPr>
          <w:p>
            <w:pPr>
              <w:shd w:val="clea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26"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eastAsia="宋体"/>
                <w:color w:val="auto"/>
                <w:kern w:val="2"/>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213" w:type="dxa"/>
            <w:gridSpan w:val="2"/>
            <w:tcBorders>
              <w:top w:val="nil"/>
            </w:tcBorders>
            <w:noWrap w:val="0"/>
            <w:vAlign w:val="center"/>
          </w:tcPr>
          <w:p>
            <w:pPr>
              <w:shd w:val="clea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26" w:type="dxa"/>
            <w:tcBorders>
              <w:top w:val="nil"/>
            </w:tcBorders>
            <w:noWrap w:val="0"/>
            <w:vAlign w:val="center"/>
          </w:tcPr>
          <w:p>
            <w:pPr>
              <w:shd w:val="clea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213" w:type="dxa"/>
            <w:gridSpan w:val="2"/>
            <w:tcBorders>
              <w:top w:val="nil"/>
            </w:tcBorders>
            <w:noWrap w:val="0"/>
            <w:vAlign w:val="center"/>
          </w:tcPr>
          <w:p>
            <w:pPr>
              <w:shd w:val="clea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26"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color w:val="auto"/>
                <w:sz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tcBorders>
              <w:top w:val="nil"/>
            </w:tcBorders>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213" w:type="dxa"/>
            <w:gridSpan w:val="2"/>
            <w:tcBorders>
              <w:top w:val="nil"/>
            </w:tcBorders>
            <w:noWrap w:val="0"/>
            <w:vAlign w:val="center"/>
          </w:tcPr>
          <w:p>
            <w:pPr>
              <w:shd w:val="clea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26" w:type="dxa"/>
            <w:tcBorders>
              <w:top w:val="nil"/>
            </w:tcBorders>
            <w:noWrap w:val="0"/>
            <w:vAlign w:val="center"/>
          </w:tcPr>
          <w:p>
            <w:pPr>
              <w:shd w:val="clea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612" w:type="dxa"/>
            <w:tcBorders>
              <w:top w:val="nil"/>
            </w:tcBorders>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213" w:type="dxa"/>
            <w:gridSpan w:val="2"/>
            <w:noWrap w:val="0"/>
            <w:vAlign w:val="center"/>
          </w:tcPr>
          <w:p>
            <w:pPr>
              <w:shd w:val="clea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26" w:type="dxa"/>
            <w:noWrap w:val="0"/>
            <w:vAlign w:val="center"/>
          </w:tcPr>
          <w:p>
            <w:pPr>
              <w:shd w:val="clea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612" w:type="dxa"/>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479" w:type="dxa"/>
            <w:vMerge w:val="continue"/>
            <w:noWrap w:val="0"/>
            <w:vAlign w:val="center"/>
          </w:tcPr>
          <w:p>
            <w:pPr>
              <w:shd w:val="clear"/>
              <w:spacing w:line="440" w:lineRule="atLeast"/>
              <w:jc w:val="center"/>
              <w:rPr>
                <w:rFonts w:hint="default"/>
                <w:color w:val="auto"/>
                <w:sz w:val="24"/>
                <w:highlight w:val="none"/>
                <w:lang w:val="en-US" w:eastAsia="zh-CN"/>
              </w:rPr>
            </w:pPr>
          </w:p>
        </w:tc>
        <w:tc>
          <w:tcPr>
            <w:tcW w:w="489" w:type="dxa"/>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213" w:type="dxa"/>
            <w:gridSpan w:val="2"/>
            <w:noWrap w:val="0"/>
            <w:vAlign w:val="center"/>
          </w:tcPr>
          <w:p>
            <w:pPr>
              <w:shd w:val="clea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26" w:type="dxa"/>
            <w:noWrap w:val="0"/>
            <w:vAlign w:val="center"/>
          </w:tcPr>
          <w:p>
            <w:pPr>
              <w:shd w:val="clear"/>
              <w:spacing w:line="440" w:lineRule="atLeast"/>
              <w:jc w:val="center"/>
              <w:rPr>
                <w:rFonts w:hint="default" w:eastAsia="宋体"/>
                <w:color w:val="auto"/>
                <w:kern w:val="2"/>
                <w:sz w:val="24"/>
                <w:highlight w:val="none"/>
                <w:lang w:val="en-US" w:eastAsia="zh-CN"/>
              </w:rPr>
            </w:pPr>
          </w:p>
        </w:tc>
        <w:tc>
          <w:tcPr>
            <w:tcW w:w="2612" w:type="dxa"/>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479" w:type="dxa"/>
            <w:vMerge w:val="continue"/>
            <w:noWrap w:val="0"/>
            <w:vAlign w:val="center"/>
          </w:tcPr>
          <w:p>
            <w:pPr>
              <w:shd w:val="clear"/>
              <w:spacing w:line="440" w:lineRule="atLeast"/>
              <w:jc w:val="center"/>
              <w:rPr>
                <w:rFonts w:hint="default" w:eastAsia="宋体"/>
                <w:color w:val="auto"/>
                <w:kern w:val="2"/>
                <w:sz w:val="24"/>
                <w:highlight w:val="none"/>
                <w:lang w:val="en-US" w:eastAsia="zh-CN"/>
              </w:rPr>
            </w:pPr>
          </w:p>
        </w:tc>
        <w:tc>
          <w:tcPr>
            <w:tcW w:w="489" w:type="dxa"/>
            <w:noWrap w:val="0"/>
            <w:vAlign w:val="center"/>
          </w:tcPr>
          <w:p>
            <w:pPr>
              <w:shd w:val="clear"/>
              <w:spacing w:line="440" w:lineRule="atLeast"/>
              <w:jc w:val="center"/>
              <w:rPr>
                <w:rFonts w:hint="default" w:eastAsia="宋体"/>
                <w:color w:val="auto"/>
                <w:kern w:val="2"/>
                <w:sz w:val="24"/>
                <w:highlight w:val="none"/>
                <w:lang w:val="en-US" w:eastAsia="zh-CN"/>
              </w:rPr>
            </w:pPr>
          </w:p>
        </w:tc>
        <w:tc>
          <w:tcPr>
            <w:tcW w:w="4213" w:type="dxa"/>
            <w:gridSpan w:val="2"/>
            <w:noWrap w:val="0"/>
            <w:vAlign w:val="center"/>
          </w:tcPr>
          <w:p>
            <w:pPr>
              <w:shd w:val="clear"/>
              <w:spacing w:line="440" w:lineRule="atLeast"/>
              <w:rPr>
                <w:rFonts w:hint="eastAsia" w:eastAsia="宋体"/>
                <w:color w:val="auto"/>
                <w:kern w:val="2"/>
                <w:sz w:val="24"/>
                <w:highlight w:val="none"/>
                <w:lang w:val="en-US" w:eastAsia="zh-CN"/>
              </w:rPr>
            </w:pPr>
          </w:p>
        </w:tc>
        <w:tc>
          <w:tcPr>
            <w:tcW w:w="726" w:type="dxa"/>
            <w:noWrap w:val="0"/>
            <w:vAlign w:val="center"/>
          </w:tcPr>
          <w:p>
            <w:pPr>
              <w:shd w:val="clear"/>
              <w:spacing w:line="440" w:lineRule="atLeast"/>
              <w:jc w:val="center"/>
              <w:rPr>
                <w:rFonts w:hint="eastAsia" w:eastAsia="宋体"/>
                <w:color w:val="auto"/>
                <w:kern w:val="2"/>
                <w:sz w:val="24"/>
                <w:highlight w:val="none"/>
                <w:lang w:val="en-US" w:eastAsia="zh-CN"/>
              </w:rPr>
            </w:pPr>
          </w:p>
        </w:tc>
        <w:tc>
          <w:tcPr>
            <w:tcW w:w="2612" w:type="dxa"/>
            <w:noWrap w:val="0"/>
            <w:vAlign w:val="center"/>
          </w:tcPr>
          <w:p>
            <w:pPr>
              <w:shd w:val="clear"/>
              <w:spacing w:line="440" w:lineRule="atLeast"/>
              <w:jc w:val="center"/>
              <w:rPr>
                <w:rFonts w:hint="eastAsia" w:eastAsia="宋体"/>
                <w:color w:val="auto"/>
                <w:kern w:val="2"/>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968" w:type="dxa"/>
            <w:gridSpan w:val="2"/>
            <w:vMerge w:val="restart"/>
            <w:noWrap w:val="0"/>
            <w:vAlign w:val="center"/>
          </w:tcPr>
          <w:p>
            <w:pPr>
              <w:shd w:val="clea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662" w:type="dxa"/>
            <w:vMerge w:val="restart"/>
            <w:noWrap w:val="0"/>
            <w:vAlign w:val="center"/>
          </w:tcPr>
          <w:p>
            <w:pPr>
              <w:shd w:val="clear"/>
              <w:spacing w:line="440" w:lineRule="atLeast"/>
              <w:jc w:val="center"/>
              <w:rPr>
                <w:rFonts w:hint="eastAsia"/>
                <w:color w:val="auto"/>
                <w:sz w:val="24"/>
                <w:highlight w:val="none"/>
              </w:rPr>
            </w:pPr>
            <w:r>
              <w:rPr>
                <w:rFonts w:hint="eastAsia"/>
                <w:color w:val="auto"/>
                <w:sz w:val="24"/>
                <w:highlight w:val="none"/>
              </w:rPr>
              <w:t>总结意见</w:t>
            </w:r>
          </w:p>
        </w:tc>
        <w:tc>
          <w:tcPr>
            <w:tcW w:w="2551" w:type="dxa"/>
            <w:noWrap w:val="0"/>
            <w:vAlign w:val="center"/>
          </w:tcPr>
          <w:p>
            <w:pPr>
              <w:shd w:val="clear"/>
              <w:spacing w:line="440" w:lineRule="atLeast"/>
              <w:jc w:val="center"/>
              <w:rPr>
                <w:rFonts w:hint="eastAsia"/>
                <w:color w:val="auto"/>
                <w:sz w:val="24"/>
                <w:highlight w:val="none"/>
              </w:rPr>
            </w:pPr>
            <w:r>
              <w:rPr>
                <w:rFonts w:hint="eastAsia"/>
                <w:color w:val="auto"/>
                <w:sz w:val="24"/>
                <w:highlight w:val="none"/>
              </w:rPr>
              <w:t>个人</w:t>
            </w:r>
          </w:p>
        </w:tc>
        <w:tc>
          <w:tcPr>
            <w:tcW w:w="726" w:type="dxa"/>
            <w:noWrap w:val="0"/>
            <w:vAlign w:val="center"/>
          </w:tcPr>
          <w:p>
            <w:pPr>
              <w:shd w:val="clear"/>
              <w:spacing w:line="240" w:lineRule="auto"/>
              <w:jc w:val="center"/>
              <w:rPr>
                <w:rFonts w:hint="eastAsia"/>
                <w:color w:val="auto"/>
                <w:sz w:val="24"/>
                <w:highlight w:val="none"/>
              </w:rPr>
            </w:pPr>
          </w:p>
        </w:tc>
        <w:tc>
          <w:tcPr>
            <w:tcW w:w="2612" w:type="dxa"/>
            <w:noWrap w:val="0"/>
            <w:vAlign w:val="center"/>
          </w:tcPr>
          <w:p>
            <w:pPr>
              <w:shd w:val="clear"/>
              <w:spacing w:line="440" w:lineRule="atLeast"/>
              <w:jc w:val="cente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exact"/>
        </w:trPr>
        <w:tc>
          <w:tcPr>
            <w:tcW w:w="968" w:type="dxa"/>
            <w:gridSpan w:val="2"/>
            <w:vMerge w:val="continue"/>
            <w:noWrap w:val="0"/>
            <w:vAlign w:val="center"/>
          </w:tcPr>
          <w:p>
            <w:pPr>
              <w:shd w:val="clear"/>
              <w:spacing w:line="440" w:lineRule="atLeast"/>
              <w:jc w:val="center"/>
              <w:rPr>
                <w:rFonts w:hint="eastAsia"/>
                <w:color w:val="auto"/>
                <w:sz w:val="24"/>
                <w:highlight w:val="none"/>
              </w:rPr>
            </w:pPr>
          </w:p>
        </w:tc>
        <w:tc>
          <w:tcPr>
            <w:tcW w:w="1662" w:type="dxa"/>
            <w:vMerge w:val="continue"/>
            <w:noWrap w:val="0"/>
            <w:vAlign w:val="center"/>
          </w:tcPr>
          <w:p>
            <w:pPr>
              <w:shd w:val="clear"/>
              <w:spacing w:line="440" w:lineRule="atLeast"/>
              <w:jc w:val="center"/>
              <w:rPr>
                <w:rFonts w:hint="eastAsia"/>
                <w:color w:val="auto"/>
                <w:sz w:val="24"/>
                <w:highlight w:val="none"/>
              </w:rPr>
            </w:pPr>
          </w:p>
        </w:tc>
        <w:tc>
          <w:tcPr>
            <w:tcW w:w="2551" w:type="dxa"/>
            <w:noWrap w:val="0"/>
            <w:vAlign w:val="center"/>
          </w:tcPr>
          <w:p>
            <w:pPr>
              <w:shd w:val="clear"/>
              <w:spacing w:line="440" w:lineRule="atLeast"/>
              <w:jc w:val="center"/>
              <w:rPr>
                <w:rFonts w:hint="eastAsia"/>
                <w:color w:val="auto"/>
                <w:sz w:val="24"/>
                <w:highlight w:val="none"/>
              </w:rPr>
            </w:pPr>
            <w:r>
              <w:rPr>
                <w:rFonts w:hint="eastAsia"/>
                <w:color w:val="auto"/>
                <w:sz w:val="24"/>
                <w:highlight w:val="none"/>
              </w:rPr>
              <w:t>部门</w:t>
            </w:r>
          </w:p>
        </w:tc>
        <w:tc>
          <w:tcPr>
            <w:tcW w:w="726" w:type="dxa"/>
            <w:noWrap w:val="0"/>
            <w:vAlign w:val="center"/>
          </w:tcPr>
          <w:p>
            <w:pPr>
              <w:shd w:val="clear"/>
              <w:spacing w:line="440" w:lineRule="atLeast"/>
              <w:jc w:val="center"/>
              <w:rPr>
                <w:rFonts w:hint="eastAsia"/>
                <w:color w:val="auto"/>
                <w:sz w:val="24"/>
                <w:highlight w:val="none"/>
              </w:rPr>
            </w:pPr>
          </w:p>
        </w:tc>
        <w:tc>
          <w:tcPr>
            <w:tcW w:w="2612" w:type="dxa"/>
            <w:noWrap w:val="0"/>
            <w:vAlign w:val="center"/>
          </w:tcPr>
          <w:p>
            <w:pPr>
              <w:shd w:val="clear"/>
              <w:spacing w:line="440" w:lineRule="atLeast"/>
              <w:jc w:val="center"/>
              <w:rPr>
                <w:rFonts w:hint="eastAsia"/>
                <w:color w:val="auto"/>
                <w:sz w:val="24"/>
                <w:highlight w:val="none"/>
              </w:rPr>
            </w:pPr>
          </w:p>
        </w:tc>
      </w:tr>
    </w:tbl>
    <w:p>
      <w:pPr>
        <w:pStyle w:val="7"/>
        <w:shd w:val="clear"/>
        <w:rPr>
          <w:rFonts w:hint="eastAsia" w:ascii="仿宋" w:hAnsi="仿宋" w:eastAsia="仿宋" w:cs="仿宋"/>
          <w:b/>
          <w:bCs/>
          <w:i w:val="0"/>
          <w:iCs w:val="0"/>
          <w:color w:val="auto"/>
          <w:sz w:val="24"/>
          <w:szCs w:val="24"/>
          <w:highlight w:val="none"/>
          <w:lang w:val="en-US" w:eastAsia="zh-CN"/>
        </w:rPr>
      </w:pPr>
    </w:p>
    <w:p>
      <w:pPr>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附件十二</w:t>
      </w:r>
    </w:p>
    <w:p>
      <w:pPr>
        <w:rPr>
          <w:rFonts w:hint="eastAsia"/>
          <w:highlight w:val="none"/>
          <w:lang w:val="en-US" w:eastAsia="zh-CN"/>
        </w:rPr>
      </w:pPr>
    </w:p>
    <w:p>
      <w:pPr>
        <w:pStyle w:val="3"/>
        <w:jc w:val="center"/>
        <w:rPr>
          <w:rFonts w:hint="default" w:ascii="仿宋" w:hAnsi="仿宋" w:eastAsia="仿宋" w:cs="仿宋"/>
          <w:i w:val="0"/>
          <w:iCs w:val="0"/>
          <w:color w:val="auto"/>
          <w:sz w:val="40"/>
          <w:szCs w:val="40"/>
          <w:highlight w:val="none"/>
          <w:lang w:val="en-US" w:eastAsia="zh-CN"/>
        </w:rPr>
      </w:pPr>
      <w:r>
        <w:rPr>
          <w:rFonts w:hint="eastAsia" w:ascii="仿宋" w:hAnsi="仿宋" w:eastAsia="仿宋" w:cs="仿宋"/>
          <w:i w:val="0"/>
          <w:iCs w:val="0"/>
          <w:color w:val="auto"/>
          <w:sz w:val="40"/>
          <w:szCs w:val="40"/>
          <w:highlight w:val="none"/>
        </w:rPr>
        <w:t>项目实名制</w:t>
      </w:r>
      <w:r>
        <w:rPr>
          <w:rFonts w:hint="eastAsia" w:ascii="仿宋" w:hAnsi="仿宋" w:eastAsia="仿宋" w:cs="仿宋"/>
          <w:i w:val="0"/>
          <w:iCs w:val="0"/>
          <w:color w:val="auto"/>
          <w:sz w:val="40"/>
          <w:szCs w:val="40"/>
          <w:highlight w:val="none"/>
          <w:lang w:val="en-US" w:eastAsia="zh-CN"/>
        </w:rPr>
        <w:t>及劳资管理制度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bCs/>
          <w:sz w:val="24"/>
          <w:szCs w:val="24"/>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bCs/>
          <w:sz w:val="24"/>
          <w:szCs w:val="24"/>
          <w:highlight w:val="none"/>
          <w:shd w:val="clear" w:color="auto" w:fill="auto"/>
          <w:lang w:val="en-US" w:eastAsia="zh-CN"/>
        </w:rPr>
      </w:pPr>
      <w:r>
        <w:rPr>
          <w:rFonts w:hint="eastAsia" w:ascii="仿宋" w:hAnsi="仿宋" w:eastAsia="仿宋" w:cs="仿宋"/>
          <w:b/>
          <w:bCs/>
          <w:sz w:val="24"/>
          <w:szCs w:val="24"/>
          <w:highlight w:val="none"/>
          <w:shd w:val="clear" w:color="auto" w:fill="auto"/>
          <w:lang w:val="en-US" w:eastAsia="zh-CN"/>
        </w:rPr>
        <w:t>1目的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1.1为进一步加强施工现场建筑工人的动态管理，更好的落实建筑工人实名制及劳资管理工作，实现施工现场人员底数清、基本情况清、出勤记录清、工资发放记录清、进出项目时间清的“五清”目标，规范建筑工人工资支付管理，防范工资纠纷，维护公司、项目部和建筑工人的合法权益，促进公司持续健康发展。根据《中华人民共和国劳动法》、《中华人民共和国合同法》、《建筑工人实名制管理办法》、《工资支付暂行规定》、《建设领域建筑工人工资支付管理暂行办法》等法律法规及广东省、东莞市的相关规定，结合公司实际，制定本制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bCs/>
          <w:sz w:val="24"/>
          <w:szCs w:val="24"/>
          <w:highlight w:val="none"/>
          <w:shd w:val="clear" w:color="auto" w:fill="auto"/>
          <w:lang w:val="en-US" w:eastAsia="zh-CN"/>
        </w:rPr>
      </w:pPr>
      <w:r>
        <w:rPr>
          <w:rFonts w:hint="eastAsia" w:ascii="仿宋" w:hAnsi="仿宋" w:eastAsia="仿宋" w:cs="仿宋"/>
          <w:b/>
          <w:bCs/>
          <w:sz w:val="24"/>
          <w:szCs w:val="24"/>
          <w:highlight w:val="none"/>
          <w:shd w:val="clear" w:color="auto" w:fill="auto"/>
          <w:lang w:val="en-US" w:eastAsia="zh-CN"/>
        </w:rPr>
        <w:t>2 适用范围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2.1本制度适用于公司各项目部。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2.2其他东莞市外的项目，结合本制度及当地规定执行。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bCs/>
          <w:sz w:val="24"/>
          <w:szCs w:val="24"/>
          <w:highlight w:val="none"/>
          <w:shd w:val="clear" w:color="auto" w:fill="auto"/>
          <w:lang w:val="en-US" w:eastAsia="zh-CN"/>
        </w:rPr>
      </w:pPr>
      <w:r>
        <w:rPr>
          <w:rFonts w:hint="eastAsia" w:ascii="仿宋" w:hAnsi="仿宋" w:eastAsia="仿宋" w:cs="仿宋"/>
          <w:b/>
          <w:bCs/>
          <w:sz w:val="24"/>
          <w:szCs w:val="24"/>
          <w:highlight w:val="none"/>
          <w:shd w:val="clear" w:color="auto" w:fill="auto"/>
          <w:lang w:val="en-US" w:eastAsia="zh-CN"/>
        </w:rPr>
        <w:t>3 管理机构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3.1 项目部成立劳资管理工作组，组长：项目经理，副组长：安全管理员，组员：资料员、保安组。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 xml:space="preserve">3.2.劳资管理工作组岗位职责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3.2.1组长：全面负责项目实名制及劳资管理工作。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3.2.2副组长：负责项目实名制及劳资工作日常事务的组织与具体实施。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3.2.3 组员：项目实名制及劳资工作岗位职责的全面履行和实施，任何异常，随时上报。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3.2.4说明：项目部无安全员则由项目经理指定人员负责。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bCs/>
          <w:sz w:val="24"/>
          <w:szCs w:val="24"/>
          <w:highlight w:val="none"/>
          <w:shd w:val="clear" w:color="auto" w:fill="auto"/>
          <w:lang w:val="en-US" w:eastAsia="zh-CN"/>
        </w:rPr>
      </w:pPr>
      <w:r>
        <w:rPr>
          <w:rFonts w:hint="eastAsia" w:ascii="仿宋" w:hAnsi="仿宋" w:eastAsia="仿宋" w:cs="仿宋"/>
          <w:b/>
          <w:bCs/>
          <w:sz w:val="24"/>
          <w:szCs w:val="24"/>
          <w:highlight w:val="none"/>
          <w:shd w:val="clear" w:color="auto" w:fill="auto"/>
          <w:lang w:val="en-US" w:eastAsia="zh-CN"/>
        </w:rPr>
        <w:t>4 项目实名制管理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4.1 项目劳资管理工作组管理职责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4.1.1劳资管理工作组监督分包单位以总承包单位的名义与建筑工人签订劳动合同。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4.1.2劳资管理工作组负责建立建筑工人名册、录入实名制管理系统和实名制管理所需资料的采集、登记、审核、报送及档案管理工作。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4.1.3劳资管理工作组负责建筑工人从进场到退场的全过程管理，依据建筑工人名册统计、核查工人考勤记录及人员变化情况，做好与分包单位的沟通合作，做好动态管理和控制。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4.1.4劳资管理工作组协助工程部建立完善分包单位/供应商管理库，对分包单位进行资格、业绩能力及劳动纠纷、不服从项目部劳资管理、越级上访政府部门等情况进行考察及履约考评等综合评价</w:t>
      </w:r>
      <w:bookmarkStart w:id="68" w:name="二-现场实名制管理措施"/>
      <w:r>
        <w:rPr>
          <w:rFonts w:hint="eastAsia" w:ascii="仿宋" w:hAnsi="仿宋" w:eastAsia="仿宋" w:cs="仿宋"/>
          <w:sz w:val="24"/>
          <w:szCs w:val="24"/>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4.2 现场实名制管理措施</w:t>
      </w:r>
      <w:bookmarkEnd w:id="68"/>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b w:val="0"/>
          <w:bCs w:val="0"/>
          <w:sz w:val="24"/>
          <w:szCs w:val="24"/>
          <w:highlight w:val="none"/>
          <w:shd w:val="clear" w:color="auto" w:fill="auto"/>
          <w:lang w:val="en-US" w:eastAsia="zh-CN"/>
        </w:rPr>
      </w:pPr>
      <w:bookmarkStart w:id="69" w:name="进场手续办理"/>
      <w:r>
        <w:rPr>
          <w:rFonts w:hint="eastAsia" w:ascii="仿宋" w:hAnsi="仿宋" w:eastAsia="仿宋" w:cs="仿宋"/>
          <w:b w:val="0"/>
          <w:bCs w:val="0"/>
          <w:sz w:val="24"/>
          <w:szCs w:val="24"/>
          <w:highlight w:val="none"/>
          <w:shd w:val="clear" w:color="auto" w:fill="auto"/>
          <w:lang w:val="en-US" w:eastAsia="zh-CN"/>
        </w:rPr>
        <w:t>4.2.1进场手续办理</w:t>
      </w:r>
      <w:bookmarkEnd w:id="69"/>
      <w:r>
        <w:rPr>
          <w:rFonts w:hint="eastAsia" w:ascii="仿宋" w:hAnsi="仿宋" w:eastAsia="仿宋" w:cs="仿宋"/>
          <w:b w:val="0"/>
          <w:bCs w:val="0"/>
          <w:sz w:val="24"/>
          <w:szCs w:val="24"/>
          <w:highlight w:val="none"/>
          <w:shd w:val="clear" w:color="auto" w:fil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4.2.1.1进场开工之日3天前，分包单位须以总承包单位名义与其建筑工人签订劳动合同，并交项目部备案。分包单位同时应向项目安全管理员上报进场人员的基本信息，安全管理员建立或补充完善对应的建筑工人名册，基本信息包括：姓名、性别、身份证号码、家庭住址、联系电话、工种或岗位、技术等级、劳动合同编号、进场退场时间等，具体可根据当地（各镇街）政府的相关要求登记。建筑工人名册登记完成且实名制管理系统审批通过后，安全管理员需在2天内，统一组织分包单位人员有序到实名制通道进行录入人脸信息。分包单位未向项目部作实名登记和打卡的人员，公司不予发放其工资，产生的不良后果和责任由分包单位承担。</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4.2.1.2进场开工之日3天前，项目安全管理员须向分包单位收取的文件包括：分包单位现场管理人员名单及建筑工人身份证复印件、特种工操作证复印件等，签订安全生产管理协议。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 xml:space="preserve">4.2.1.3进场开工当天，项目安全管理员须核实进场人员与建筑工人名册及证件是否相符，发现不符的，须要求其立即退场。仅签订了劳动合同而未提供在建筑工人名册内的，或无有效身份证（或无磁身份证）、无劳动合同、特种作业无资格证书的“三无”人员不得进入现场施工，并不得发放工资。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4.2.1.4新工人进场前期，因未在实名制系统上建立档案，无法在实名制通道进出，因此项目安全管理员应在工人到场第1天或提前1天，编制出“建筑工人临时出入登记名册”（名册应包含：工人所属分包单位、工人姓名、身份证号、上下班时间栏等）。安全管理员统筹保安组对新进场工人进行临时出入打卡登记，每天上午9点保安组将前一天临时出入打卡登记的记录上交并汇报安全管理员。若发现异常，安全管理员及时跟进并上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4.2.1.5建筑工人名册如有更新，分包单位须在3天内补充新进场人员的相关基本信息，并提供身份证复印件、与新进场人员签订的劳动合同给到项目部，项目安全管理员在实名制管理系统变更信息，实施动态管理。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4.2.2建立电子考勤系统</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4.2.2.1项目部配备实现建筑工人实名制管理所必须的硬件设施设备。有条件实施封闭式管理的项目，需设立施工现场门禁系统，并采用生物识别技术进行电子打卡，落实建筑工人实名制考勤管理。不具备封闭式管理的项目，需采用移动定位、电子围栏等技术方式实施考勤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4.2.2.2建筑工人在本项目每天上、下班时必须按公司要求实名登记并打卡，打卡文件作为工人工资申请及发放依据，且考勤打卡记录须与建筑工人名册相符。凡是分包单位在本项目工作的人员，未在本项目实名制登记备案、打卡的人员，公司不计发该人员在工人工资专用账号的工资，由分包单位自行解决，由此所导致的一切后果和全部责任均由分包单位承担，同时公司对分包单位上述违约行为按分包合同的相关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4.2.2.3如考勤设备损坏等特殊原因，无法考勤，由分包单位班组长在设备维修期间负责向项目部上报工人每日考勤记录，项目部负责对考勤记录进行审核。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4.2.2.4建筑工人拒不通过实名制通道进出施工区域，月累计达到3次，且无合理理由的，项目部责令所属分包单位对其进行处罚。若后续再犯（月累计3次），责令分包单位对其清退出场处理，不得再进入本项目工地，并且该工人工资按该月考勤打卡记录核发。</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4.2.2.5 项目部保安组严格门禁管理，严格实名打卡管理，禁止有擅自开门放行而不实名打卡行为，否则对其考核、处罚。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4.2.2.6 项目安全管理员每周日对岗亭实名打卡进行核查，并在周例会书面上报。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4.2.3实名制教育培训</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4.2.3.1项目安全管理员和分包单位班组长在建筑工人进场前，对其进行关于“公司实名制管理的各项规章制度、项目告示牌和维权信息告示牌上公示的各项内容、安全生产法律法规、施工现场劳动纪律、劳动保护等内容”的培训交底，并留存相关培训记录。未经过培训交底的工人不得进入施工现场。</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bookmarkStart w:id="70" w:name="临时出入登记"/>
      <w:r>
        <w:rPr>
          <w:rFonts w:hint="eastAsia" w:ascii="仿宋" w:hAnsi="仿宋" w:eastAsia="仿宋" w:cs="仿宋"/>
          <w:b w:val="0"/>
          <w:bCs w:val="0"/>
          <w:sz w:val="24"/>
          <w:szCs w:val="24"/>
          <w:highlight w:val="none"/>
          <w:shd w:val="clear" w:color="auto" w:fill="auto"/>
          <w:lang w:val="en-US" w:eastAsia="zh-CN"/>
        </w:rPr>
        <w:t>4.2.4临时出入登记</w:t>
      </w:r>
      <w:bookmarkEnd w:id="70"/>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4.2.4.1临时出入人员（例如：来访人员、运送工地材料车辆、临时进出人员）必须在门岗厅保安员处办理临时出入登记信息手续。</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宋体"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4.2.4.2甲分包单位的出入管理：原则上，甲分包单位需按实名制管理的规定。若实际执行上，甲分包单位不适用于实名制系统的录入，则需建设单位签章同意的书面文件和甲分包单位承诺由其承担一切责任和后果、费用的承诺书。承诺书格式参考附件1：</w:t>
      </w:r>
      <w:r>
        <w:rPr>
          <w:rFonts w:hint="eastAsia" w:ascii="仿宋" w:hAnsi="仿宋" w:eastAsia="仿宋" w:cs="仿宋"/>
          <w:bCs/>
          <w:sz w:val="24"/>
          <w:szCs w:val="24"/>
          <w:highlight w:val="none"/>
          <w:lang w:val="en-US" w:eastAsia="zh-CN"/>
        </w:rPr>
        <w:t>甲分包单位实名制打卡承诺书。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4.2.5建筑工人维权告示牌的设置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4.2.5.1项目部需按照住建局相关文件要求在工地公示栏设置维权信息告示牌，将每月经各分包单位负责人确认的考勤与工资支付信息在公示栏上进行公示，公示期不少于5日。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4.2.6 考勤汇总整理</w:t>
      </w:r>
    </w:p>
    <w:p>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4.2.6.1项目部每周周例会须提报</w:t>
      </w:r>
      <w:r>
        <w:rPr>
          <w:rFonts w:hint="eastAsia" w:ascii="仿宋" w:hAnsi="仿宋" w:eastAsia="仿宋" w:cs="仿宋"/>
          <w:b w:val="0"/>
          <w:bCs/>
          <w:sz w:val="24"/>
          <w:szCs w:val="24"/>
          <w:highlight w:val="none"/>
          <w:lang w:val="en-US" w:eastAsia="zh-CN"/>
        </w:rPr>
        <w:t>各分包单位各工种人员数量统计表及实名制打卡人员名单，并作为会议纪要附件。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highlight w:val="none"/>
          <w:lang w:val="en-US" w:eastAsia="zh-CN"/>
        </w:rPr>
      </w:pPr>
      <w:r>
        <w:rPr>
          <w:rFonts w:hint="eastAsia" w:ascii="仿宋" w:hAnsi="仿宋" w:eastAsia="仿宋" w:cs="仿宋"/>
          <w:sz w:val="24"/>
          <w:szCs w:val="24"/>
          <w:highlight w:val="none"/>
          <w:shd w:val="clear" w:color="auto" w:fill="auto"/>
          <w:lang w:val="en-US" w:eastAsia="zh-CN"/>
        </w:rPr>
        <w:t>4.2.6.2按项目岗位职责的要求，安全管理员每月月底将工人信息采集和大门人脸识别台账、考勤、花名册、工资表汇总交给资料员归档。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4.2.6.3按项目岗位职责的要求，资料员负责检查、督导安全管理员完成工人工资发放管理、建立工人信息采集和大门人脸识别台账、实名统计、考勤、花名册、工资表等资料的合规性，并每月月底收集归档。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bookmarkStart w:id="71" w:name="分包单位或工人退场"/>
      <w:r>
        <w:rPr>
          <w:rFonts w:hint="eastAsia" w:ascii="仿宋" w:hAnsi="仿宋" w:eastAsia="仿宋" w:cs="仿宋"/>
          <w:b w:val="0"/>
          <w:bCs w:val="0"/>
          <w:sz w:val="24"/>
          <w:szCs w:val="24"/>
          <w:highlight w:val="none"/>
          <w:shd w:val="clear" w:color="auto" w:fill="auto"/>
          <w:lang w:val="en-US" w:eastAsia="zh-CN"/>
        </w:rPr>
        <w:t>4.2.7分包单位或工人退场</w:t>
      </w:r>
      <w:bookmarkEnd w:id="71"/>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4.2.7.1分包单位施工完成，由项目安全管理员办理分包单位及其建筑工人退场手续。</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4.2.7.2建筑工人退场前，所属分包单位应提前1天向项目安全管理员及时报备、更新建筑工人名册信息。建筑工人退场后2天内，安全管理员在实名制管理系统中及时输入退场时间等信息。若分包单位不按要求向项目安全管理员报备退场工人名单，由此所导致的一切后果和全部责任均由该分包单位承担。</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4.2.8档案资料的保存管理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4.2.8.1各类纸质档案管理台账应在工程竣工且建筑工人工资全部结清后，至少保存2年。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bCs/>
          <w:sz w:val="24"/>
          <w:szCs w:val="24"/>
          <w:highlight w:val="none"/>
          <w:shd w:val="clear" w:color="auto" w:fill="auto"/>
          <w:lang w:val="en-US" w:eastAsia="zh-CN"/>
        </w:rPr>
      </w:pPr>
      <w:r>
        <w:rPr>
          <w:rFonts w:hint="eastAsia" w:ascii="仿宋" w:hAnsi="仿宋" w:eastAsia="仿宋" w:cs="仿宋"/>
          <w:b/>
          <w:bCs/>
          <w:sz w:val="24"/>
          <w:szCs w:val="24"/>
          <w:highlight w:val="none"/>
          <w:shd w:val="clear" w:color="auto" w:fill="auto"/>
          <w:lang w:val="en-US" w:eastAsia="zh-CN"/>
        </w:rPr>
        <w:t>5 项目劳资管理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5.1严格执行国家劳动和社会保障部关于保障建筑工人工资支付的四项基本措施：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5.1.1建立工资支付监控制度，全面监控和重点监控相结合；建立施工单位工资支付信息网络，完善监控手段。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5.1.2推行工资保证金制度，施工单位缴纳一定数额的工资保证金，以保证建筑工人工资不因单位资金状况而被拖欠。</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5.1.3推行企业劳动保障诚信制度，规范施工单位用工和工资支付行为。</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b/>
          <w:bCs/>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5.1.4全面推进劳动合同制度实施行动计划，用人单位招用建筑工人都依法订立书面劳动合同，建立权利义务明确、规范的劳动关系。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5.2项目部及公司财务部的管理职责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5.2.1项目部（劳资管理工作组）管理职责：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5.2.1.1督促分包单位以总承包单位的名义与建筑工人签订劳动合同。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5.2.1.2关注建筑工人工资专户余额，规划工资专户的用款，及时按总包合同约定办理进度款（含工人工资款）申请手续并督促建设单位按照合同约定按时足额将工程款中的工资款拨入公司设立的工资支付专用账户。</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5.2.1.3全面负责建筑工人工资管理工作，审核建筑工人工资表。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5.2.1.4监督分包单位建筑工人工资的发放工作，协调分包单位与建筑工人之间发生的工资方面的纠纷，发现拖欠工资问题及时向公司汇报。全面负责拖欠建筑工人工资突发事件的应急处置工作，统一部署、解决拖欠建筑工人工资问题，建立和完善建筑工人工资发放监管流程，项目经理为第一责任人。</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Chars="0"/>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5.2.1.5负责本项目建筑工人工资管理的宣传、协调、监督和追究违约责任等工作。</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b w:val="0"/>
          <w:bCs w:val="0"/>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5.2.2公司财务部管理职责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5.2.2.1</w:t>
      </w:r>
      <w:r>
        <w:rPr>
          <w:rFonts w:hint="eastAsia" w:ascii="仿宋" w:hAnsi="仿宋" w:eastAsia="仿宋" w:cs="仿宋"/>
          <w:sz w:val="24"/>
          <w:szCs w:val="24"/>
          <w:highlight w:val="none"/>
          <w:shd w:val="clear" w:color="auto" w:fill="auto"/>
          <w:lang w:val="en-US" w:eastAsia="zh-CN"/>
        </w:rPr>
        <w:t>负责在项目辖区（县）建设行政主管部门指定银行开立建筑工人工资专户，工资专户用于支付从事该项目作业的建筑工人工资，保证专款专用。当工资专户内资金少于建筑工人当期应发工资总额的，应当在15日内补足，预计15日内无法补足的，应当告知项目部并上报上级领导。</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5.2.2.2</w:t>
      </w:r>
      <w:r>
        <w:rPr>
          <w:rFonts w:hint="eastAsia" w:ascii="仿宋" w:hAnsi="仿宋" w:eastAsia="仿宋" w:cs="仿宋"/>
          <w:sz w:val="24"/>
          <w:szCs w:val="24"/>
          <w:highlight w:val="none"/>
          <w:shd w:val="clear" w:color="auto" w:fill="auto"/>
          <w:lang w:val="en-US" w:eastAsia="zh-CN"/>
        </w:rPr>
        <w:t>每月5日前（遇节假日顺延），财务部出纳需将工人工资专用账户剩余金额告知各项目负责人，并提醒项目及时催促建设单位将已审批完成的工人工资款打入本项目的工人工资专用账户。</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5.2.2.3</w:t>
      </w:r>
      <w:r>
        <w:rPr>
          <w:rFonts w:hint="eastAsia" w:ascii="仿宋" w:hAnsi="仿宋" w:eastAsia="仿宋" w:cs="仿宋"/>
          <w:sz w:val="24"/>
          <w:szCs w:val="24"/>
          <w:highlight w:val="none"/>
          <w:shd w:val="clear" w:color="auto" w:fill="auto"/>
          <w:lang w:val="en-US" w:eastAsia="zh-CN"/>
        </w:rPr>
        <w:t>财务部通过项目部周报的形式收集各项目部资金情况，了解各项目部建设单位处是否有已审批完成的工人工资款未支付情况，如无则提醒项目部抓紧向建设单位按合同约定申请进度款（含工人工资款）。如遇按合同原则暂无进度款申请，项目部须及时报告财务部经理，以便公司能先行垫资确保工人工资按时发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5.2.2.4</w:t>
      </w:r>
      <w:r>
        <w:rPr>
          <w:rFonts w:hint="eastAsia" w:ascii="仿宋" w:hAnsi="仿宋" w:eastAsia="仿宋" w:cs="仿宋"/>
          <w:sz w:val="24"/>
          <w:szCs w:val="24"/>
          <w:highlight w:val="none"/>
          <w:shd w:val="clear" w:color="auto" w:fill="auto"/>
          <w:lang w:val="en-US" w:eastAsia="zh-CN"/>
        </w:rPr>
        <w:t>按照</w:t>
      </w:r>
      <w:r>
        <w:rPr>
          <w:rFonts w:hint="default" w:ascii="仿宋" w:hAnsi="仿宋" w:eastAsia="仿宋" w:cs="仿宋"/>
          <w:sz w:val="24"/>
          <w:szCs w:val="24"/>
          <w:highlight w:val="none"/>
          <w:shd w:val="clear" w:color="auto" w:fill="auto"/>
          <w:lang w:val="en-US" w:eastAsia="zh-CN"/>
        </w:rPr>
        <w:t>“</w:t>
      </w:r>
      <w:r>
        <w:rPr>
          <w:rFonts w:hint="eastAsia" w:ascii="仿宋" w:hAnsi="仿宋" w:eastAsia="仿宋" w:cs="仿宋"/>
          <w:sz w:val="24"/>
          <w:szCs w:val="24"/>
          <w:highlight w:val="none"/>
          <w:shd w:val="clear" w:color="auto" w:fill="auto"/>
          <w:lang w:val="en-US" w:eastAsia="zh-CN"/>
        </w:rPr>
        <w:t>及时支付，按时结算</w:t>
      </w:r>
      <w:r>
        <w:rPr>
          <w:rFonts w:hint="default" w:ascii="仿宋" w:hAnsi="仿宋" w:eastAsia="仿宋" w:cs="仿宋"/>
          <w:sz w:val="24"/>
          <w:szCs w:val="24"/>
          <w:highlight w:val="none"/>
          <w:shd w:val="clear" w:color="auto" w:fill="auto"/>
          <w:lang w:val="en-US" w:eastAsia="zh-CN"/>
        </w:rPr>
        <w:t>”</w:t>
      </w:r>
      <w:r>
        <w:rPr>
          <w:rFonts w:hint="eastAsia" w:ascii="仿宋" w:hAnsi="仿宋" w:eastAsia="仿宋" w:cs="仿宋"/>
          <w:sz w:val="24"/>
          <w:szCs w:val="24"/>
          <w:highlight w:val="none"/>
          <w:shd w:val="clear" w:color="auto" w:fill="auto"/>
          <w:lang w:val="en-US" w:eastAsia="zh-CN"/>
        </w:rPr>
        <w:t>的原则，每月按时发放建筑工人工资，建立建筑工人工资发放台帐。</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en-US" w:eastAsia="zh-CN"/>
        </w:rPr>
        <w:t>5.2.2.5</w:t>
      </w:r>
      <w:r>
        <w:rPr>
          <w:rFonts w:hint="eastAsia" w:ascii="仿宋" w:hAnsi="仿宋" w:eastAsia="仿宋" w:cs="仿宋"/>
          <w:sz w:val="24"/>
          <w:szCs w:val="24"/>
          <w:highlight w:val="none"/>
          <w:shd w:val="clear" w:color="auto" w:fill="auto"/>
          <w:lang w:val="en-US" w:eastAsia="zh-CN"/>
        </w:rPr>
        <w:t>工程竣工且建筑工人工资全部结清后，配合项目部注销该项目涉及的工资专户。</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val="0"/>
          <w:bCs w:val="0"/>
          <w:sz w:val="24"/>
          <w:szCs w:val="24"/>
          <w:highlight w:val="none"/>
          <w:shd w:val="clear" w:color="auto" w:fill="auto"/>
          <w:lang w:val="en-US" w:eastAsia="zh-CN"/>
        </w:rPr>
      </w:pPr>
      <w:bookmarkStart w:id="72" w:name="农民工工资的保证措施"/>
      <w:r>
        <w:rPr>
          <w:rFonts w:hint="eastAsia" w:ascii="仿宋" w:hAnsi="仿宋" w:eastAsia="仿宋" w:cs="仿宋"/>
          <w:b w:val="0"/>
          <w:bCs w:val="0"/>
          <w:sz w:val="24"/>
          <w:szCs w:val="24"/>
          <w:highlight w:val="none"/>
          <w:shd w:val="clear" w:color="auto" w:fill="auto"/>
          <w:lang w:val="en-US" w:eastAsia="zh-CN"/>
        </w:rPr>
        <w:t>5.3建筑工人工资的保证措施</w:t>
      </w:r>
      <w:bookmarkEnd w:id="72"/>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5.3.1严格按政府规定，足额缴纳建筑工人工资保证金，坚决杜绝建筑工人工资拖欠现象。工资保证金在工程合同价款中列支存入指定银行，专户存储，专款专用。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5.3.2施工前，分包单位应在公司的监督下办理工人工资发放专户，由银行代发其工人工资。项目部督促分包单位以总承包单位的名义与每个建筑工人签订劳动合同及办理（工资卡）银行卡，银行卡由建筑工人本人保管，分包单位和其他个人不得非法代持建筑工人的银行卡。</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5.3.3分包单位应当服从公司的实名制管理，按实际情况编制建筑工人工资表，经建筑工人本人签字确认后，于每月10日前上报项目部。无实事求是实名制工人工资打卡记录等不得申报进度款和工程款。凡是分包单位申报了其不在本项目工作人员的工人工资，属于分包单位违约，由此所导致的一切后果和全部责任均由分包单位承担，同时公司对分包单位上述违约行为按分包合同的相关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5.3.4公司对分包单位向其人员发放报酬的情况有知情权，分包单位工人工资金额由分包单位提供书面文件给项目部及工程部核实。公司有权知晓分包单位工人的工资分配制度和实施情况，对不合理、违规的分配，公司有权制止及干预。分包单位需及时支付工人工资及材料款，如分包单位欠款导致公司被追索，公司有权自应付给分包单位的款项中扣款代付，但此举不视为公司同意对分包单位债务承担责任。分包单位对公司代付行为及金额无异议，如应付给分包单位的工程款不足以代付导致公司需垫付费用，分包单位需在公司发出书面通知起3个日历天内还清公司垫付款并自公司垫付之日起中国人民银行同期同类贷款基准利率的4倍为标准支付利息给公司。</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5.3.5项目部申报工人工资发放的流程：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5.3.5.1分包单位于每月10日前如实提供上月及本月实名制报备登记和打卡的《建筑工人工资表》等相关进度款审批资料给项目部，项目部申请OA“款项支付申请”审批流程。分包单位上月和本月的工人工资款从公司工人工资专用账户支付，余款由公司账户直接支付至分包合同约定的分包单位收款账户。分包单位对工人工资的再次发放资料及凭证清单（加盖分包单位公章的复印件）须于公司支付余款给分包单位之日起10个日历天内报项目部，否则公司有权中止后续付款且不违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5.3.5.2安全管理员在每月18日前收集审批完成的“款项支付审批单”、“工人工资表”、“发票”；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5.3.5.3安全管理员填写银行专用“工人工资表格”，在银行系统导入“工人工资表格”；</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5.3.5.4等待银行审核完成后，安全管理员导出“工人工资批量代付入账申请书”；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5.3.5.5安全管理员在OA申请“款项支付审批单”、“工人工资表”、“发票”、“工人工资批量代付入账申请书”等资料的盖章，待盖章流程审批完成后，将上述资料及《用章申请表》移交给公司财务部；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5.3.5.6公司财务部将上述资料和其他资料盖章后，到银行发放工资。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5.3.6项目部将每月经确认的考勤与工资支付信息在工地公示栏上进行公示，公示期不少于5日，并在工地公示栏设立建筑工人工资发放情况监督举报电话，让建筑工人有维护权益的渠道。</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5.3.7分包单位人员退场时，须提交工资结清证明（加盖分包单位公章）给项目部留存，否则公司有权不予办理结算和支付工程款。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5.3.8工程部项目管理组对项目部的建筑工人实名打卡和工资发放情况每月15号检查，发现实名打卡未按制度执行或工资拖欠情况，将对项目部申报通报批评。将建筑工人工资的支付情况纳入项目部的各项考核指标中进行统一考核。</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5.3.9工程竣工且建筑工人工资全部结清后，项目部凭竣工相关证明资料及工人工资支付等资料，向项目属地行政主管部门提出注销工资专户申请。项目部应在施工现场显眼位置公示以下信息：建筑工人工资信息、出勤信息、项目部咨询投诉电话以及建设项目属地行政主管部门投诉电话，公示期为7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b w:val="0"/>
          <w:bCs w:val="0"/>
          <w:sz w:val="24"/>
          <w:szCs w:val="24"/>
          <w:highlight w:val="none"/>
          <w:shd w:val="clear" w:color="auto" w:fill="auto"/>
          <w:lang w:val="en-US" w:eastAsia="zh-CN"/>
        </w:rPr>
      </w:pPr>
      <w:bookmarkStart w:id="73" w:name="处罚措施"/>
      <w:r>
        <w:rPr>
          <w:rFonts w:hint="eastAsia" w:ascii="仿宋" w:hAnsi="仿宋" w:eastAsia="仿宋" w:cs="仿宋"/>
          <w:b w:val="0"/>
          <w:bCs w:val="0"/>
          <w:sz w:val="24"/>
          <w:szCs w:val="24"/>
          <w:highlight w:val="none"/>
          <w:shd w:val="clear" w:color="auto" w:fill="auto"/>
          <w:lang w:val="en-US" w:eastAsia="zh-CN"/>
        </w:rPr>
        <w:t>6 处罚</w:t>
      </w:r>
      <w:bookmarkEnd w:id="73"/>
      <w:r>
        <w:rPr>
          <w:rFonts w:hint="eastAsia" w:ascii="仿宋" w:hAnsi="仿宋" w:eastAsia="仿宋" w:cs="仿宋"/>
          <w:b w:val="0"/>
          <w:bCs w:val="0"/>
          <w:sz w:val="24"/>
          <w:szCs w:val="24"/>
          <w:highlight w:val="none"/>
          <w:shd w:val="clear" w:color="auto" w:fill="auto"/>
          <w:lang w:val="en-US" w:eastAsia="zh-CN"/>
        </w:rPr>
        <w:t>与考核</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6.1分包单位须如实主动申报及发放工人工资，公司有权核对，如发现分包单位弄虚作假，公司暂停支付该分包单位工程款并按合同约定处罚。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6.2一旦发现存在建筑工人工资纠纷情况，项目部劳资管理工作组首先对建筑工人名册、考勤情况、工资表等资料核查，约请建筑工人代表进行座谈，深入了解纠纷具体情况，确认存在克扣、拖欠建筑工人工资的情况，项目部应按分包合同约定对该单位进行处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6.3项目部劳资管理工作组职责履行及管理不到位，未严格按分包合同中有关工人工资、实名制打卡及劳资管理相关条款和本制度执行的，将对工作组相关人员进行考核、处理。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default" w:ascii="仿宋" w:hAnsi="仿宋" w:eastAsia="仿宋" w:cs="仿宋"/>
          <w:b/>
          <w:bCs/>
          <w:sz w:val="24"/>
          <w:szCs w:val="24"/>
          <w:highlight w:val="none"/>
          <w:shd w:val="clear" w:color="auto" w:fill="auto"/>
          <w:lang w:val="en-US" w:eastAsia="zh-CN"/>
        </w:rPr>
      </w:pPr>
      <w:bookmarkStart w:id="74" w:name="_Toc6559"/>
      <w:r>
        <w:rPr>
          <w:rFonts w:hint="eastAsia" w:ascii="仿宋" w:hAnsi="仿宋" w:eastAsia="仿宋" w:cs="仿宋"/>
          <w:b/>
          <w:bCs/>
          <w:sz w:val="24"/>
          <w:szCs w:val="24"/>
          <w:highlight w:val="none"/>
          <w:shd w:val="clear" w:color="auto" w:fill="auto"/>
          <w:lang w:val="en-US" w:eastAsia="zh-CN"/>
        </w:rPr>
        <w:t xml:space="preserve">7 </w:t>
      </w:r>
      <w:r>
        <w:rPr>
          <w:rFonts w:hint="default" w:ascii="仿宋" w:hAnsi="仿宋" w:eastAsia="仿宋" w:cs="仿宋"/>
          <w:b/>
          <w:bCs/>
          <w:sz w:val="24"/>
          <w:szCs w:val="24"/>
          <w:highlight w:val="none"/>
          <w:shd w:val="clear" w:color="auto" w:fill="auto"/>
          <w:lang w:val="en-US" w:eastAsia="zh-CN"/>
        </w:rPr>
        <w:t>附则</w:t>
      </w:r>
      <w:bookmarkEnd w:id="74"/>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7.1</w:t>
      </w:r>
      <w:r>
        <w:rPr>
          <w:rFonts w:hint="default" w:ascii="仿宋" w:hAnsi="仿宋" w:eastAsia="仿宋" w:cs="仿宋"/>
          <w:sz w:val="24"/>
          <w:szCs w:val="24"/>
          <w:highlight w:val="none"/>
          <w:shd w:val="clear" w:color="auto" w:fill="auto"/>
          <w:lang w:val="en-US" w:eastAsia="zh-CN"/>
        </w:rPr>
        <w:t>本制度由公司</w:t>
      </w:r>
      <w:r>
        <w:rPr>
          <w:rFonts w:hint="eastAsia" w:ascii="仿宋" w:hAnsi="仿宋" w:eastAsia="仿宋" w:cs="仿宋"/>
          <w:sz w:val="24"/>
          <w:szCs w:val="24"/>
          <w:highlight w:val="none"/>
          <w:shd w:val="clear" w:color="auto" w:fill="auto"/>
          <w:lang w:val="en-US" w:eastAsia="zh-CN"/>
        </w:rPr>
        <w:t>工程部</w:t>
      </w:r>
      <w:r>
        <w:rPr>
          <w:rFonts w:hint="default" w:ascii="仿宋" w:hAnsi="仿宋" w:eastAsia="仿宋" w:cs="仿宋"/>
          <w:sz w:val="24"/>
          <w:szCs w:val="24"/>
          <w:highlight w:val="none"/>
          <w:shd w:val="clear" w:color="auto" w:fill="auto"/>
          <w:lang w:val="en-US" w:eastAsia="zh-CN"/>
        </w:rPr>
        <w:t>负责制订并解释。</w:t>
      </w:r>
    </w:p>
    <w:p>
      <w:pPr>
        <w:rPr>
          <w:rFonts w:hint="eastAsia" w:ascii="仿宋" w:hAnsi="仿宋" w:eastAsia="仿宋" w:cs="仿宋"/>
          <w:b/>
          <w:bCs/>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7.2</w:t>
      </w:r>
      <w:r>
        <w:rPr>
          <w:rFonts w:hint="default" w:ascii="仿宋" w:hAnsi="仿宋" w:eastAsia="仿宋" w:cs="仿宋"/>
          <w:sz w:val="24"/>
          <w:szCs w:val="24"/>
          <w:highlight w:val="none"/>
          <w:shd w:val="clear" w:color="auto" w:fill="auto"/>
          <w:lang w:val="en-US" w:eastAsia="zh-CN"/>
        </w:rPr>
        <w:t>本制度自发布之日起执行。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b/>
          <w:bCs/>
          <w:sz w:val="24"/>
          <w:szCs w:val="24"/>
          <w:highlight w:val="none"/>
          <w:shd w:val="clear" w:color="auto" w:fill="auto"/>
          <w:lang w:val="en-US" w:eastAsia="zh-CN"/>
        </w:rPr>
      </w:pPr>
      <w:r>
        <w:rPr>
          <w:rFonts w:hint="eastAsia" w:ascii="仿宋" w:hAnsi="仿宋" w:eastAsia="仿宋" w:cs="仿宋"/>
          <w:b/>
          <w:bCs/>
          <w:sz w:val="24"/>
          <w:szCs w:val="24"/>
          <w:highlight w:val="none"/>
          <w:shd w:val="clear" w:color="auto" w:fill="auto"/>
          <w:lang w:val="en-US" w:eastAsia="zh-CN"/>
        </w:rPr>
        <w:t xml:space="preserve">8 </w:t>
      </w:r>
      <w:r>
        <w:rPr>
          <w:rFonts w:hint="default" w:ascii="仿宋" w:hAnsi="仿宋" w:eastAsia="仿宋" w:cs="仿宋"/>
          <w:b/>
          <w:bCs/>
          <w:sz w:val="24"/>
          <w:szCs w:val="24"/>
          <w:highlight w:val="none"/>
          <w:shd w:val="clear" w:color="auto" w:fill="auto"/>
          <w:lang w:val="en-US" w:eastAsia="zh-CN"/>
        </w:rPr>
        <w:t>附</w:t>
      </w:r>
      <w:r>
        <w:rPr>
          <w:rFonts w:hint="eastAsia" w:ascii="仿宋" w:hAnsi="仿宋" w:eastAsia="仿宋" w:cs="仿宋"/>
          <w:b/>
          <w:bCs/>
          <w:sz w:val="24"/>
          <w:szCs w:val="24"/>
          <w:highlight w:val="none"/>
          <w:shd w:val="clear" w:color="auto" w:fill="auto"/>
          <w:lang w:val="en-US" w:eastAsia="zh-CN"/>
        </w:rPr>
        <w:t>件1：甲分包单位实名制打卡承诺书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2240" w:firstLineChars="800"/>
        <w:textAlignment w:val="auto"/>
        <w:outlineLvl w:val="0"/>
        <w:rPr>
          <w:rFonts w:hint="eastAsia" w:ascii="仿宋" w:hAnsi="仿宋" w:eastAsia="仿宋" w:cs="仿宋"/>
          <w:sz w:val="28"/>
          <w:szCs w:val="28"/>
          <w:highlight w:val="none"/>
          <w:shd w:val="clear" w:color="auto" w:fill="auto"/>
          <w:lang w:val="en-US" w:eastAsia="zh-CN"/>
        </w:rPr>
      </w:pPr>
      <w:r>
        <w:rPr>
          <w:rFonts w:hint="eastAsia" w:ascii="仿宋" w:hAnsi="仿宋" w:eastAsia="仿宋" w:cs="仿宋"/>
          <w:sz w:val="28"/>
          <w:szCs w:val="28"/>
          <w:highlight w:val="none"/>
          <w:shd w:val="clear" w:color="auto" w:fill="auto"/>
          <w:lang w:val="en-US" w:eastAsia="zh-CN"/>
        </w:rPr>
        <w:t>甲分包单位实名制打卡承诺书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2240" w:firstLineChars="800"/>
        <w:textAlignment w:val="auto"/>
        <w:outlineLvl w:val="0"/>
        <w:rPr>
          <w:rFonts w:hint="eastAsia" w:ascii="仿宋" w:hAnsi="仿宋" w:eastAsia="仿宋" w:cs="仿宋"/>
          <w:sz w:val="28"/>
          <w:szCs w:val="28"/>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致</w:t>
      </w:r>
      <w:r>
        <w:rPr>
          <w:rFonts w:hint="eastAsia" w:ascii="仿宋" w:hAnsi="仿宋" w:eastAsia="仿宋" w:cs="仿宋"/>
          <w:sz w:val="24"/>
          <w:szCs w:val="24"/>
          <w:highlight w:val="none"/>
          <w:u w:val="single"/>
          <w:shd w:val="clear" w:color="auto" w:fill="auto"/>
          <w:lang w:val="en-US" w:eastAsia="zh-CN"/>
        </w:rPr>
        <w:t>(总承包单位名称)</w:t>
      </w:r>
      <w:r>
        <w:rPr>
          <w:rFonts w:hint="eastAsia" w:ascii="仿宋" w:hAnsi="仿宋" w:eastAsia="仿宋" w:cs="仿宋"/>
          <w:sz w:val="24"/>
          <w:szCs w:val="24"/>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ind w:firstLine="480" w:firstLineChars="200"/>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我司</w:t>
      </w:r>
      <w:r>
        <w:rPr>
          <w:rFonts w:hint="eastAsia" w:ascii="仿宋" w:hAnsi="仿宋" w:eastAsia="仿宋" w:cs="仿宋"/>
          <w:sz w:val="24"/>
          <w:szCs w:val="24"/>
          <w:highlight w:val="none"/>
          <w:u w:val="single"/>
          <w:shd w:val="clear" w:color="auto" w:fill="auto"/>
          <w:lang w:val="en-US" w:eastAsia="zh-CN"/>
        </w:rPr>
        <w:t>（甲分包单位名称)</w:t>
      </w:r>
      <w:r>
        <w:rPr>
          <w:rFonts w:hint="eastAsia" w:ascii="仿宋" w:hAnsi="仿宋" w:eastAsia="仿宋" w:cs="仿宋"/>
          <w:sz w:val="24"/>
          <w:szCs w:val="24"/>
          <w:highlight w:val="none"/>
          <w:shd w:val="clear" w:color="auto" w:fill="auto"/>
          <w:lang w:val="en-US" w:eastAsia="zh-CN"/>
        </w:rPr>
        <w:t>承接贵司</w:t>
      </w:r>
      <w:r>
        <w:rPr>
          <w:rFonts w:hint="eastAsia" w:ascii="仿宋" w:hAnsi="仿宋" w:eastAsia="仿宋" w:cs="仿宋"/>
          <w:sz w:val="24"/>
          <w:szCs w:val="24"/>
          <w:highlight w:val="none"/>
          <w:u w:val="single"/>
          <w:shd w:val="clear" w:color="auto" w:fill="auto"/>
          <w:lang w:val="en-US" w:eastAsia="zh-CN"/>
        </w:rPr>
        <w:t>（XXXX）</w:t>
      </w:r>
      <w:r>
        <w:rPr>
          <w:rFonts w:hint="eastAsia" w:ascii="仿宋" w:hAnsi="仿宋" w:eastAsia="仿宋" w:cs="仿宋"/>
          <w:sz w:val="24"/>
          <w:szCs w:val="24"/>
          <w:highlight w:val="none"/>
          <w:shd w:val="clear" w:color="auto" w:fill="auto"/>
          <w:lang w:val="en-US" w:eastAsia="zh-CN"/>
        </w:rPr>
        <w:t>项目的（</w:t>
      </w:r>
      <w:r>
        <w:rPr>
          <w:rFonts w:hint="eastAsia" w:ascii="仿宋" w:hAnsi="仿宋" w:eastAsia="仿宋" w:cs="仿宋"/>
          <w:sz w:val="24"/>
          <w:szCs w:val="24"/>
          <w:highlight w:val="none"/>
          <w:u w:val="single"/>
          <w:shd w:val="clear" w:color="auto" w:fill="auto"/>
          <w:lang w:val="en-US" w:eastAsia="zh-CN"/>
        </w:rPr>
        <w:t>XXX分部分项）</w:t>
      </w:r>
      <w:r>
        <w:rPr>
          <w:rFonts w:hint="eastAsia" w:ascii="仿宋" w:hAnsi="仿宋" w:eastAsia="仿宋" w:cs="仿宋"/>
          <w:sz w:val="24"/>
          <w:szCs w:val="24"/>
          <w:highlight w:val="none"/>
          <w:shd w:val="clear" w:color="auto" w:fill="auto"/>
          <w:lang w:val="en-US" w:eastAsia="zh-CN"/>
        </w:rPr>
        <w:t>工程，本人</w:t>
      </w:r>
      <w:r>
        <w:rPr>
          <w:rFonts w:hint="eastAsia" w:ascii="仿宋" w:hAnsi="仿宋" w:eastAsia="仿宋" w:cs="仿宋"/>
          <w:sz w:val="24"/>
          <w:szCs w:val="24"/>
          <w:highlight w:val="none"/>
          <w:u w:val="single"/>
          <w:shd w:val="clear" w:color="auto" w:fill="auto"/>
          <w:lang w:val="en-US" w:eastAsia="zh-CN"/>
        </w:rPr>
        <w:t>（承诺人姓名及身份证号）</w:t>
      </w:r>
      <w:r>
        <w:rPr>
          <w:rFonts w:hint="eastAsia" w:ascii="仿宋" w:hAnsi="仿宋" w:eastAsia="仿宋" w:cs="仿宋"/>
          <w:sz w:val="24"/>
          <w:szCs w:val="24"/>
          <w:highlight w:val="none"/>
          <w:shd w:val="clear" w:color="auto" w:fill="auto"/>
          <w:lang w:val="en-US" w:eastAsia="zh-CN"/>
        </w:rPr>
        <w:t>，系（</w:t>
      </w:r>
      <w:r>
        <w:rPr>
          <w:rFonts w:hint="eastAsia" w:ascii="仿宋" w:hAnsi="仿宋" w:eastAsia="仿宋" w:cs="仿宋"/>
          <w:sz w:val="24"/>
          <w:szCs w:val="24"/>
          <w:highlight w:val="none"/>
          <w:u w:val="single"/>
          <w:shd w:val="clear" w:color="auto" w:fill="auto"/>
          <w:lang w:val="en-US" w:eastAsia="zh-CN"/>
        </w:rPr>
        <w:t>甲分包单位名称)</w:t>
      </w:r>
      <w:r>
        <w:rPr>
          <w:rFonts w:hint="eastAsia" w:ascii="仿宋" w:hAnsi="仿宋" w:eastAsia="仿宋" w:cs="仿宋"/>
          <w:sz w:val="24"/>
          <w:szCs w:val="24"/>
          <w:highlight w:val="none"/>
          <w:shd w:val="clear" w:color="auto" w:fill="auto"/>
          <w:lang w:val="en-US" w:eastAsia="zh-CN"/>
        </w:rPr>
        <w:t>的负责人，在此向</w:t>
      </w:r>
      <w:r>
        <w:rPr>
          <w:rFonts w:hint="eastAsia" w:ascii="仿宋" w:hAnsi="仿宋" w:eastAsia="仿宋" w:cs="仿宋"/>
          <w:sz w:val="24"/>
          <w:szCs w:val="24"/>
          <w:highlight w:val="none"/>
          <w:u w:val="single"/>
          <w:shd w:val="clear" w:color="auto" w:fill="auto"/>
          <w:lang w:val="en-US" w:eastAsia="zh-CN"/>
        </w:rPr>
        <w:t>(总承包单位名称)</w:t>
      </w:r>
      <w:r>
        <w:rPr>
          <w:rFonts w:hint="eastAsia" w:ascii="仿宋" w:hAnsi="仿宋" w:eastAsia="仿宋" w:cs="仿宋"/>
          <w:sz w:val="24"/>
          <w:szCs w:val="24"/>
          <w:highlight w:val="none"/>
          <w:shd w:val="clear" w:color="auto" w:fill="auto"/>
          <w:lang w:val="en-US" w:eastAsia="zh-CN"/>
        </w:rPr>
        <w:t>郑重承诺，我司将严格遵守国家法律法规及贵司的相关规定，认真履行实名制打卡及劳资管理的义务和责任。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具体承诺如下：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1.严格按照贵司的制度要求，对所有参与项目的人员进行实名制登记，并确保信息真实、准确、完整。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2.严格督促我司所有参与项目的人员按贵司的制度要求进行实名制打卡，确保打卡记录真实、准确、完整。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3.严格按照贵司项目实名制及劳资管理制度的相关要求执行，承诺把工人工资发放至实际在本项目工作的人员账号或采取现场领取到位的方式。</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4.若我司不适用于实名制系统的录入或未能履行上述承诺，导致贵司遭受任何损失或承担任何责任，我司将承担一切后果、责任和费用。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5.本承诺书自签署之日起生效，直至项目结束。</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textAlignment w:val="auto"/>
        <w:outlineLvl w:val="0"/>
        <w:rPr>
          <w:rFonts w:hint="eastAsia" w:ascii="仿宋" w:hAnsi="仿宋" w:eastAsia="仿宋" w:cs="仿宋"/>
          <w:sz w:val="24"/>
          <w:szCs w:val="24"/>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3840" w:firstLineChars="1600"/>
        <w:textAlignment w:val="auto"/>
        <w:outlineLvl w:val="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承诺单位（盖章）：</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3840" w:firstLineChars="1600"/>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承诺人（法定代表人或授权人）：</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3840" w:firstLineChars="1600"/>
        <w:textAlignment w:val="auto"/>
        <w:outlineLvl w:val="0"/>
        <w:rPr>
          <w:rFonts w:hint="default"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日期：</w:t>
      </w:r>
    </w:p>
    <w:p>
      <w:pPr>
        <w:pStyle w:val="7"/>
        <w:shd w:val="clear"/>
        <w:rPr>
          <w:rFonts w:hint="eastAsia" w:ascii="仿宋" w:hAnsi="仿宋" w:eastAsia="仿宋" w:cs="仿宋"/>
          <w:b/>
          <w:bCs/>
          <w:i w:val="0"/>
          <w:iCs w:val="0"/>
          <w:color w:val="auto"/>
          <w:sz w:val="24"/>
          <w:szCs w:val="24"/>
          <w:highlight w:val="none"/>
          <w:lang w:val="en-US" w:eastAsia="zh-CN"/>
        </w:rPr>
      </w:pPr>
    </w:p>
    <w:sectPr>
      <w:footerReference r:id="rId6" w:type="default"/>
      <w:pgSz w:w="11906" w:h="16838"/>
      <w:pgMar w:top="1440" w:right="1587" w:bottom="952" w:left="1587"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06754"/>
    <w:multiLevelType w:val="singleLevel"/>
    <w:tmpl w:val="8AC06754"/>
    <w:lvl w:ilvl="0" w:tentative="0">
      <w:start w:val="2"/>
      <w:numFmt w:val="chineseCounting"/>
      <w:suff w:val="nothing"/>
      <w:lvlText w:val="第%1章、"/>
      <w:lvlJc w:val="left"/>
      <w:rPr>
        <w:rFonts w:hint="eastAsia"/>
      </w:rPr>
    </w:lvl>
  </w:abstractNum>
  <w:abstractNum w:abstractNumId="1">
    <w:nsid w:val="763669C7"/>
    <w:multiLevelType w:val="singleLevel"/>
    <w:tmpl w:val="763669C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172A27"/>
    <w:rsid w:val="000118A6"/>
    <w:rsid w:val="00014E71"/>
    <w:rsid w:val="00070351"/>
    <w:rsid w:val="00190047"/>
    <w:rsid w:val="00203180"/>
    <w:rsid w:val="00203CC0"/>
    <w:rsid w:val="00213CF6"/>
    <w:rsid w:val="002D269B"/>
    <w:rsid w:val="00387CA6"/>
    <w:rsid w:val="003F5F2A"/>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D202F"/>
    <w:rsid w:val="00EF7950"/>
    <w:rsid w:val="011E0CCE"/>
    <w:rsid w:val="01317F69"/>
    <w:rsid w:val="013730A5"/>
    <w:rsid w:val="0147153B"/>
    <w:rsid w:val="015639C6"/>
    <w:rsid w:val="015765E3"/>
    <w:rsid w:val="01813F60"/>
    <w:rsid w:val="01B5752C"/>
    <w:rsid w:val="01B6046E"/>
    <w:rsid w:val="01BF37C7"/>
    <w:rsid w:val="01C04E49"/>
    <w:rsid w:val="01D26D8C"/>
    <w:rsid w:val="02031E05"/>
    <w:rsid w:val="021C600F"/>
    <w:rsid w:val="022C24DE"/>
    <w:rsid w:val="02391BF0"/>
    <w:rsid w:val="024C0DD3"/>
    <w:rsid w:val="024E1742"/>
    <w:rsid w:val="024F7C95"/>
    <w:rsid w:val="02587777"/>
    <w:rsid w:val="027F2F56"/>
    <w:rsid w:val="02820350"/>
    <w:rsid w:val="02854A8C"/>
    <w:rsid w:val="028873DB"/>
    <w:rsid w:val="02994018"/>
    <w:rsid w:val="02B63659"/>
    <w:rsid w:val="02BF77F6"/>
    <w:rsid w:val="02D55869"/>
    <w:rsid w:val="02D768EE"/>
    <w:rsid w:val="02DA124D"/>
    <w:rsid w:val="02E1776D"/>
    <w:rsid w:val="02FE1B0B"/>
    <w:rsid w:val="02FF1990"/>
    <w:rsid w:val="033E696D"/>
    <w:rsid w:val="03630182"/>
    <w:rsid w:val="03682091"/>
    <w:rsid w:val="036D65A5"/>
    <w:rsid w:val="03800D34"/>
    <w:rsid w:val="0394445D"/>
    <w:rsid w:val="03C52BEB"/>
    <w:rsid w:val="041E4304"/>
    <w:rsid w:val="04332207"/>
    <w:rsid w:val="04340622"/>
    <w:rsid w:val="04562C00"/>
    <w:rsid w:val="046A75EA"/>
    <w:rsid w:val="04910D1F"/>
    <w:rsid w:val="049F343C"/>
    <w:rsid w:val="04AB1DE0"/>
    <w:rsid w:val="04B35139"/>
    <w:rsid w:val="04B476F2"/>
    <w:rsid w:val="04CE3287"/>
    <w:rsid w:val="04D53318"/>
    <w:rsid w:val="04DA0918"/>
    <w:rsid w:val="04DF3C4E"/>
    <w:rsid w:val="04E6106A"/>
    <w:rsid w:val="04E77D7D"/>
    <w:rsid w:val="04EB042F"/>
    <w:rsid w:val="04FB7762"/>
    <w:rsid w:val="04FF3EDA"/>
    <w:rsid w:val="050128A7"/>
    <w:rsid w:val="0513728D"/>
    <w:rsid w:val="051C4A8C"/>
    <w:rsid w:val="052027CE"/>
    <w:rsid w:val="05216546"/>
    <w:rsid w:val="053022E6"/>
    <w:rsid w:val="053242B0"/>
    <w:rsid w:val="05657FDC"/>
    <w:rsid w:val="05685C35"/>
    <w:rsid w:val="056B1570"/>
    <w:rsid w:val="059B1E55"/>
    <w:rsid w:val="05A101F3"/>
    <w:rsid w:val="05AB5E10"/>
    <w:rsid w:val="05AF3F7C"/>
    <w:rsid w:val="05CC1FBD"/>
    <w:rsid w:val="05D56967"/>
    <w:rsid w:val="05E732EC"/>
    <w:rsid w:val="05FA2136"/>
    <w:rsid w:val="063150E1"/>
    <w:rsid w:val="06530982"/>
    <w:rsid w:val="065F7501"/>
    <w:rsid w:val="06706AD8"/>
    <w:rsid w:val="06824DC3"/>
    <w:rsid w:val="069074E0"/>
    <w:rsid w:val="06976105"/>
    <w:rsid w:val="06A66D03"/>
    <w:rsid w:val="06D31393"/>
    <w:rsid w:val="06DC2F7F"/>
    <w:rsid w:val="06E94BA8"/>
    <w:rsid w:val="06ED4932"/>
    <w:rsid w:val="06F832D7"/>
    <w:rsid w:val="071716FC"/>
    <w:rsid w:val="07181283"/>
    <w:rsid w:val="073F4A62"/>
    <w:rsid w:val="07513FB1"/>
    <w:rsid w:val="07580BE5"/>
    <w:rsid w:val="075D56E6"/>
    <w:rsid w:val="07602D27"/>
    <w:rsid w:val="07740BAF"/>
    <w:rsid w:val="07987B4D"/>
    <w:rsid w:val="07B07EF9"/>
    <w:rsid w:val="07B436A2"/>
    <w:rsid w:val="07B9513E"/>
    <w:rsid w:val="07C02047"/>
    <w:rsid w:val="07E13D6B"/>
    <w:rsid w:val="07E31891"/>
    <w:rsid w:val="07F41CF0"/>
    <w:rsid w:val="07F61040"/>
    <w:rsid w:val="07FC5C21"/>
    <w:rsid w:val="081B54CF"/>
    <w:rsid w:val="081B70BC"/>
    <w:rsid w:val="083A6C4A"/>
    <w:rsid w:val="085547A4"/>
    <w:rsid w:val="085C7B8E"/>
    <w:rsid w:val="08624EAC"/>
    <w:rsid w:val="08626C5A"/>
    <w:rsid w:val="086C4388"/>
    <w:rsid w:val="086C67B0"/>
    <w:rsid w:val="089112ED"/>
    <w:rsid w:val="08A6123D"/>
    <w:rsid w:val="08B374B6"/>
    <w:rsid w:val="08BC34BB"/>
    <w:rsid w:val="08D04EA3"/>
    <w:rsid w:val="08F24A3C"/>
    <w:rsid w:val="08F75BBB"/>
    <w:rsid w:val="08FA1588"/>
    <w:rsid w:val="090207D6"/>
    <w:rsid w:val="0966378D"/>
    <w:rsid w:val="09757AB5"/>
    <w:rsid w:val="09760B9C"/>
    <w:rsid w:val="099A1CCF"/>
    <w:rsid w:val="09A56C91"/>
    <w:rsid w:val="09A82D92"/>
    <w:rsid w:val="09AE1EBE"/>
    <w:rsid w:val="09C46844"/>
    <w:rsid w:val="09C94AB7"/>
    <w:rsid w:val="09E22A5D"/>
    <w:rsid w:val="09E87633"/>
    <w:rsid w:val="09FB1114"/>
    <w:rsid w:val="09FB55B8"/>
    <w:rsid w:val="09FB7366"/>
    <w:rsid w:val="09FF6F98"/>
    <w:rsid w:val="0A2118B5"/>
    <w:rsid w:val="0A300AD6"/>
    <w:rsid w:val="0A3971C4"/>
    <w:rsid w:val="0A454A85"/>
    <w:rsid w:val="0A5922DF"/>
    <w:rsid w:val="0A60366D"/>
    <w:rsid w:val="0A746B6C"/>
    <w:rsid w:val="0A7964DD"/>
    <w:rsid w:val="0A8D3DBE"/>
    <w:rsid w:val="0A9A5DF0"/>
    <w:rsid w:val="0ACE6829"/>
    <w:rsid w:val="0AD62B48"/>
    <w:rsid w:val="0AE931D4"/>
    <w:rsid w:val="0AFA3582"/>
    <w:rsid w:val="0B662F05"/>
    <w:rsid w:val="0B70650A"/>
    <w:rsid w:val="0B7A69B0"/>
    <w:rsid w:val="0B931BFF"/>
    <w:rsid w:val="0BAE5A66"/>
    <w:rsid w:val="0BB41AAC"/>
    <w:rsid w:val="0BB45F68"/>
    <w:rsid w:val="0BB93035"/>
    <w:rsid w:val="0BC01790"/>
    <w:rsid w:val="0BD92D6E"/>
    <w:rsid w:val="0BD95485"/>
    <w:rsid w:val="0BDB7D38"/>
    <w:rsid w:val="0C0270CA"/>
    <w:rsid w:val="0C125258"/>
    <w:rsid w:val="0C177688"/>
    <w:rsid w:val="0C1D2B00"/>
    <w:rsid w:val="0C4D2770"/>
    <w:rsid w:val="0C711B61"/>
    <w:rsid w:val="0C9B273A"/>
    <w:rsid w:val="0CB06EE4"/>
    <w:rsid w:val="0CBC5C8A"/>
    <w:rsid w:val="0CC04DC6"/>
    <w:rsid w:val="0CC30467"/>
    <w:rsid w:val="0CC9374C"/>
    <w:rsid w:val="0CCA5228"/>
    <w:rsid w:val="0CD55E13"/>
    <w:rsid w:val="0CE1709F"/>
    <w:rsid w:val="0CE40585"/>
    <w:rsid w:val="0D006A41"/>
    <w:rsid w:val="0D0522AA"/>
    <w:rsid w:val="0D077DD0"/>
    <w:rsid w:val="0D186481"/>
    <w:rsid w:val="0D421949"/>
    <w:rsid w:val="0D4536A9"/>
    <w:rsid w:val="0D723345"/>
    <w:rsid w:val="0D735465"/>
    <w:rsid w:val="0D821B4C"/>
    <w:rsid w:val="0D8B6C53"/>
    <w:rsid w:val="0D904269"/>
    <w:rsid w:val="0D9553DC"/>
    <w:rsid w:val="0D964F5E"/>
    <w:rsid w:val="0DAE068F"/>
    <w:rsid w:val="0DAE649D"/>
    <w:rsid w:val="0DBB3044"/>
    <w:rsid w:val="0DD51C7C"/>
    <w:rsid w:val="0DD56120"/>
    <w:rsid w:val="0DD95C10"/>
    <w:rsid w:val="0DF30354"/>
    <w:rsid w:val="0DF51C0D"/>
    <w:rsid w:val="0DFE67C9"/>
    <w:rsid w:val="0E060087"/>
    <w:rsid w:val="0E0D6E79"/>
    <w:rsid w:val="0E2055ED"/>
    <w:rsid w:val="0E236E8B"/>
    <w:rsid w:val="0E40102B"/>
    <w:rsid w:val="0E4741D7"/>
    <w:rsid w:val="0E4806A0"/>
    <w:rsid w:val="0E5205B9"/>
    <w:rsid w:val="0E575B4B"/>
    <w:rsid w:val="0E753A46"/>
    <w:rsid w:val="0EA63619"/>
    <w:rsid w:val="0EC341CA"/>
    <w:rsid w:val="0EC73CBB"/>
    <w:rsid w:val="0EDD34DE"/>
    <w:rsid w:val="0EFD148A"/>
    <w:rsid w:val="0F0F5CAE"/>
    <w:rsid w:val="0F303EC9"/>
    <w:rsid w:val="0F3050A6"/>
    <w:rsid w:val="0F465E76"/>
    <w:rsid w:val="0F706264"/>
    <w:rsid w:val="0F9A1418"/>
    <w:rsid w:val="0FA17752"/>
    <w:rsid w:val="0FB22358"/>
    <w:rsid w:val="0FDC5544"/>
    <w:rsid w:val="0FE32D76"/>
    <w:rsid w:val="0FF9577E"/>
    <w:rsid w:val="102E38C6"/>
    <w:rsid w:val="10352EA6"/>
    <w:rsid w:val="106B7F9E"/>
    <w:rsid w:val="107635A4"/>
    <w:rsid w:val="108674CF"/>
    <w:rsid w:val="10922D88"/>
    <w:rsid w:val="1093034E"/>
    <w:rsid w:val="109B152E"/>
    <w:rsid w:val="109E0A4B"/>
    <w:rsid w:val="10A145F0"/>
    <w:rsid w:val="10A14840"/>
    <w:rsid w:val="10A23752"/>
    <w:rsid w:val="10D80992"/>
    <w:rsid w:val="11167533"/>
    <w:rsid w:val="11243FFF"/>
    <w:rsid w:val="113718BF"/>
    <w:rsid w:val="11395884"/>
    <w:rsid w:val="11407F98"/>
    <w:rsid w:val="11557E4D"/>
    <w:rsid w:val="11565855"/>
    <w:rsid w:val="11665A0D"/>
    <w:rsid w:val="1188642D"/>
    <w:rsid w:val="11D01CF9"/>
    <w:rsid w:val="11EB7CC0"/>
    <w:rsid w:val="11F67404"/>
    <w:rsid w:val="11FC5536"/>
    <w:rsid w:val="12077CFA"/>
    <w:rsid w:val="1209447B"/>
    <w:rsid w:val="121B43BF"/>
    <w:rsid w:val="12271A49"/>
    <w:rsid w:val="122907E8"/>
    <w:rsid w:val="122C7D0D"/>
    <w:rsid w:val="12352D67"/>
    <w:rsid w:val="124205D1"/>
    <w:rsid w:val="125E4936"/>
    <w:rsid w:val="12635AA8"/>
    <w:rsid w:val="12696E37"/>
    <w:rsid w:val="126E62DF"/>
    <w:rsid w:val="127952CC"/>
    <w:rsid w:val="12850115"/>
    <w:rsid w:val="129E6AAA"/>
    <w:rsid w:val="12A30FD7"/>
    <w:rsid w:val="12AA36D7"/>
    <w:rsid w:val="12CD386A"/>
    <w:rsid w:val="12F901BB"/>
    <w:rsid w:val="130F3E82"/>
    <w:rsid w:val="13165211"/>
    <w:rsid w:val="132E143F"/>
    <w:rsid w:val="13471AD0"/>
    <w:rsid w:val="134753CA"/>
    <w:rsid w:val="134C478E"/>
    <w:rsid w:val="13781A27"/>
    <w:rsid w:val="13826402"/>
    <w:rsid w:val="13845E89"/>
    <w:rsid w:val="13877EBC"/>
    <w:rsid w:val="13985C26"/>
    <w:rsid w:val="13B14F39"/>
    <w:rsid w:val="14092680"/>
    <w:rsid w:val="140B2B2E"/>
    <w:rsid w:val="1425120F"/>
    <w:rsid w:val="14301B15"/>
    <w:rsid w:val="1433594E"/>
    <w:rsid w:val="14564D5E"/>
    <w:rsid w:val="14661880"/>
    <w:rsid w:val="14726477"/>
    <w:rsid w:val="147306A9"/>
    <w:rsid w:val="14870CC8"/>
    <w:rsid w:val="148E7ADC"/>
    <w:rsid w:val="1492781C"/>
    <w:rsid w:val="149375E5"/>
    <w:rsid w:val="1499025C"/>
    <w:rsid w:val="149B6797"/>
    <w:rsid w:val="149D66D9"/>
    <w:rsid w:val="149D7870"/>
    <w:rsid w:val="14B678F8"/>
    <w:rsid w:val="14C41530"/>
    <w:rsid w:val="14C91186"/>
    <w:rsid w:val="14E07884"/>
    <w:rsid w:val="14F15522"/>
    <w:rsid w:val="150337D5"/>
    <w:rsid w:val="1504174F"/>
    <w:rsid w:val="152F6751"/>
    <w:rsid w:val="15303D7D"/>
    <w:rsid w:val="1553452D"/>
    <w:rsid w:val="15542020"/>
    <w:rsid w:val="156156EE"/>
    <w:rsid w:val="156F29B6"/>
    <w:rsid w:val="157E0E4B"/>
    <w:rsid w:val="158263AD"/>
    <w:rsid w:val="158F501B"/>
    <w:rsid w:val="159452FD"/>
    <w:rsid w:val="15A9794A"/>
    <w:rsid w:val="15AC2665"/>
    <w:rsid w:val="15B036FB"/>
    <w:rsid w:val="15B14B22"/>
    <w:rsid w:val="15B3427D"/>
    <w:rsid w:val="15BA33B1"/>
    <w:rsid w:val="15CA68AC"/>
    <w:rsid w:val="15CD0276"/>
    <w:rsid w:val="15DB3A80"/>
    <w:rsid w:val="15E16D7A"/>
    <w:rsid w:val="15E46F00"/>
    <w:rsid w:val="15FE0734"/>
    <w:rsid w:val="16041350"/>
    <w:rsid w:val="16151C72"/>
    <w:rsid w:val="161A23FF"/>
    <w:rsid w:val="161F43DC"/>
    <w:rsid w:val="16290B92"/>
    <w:rsid w:val="16297009"/>
    <w:rsid w:val="16343A70"/>
    <w:rsid w:val="16411B20"/>
    <w:rsid w:val="16431E4A"/>
    <w:rsid w:val="165C2217"/>
    <w:rsid w:val="167069E6"/>
    <w:rsid w:val="167D7D71"/>
    <w:rsid w:val="169E5ECA"/>
    <w:rsid w:val="16A3500D"/>
    <w:rsid w:val="16A90B55"/>
    <w:rsid w:val="16B36AE1"/>
    <w:rsid w:val="16C15493"/>
    <w:rsid w:val="16E42F30"/>
    <w:rsid w:val="16ED4897"/>
    <w:rsid w:val="16FE0496"/>
    <w:rsid w:val="170C1FD1"/>
    <w:rsid w:val="172A0C99"/>
    <w:rsid w:val="17483152"/>
    <w:rsid w:val="174C7453"/>
    <w:rsid w:val="17822E75"/>
    <w:rsid w:val="178E01B7"/>
    <w:rsid w:val="179A1DCD"/>
    <w:rsid w:val="17A15E0B"/>
    <w:rsid w:val="17AA312D"/>
    <w:rsid w:val="17AF1790"/>
    <w:rsid w:val="17BF5E77"/>
    <w:rsid w:val="17DE3E23"/>
    <w:rsid w:val="17E53404"/>
    <w:rsid w:val="17EC5092"/>
    <w:rsid w:val="180C6BE2"/>
    <w:rsid w:val="1811244B"/>
    <w:rsid w:val="18187335"/>
    <w:rsid w:val="181D494B"/>
    <w:rsid w:val="183A3210"/>
    <w:rsid w:val="183B7D55"/>
    <w:rsid w:val="183C2E3A"/>
    <w:rsid w:val="183D3240"/>
    <w:rsid w:val="18416A30"/>
    <w:rsid w:val="186E09C7"/>
    <w:rsid w:val="18937310"/>
    <w:rsid w:val="189E4F3F"/>
    <w:rsid w:val="18CB6A1D"/>
    <w:rsid w:val="18F030EF"/>
    <w:rsid w:val="18F224FA"/>
    <w:rsid w:val="18FC77C6"/>
    <w:rsid w:val="190D49C0"/>
    <w:rsid w:val="191D4341"/>
    <w:rsid w:val="19206CA1"/>
    <w:rsid w:val="19265A82"/>
    <w:rsid w:val="1938288F"/>
    <w:rsid w:val="1941466A"/>
    <w:rsid w:val="19597C05"/>
    <w:rsid w:val="195C7136"/>
    <w:rsid w:val="19650358"/>
    <w:rsid w:val="19705D48"/>
    <w:rsid w:val="197762DD"/>
    <w:rsid w:val="19786A87"/>
    <w:rsid w:val="198B5F6F"/>
    <w:rsid w:val="198D45F0"/>
    <w:rsid w:val="19A05834"/>
    <w:rsid w:val="19A1648E"/>
    <w:rsid w:val="19B1359D"/>
    <w:rsid w:val="19B24E93"/>
    <w:rsid w:val="19B25567"/>
    <w:rsid w:val="19B7455F"/>
    <w:rsid w:val="19C332D1"/>
    <w:rsid w:val="19DB4ABE"/>
    <w:rsid w:val="1A015E61"/>
    <w:rsid w:val="1A0667DD"/>
    <w:rsid w:val="1A1B00A3"/>
    <w:rsid w:val="1A366BD3"/>
    <w:rsid w:val="1A402B73"/>
    <w:rsid w:val="1A4344CA"/>
    <w:rsid w:val="1A766342"/>
    <w:rsid w:val="1A903AFB"/>
    <w:rsid w:val="1A9A324D"/>
    <w:rsid w:val="1AA05DF4"/>
    <w:rsid w:val="1AA475A6"/>
    <w:rsid w:val="1AB34498"/>
    <w:rsid w:val="1AC11F06"/>
    <w:rsid w:val="1ACC0721"/>
    <w:rsid w:val="1ADD6614"/>
    <w:rsid w:val="1B022F94"/>
    <w:rsid w:val="1B310517"/>
    <w:rsid w:val="1B3C1FFD"/>
    <w:rsid w:val="1B8536B2"/>
    <w:rsid w:val="1B9118D8"/>
    <w:rsid w:val="1B952E08"/>
    <w:rsid w:val="1BA16335"/>
    <w:rsid w:val="1BA57132"/>
    <w:rsid w:val="1BA6218E"/>
    <w:rsid w:val="1BAD5FE6"/>
    <w:rsid w:val="1BB13D28"/>
    <w:rsid w:val="1BCE59A7"/>
    <w:rsid w:val="1BDF0508"/>
    <w:rsid w:val="1BE177E6"/>
    <w:rsid w:val="1BE4073B"/>
    <w:rsid w:val="1BEA303C"/>
    <w:rsid w:val="1BEE6D2B"/>
    <w:rsid w:val="1BF5598D"/>
    <w:rsid w:val="1C116575"/>
    <w:rsid w:val="1C305105"/>
    <w:rsid w:val="1C3B33BF"/>
    <w:rsid w:val="1C4A1A87"/>
    <w:rsid w:val="1C547B70"/>
    <w:rsid w:val="1C700BEF"/>
    <w:rsid w:val="1C7B17FA"/>
    <w:rsid w:val="1C896A53"/>
    <w:rsid w:val="1C972259"/>
    <w:rsid w:val="1C9D20E2"/>
    <w:rsid w:val="1CA05B4B"/>
    <w:rsid w:val="1CB11B06"/>
    <w:rsid w:val="1CBF2781"/>
    <w:rsid w:val="1CC306E9"/>
    <w:rsid w:val="1CD70D11"/>
    <w:rsid w:val="1CDF09E4"/>
    <w:rsid w:val="1CF42E6E"/>
    <w:rsid w:val="1CF70848"/>
    <w:rsid w:val="1CFC3D4D"/>
    <w:rsid w:val="1D0460DA"/>
    <w:rsid w:val="1D085BCA"/>
    <w:rsid w:val="1D104A7F"/>
    <w:rsid w:val="1D1074B6"/>
    <w:rsid w:val="1D183933"/>
    <w:rsid w:val="1D366756"/>
    <w:rsid w:val="1D3C4BFB"/>
    <w:rsid w:val="1D444728"/>
    <w:rsid w:val="1D7711E5"/>
    <w:rsid w:val="1D8D5398"/>
    <w:rsid w:val="1DC36C05"/>
    <w:rsid w:val="1DC85749"/>
    <w:rsid w:val="1DD26A50"/>
    <w:rsid w:val="1DEB0CCB"/>
    <w:rsid w:val="1DFB128B"/>
    <w:rsid w:val="1E052B8D"/>
    <w:rsid w:val="1E0D7210"/>
    <w:rsid w:val="1E2D2F17"/>
    <w:rsid w:val="1E481B8A"/>
    <w:rsid w:val="1E641526"/>
    <w:rsid w:val="1E6B19BE"/>
    <w:rsid w:val="1E8A02A3"/>
    <w:rsid w:val="1E8E2C79"/>
    <w:rsid w:val="1E933BB9"/>
    <w:rsid w:val="1EBA2359"/>
    <w:rsid w:val="1ECE2E43"/>
    <w:rsid w:val="1EE518CA"/>
    <w:rsid w:val="1EF1268E"/>
    <w:rsid w:val="1EFE4EDD"/>
    <w:rsid w:val="1F026649"/>
    <w:rsid w:val="1F1464D9"/>
    <w:rsid w:val="1F176598"/>
    <w:rsid w:val="1F177114"/>
    <w:rsid w:val="1F417171"/>
    <w:rsid w:val="1F437CC6"/>
    <w:rsid w:val="1F444EB4"/>
    <w:rsid w:val="1F4F074B"/>
    <w:rsid w:val="1F5A6485"/>
    <w:rsid w:val="1F6D6E09"/>
    <w:rsid w:val="1F881E32"/>
    <w:rsid w:val="1F8D23B7"/>
    <w:rsid w:val="1FB45B95"/>
    <w:rsid w:val="1FC3519E"/>
    <w:rsid w:val="1FF57B15"/>
    <w:rsid w:val="202076CF"/>
    <w:rsid w:val="202D3B9A"/>
    <w:rsid w:val="20305F21"/>
    <w:rsid w:val="203226CE"/>
    <w:rsid w:val="203B28A1"/>
    <w:rsid w:val="204A474C"/>
    <w:rsid w:val="20542ED4"/>
    <w:rsid w:val="2063580D"/>
    <w:rsid w:val="20644136"/>
    <w:rsid w:val="20695B32"/>
    <w:rsid w:val="207B343E"/>
    <w:rsid w:val="20801F1B"/>
    <w:rsid w:val="20994D8B"/>
    <w:rsid w:val="209E23A2"/>
    <w:rsid w:val="20B35E4D"/>
    <w:rsid w:val="20BB73F7"/>
    <w:rsid w:val="20C53DD2"/>
    <w:rsid w:val="20D364EF"/>
    <w:rsid w:val="20DB1848"/>
    <w:rsid w:val="20DE6C42"/>
    <w:rsid w:val="20E95E3C"/>
    <w:rsid w:val="20EF2BFD"/>
    <w:rsid w:val="2118371F"/>
    <w:rsid w:val="21260D15"/>
    <w:rsid w:val="212C2C54"/>
    <w:rsid w:val="212C428E"/>
    <w:rsid w:val="213E0703"/>
    <w:rsid w:val="2144119B"/>
    <w:rsid w:val="215D109F"/>
    <w:rsid w:val="215E090F"/>
    <w:rsid w:val="21613AFB"/>
    <w:rsid w:val="2164771A"/>
    <w:rsid w:val="216A13BE"/>
    <w:rsid w:val="21735A99"/>
    <w:rsid w:val="2177331E"/>
    <w:rsid w:val="21837F15"/>
    <w:rsid w:val="219A78C7"/>
    <w:rsid w:val="21A8557E"/>
    <w:rsid w:val="21AF23CC"/>
    <w:rsid w:val="21C66054"/>
    <w:rsid w:val="21CE3BBD"/>
    <w:rsid w:val="21D02A2F"/>
    <w:rsid w:val="21E40288"/>
    <w:rsid w:val="21E9116B"/>
    <w:rsid w:val="21F00857"/>
    <w:rsid w:val="220B1CB9"/>
    <w:rsid w:val="220F05CF"/>
    <w:rsid w:val="22205764"/>
    <w:rsid w:val="2251620F"/>
    <w:rsid w:val="225275BA"/>
    <w:rsid w:val="225E003A"/>
    <w:rsid w:val="227B299A"/>
    <w:rsid w:val="227E692E"/>
    <w:rsid w:val="228E4923"/>
    <w:rsid w:val="228F6446"/>
    <w:rsid w:val="22910410"/>
    <w:rsid w:val="22AA7385"/>
    <w:rsid w:val="22AE65BE"/>
    <w:rsid w:val="22B63195"/>
    <w:rsid w:val="22DB079D"/>
    <w:rsid w:val="22E5250A"/>
    <w:rsid w:val="22F369D5"/>
    <w:rsid w:val="22F616B5"/>
    <w:rsid w:val="22FD0E5C"/>
    <w:rsid w:val="230778C7"/>
    <w:rsid w:val="231A510B"/>
    <w:rsid w:val="233660B1"/>
    <w:rsid w:val="235B4B0E"/>
    <w:rsid w:val="235F406A"/>
    <w:rsid w:val="236A7616"/>
    <w:rsid w:val="236F7F68"/>
    <w:rsid w:val="2374647C"/>
    <w:rsid w:val="237C3267"/>
    <w:rsid w:val="23A21A79"/>
    <w:rsid w:val="23A86B40"/>
    <w:rsid w:val="23BC326A"/>
    <w:rsid w:val="23BD72DF"/>
    <w:rsid w:val="23C0729E"/>
    <w:rsid w:val="23DA1E7B"/>
    <w:rsid w:val="23E629DD"/>
    <w:rsid w:val="23E7405F"/>
    <w:rsid w:val="23EA5501"/>
    <w:rsid w:val="240D1EC8"/>
    <w:rsid w:val="24156E1F"/>
    <w:rsid w:val="243E45C7"/>
    <w:rsid w:val="2475240E"/>
    <w:rsid w:val="247955FF"/>
    <w:rsid w:val="24961E78"/>
    <w:rsid w:val="249A6459"/>
    <w:rsid w:val="249B2269"/>
    <w:rsid w:val="249F7859"/>
    <w:rsid w:val="24B56686"/>
    <w:rsid w:val="24D665AE"/>
    <w:rsid w:val="24F079E9"/>
    <w:rsid w:val="25201F1F"/>
    <w:rsid w:val="254C15F2"/>
    <w:rsid w:val="25560C22"/>
    <w:rsid w:val="255B2F57"/>
    <w:rsid w:val="256A6BDA"/>
    <w:rsid w:val="256E456D"/>
    <w:rsid w:val="258A399C"/>
    <w:rsid w:val="25B34B41"/>
    <w:rsid w:val="26086C3B"/>
    <w:rsid w:val="261920D8"/>
    <w:rsid w:val="261B0492"/>
    <w:rsid w:val="26254703"/>
    <w:rsid w:val="262E4BE7"/>
    <w:rsid w:val="26415CA9"/>
    <w:rsid w:val="26420893"/>
    <w:rsid w:val="26492DAF"/>
    <w:rsid w:val="264D0AF2"/>
    <w:rsid w:val="26571970"/>
    <w:rsid w:val="26655E3B"/>
    <w:rsid w:val="26A86F43"/>
    <w:rsid w:val="26DC30FF"/>
    <w:rsid w:val="26E75394"/>
    <w:rsid w:val="270B4948"/>
    <w:rsid w:val="271F4C0C"/>
    <w:rsid w:val="27215AAC"/>
    <w:rsid w:val="2723400E"/>
    <w:rsid w:val="2736727F"/>
    <w:rsid w:val="273E668C"/>
    <w:rsid w:val="274041B2"/>
    <w:rsid w:val="275861B1"/>
    <w:rsid w:val="27594AEA"/>
    <w:rsid w:val="27767BD4"/>
    <w:rsid w:val="27880DE7"/>
    <w:rsid w:val="27B8643F"/>
    <w:rsid w:val="27C132F1"/>
    <w:rsid w:val="27CB7D80"/>
    <w:rsid w:val="27CD1F54"/>
    <w:rsid w:val="27D35027"/>
    <w:rsid w:val="27D86AE1"/>
    <w:rsid w:val="27DD7C53"/>
    <w:rsid w:val="27E014F2"/>
    <w:rsid w:val="281F201A"/>
    <w:rsid w:val="28373258"/>
    <w:rsid w:val="283F090E"/>
    <w:rsid w:val="2844798D"/>
    <w:rsid w:val="285C14C0"/>
    <w:rsid w:val="28691716"/>
    <w:rsid w:val="2897692D"/>
    <w:rsid w:val="28C64B8B"/>
    <w:rsid w:val="28CD5F1A"/>
    <w:rsid w:val="28D366FF"/>
    <w:rsid w:val="28D9669A"/>
    <w:rsid w:val="28DF697D"/>
    <w:rsid w:val="291458F7"/>
    <w:rsid w:val="297B7724"/>
    <w:rsid w:val="29826D04"/>
    <w:rsid w:val="29B6075C"/>
    <w:rsid w:val="29D532D8"/>
    <w:rsid w:val="29EE6148"/>
    <w:rsid w:val="29FB219D"/>
    <w:rsid w:val="2A157B78"/>
    <w:rsid w:val="2A1713D6"/>
    <w:rsid w:val="2A5A558B"/>
    <w:rsid w:val="2A5B0059"/>
    <w:rsid w:val="2A663F30"/>
    <w:rsid w:val="2A6B59EA"/>
    <w:rsid w:val="2A8D5961"/>
    <w:rsid w:val="2A957654"/>
    <w:rsid w:val="2AD92954"/>
    <w:rsid w:val="2AEA2DB3"/>
    <w:rsid w:val="2AEC6B2B"/>
    <w:rsid w:val="2B055119"/>
    <w:rsid w:val="2B0B4446"/>
    <w:rsid w:val="2B0B5F38"/>
    <w:rsid w:val="2B230BF3"/>
    <w:rsid w:val="2B471FB3"/>
    <w:rsid w:val="2B6E0B76"/>
    <w:rsid w:val="2B88437A"/>
    <w:rsid w:val="2B88534B"/>
    <w:rsid w:val="2B8F7FBD"/>
    <w:rsid w:val="2BB4516F"/>
    <w:rsid w:val="2BCD2F8E"/>
    <w:rsid w:val="2BE55328"/>
    <w:rsid w:val="2BFF463C"/>
    <w:rsid w:val="2C0E487F"/>
    <w:rsid w:val="2C133886"/>
    <w:rsid w:val="2C161986"/>
    <w:rsid w:val="2C180916"/>
    <w:rsid w:val="2C1E35F3"/>
    <w:rsid w:val="2C2A4B45"/>
    <w:rsid w:val="2C35005E"/>
    <w:rsid w:val="2C4F5B19"/>
    <w:rsid w:val="2C505CDF"/>
    <w:rsid w:val="2C521589"/>
    <w:rsid w:val="2C526E62"/>
    <w:rsid w:val="2C5524AE"/>
    <w:rsid w:val="2C6E3292"/>
    <w:rsid w:val="2C7E4AF1"/>
    <w:rsid w:val="2C862B2D"/>
    <w:rsid w:val="2C8974AE"/>
    <w:rsid w:val="2C901738"/>
    <w:rsid w:val="2C926E94"/>
    <w:rsid w:val="2C9651E0"/>
    <w:rsid w:val="2CA034F5"/>
    <w:rsid w:val="2CA25BEC"/>
    <w:rsid w:val="2CA64AB8"/>
    <w:rsid w:val="2CAC5B63"/>
    <w:rsid w:val="2CC118F2"/>
    <w:rsid w:val="2CD34A44"/>
    <w:rsid w:val="2CD47877"/>
    <w:rsid w:val="2CE101E6"/>
    <w:rsid w:val="2CEB1DDF"/>
    <w:rsid w:val="2CF00E40"/>
    <w:rsid w:val="2CF96C08"/>
    <w:rsid w:val="2CFF066C"/>
    <w:rsid w:val="2D00167F"/>
    <w:rsid w:val="2D2360D5"/>
    <w:rsid w:val="2D3575D7"/>
    <w:rsid w:val="2D392A9A"/>
    <w:rsid w:val="2D3F2720"/>
    <w:rsid w:val="2D6459D3"/>
    <w:rsid w:val="2D6A3D37"/>
    <w:rsid w:val="2D8017AD"/>
    <w:rsid w:val="2DB43204"/>
    <w:rsid w:val="2DB54923"/>
    <w:rsid w:val="2DBF6A28"/>
    <w:rsid w:val="2DC75DE6"/>
    <w:rsid w:val="2DD04934"/>
    <w:rsid w:val="2DDB4BC1"/>
    <w:rsid w:val="2DEC0BF0"/>
    <w:rsid w:val="2E0F2B31"/>
    <w:rsid w:val="2E165C6D"/>
    <w:rsid w:val="2E220AB6"/>
    <w:rsid w:val="2E255EB0"/>
    <w:rsid w:val="2E3A7D96"/>
    <w:rsid w:val="2E4427DA"/>
    <w:rsid w:val="2E5C5D76"/>
    <w:rsid w:val="2E5D389C"/>
    <w:rsid w:val="2E630C84"/>
    <w:rsid w:val="2E641B42"/>
    <w:rsid w:val="2E84600A"/>
    <w:rsid w:val="2E956466"/>
    <w:rsid w:val="2EA15273"/>
    <w:rsid w:val="2EBF37A7"/>
    <w:rsid w:val="2EBF4B0B"/>
    <w:rsid w:val="2ED26038"/>
    <w:rsid w:val="2ED86F63"/>
    <w:rsid w:val="2EED10C4"/>
    <w:rsid w:val="2EF7784D"/>
    <w:rsid w:val="2EFA10EB"/>
    <w:rsid w:val="2EFB21A9"/>
    <w:rsid w:val="2F1A353B"/>
    <w:rsid w:val="2F3C1703"/>
    <w:rsid w:val="2F3E4F4E"/>
    <w:rsid w:val="2F407445"/>
    <w:rsid w:val="2F4B4A69"/>
    <w:rsid w:val="2F544C9F"/>
    <w:rsid w:val="2F5702EB"/>
    <w:rsid w:val="2F6B1FE9"/>
    <w:rsid w:val="2F6F0666"/>
    <w:rsid w:val="2F860BD0"/>
    <w:rsid w:val="2F904E2B"/>
    <w:rsid w:val="2F927575"/>
    <w:rsid w:val="2FF574A1"/>
    <w:rsid w:val="300246FB"/>
    <w:rsid w:val="3010541C"/>
    <w:rsid w:val="30156A33"/>
    <w:rsid w:val="301D42EF"/>
    <w:rsid w:val="30240B15"/>
    <w:rsid w:val="30250D25"/>
    <w:rsid w:val="3025488D"/>
    <w:rsid w:val="30287BA1"/>
    <w:rsid w:val="302B0671"/>
    <w:rsid w:val="30336292"/>
    <w:rsid w:val="30342B2E"/>
    <w:rsid w:val="3044084D"/>
    <w:rsid w:val="30644D23"/>
    <w:rsid w:val="30894E1C"/>
    <w:rsid w:val="308E3881"/>
    <w:rsid w:val="30B05F05"/>
    <w:rsid w:val="30CD3408"/>
    <w:rsid w:val="30CF4EA4"/>
    <w:rsid w:val="30F57DBC"/>
    <w:rsid w:val="30FA3624"/>
    <w:rsid w:val="31002A27"/>
    <w:rsid w:val="310A4AEB"/>
    <w:rsid w:val="310D2023"/>
    <w:rsid w:val="313308E4"/>
    <w:rsid w:val="3133745D"/>
    <w:rsid w:val="314D7BF8"/>
    <w:rsid w:val="316365F0"/>
    <w:rsid w:val="3163741B"/>
    <w:rsid w:val="31857392"/>
    <w:rsid w:val="318E1BB8"/>
    <w:rsid w:val="319475D5"/>
    <w:rsid w:val="319976C6"/>
    <w:rsid w:val="319A711F"/>
    <w:rsid w:val="31A15954"/>
    <w:rsid w:val="31D840B5"/>
    <w:rsid w:val="31DE1ECC"/>
    <w:rsid w:val="320643AF"/>
    <w:rsid w:val="32130E41"/>
    <w:rsid w:val="321D006A"/>
    <w:rsid w:val="3228125A"/>
    <w:rsid w:val="322841C1"/>
    <w:rsid w:val="322D6302"/>
    <w:rsid w:val="32396EB1"/>
    <w:rsid w:val="323C6422"/>
    <w:rsid w:val="32562ADC"/>
    <w:rsid w:val="326F46E0"/>
    <w:rsid w:val="32713DBA"/>
    <w:rsid w:val="3277206D"/>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3368B2"/>
    <w:rsid w:val="33372EAB"/>
    <w:rsid w:val="3341378C"/>
    <w:rsid w:val="334C66DF"/>
    <w:rsid w:val="335041A4"/>
    <w:rsid w:val="335C4122"/>
    <w:rsid w:val="335D1989"/>
    <w:rsid w:val="33786E01"/>
    <w:rsid w:val="337A0A4C"/>
    <w:rsid w:val="337A388B"/>
    <w:rsid w:val="33911204"/>
    <w:rsid w:val="33AF3D68"/>
    <w:rsid w:val="33AF6666"/>
    <w:rsid w:val="33B85C33"/>
    <w:rsid w:val="33BE6F4E"/>
    <w:rsid w:val="33C63C91"/>
    <w:rsid w:val="33CB572B"/>
    <w:rsid w:val="33CE657B"/>
    <w:rsid w:val="33EA3E24"/>
    <w:rsid w:val="33EC7B9C"/>
    <w:rsid w:val="33FB0977"/>
    <w:rsid w:val="34034EE6"/>
    <w:rsid w:val="340842AA"/>
    <w:rsid w:val="341C53BA"/>
    <w:rsid w:val="342C131A"/>
    <w:rsid w:val="342E7433"/>
    <w:rsid w:val="34312EC5"/>
    <w:rsid w:val="344A041F"/>
    <w:rsid w:val="34560A62"/>
    <w:rsid w:val="34661EED"/>
    <w:rsid w:val="347831DE"/>
    <w:rsid w:val="347C39A8"/>
    <w:rsid w:val="34847DD4"/>
    <w:rsid w:val="34853B4C"/>
    <w:rsid w:val="349348B8"/>
    <w:rsid w:val="34A35D81"/>
    <w:rsid w:val="34AE30A3"/>
    <w:rsid w:val="34B34723"/>
    <w:rsid w:val="34C92940"/>
    <w:rsid w:val="34E41339"/>
    <w:rsid w:val="34EB6364"/>
    <w:rsid w:val="34F565DC"/>
    <w:rsid w:val="35132F06"/>
    <w:rsid w:val="35246B7C"/>
    <w:rsid w:val="35321AF4"/>
    <w:rsid w:val="35373099"/>
    <w:rsid w:val="3538296D"/>
    <w:rsid w:val="354E440C"/>
    <w:rsid w:val="357C1D59"/>
    <w:rsid w:val="358A766C"/>
    <w:rsid w:val="358B2CE3"/>
    <w:rsid w:val="358C26FA"/>
    <w:rsid w:val="359232E4"/>
    <w:rsid w:val="35A95FA6"/>
    <w:rsid w:val="35BC7A10"/>
    <w:rsid w:val="35BE2E72"/>
    <w:rsid w:val="35C228C2"/>
    <w:rsid w:val="35C32BDC"/>
    <w:rsid w:val="35D5640E"/>
    <w:rsid w:val="35FB7088"/>
    <w:rsid w:val="36132D44"/>
    <w:rsid w:val="363F7DC0"/>
    <w:rsid w:val="364610BA"/>
    <w:rsid w:val="36724494"/>
    <w:rsid w:val="3679649B"/>
    <w:rsid w:val="367D0F7F"/>
    <w:rsid w:val="36826C31"/>
    <w:rsid w:val="368C11C2"/>
    <w:rsid w:val="368F0CBF"/>
    <w:rsid w:val="36916FED"/>
    <w:rsid w:val="369E0892"/>
    <w:rsid w:val="36A469C4"/>
    <w:rsid w:val="36A521D9"/>
    <w:rsid w:val="36F02599"/>
    <w:rsid w:val="36F55EAA"/>
    <w:rsid w:val="370F0532"/>
    <w:rsid w:val="372B09DB"/>
    <w:rsid w:val="372B3383"/>
    <w:rsid w:val="374A6C65"/>
    <w:rsid w:val="37625508"/>
    <w:rsid w:val="376E70A4"/>
    <w:rsid w:val="37763F45"/>
    <w:rsid w:val="3784095E"/>
    <w:rsid w:val="37895E9F"/>
    <w:rsid w:val="37E40B8A"/>
    <w:rsid w:val="37EA2644"/>
    <w:rsid w:val="37EB1F18"/>
    <w:rsid w:val="38044D88"/>
    <w:rsid w:val="3806031D"/>
    <w:rsid w:val="382C513A"/>
    <w:rsid w:val="382E36E1"/>
    <w:rsid w:val="38417D8A"/>
    <w:rsid w:val="3842422E"/>
    <w:rsid w:val="384F06F9"/>
    <w:rsid w:val="38526F7A"/>
    <w:rsid w:val="387A2F34"/>
    <w:rsid w:val="387C555A"/>
    <w:rsid w:val="387E2D8D"/>
    <w:rsid w:val="389C521D"/>
    <w:rsid w:val="38B67A98"/>
    <w:rsid w:val="38C70CF9"/>
    <w:rsid w:val="38E52970"/>
    <w:rsid w:val="38EA21D0"/>
    <w:rsid w:val="38F372D7"/>
    <w:rsid w:val="38F65019"/>
    <w:rsid w:val="38F66DC7"/>
    <w:rsid w:val="38FB43DD"/>
    <w:rsid w:val="39286102"/>
    <w:rsid w:val="39641F82"/>
    <w:rsid w:val="39684912"/>
    <w:rsid w:val="397441F3"/>
    <w:rsid w:val="3979412A"/>
    <w:rsid w:val="398919E9"/>
    <w:rsid w:val="39A16C97"/>
    <w:rsid w:val="39A24859"/>
    <w:rsid w:val="39A56B84"/>
    <w:rsid w:val="39A77BB2"/>
    <w:rsid w:val="39AD5743"/>
    <w:rsid w:val="39BE5B37"/>
    <w:rsid w:val="39CD1EE3"/>
    <w:rsid w:val="39CD78A2"/>
    <w:rsid w:val="39D1471A"/>
    <w:rsid w:val="39ED6FFB"/>
    <w:rsid w:val="3A0E17EC"/>
    <w:rsid w:val="3A455B54"/>
    <w:rsid w:val="3A6F38E4"/>
    <w:rsid w:val="3A81200E"/>
    <w:rsid w:val="3A850402"/>
    <w:rsid w:val="3A9C399E"/>
    <w:rsid w:val="3AA52E29"/>
    <w:rsid w:val="3AA91B3C"/>
    <w:rsid w:val="3AB807D8"/>
    <w:rsid w:val="3ABB7AA2"/>
    <w:rsid w:val="3AD1189A"/>
    <w:rsid w:val="3AD62A0C"/>
    <w:rsid w:val="3AFD68A7"/>
    <w:rsid w:val="3B1F45BC"/>
    <w:rsid w:val="3B255741"/>
    <w:rsid w:val="3B345984"/>
    <w:rsid w:val="3B36360F"/>
    <w:rsid w:val="3B36794F"/>
    <w:rsid w:val="3B367AA6"/>
    <w:rsid w:val="3B437161"/>
    <w:rsid w:val="3B450A85"/>
    <w:rsid w:val="3B506C62"/>
    <w:rsid w:val="3B514FD2"/>
    <w:rsid w:val="3B693880"/>
    <w:rsid w:val="3B820DE6"/>
    <w:rsid w:val="3B854AB6"/>
    <w:rsid w:val="3B8E1539"/>
    <w:rsid w:val="3B9D177C"/>
    <w:rsid w:val="3BA046F2"/>
    <w:rsid w:val="3BA50630"/>
    <w:rsid w:val="3BD80550"/>
    <w:rsid w:val="3BDD1B6F"/>
    <w:rsid w:val="3BE56E1B"/>
    <w:rsid w:val="3BED2DB3"/>
    <w:rsid w:val="3C0454A1"/>
    <w:rsid w:val="3C215F09"/>
    <w:rsid w:val="3C436B55"/>
    <w:rsid w:val="3C595E61"/>
    <w:rsid w:val="3C5A5699"/>
    <w:rsid w:val="3C622D83"/>
    <w:rsid w:val="3C722AD6"/>
    <w:rsid w:val="3C7324DC"/>
    <w:rsid w:val="3CAA7145"/>
    <w:rsid w:val="3CB74ABF"/>
    <w:rsid w:val="3CC0618E"/>
    <w:rsid w:val="3CC35212"/>
    <w:rsid w:val="3CC828E4"/>
    <w:rsid w:val="3CD14C56"/>
    <w:rsid w:val="3CD16A44"/>
    <w:rsid w:val="3CD25455"/>
    <w:rsid w:val="3CD65AAE"/>
    <w:rsid w:val="3CD87391"/>
    <w:rsid w:val="3CE73A29"/>
    <w:rsid w:val="3CF81438"/>
    <w:rsid w:val="3D1D70A7"/>
    <w:rsid w:val="3D2263DC"/>
    <w:rsid w:val="3D2C1009"/>
    <w:rsid w:val="3D3D3204"/>
    <w:rsid w:val="3D481C94"/>
    <w:rsid w:val="3D502922"/>
    <w:rsid w:val="3D5A545D"/>
    <w:rsid w:val="3D605157"/>
    <w:rsid w:val="3D6407A3"/>
    <w:rsid w:val="3DA62EC6"/>
    <w:rsid w:val="3DC90CD2"/>
    <w:rsid w:val="3DE60DD6"/>
    <w:rsid w:val="3DEA0B3C"/>
    <w:rsid w:val="3E004349"/>
    <w:rsid w:val="3E0F7B1D"/>
    <w:rsid w:val="3E234AB8"/>
    <w:rsid w:val="3E32264F"/>
    <w:rsid w:val="3E4009FD"/>
    <w:rsid w:val="3E444130"/>
    <w:rsid w:val="3E524A87"/>
    <w:rsid w:val="3E5C1BAD"/>
    <w:rsid w:val="3E6D3CFD"/>
    <w:rsid w:val="3E9230EE"/>
    <w:rsid w:val="3E9B58E4"/>
    <w:rsid w:val="3E9F6F17"/>
    <w:rsid w:val="3EA37CD2"/>
    <w:rsid w:val="3EB76659"/>
    <w:rsid w:val="3EDF3E59"/>
    <w:rsid w:val="3EE06168"/>
    <w:rsid w:val="3EE85404"/>
    <w:rsid w:val="3F141725"/>
    <w:rsid w:val="3F1B1335"/>
    <w:rsid w:val="3F200257"/>
    <w:rsid w:val="3F286DBF"/>
    <w:rsid w:val="3F54107E"/>
    <w:rsid w:val="3F5C4CEB"/>
    <w:rsid w:val="3F7140F5"/>
    <w:rsid w:val="3F7E4562"/>
    <w:rsid w:val="3F8D1475"/>
    <w:rsid w:val="3F975C22"/>
    <w:rsid w:val="3FA034D3"/>
    <w:rsid w:val="3FA70E1B"/>
    <w:rsid w:val="3FB5178A"/>
    <w:rsid w:val="3FC64109"/>
    <w:rsid w:val="3FCC77A7"/>
    <w:rsid w:val="3FD65247"/>
    <w:rsid w:val="3FD81621"/>
    <w:rsid w:val="3FDB385A"/>
    <w:rsid w:val="3FDF1BB6"/>
    <w:rsid w:val="3FDF6807"/>
    <w:rsid w:val="3FE23C01"/>
    <w:rsid w:val="3FE3145D"/>
    <w:rsid w:val="3FE71217"/>
    <w:rsid w:val="3FFF4431"/>
    <w:rsid w:val="40061FE5"/>
    <w:rsid w:val="400E0CEC"/>
    <w:rsid w:val="4022565B"/>
    <w:rsid w:val="402266F3"/>
    <w:rsid w:val="403629A3"/>
    <w:rsid w:val="403B122D"/>
    <w:rsid w:val="404B007A"/>
    <w:rsid w:val="405A7C3B"/>
    <w:rsid w:val="405B7334"/>
    <w:rsid w:val="405C70C5"/>
    <w:rsid w:val="406B3BF6"/>
    <w:rsid w:val="40B65678"/>
    <w:rsid w:val="40C31C84"/>
    <w:rsid w:val="40CD2BBC"/>
    <w:rsid w:val="40CE74E8"/>
    <w:rsid w:val="40D05B99"/>
    <w:rsid w:val="40D55514"/>
    <w:rsid w:val="40D7128C"/>
    <w:rsid w:val="40DE086C"/>
    <w:rsid w:val="40FE0F0E"/>
    <w:rsid w:val="41390199"/>
    <w:rsid w:val="41561B7B"/>
    <w:rsid w:val="415D5C35"/>
    <w:rsid w:val="415F2382"/>
    <w:rsid w:val="41644CA3"/>
    <w:rsid w:val="417C604D"/>
    <w:rsid w:val="417E7959"/>
    <w:rsid w:val="418238EE"/>
    <w:rsid w:val="41C47F76"/>
    <w:rsid w:val="41D83188"/>
    <w:rsid w:val="41DF75B5"/>
    <w:rsid w:val="421568CA"/>
    <w:rsid w:val="422229DB"/>
    <w:rsid w:val="422F2C0A"/>
    <w:rsid w:val="427C658F"/>
    <w:rsid w:val="42937956"/>
    <w:rsid w:val="42997BDD"/>
    <w:rsid w:val="42AC4D28"/>
    <w:rsid w:val="42B60CBA"/>
    <w:rsid w:val="42BA4570"/>
    <w:rsid w:val="42C43A92"/>
    <w:rsid w:val="42DB62DB"/>
    <w:rsid w:val="42F40D87"/>
    <w:rsid w:val="43157031"/>
    <w:rsid w:val="431F6F1A"/>
    <w:rsid w:val="43204D6E"/>
    <w:rsid w:val="432E4410"/>
    <w:rsid w:val="433760D0"/>
    <w:rsid w:val="433E0C67"/>
    <w:rsid w:val="434171A0"/>
    <w:rsid w:val="434F476D"/>
    <w:rsid w:val="43530C9D"/>
    <w:rsid w:val="43652248"/>
    <w:rsid w:val="43661D30"/>
    <w:rsid w:val="436C09A1"/>
    <w:rsid w:val="436E0D52"/>
    <w:rsid w:val="436F047F"/>
    <w:rsid w:val="436F39FE"/>
    <w:rsid w:val="436F7EA2"/>
    <w:rsid w:val="43863FBF"/>
    <w:rsid w:val="43BA63BC"/>
    <w:rsid w:val="43E56FFE"/>
    <w:rsid w:val="43F23C81"/>
    <w:rsid w:val="44071DF4"/>
    <w:rsid w:val="44094377"/>
    <w:rsid w:val="442347E8"/>
    <w:rsid w:val="44384517"/>
    <w:rsid w:val="445114EF"/>
    <w:rsid w:val="445B2639"/>
    <w:rsid w:val="44676DCB"/>
    <w:rsid w:val="44803B8C"/>
    <w:rsid w:val="44894274"/>
    <w:rsid w:val="44A53DC8"/>
    <w:rsid w:val="44C77869"/>
    <w:rsid w:val="44D51F86"/>
    <w:rsid w:val="44E70410"/>
    <w:rsid w:val="44FA2AC6"/>
    <w:rsid w:val="450E5B4A"/>
    <w:rsid w:val="452B604A"/>
    <w:rsid w:val="45363083"/>
    <w:rsid w:val="453C0257"/>
    <w:rsid w:val="45406B12"/>
    <w:rsid w:val="455A06DD"/>
    <w:rsid w:val="458F482B"/>
    <w:rsid w:val="45A2455E"/>
    <w:rsid w:val="45B10696"/>
    <w:rsid w:val="45BC36A1"/>
    <w:rsid w:val="45D43FEC"/>
    <w:rsid w:val="45DA2E00"/>
    <w:rsid w:val="45EF1111"/>
    <w:rsid w:val="45F51402"/>
    <w:rsid w:val="460C7409"/>
    <w:rsid w:val="460D74FE"/>
    <w:rsid w:val="461E376F"/>
    <w:rsid w:val="46366582"/>
    <w:rsid w:val="463F1478"/>
    <w:rsid w:val="464A2500"/>
    <w:rsid w:val="464C0026"/>
    <w:rsid w:val="465D4CB9"/>
    <w:rsid w:val="46B207DF"/>
    <w:rsid w:val="46B53E1D"/>
    <w:rsid w:val="46B86825"/>
    <w:rsid w:val="46C601D6"/>
    <w:rsid w:val="46EA07B2"/>
    <w:rsid w:val="46F506BE"/>
    <w:rsid w:val="46F82CC1"/>
    <w:rsid w:val="46FA3FBB"/>
    <w:rsid w:val="4703337B"/>
    <w:rsid w:val="47150D60"/>
    <w:rsid w:val="471E65B1"/>
    <w:rsid w:val="471F1784"/>
    <w:rsid w:val="47242D51"/>
    <w:rsid w:val="473311E6"/>
    <w:rsid w:val="47347438"/>
    <w:rsid w:val="473D5456"/>
    <w:rsid w:val="474074AC"/>
    <w:rsid w:val="475A2341"/>
    <w:rsid w:val="4760647F"/>
    <w:rsid w:val="478D0F2A"/>
    <w:rsid w:val="479F2308"/>
    <w:rsid w:val="47A72EC9"/>
    <w:rsid w:val="47B71E17"/>
    <w:rsid w:val="47CA7D9C"/>
    <w:rsid w:val="47CC40D8"/>
    <w:rsid w:val="47CD2511"/>
    <w:rsid w:val="47CF53B3"/>
    <w:rsid w:val="47E15213"/>
    <w:rsid w:val="48082673"/>
    <w:rsid w:val="480E3260"/>
    <w:rsid w:val="48480CC1"/>
    <w:rsid w:val="48597B07"/>
    <w:rsid w:val="48691B36"/>
    <w:rsid w:val="48741AB6"/>
    <w:rsid w:val="487B1097"/>
    <w:rsid w:val="48877A3B"/>
    <w:rsid w:val="488B4C1A"/>
    <w:rsid w:val="488C0CE1"/>
    <w:rsid w:val="489C2DB7"/>
    <w:rsid w:val="489E1D09"/>
    <w:rsid w:val="48A028AB"/>
    <w:rsid w:val="48BD520B"/>
    <w:rsid w:val="48C1039E"/>
    <w:rsid w:val="48E23A51"/>
    <w:rsid w:val="48EB1D78"/>
    <w:rsid w:val="48F3085D"/>
    <w:rsid w:val="48FC3F85"/>
    <w:rsid w:val="490023BE"/>
    <w:rsid w:val="49024B59"/>
    <w:rsid w:val="491D3EFC"/>
    <w:rsid w:val="491F1A22"/>
    <w:rsid w:val="493666B5"/>
    <w:rsid w:val="494877A6"/>
    <w:rsid w:val="49560ABE"/>
    <w:rsid w:val="495C0DBE"/>
    <w:rsid w:val="49663358"/>
    <w:rsid w:val="49724393"/>
    <w:rsid w:val="497C0C22"/>
    <w:rsid w:val="497F6965"/>
    <w:rsid w:val="498A333C"/>
    <w:rsid w:val="49957F36"/>
    <w:rsid w:val="49975BE8"/>
    <w:rsid w:val="49C425C9"/>
    <w:rsid w:val="49D24CE6"/>
    <w:rsid w:val="49EF3581"/>
    <w:rsid w:val="49F66C27"/>
    <w:rsid w:val="49FA5FEB"/>
    <w:rsid w:val="4A1C69A8"/>
    <w:rsid w:val="4A282B58"/>
    <w:rsid w:val="4A2C2648"/>
    <w:rsid w:val="4A372D9B"/>
    <w:rsid w:val="4A38723F"/>
    <w:rsid w:val="4A451346"/>
    <w:rsid w:val="4A5676C5"/>
    <w:rsid w:val="4A5A4C2D"/>
    <w:rsid w:val="4A791606"/>
    <w:rsid w:val="4AA541A9"/>
    <w:rsid w:val="4AC24D5B"/>
    <w:rsid w:val="4AD3077D"/>
    <w:rsid w:val="4B1F5D09"/>
    <w:rsid w:val="4B21248D"/>
    <w:rsid w:val="4B2B3A38"/>
    <w:rsid w:val="4B313C8F"/>
    <w:rsid w:val="4B5952D1"/>
    <w:rsid w:val="4B5F75CB"/>
    <w:rsid w:val="4B6D633F"/>
    <w:rsid w:val="4B797CFE"/>
    <w:rsid w:val="4B96714B"/>
    <w:rsid w:val="4BA95F1B"/>
    <w:rsid w:val="4BB16CD5"/>
    <w:rsid w:val="4BB5666E"/>
    <w:rsid w:val="4BB723FD"/>
    <w:rsid w:val="4BEE2F77"/>
    <w:rsid w:val="4BF776DC"/>
    <w:rsid w:val="4BFD14B6"/>
    <w:rsid w:val="4C0F1BEA"/>
    <w:rsid w:val="4C223151"/>
    <w:rsid w:val="4C2C7B3F"/>
    <w:rsid w:val="4C3C28EB"/>
    <w:rsid w:val="4C585DC5"/>
    <w:rsid w:val="4C87625C"/>
    <w:rsid w:val="4CA43D84"/>
    <w:rsid w:val="4CA56323"/>
    <w:rsid w:val="4CF66F3E"/>
    <w:rsid w:val="4D0478AD"/>
    <w:rsid w:val="4D0A4797"/>
    <w:rsid w:val="4D187642"/>
    <w:rsid w:val="4D2553D4"/>
    <w:rsid w:val="4D2F41FE"/>
    <w:rsid w:val="4D56422A"/>
    <w:rsid w:val="4D5E4D14"/>
    <w:rsid w:val="4D6F3B43"/>
    <w:rsid w:val="4D712FDA"/>
    <w:rsid w:val="4D746E8E"/>
    <w:rsid w:val="4D800456"/>
    <w:rsid w:val="4D862070"/>
    <w:rsid w:val="4D92310A"/>
    <w:rsid w:val="4D9A6A17"/>
    <w:rsid w:val="4D9D385D"/>
    <w:rsid w:val="4DC4703C"/>
    <w:rsid w:val="4DCD7C9F"/>
    <w:rsid w:val="4DE17BEE"/>
    <w:rsid w:val="4DE90850"/>
    <w:rsid w:val="4E1A6C5C"/>
    <w:rsid w:val="4E1E6324"/>
    <w:rsid w:val="4E4F4B57"/>
    <w:rsid w:val="4E5C1A72"/>
    <w:rsid w:val="4E615284"/>
    <w:rsid w:val="4E7421FE"/>
    <w:rsid w:val="4E7E368F"/>
    <w:rsid w:val="4E957E81"/>
    <w:rsid w:val="4EA64556"/>
    <w:rsid w:val="4EAD29E4"/>
    <w:rsid w:val="4EC310A1"/>
    <w:rsid w:val="4ED1637D"/>
    <w:rsid w:val="4F043B94"/>
    <w:rsid w:val="4F1B205A"/>
    <w:rsid w:val="4F2A7373"/>
    <w:rsid w:val="4F2E5442"/>
    <w:rsid w:val="4F2F1144"/>
    <w:rsid w:val="4F30313F"/>
    <w:rsid w:val="4F3E7013"/>
    <w:rsid w:val="4F52580A"/>
    <w:rsid w:val="4F691C49"/>
    <w:rsid w:val="4F6A776F"/>
    <w:rsid w:val="4F702FD7"/>
    <w:rsid w:val="4F707F08"/>
    <w:rsid w:val="4F9273F2"/>
    <w:rsid w:val="4FBA0B14"/>
    <w:rsid w:val="4FCD7190"/>
    <w:rsid w:val="4FD277EE"/>
    <w:rsid w:val="4FDA7D75"/>
    <w:rsid w:val="4FE439C5"/>
    <w:rsid w:val="4FF57980"/>
    <w:rsid w:val="4FFB2C64"/>
    <w:rsid w:val="501E6ED7"/>
    <w:rsid w:val="5035087B"/>
    <w:rsid w:val="507C775A"/>
    <w:rsid w:val="50816CB4"/>
    <w:rsid w:val="508D5E0B"/>
    <w:rsid w:val="508F1B83"/>
    <w:rsid w:val="50954B90"/>
    <w:rsid w:val="50B25281"/>
    <w:rsid w:val="50B33BB9"/>
    <w:rsid w:val="50D74B77"/>
    <w:rsid w:val="50E579F5"/>
    <w:rsid w:val="50E87836"/>
    <w:rsid w:val="50EA500B"/>
    <w:rsid w:val="50F83282"/>
    <w:rsid w:val="50FB4B23"/>
    <w:rsid w:val="5101011C"/>
    <w:rsid w:val="51173459"/>
    <w:rsid w:val="51265C7E"/>
    <w:rsid w:val="512B2ED3"/>
    <w:rsid w:val="514814EC"/>
    <w:rsid w:val="5153670D"/>
    <w:rsid w:val="5157474A"/>
    <w:rsid w:val="515F1555"/>
    <w:rsid w:val="51A83B47"/>
    <w:rsid w:val="51AC22C1"/>
    <w:rsid w:val="51B17E6B"/>
    <w:rsid w:val="51CB2747"/>
    <w:rsid w:val="51CD131C"/>
    <w:rsid w:val="51D6014D"/>
    <w:rsid w:val="51DB032E"/>
    <w:rsid w:val="51EB4B97"/>
    <w:rsid w:val="51EE6435"/>
    <w:rsid w:val="51EF091F"/>
    <w:rsid w:val="5201260D"/>
    <w:rsid w:val="52072F1E"/>
    <w:rsid w:val="5217644D"/>
    <w:rsid w:val="522D1654"/>
    <w:rsid w:val="52302970"/>
    <w:rsid w:val="523C1C8B"/>
    <w:rsid w:val="523C5EA4"/>
    <w:rsid w:val="523F4EE3"/>
    <w:rsid w:val="524620FA"/>
    <w:rsid w:val="5274360D"/>
    <w:rsid w:val="52756B57"/>
    <w:rsid w:val="52972F71"/>
    <w:rsid w:val="52BF7DD2"/>
    <w:rsid w:val="52DA5E34"/>
    <w:rsid w:val="530879CB"/>
    <w:rsid w:val="530A3743"/>
    <w:rsid w:val="53395DD6"/>
    <w:rsid w:val="5347038D"/>
    <w:rsid w:val="534A6CD4"/>
    <w:rsid w:val="534E7AD3"/>
    <w:rsid w:val="538B4884"/>
    <w:rsid w:val="53A63921"/>
    <w:rsid w:val="53AC47FA"/>
    <w:rsid w:val="53C625EC"/>
    <w:rsid w:val="53CC5791"/>
    <w:rsid w:val="53D95D45"/>
    <w:rsid w:val="53DA1367"/>
    <w:rsid w:val="53EB53BD"/>
    <w:rsid w:val="53F8359B"/>
    <w:rsid w:val="54342BFC"/>
    <w:rsid w:val="54505185"/>
    <w:rsid w:val="545671EC"/>
    <w:rsid w:val="54611097"/>
    <w:rsid w:val="547A6DAD"/>
    <w:rsid w:val="5487370E"/>
    <w:rsid w:val="54C4758E"/>
    <w:rsid w:val="54CD0728"/>
    <w:rsid w:val="54CD4A28"/>
    <w:rsid w:val="54D15F1A"/>
    <w:rsid w:val="54D264E2"/>
    <w:rsid w:val="54D65699"/>
    <w:rsid w:val="54E01D6C"/>
    <w:rsid w:val="54E47B17"/>
    <w:rsid w:val="54E9481D"/>
    <w:rsid w:val="54EE2F1E"/>
    <w:rsid w:val="54F226E1"/>
    <w:rsid w:val="54FC530D"/>
    <w:rsid w:val="55094443"/>
    <w:rsid w:val="554127C0"/>
    <w:rsid w:val="55560EC1"/>
    <w:rsid w:val="5579695E"/>
    <w:rsid w:val="557D19A9"/>
    <w:rsid w:val="55AB2097"/>
    <w:rsid w:val="55B87486"/>
    <w:rsid w:val="55C470D8"/>
    <w:rsid w:val="55CE6CAA"/>
    <w:rsid w:val="55DF5DA8"/>
    <w:rsid w:val="55EF136D"/>
    <w:rsid w:val="55F55C55"/>
    <w:rsid w:val="56001C9A"/>
    <w:rsid w:val="560069AF"/>
    <w:rsid w:val="56156687"/>
    <w:rsid w:val="56177EC9"/>
    <w:rsid w:val="5635492A"/>
    <w:rsid w:val="5684052B"/>
    <w:rsid w:val="56921A85"/>
    <w:rsid w:val="569752EE"/>
    <w:rsid w:val="569976E5"/>
    <w:rsid w:val="56E16569"/>
    <w:rsid w:val="56EB521A"/>
    <w:rsid w:val="56F25D16"/>
    <w:rsid w:val="56F72230"/>
    <w:rsid w:val="56F770C8"/>
    <w:rsid w:val="56F95FA8"/>
    <w:rsid w:val="570F0DAD"/>
    <w:rsid w:val="57136DC9"/>
    <w:rsid w:val="571C1C97"/>
    <w:rsid w:val="571E3EBF"/>
    <w:rsid w:val="57342B3C"/>
    <w:rsid w:val="57394670"/>
    <w:rsid w:val="57413F62"/>
    <w:rsid w:val="57443D1C"/>
    <w:rsid w:val="576801C1"/>
    <w:rsid w:val="5769056B"/>
    <w:rsid w:val="57715B3F"/>
    <w:rsid w:val="577949F3"/>
    <w:rsid w:val="579730CB"/>
    <w:rsid w:val="579B705F"/>
    <w:rsid w:val="57CD43E4"/>
    <w:rsid w:val="57F246BE"/>
    <w:rsid w:val="57F648EB"/>
    <w:rsid w:val="5809221B"/>
    <w:rsid w:val="5814296E"/>
    <w:rsid w:val="582B03E3"/>
    <w:rsid w:val="585F0D52"/>
    <w:rsid w:val="586525C2"/>
    <w:rsid w:val="586557AC"/>
    <w:rsid w:val="5867455C"/>
    <w:rsid w:val="586C27AA"/>
    <w:rsid w:val="587A5C94"/>
    <w:rsid w:val="58823D7B"/>
    <w:rsid w:val="588B42F5"/>
    <w:rsid w:val="588D4BFA"/>
    <w:rsid w:val="58A81A34"/>
    <w:rsid w:val="58C139D3"/>
    <w:rsid w:val="58C93758"/>
    <w:rsid w:val="58DE3013"/>
    <w:rsid w:val="58DE5456"/>
    <w:rsid w:val="59133EE4"/>
    <w:rsid w:val="59306FCE"/>
    <w:rsid w:val="5939268C"/>
    <w:rsid w:val="59617E35"/>
    <w:rsid w:val="596516D3"/>
    <w:rsid w:val="596E25BB"/>
    <w:rsid w:val="59722042"/>
    <w:rsid w:val="59777658"/>
    <w:rsid w:val="59796F2C"/>
    <w:rsid w:val="597C7E8C"/>
    <w:rsid w:val="598839CF"/>
    <w:rsid w:val="59901BF4"/>
    <w:rsid w:val="59970B04"/>
    <w:rsid w:val="599E0ACF"/>
    <w:rsid w:val="59AD3D34"/>
    <w:rsid w:val="59B03888"/>
    <w:rsid w:val="59B17620"/>
    <w:rsid w:val="59C503C4"/>
    <w:rsid w:val="59F91818"/>
    <w:rsid w:val="5A1504F5"/>
    <w:rsid w:val="5A172243"/>
    <w:rsid w:val="5A196ED2"/>
    <w:rsid w:val="5A3317D1"/>
    <w:rsid w:val="5A395B76"/>
    <w:rsid w:val="5A432F55"/>
    <w:rsid w:val="5A5878B5"/>
    <w:rsid w:val="5A604A46"/>
    <w:rsid w:val="5A9658BC"/>
    <w:rsid w:val="5A972841"/>
    <w:rsid w:val="5AA2093F"/>
    <w:rsid w:val="5AA817FD"/>
    <w:rsid w:val="5AA95EA4"/>
    <w:rsid w:val="5AD63E09"/>
    <w:rsid w:val="5AFD6421"/>
    <w:rsid w:val="5B123195"/>
    <w:rsid w:val="5B223606"/>
    <w:rsid w:val="5B266C40"/>
    <w:rsid w:val="5B4332B6"/>
    <w:rsid w:val="5B4B66A7"/>
    <w:rsid w:val="5B5E0F00"/>
    <w:rsid w:val="5B9C5154"/>
    <w:rsid w:val="5B9E7C72"/>
    <w:rsid w:val="5BA87F9D"/>
    <w:rsid w:val="5BAF4E87"/>
    <w:rsid w:val="5BDE39BF"/>
    <w:rsid w:val="5BE65C1B"/>
    <w:rsid w:val="5BFD68E7"/>
    <w:rsid w:val="5C022007"/>
    <w:rsid w:val="5C1271C4"/>
    <w:rsid w:val="5C5A3EA2"/>
    <w:rsid w:val="5C675762"/>
    <w:rsid w:val="5C682BEC"/>
    <w:rsid w:val="5C773E55"/>
    <w:rsid w:val="5C9A1694"/>
    <w:rsid w:val="5C9D1184"/>
    <w:rsid w:val="5CA41938"/>
    <w:rsid w:val="5CA7123C"/>
    <w:rsid w:val="5CAE15E3"/>
    <w:rsid w:val="5CC42BB4"/>
    <w:rsid w:val="5CC826A5"/>
    <w:rsid w:val="5CDC7EFE"/>
    <w:rsid w:val="5CED3EB9"/>
    <w:rsid w:val="5CF77950"/>
    <w:rsid w:val="5D101956"/>
    <w:rsid w:val="5D441D14"/>
    <w:rsid w:val="5D972077"/>
    <w:rsid w:val="5DAE426C"/>
    <w:rsid w:val="5DAF467E"/>
    <w:rsid w:val="5DBD7190"/>
    <w:rsid w:val="5DCD04E0"/>
    <w:rsid w:val="5DD03A54"/>
    <w:rsid w:val="5DD15BF4"/>
    <w:rsid w:val="5DD25BBB"/>
    <w:rsid w:val="5E192411"/>
    <w:rsid w:val="5E1D1CEB"/>
    <w:rsid w:val="5E23390B"/>
    <w:rsid w:val="5E311C0C"/>
    <w:rsid w:val="5E6A5C9B"/>
    <w:rsid w:val="5E860D80"/>
    <w:rsid w:val="5E895C8E"/>
    <w:rsid w:val="5E9020F1"/>
    <w:rsid w:val="5EA31256"/>
    <w:rsid w:val="5ED510A9"/>
    <w:rsid w:val="5EE26A7E"/>
    <w:rsid w:val="5EEC01A1"/>
    <w:rsid w:val="5EF07DFC"/>
    <w:rsid w:val="5F20216B"/>
    <w:rsid w:val="5F36439B"/>
    <w:rsid w:val="5F573883"/>
    <w:rsid w:val="5F755A2A"/>
    <w:rsid w:val="5F814D8D"/>
    <w:rsid w:val="5F8959EF"/>
    <w:rsid w:val="5F8B1768"/>
    <w:rsid w:val="5F920D48"/>
    <w:rsid w:val="5FA36AB1"/>
    <w:rsid w:val="5FA40A7B"/>
    <w:rsid w:val="5FB07420"/>
    <w:rsid w:val="5FC04410"/>
    <w:rsid w:val="5FC652C4"/>
    <w:rsid w:val="5FC845C3"/>
    <w:rsid w:val="5FCB6F0A"/>
    <w:rsid w:val="5FDB26EF"/>
    <w:rsid w:val="5FE62E42"/>
    <w:rsid w:val="601C6864"/>
    <w:rsid w:val="601F4747"/>
    <w:rsid w:val="602F6597"/>
    <w:rsid w:val="6052321D"/>
    <w:rsid w:val="60696BC9"/>
    <w:rsid w:val="607B7A2E"/>
    <w:rsid w:val="607F790E"/>
    <w:rsid w:val="608508AD"/>
    <w:rsid w:val="608C1C3B"/>
    <w:rsid w:val="60A42170"/>
    <w:rsid w:val="60B71BF9"/>
    <w:rsid w:val="60C5514D"/>
    <w:rsid w:val="60E5134B"/>
    <w:rsid w:val="60F860B5"/>
    <w:rsid w:val="60FD45FF"/>
    <w:rsid w:val="61021EFD"/>
    <w:rsid w:val="611A0FF5"/>
    <w:rsid w:val="612B3202"/>
    <w:rsid w:val="613B0F6B"/>
    <w:rsid w:val="616008F1"/>
    <w:rsid w:val="61847169"/>
    <w:rsid w:val="618625DD"/>
    <w:rsid w:val="61903065"/>
    <w:rsid w:val="61932B55"/>
    <w:rsid w:val="61B7149D"/>
    <w:rsid w:val="61CE16E2"/>
    <w:rsid w:val="620852F1"/>
    <w:rsid w:val="621048C9"/>
    <w:rsid w:val="6210694A"/>
    <w:rsid w:val="621231A6"/>
    <w:rsid w:val="621641CF"/>
    <w:rsid w:val="62210161"/>
    <w:rsid w:val="62861F1F"/>
    <w:rsid w:val="629139EC"/>
    <w:rsid w:val="62917095"/>
    <w:rsid w:val="6292559B"/>
    <w:rsid w:val="629450F2"/>
    <w:rsid w:val="62A16A87"/>
    <w:rsid w:val="62A52FE9"/>
    <w:rsid w:val="62CF7FE7"/>
    <w:rsid w:val="62D94CCA"/>
    <w:rsid w:val="62F434DB"/>
    <w:rsid w:val="631D2A8C"/>
    <w:rsid w:val="63462575"/>
    <w:rsid w:val="63493E13"/>
    <w:rsid w:val="635A1B7D"/>
    <w:rsid w:val="63666773"/>
    <w:rsid w:val="63735C0C"/>
    <w:rsid w:val="638B7F88"/>
    <w:rsid w:val="63936E3D"/>
    <w:rsid w:val="63A64DC2"/>
    <w:rsid w:val="63A90E76"/>
    <w:rsid w:val="63B55005"/>
    <w:rsid w:val="63CB5CCC"/>
    <w:rsid w:val="63E77BF1"/>
    <w:rsid w:val="63EB4ECB"/>
    <w:rsid w:val="63F975E8"/>
    <w:rsid w:val="63FA3360"/>
    <w:rsid w:val="640A2615"/>
    <w:rsid w:val="640B731B"/>
    <w:rsid w:val="641073AB"/>
    <w:rsid w:val="641745A0"/>
    <w:rsid w:val="643C1C36"/>
    <w:rsid w:val="645C36D2"/>
    <w:rsid w:val="64754794"/>
    <w:rsid w:val="64824B18"/>
    <w:rsid w:val="64881976"/>
    <w:rsid w:val="64942E6C"/>
    <w:rsid w:val="64AE3CB5"/>
    <w:rsid w:val="64B90B25"/>
    <w:rsid w:val="64C244AC"/>
    <w:rsid w:val="64CD637E"/>
    <w:rsid w:val="64DC03FF"/>
    <w:rsid w:val="64F125C5"/>
    <w:rsid w:val="64F425BA"/>
    <w:rsid w:val="650D6603"/>
    <w:rsid w:val="650F6F6B"/>
    <w:rsid w:val="65202952"/>
    <w:rsid w:val="65210C32"/>
    <w:rsid w:val="652225D5"/>
    <w:rsid w:val="652F2B95"/>
    <w:rsid w:val="65311E05"/>
    <w:rsid w:val="65451957"/>
    <w:rsid w:val="654A79CF"/>
    <w:rsid w:val="659770B8"/>
    <w:rsid w:val="65B46366"/>
    <w:rsid w:val="65BD63F3"/>
    <w:rsid w:val="65CC4888"/>
    <w:rsid w:val="65D025CA"/>
    <w:rsid w:val="65ED6D44"/>
    <w:rsid w:val="65F570CF"/>
    <w:rsid w:val="66320B8F"/>
    <w:rsid w:val="663E7534"/>
    <w:rsid w:val="66661757"/>
    <w:rsid w:val="66763171"/>
    <w:rsid w:val="667C005C"/>
    <w:rsid w:val="66976C44"/>
    <w:rsid w:val="669B7B39"/>
    <w:rsid w:val="66AC7A81"/>
    <w:rsid w:val="66AE4D0B"/>
    <w:rsid w:val="66B5494D"/>
    <w:rsid w:val="66B84695"/>
    <w:rsid w:val="66CD637B"/>
    <w:rsid w:val="66D103A8"/>
    <w:rsid w:val="66DE0D17"/>
    <w:rsid w:val="66EA5461"/>
    <w:rsid w:val="66EF6A80"/>
    <w:rsid w:val="66F96425"/>
    <w:rsid w:val="66F978FF"/>
    <w:rsid w:val="66FB71D3"/>
    <w:rsid w:val="670C5884"/>
    <w:rsid w:val="670D5158"/>
    <w:rsid w:val="67461D48"/>
    <w:rsid w:val="67472418"/>
    <w:rsid w:val="67486190"/>
    <w:rsid w:val="674A6CAF"/>
    <w:rsid w:val="676034DA"/>
    <w:rsid w:val="67694A84"/>
    <w:rsid w:val="67784F2E"/>
    <w:rsid w:val="678A67A9"/>
    <w:rsid w:val="678F1925"/>
    <w:rsid w:val="67942577"/>
    <w:rsid w:val="67A83750"/>
    <w:rsid w:val="67A92539"/>
    <w:rsid w:val="67CA4EF1"/>
    <w:rsid w:val="67CD115B"/>
    <w:rsid w:val="67D61178"/>
    <w:rsid w:val="67E20393"/>
    <w:rsid w:val="67F76A7E"/>
    <w:rsid w:val="67F86871"/>
    <w:rsid w:val="67FC2F18"/>
    <w:rsid w:val="684352D5"/>
    <w:rsid w:val="684D1CB0"/>
    <w:rsid w:val="6864524C"/>
    <w:rsid w:val="686F7E78"/>
    <w:rsid w:val="687E455F"/>
    <w:rsid w:val="687E630D"/>
    <w:rsid w:val="688B0A2A"/>
    <w:rsid w:val="68A5389A"/>
    <w:rsid w:val="68AF3CA2"/>
    <w:rsid w:val="68BB130F"/>
    <w:rsid w:val="68CB0E27"/>
    <w:rsid w:val="68CC560D"/>
    <w:rsid w:val="68E56CE6"/>
    <w:rsid w:val="68E97265"/>
    <w:rsid w:val="68EF0FB9"/>
    <w:rsid w:val="691E189E"/>
    <w:rsid w:val="69236596"/>
    <w:rsid w:val="692635EB"/>
    <w:rsid w:val="69342E70"/>
    <w:rsid w:val="693B41FE"/>
    <w:rsid w:val="69423164"/>
    <w:rsid w:val="6951757E"/>
    <w:rsid w:val="69561384"/>
    <w:rsid w:val="695D5F23"/>
    <w:rsid w:val="69775165"/>
    <w:rsid w:val="69807E63"/>
    <w:rsid w:val="699D210B"/>
    <w:rsid w:val="69B230A2"/>
    <w:rsid w:val="69E2224C"/>
    <w:rsid w:val="69F819AA"/>
    <w:rsid w:val="6A136F29"/>
    <w:rsid w:val="6A187723"/>
    <w:rsid w:val="6A1D1B56"/>
    <w:rsid w:val="6A1D2B18"/>
    <w:rsid w:val="6A240B29"/>
    <w:rsid w:val="6A306F19"/>
    <w:rsid w:val="6A595414"/>
    <w:rsid w:val="6A5A4A67"/>
    <w:rsid w:val="6A6E7FF3"/>
    <w:rsid w:val="6A700C09"/>
    <w:rsid w:val="6A756A74"/>
    <w:rsid w:val="6A7662E0"/>
    <w:rsid w:val="6A8E3BBF"/>
    <w:rsid w:val="6AA67D9D"/>
    <w:rsid w:val="6AAD6A36"/>
    <w:rsid w:val="6AC57AA5"/>
    <w:rsid w:val="6AE91C23"/>
    <w:rsid w:val="6B1D5B77"/>
    <w:rsid w:val="6B3B6738"/>
    <w:rsid w:val="6B3D24B0"/>
    <w:rsid w:val="6B3F08AA"/>
    <w:rsid w:val="6B5E1177"/>
    <w:rsid w:val="6B685053"/>
    <w:rsid w:val="6B7F4739"/>
    <w:rsid w:val="6B8A4FC9"/>
    <w:rsid w:val="6B9A5FD4"/>
    <w:rsid w:val="6BA75B7B"/>
    <w:rsid w:val="6BC67FC5"/>
    <w:rsid w:val="6C033F85"/>
    <w:rsid w:val="6C042FCD"/>
    <w:rsid w:val="6C167EC9"/>
    <w:rsid w:val="6C20148A"/>
    <w:rsid w:val="6C44786E"/>
    <w:rsid w:val="6C9431CC"/>
    <w:rsid w:val="6CA976D1"/>
    <w:rsid w:val="6CAB1AEE"/>
    <w:rsid w:val="6CAE2F39"/>
    <w:rsid w:val="6CAF10DA"/>
    <w:rsid w:val="6CB513FE"/>
    <w:rsid w:val="6CBB03BB"/>
    <w:rsid w:val="6CDA06B8"/>
    <w:rsid w:val="6CE90CE7"/>
    <w:rsid w:val="6D0715F8"/>
    <w:rsid w:val="6D221DD5"/>
    <w:rsid w:val="6D426B56"/>
    <w:rsid w:val="6D505108"/>
    <w:rsid w:val="6D7E290C"/>
    <w:rsid w:val="6D920165"/>
    <w:rsid w:val="6DBB5AC1"/>
    <w:rsid w:val="6DCF4F15"/>
    <w:rsid w:val="6E0468F3"/>
    <w:rsid w:val="6E0F7A08"/>
    <w:rsid w:val="6E38263C"/>
    <w:rsid w:val="6E526272"/>
    <w:rsid w:val="6E573B2B"/>
    <w:rsid w:val="6E7D0394"/>
    <w:rsid w:val="6E94481B"/>
    <w:rsid w:val="6EA2373C"/>
    <w:rsid w:val="6ED0776A"/>
    <w:rsid w:val="6EDF387E"/>
    <w:rsid w:val="6F0357BE"/>
    <w:rsid w:val="6F0B01CF"/>
    <w:rsid w:val="6F241291"/>
    <w:rsid w:val="6F6F075E"/>
    <w:rsid w:val="6F7658CB"/>
    <w:rsid w:val="6F976FBE"/>
    <w:rsid w:val="6FA0008C"/>
    <w:rsid w:val="6FA359EB"/>
    <w:rsid w:val="6FB42615"/>
    <w:rsid w:val="6FC35064"/>
    <w:rsid w:val="6FC36CFC"/>
    <w:rsid w:val="6FCA63E4"/>
    <w:rsid w:val="6FD26F3F"/>
    <w:rsid w:val="6FDF03DB"/>
    <w:rsid w:val="6FF218DD"/>
    <w:rsid w:val="6FF42BE0"/>
    <w:rsid w:val="6FFC41AF"/>
    <w:rsid w:val="704C4F43"/>
    <w:rsid w:val="705362D1"/>
    <w:rsid w:val="706C2EEF"/>
    <w:rsid w:val="70707EDF"/>
    <w:rsid w:val="70761F1B"/>
    <w:rsid w:val="70792DB0"/>
    <w:rsid w:val="708C1ED2"/>
    <w:rsid w:val="70CB230C"/>
    <w:rsid w:val="70E32593"/>
    <w:rsid w:val="70E801A2"/>
    <w:rsid w:val="7104581E"/>
    <w:rsid w:val="71132E62"/>
    <w:rsid w:val="711D41EA"/>
    <w:rsid w:val="71222297"/>
    <w:rsid w:val="712D7C1F"/>
    <w:rsid w:val="714348B5"/>
    <w:rsid w:val="71554590"/>
    <w:rsid w:val="715874AB"/>
    <w:rsid w:val="715D01AD"/>
    <w:rsid w:val="719941B8"/>
    <w:rsid w:val="719E357C"/>
    <w:rsid w:val="71A87F57"/>
    <w:rsid w:val="71BD1788"/>
    <w:rsid w:val="71C50B09"/>
    <w:rsid w:val="71DC66AD"/>
    <w:rsid w:val="71F31C95"/>
    <w:rsid w:val="722515A8"/>
    <w:rsid w:val="722A3ED7"/>
    <w:rsid w:val="723979C9"/>
    <w:rsid w:val="723B0DCB"/>
    <w:rsid w:val="724118AE"/>
    <w:rsid w:val="727265AC"/>
    <w:rsid w:val="727B1B10"/>
    <w:rsid w:val="727D13E4"/>
    <w:rsid w:val="728A58AF"/>
    <w:rsid w:val="72A526E9"/>
    <w:rsid w:val="72D71070"/>
    <w:rsid w:val="72EC1039"/>
    <w:rsid w:val="72F13B80"/>
    <w:rsid w:val="72F84F0E"/>
    <w:rsid w:val="72FF4E06"/>
    <w:rsid w:val="73004C2C"/>
    <w:rsid w:val="7304330F"/>
    <w:rsid w:val="732E5FCC"/>
    <w:rsid w:val="73337CF4"/>
    <w:rsid w:val="733817AF"/>
    <w:rsid w:val="73412411"/>
    <w:rsid w:val="734463A5"/>
    <w:rsid w:val="73520AC2"/>
    <w:rsid w:val="7358775B"/>
    <w:rsid w:val="73784AC8"/>
    <w:rsid w:val="73840550"/>
    <w:rsid w:val="739509AF"/>
    <w:rsid w:val="73BA729E"/>
    <w:rsid w:val="73C052CC"/>
    <w:rsid w:val="73D46BDF"/>
    <w:rsid w:val="73DC3547"/>
    <w:rsid w:val="73ED2599"/>
    <w:rsid w:val="740D6797"/>
    <w:rsid w:val="74113F05"/>
    <w:rsid w:val="74163F16"/>
    <w:rsid w:val="741C69DA"/>
    <w:rsid w:val="742424F5"/>
    <w:rsid w:val="744103B3"/>
    <w:rsid w:val="7450221E"/>
    <w:rsid w:val="74566390"/>
    <w:rsid w:val="749F595E"/>
    <w:rsid w:val="74AA2238"/>
    <w:rsid w:val="74DF0134"/>
    <w:rsid w:val="74F87650"/>
    <w:rsid w:val="75114065"/>
    <w:rsid w:val="75183646"/>
    <w:rsid w:val="751A5610"/>
    <w:rsid w:val="751A7DE7"/>
    <w:rsid w:val="7539539D"/>
    <w:rsid w:val="75695C4F"/>
    <w:rsid w:val="759248B8"/>
    <w:rsid w:val="759C7DD3"/>
    <w:rsid w:val="759D28B3"/>
    <w:rsid w:val="75A153E9"/>
    <w:rsid w:val="75CB6E7D"/>
    <w:rsid w:val="75EA3234"/>
    <w:rsid w:val="75ED3231"/>
    <w:rsid w:val="75FC2C73"/>
    <w:rsid w:val="76047756"/>
    <w:rsid w:val="76155660"/>
    <w:rsid w:val="761B33ED"/>
    <w:rsid w:val="761E5D99"/>
    <w:rsid w:val="761F03BE"/>
    <w:rsid w:val="762B1157"/>
    <w:rsid w:val="764A5A81"/>
    <w:rsid w:val="765207D6"/>
    <w:rsid w:val="766111DA"/>
    <w:rsid w:val="76612DCA"/>
    <w:rsid w:val="766528BB"/>
    <w:rsid w:val="767B20DE"/>
    <w:rsid w:val="767B7C93"/>
    <w:rsid w:val="7694586D"/>
    <w:rsid w:val="76B4739E"/>
    <w:rsid w:val="76C75323"/>
    <w:rsid w:val="76D11CFE"/>
    <w:rsid w:val="76D1655C"/>
    <w:rsid w:val="76D25D41"/>
    <w:rsid w:val="76E666DE"/>
    <w:rsid w:val="76E72AA0"/>
    <w:rsid w:val="76ED63C6"/>
    <w:rsid w:val="76F82041"/>
    <w:rsid w:val="7701090C"/>
    <w:rsid w:val="77151797"/>
    <w:rsid w:val="771A711A"/>
    <w:rsid w:val="771D4F43"/>
    <w:rsid w:val="772A600E"/>
    <w:rsid w:val="77336515"/>
    <w:rsid w:val="77362975"/>
    <w:rsid w:val="773927F3"/>
    <w:rsid w:val="773C5143"/>
    <w:rsid w:val="77444BC6"/>
    <w:rsid w:val="77577349"/>
    <w:rsid w:val="775A6197"/>
    <w:rsid w:val="777C4360"/>
    <w:rsid w:val="77955421"/>
    <w:rsid w:val="77A411C1"/>
    <w:rsid w:val="77B238DE"/>
    <w:rsid w:val="77F71C38"/>
    <w:rsid w:val="780D57F6"/>
    <w:rsid w:val="78106856"/>
    <w:rsid w:val="781E4FE7"/>
    <w:rsid w:val="783C5D84"/>
    <w:rsid w:val="78502265"/>
    <w:rsid w:val="7884096A"/>
    <w:rsid w:val="78850FF2"/>
    <w:rsid w:val="789524E8"/>
    <w:rsid w:val="78A53442"/>
    <w:rsid w:val="78B611AB"/>
    <w:rsid w:val="78CA10FB"/>
    <w:rsid w:val="78E03E67"/>
    <w:rsid w:val="78E8332F"/>
    <w:rsid w:val="78F06D68"/>
    <w:rsid w:val="78F55DA6"/>
    <w:rsid w:val="790E548B"/>
    <w:rsid w:val="79206F6D"/>
    <w:rsid w:val="79236E7C"/>
    <w:rsid w:val="792720A9"/>
    <w:rsid w:val="792A1B99"/>
    <w:rsid w:val="794013BD"/>
    <w:rsid w:val="7945446C"/>
    <w:rsid w:val="79494E01"/>
    <w:rsid w:val="796B1B89"/>
    <w:rsid w:val="797B008A"/>
    <w:rsid w:val="797F39F5"/>
    <w:rsid w:val="798516DF"/>
    <w:rsid w:val="798C015E"/>
    <w:rsid w:val="79921C19"/>
    <w:rsid w:val="79A9482A"/>
    <w:rsid w:val="79AB772A"/>
    <w:rsid w:val="79BA5396"/>
    <w:rsid w:val="79C618C2"/>
    <w:rsid w:val="79D37D72"/>
    <w:rsid w:val="79D73ACF"/>
    <w:rsid w:val="79E46056"/>
    <w:rsid w:val="7A097A01"/>
    <w:rsid w:val="7A0C534E"/>
    <w:rsid w:val="7A222CE3"/>
    <w:rsid w:val="7A4961A5"/>
    <w:rsid w:val="7A4C4796"/>
    <w:rsid w:val="7A735C4D"/>
    <w:rsid w:val="7A8B1E85"/>
    <w:rsid w:val="7A8C2B0C"/>
    <w:rsid w:val="7A8E7C8A"/>
    <w:rsid w:val="7A9F01F0"/>
    <w:rsid w:val="7AE9326F"/>
    <w:rsid w:val="7AEE5B78"/>
    <w:rsid w:val="7AFD610D"/>
    <w:rsid w:val="7B0152A5"/>
    <w:rsid w:val="7B112B38"/>
    <w:rsid w:val="7B2A5E81"/>
    <w:rsid w:val="7B2C7E4B"/>
    <w:rsid w:val="7B2F16E9"/>
    <w:rsid w:val="7B5B274E"/>
    <w:rsid w:val="7B7567C0"/>
    <w:rsid w:val="7B7B66DC"/>
    <w:rsid w:val="7B7D2454"/>
    <w:rsid w:val="7B7E25C3"/>
    <w:rsid w:val="7B9072BC"/>
    <w:rsid w:val="7B944A08"/>
    <w:rsid w:val="7B9B28DB"/>
    <w:rsid w:val="7B9F57C7"/>
    <w:rsid w:val="7C0634F8"/>
    <w:rsid w:val="7C0C24B6"/>
    <w:rsid w:val="7C266648"/>
    <w:rsid w:val="7C2823C0"/>
    <w:rsid w:val="7C563402"/>
    <w:rsid w:val="7C5E2286"/>
    <w:rsid w:val="7C686C61"/>
    <w:rsid w:val="7C765D1B"/>
    <w:rsid w:val="7C7B659E"/>
    <w:rsid w:val="7C7E0232"/>
    <w:rsid w:val="7C8C231D"/>
    <w:rsid w:val="7C9712F4"/>
    <w:rsid w:val="7C9B0FDB"/>
    <w:rsid w:val="7CBA4D6C"/>
    <w:rsid w:val="7CC85951"/>
    <w:rsid w:val="7CCC5441"/>
    <w:rsid w:val="7CD23C7F"/>
    <w:rsid w:val="7CD24BAE"/>
    <w:rsid w:val="7CE56503"/>
    <w:rsid w:val="7D033147"/>
    <w:rsid w:val="7D1066E2"/>
    <w:rsid w:val="7D1B3CD3"/>
    <w:rsid w:val="7D227CB6"/>
    <w:rsid w:val="7D300C5A"/>
    <w:rsid w:val="7D3134F6"/>
    <w:rsid w:val="7D3139AC"/>
    <w:rsid w:val="7D4C0330"/>
    <w:rsid w:val="7D811B7B"/>
    <w:rsid w:val="7D836171"/>
    <w:rsid w:val="7DA76118"/>
    <w:rsid w:val="7DA97531"/>
    <w:rsid w:val="7DB619DD"/>
    <w:rsid w:val="7DB84FA7"/>
    <w:rsid w:val="7DBA0B43"/>
    <w:rsid w:val="7E002EC9"/>
    <w:rsid w:val="7E1773F8"/>
    <w:rsid w:val="7E1C7D03"/>
    <w:rsid w:val="7E3E4800"/>
    <w:rsid w:val="7E696CC0"/>
    <w:rsid w:val="7E7B41B8"/>
    <w:rsid w:val="7E7F0292"/>
    <w:rsid w:val="7E835AFC"/>
    <w:rsid w:val="7E851714"/>
    <w:rsid w:val="7E851E20"/>
    <w:rsid w:val="7E88060D"/>
    <w:rsid w:val="7E966D9F"/>
    <w:rsid w:val="7E987B34"/>
    <w:rsid w:val="7EA45F4A"/>
    <w:rsid w:val="7EE02B0F"/>
    <w:rsid w:val="7EE94CE8"/>
    <w:rsid w:val="7EF16259"/>
    <w:rsid w:val="7EF163A6"/>
    <w:rsid w:val="7EFB200E"/>
    <w:rsid w:val="7F0D7FB9"/>
    <w:rsid w:val="7F115666"/>
    <w:rsid w:val="7F2B0D53"/>
    <w:rsid w:val="7F4E65E2"/>
    <w:rsid w:val="7F6A7194"/>
    <w:rsid w:val="7F7F5D50"/>
    <w:rsid w:val="7F9164CE"/>
    <w:rsid w:val="7F9A5B2F"/>
    <w:rsid w:val="7FA0125F"/>
    <w:rsid w:val="7FA043A1"/>
    <w:rsid w:val="7FC36972"/>
    <w:rsid w:val="7FC70142"/>
    <w:rsid w:val="7FD12D6F"/>
    <w:rsid w:val="7FD44B5D"/>
    <w:rsid w:val="7FD960BA"/>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4"/>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qFormat/>
    <w:uiPriority w:val="1624"/>
    <w:pPr>
      <w:spacing w:line="360" w:lineRule="auto"/>
      <w:ind w:right="72"/>
    </w:pPr>
    <w:rPr>
      <w:sz w:val="24"/>
      <w:szCs w:val="24"/>
    </w:rPr>
  </w:style>
  <w:style w:type="paragraph" w:styleId="5">
    <w:name w:val="annotation text"/>
    <w:basedOn w:val="1"/>
    <w:link w:val="24"/>
    <w:autoRedefine/>
    <w:qFormat/>
    <w:uiPriority w:val="0"/>
    <w:pPr>
      <w:jc w:val="left"/>
    </w:pPr>
  </w:style>
  <w:style w:type="paragraph" w:styleId="6">
    <w:name w:val="Body Text Indent"/>
    <w:basedOn w:val="1"/>
    <w:autoRedefine/>
    <w:qFormat/>
    <w:uiPriority w:val="0"/>
    <w:pPr>
      <w:tabs>
        <w:tab w:val="left" w:pos="840"/>
      </w:tabs>
      <w:snapToGrid w:val="0"/>
      <w:spacing w:line="300" w:lineRule="exact"/>
      <w:ind w:left="630" w:leftChars="300"/>
    </w:pPr>
  </w:style>
  <w:style w:type="paragraph" w:styleId="7">
    <w:name w:val="Plain Text"/>
    <w:basedOn w:val="1"/>
    <w:autoRedefine/>
    <w:qFormat/>
    <w:uiPriority w:val="0"/>
    <w:pPr>
      <w:spacing w:line="240" w:lineRule="auto"/>
      <w:ind w:firstLine="0" w:firstLineChars="0"/>
    </w:pPr>
    <w:rPr>
      <w:rFonts w:ascii="宋体" w:hAnsi="Courier New" w:eastAsia="宋体" w:cs="Courier New"/>
      <w:sz w:val="21"/>
      <w:szCs w:val="21"/>
    </w:rPr>
  </w:style>
  <w:style w:type="paragraph" w:styleId="8">
    <w:name w:val="Balloon Text"/>
    <w:basedOn w:val="1"/>
    <w:link w:val="23"/>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5"/>
    <w:next w:val="5"/>
    <w:link w:val="25"/>
    <w:autoRedefine/>
    <w:qFormat/>
    <w:uiPriority w:val="0"/>
    <w:rPr>
      <w:b/>
      <w:bCs/>
    </w:rPr>
  </w:style>
  <w:style w:type="paragraph" w:styleId="14">
    <w:name w:val="Body Text First Indent 2"/>
    <w:basedOn w:val="6"/>
    <w:autoRedefine/>
    <w:qFormat/>
    <w:uiPriority w:val="0"/>
    <w:pPr>
      <w:ind w:firstLine="420" w:firstLineChars="200"/>
    </w:pPr>
    <w:rPr>
      <w:rFonts w:ascii="Calibri" w:hAnsi="Calibri"/>
      <w:szCs w:val="2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FollowedHyperlink"/>
    <w:basedOn w:val="17"/>
    <w:autoRedefine/>
    <w:qFormat/>
    <w:uiPriority w:val="0"/>
    <w:rPr>
      <w:color w:val="000000"/>
      <w:u w:val="single"/>
    </w:rPr>
  </w:style>
  <w:style w:type="character" w:styleId="20">
    <w:name w:val="Emphasis"/>
    <w:basedOn w:val="17"/>
    <w:autoRedefine/>
    <w:qFormat/>
    <w:uiPriority w:val="0"/>
    <w:rPr>
      <w:i/>
    </w:rPr>
  </w:style>
  <w:style w:type="character" w:styleId="21">
    <w:name w:val="Hyperlink"/>
    <w:basedOn w:val="17"/>
    <w:autoRedefine/>
    <w:qFormat/>
    <w:uiPriority w:val="0"/>
    <w:rPr>
      <w:color w:val="000000"/>
      <w:u w:val="single"/>
    </w:rPr>
  </w:style>
  <w:style w:type="character" w:styleId="22">
    <w:name w:val="annotation reference"/>
    <w:basedOn w:val="17"/>
    <w:autoRedefine/>
    <w:qFormat/>
    <w:uiPriority w:val="0"/>
    <w:rPr>
      <w:sz w:val="21"/>
      <w:szCs w:val="21"/>
    </w:rPr>
  </w:style>
  <w:style w:type="character" w:customStyle="1" w:styleId="23">
    <w:name w:val="批注框文本 Char"/>
    <w:basedOn w:val="17"/>
    <w:link w:val="8"/>
    <w:autoRedefine/>
    <w:qFormat/>
    <w:uiPriority w:val="0"/>
    <w:rPr>
      <w:rFonts w:ascii="Times New Roman" w:hAnsi="Times New Roman"/>
      <w:kern w:val="2"/>
      <w:sz w:val="18"/>
      <w:szCs w:val="18"/>
    </w:rPr>
  </w:style>
  <w:style w:type="character" w:customStyle="1" w:styleId="24">
    <w:name w:val="批注文字 Char"/>
    <w:basedOn w:val="17"/>
    <w:link w:val="5"/>
    <w:autoRedefine/>
    <w:qFormat/>
    <w:uiPriority w:val="0"/>
    <w:rPr>
      <w:rFonts w:ascii="Times New Roman" w:hAnsi="Times New Roman"/>
      <w:kern w:val="2"/>
      <w:sz w:val="21"/>
      <w:szCs w:val="22"/>
    </w:rPr>
  </w:style>
  <w:style w:type="character" w:customStyle="1" w:styleId="25">
    <w:name w:val="批注主题 Char"/>
    <w:basedOn w:val="24"/>
    <w:link w:val="13"/>
    <w:autoRedefine/>
    <w:qFormat/>
    <w:uiPriority w:val="0"/>
  </w:style>
  <w:style w:type="character" w:customStyle="1" w:styleId="26">
    <w:name w:val="font51"/>
    <w:basedOn w:val="17"/>
    <w:autoRedefine/>
    <w:qFormat/>
    <w:uiPriority w:val="0"/>
    <w:rPr>
      <w:rFonts w:hint="eastAsia" w:ascii="宋体" w:hAnsi="宋体" w:eastAsia="宋体" w:cs="宋体"/>
      <w:color w:val="000000"/>
      <w:sz w:val="20"/>
      <w:szCs w:val="20"/>
      <w:u w:val="none"/>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character" w:customStyle="1" w:styleId="28">
    <w:name w:val="font31"/>
    <w:basedOn w:val="17"/>
    <w:autoRedefine/>
    <w:qFormat/>
    <w:uiPriority w:val="0"/>
    <w:rPr>
      <w:rFonts w:hint="eastAsia" w:ascii="宋体" w:hAnsi="宋体" w:eastAsia="宋体" w:cs="宋体"/>
      <w:color w:val="000000"/>
      <w:sz w:val="20"/>
      <w:szCs w:val="20"/>
      <w:u w:val="none"/>
    </w:rPr>
  </w:style>
  <w:style w:type="character" w:customStyle="1" w:styleId="29">
    <w:name w:val="font21"/>
    <w:autoRedefine/>
    <w:qFormat/>
    <w:uiPriority w:val="0"/>
    <w:rPr>
      <w:rFonts w:hint="eastAsia" w:ascii="宋体" w:hAnsi="宋体" w:eastAsia="宋体" w:cs="宋体"/>
      <w:color w:val="000000"/>
      <w:sz w:val="20"/>
      <w:szCs w:val="20"/>
      <w:u w:val="none"/>
    </w:rPr>
  </w:style>
  <w:style w:type="character" w:customStyle="1" w:styleId="30">
    <w:name w:val="font41"/>
    <w:basedOn w:val="17"/>
    <w:autoRedefine/>
    <w:qFormat/>
    <w:uiPriority w:val="0"/>
    <w:rPr>
      <w:rFonts w:hint="eastAsia" w:ascii="宋体" w:hAnsi="宋体" w:eastAsia="宋体" w:cs="宋体"/>
      <w:b/>
      <w:bCs/>
      <w:color w:val="000000"/>
      <w:sz w:val="18"/>
      <w:szCs w:val="18"/>
      <w:u w:val="none"/>
    </w:rPr>
  </w:style>
  <w:style w:type="character" w:customStyle="1" w:styleId="31">
    <w:name w:val="font11"/>
    <w:basedOn w:val="17"/>
    <w:autoRedefine/>
    <w:qFormat/>
    <w:uiPriority w:val="0"/>
    <w:rPr>
      <w:rFonts w:hint="eastAsia" w:ascii="仿宋" w:hAnsi="仿宋" w:eastAsia="仿宋" w:cs="仿宋"/>
      <w:color w:val="000000"/>
      <w:sz w:val="28"/>
      <w:szCs w:val="28"/>
      <w:u w:val="none"/>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href"/>
    <w:basedOn w:val="17"/>
    <w:autoRedefine/>
    <w:qFormat/>
    <w:uiPriority w:val="0"/>
    <w:rPr>
      <w:color w:val="0000FF"/>
      <w:u w:val="single"/>
    </w:rPr>
  </w:style>
  <w:style w:type="character" w:customStyle="1" w:styleId="34">
    <w:name w:val="first-child"/>
    <w:basedOn w:val="17"/>
    <w:autoRedefine/>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59</Pages>
  <Words>34461</Words>
  <Characters>36346</Characters>
  <Lines>1</Lines>
  <Paragraphs>1</Paragraphs>
  <TotalTime>2</TotalTime>
  <ScaleCrop>false</ScaleCrop>
  <LinksUpToDate>false</LinksUpToDate>
  <CharactersWithSpaces>38492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2023-08-10T09:15:00Z</cp:lastPrinted>
  <dcterms:modified xsi:type="dcterms:W3CDTF">2024-06-06T08:40:46Z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BA753353819943F79F339C825FBF8C16_13</vt:lpwstr>
  </property>
</Properties>
</file>