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9D3C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  <w:t>补充通知（一）</w:t>
      </w:r>
    </w:p>
    <w:p w14:paraId="7FAB3847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</w:p>
    <w:p w14:paraId="7E8C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80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各投标单位：</w:t>
      </w:r>
    </w:p>
    <w:p w14:paraId="4FF49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投标截止时间延后至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2026年3月10日上午12点前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，接收投标文件的电子邮箱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instrText xml:space="preserve"> HYPERLINK "mailto:bid1@nanfeng.cn" </w:instrTex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bid5@nanfeng.cn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，逾期不候。</w:t>
      </w:r>
    </w:p>
    <w:p w14:paraId="02B50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投标单位须在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2026年3月10日上午12点前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  <w:lang w:val="en-US" w:eastAsia="zh-CN"/>
        </w:rPr>
        <w:t>提交人民币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  <w:t xml:space="preserve"> 壹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  <w:lang w:val="en-US" w:eastAsia="zh-CN"/>
        </w:rPr>
        <w:t>万元作为投标保证金，甲方收款账户另行通知。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val="en-US" w:eastAsia="zh-CN"/>
        </w:rPr>
        <w:t>（转账请备注：南京B地块五金制安工程投标保证金）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7EB8F6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</w:p>
    <w:p w14:paraId="018945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3F2C46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东莞市中泰建安工程有限公司                                                           2026年2月27日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A513906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0CA1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01E"/>
    <w:rsid w:val="208805ED"/>
    <w:rsid w:val="4DA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2026-02-27T08:30:00Z</dcterms:created>
  <dc:creator>招采2</dc:creator>
  <cp:lastModifiedBy>招采2</cp:lastModifiedBy>
  <dcterms:modified xsi:type="dcterms:W3CDTF">2026-02-27T08:44:07Z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56AB083FC7D045529B474B9697AF4AFE_11</vt:lpwstr>
  </property>
  <property fmtid="{D5CDD505-2E9C-101B-9397-08002B2CF9AE}" pid="4" name="KSOTemplateDocerSaveRecord">
    <vt:lpwstr>eyJoZGlkIjoiODhjOGVjNTk4ZTYxYzgzZGFiNTgwOGRhMGUwNjQ1NDQiLCJ1c2VySWQiOiIzMjYyOTIwOTcifQ==</vt:lpwstr>
  </property>
</Properties>
</file>