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FB767"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澄清函</w:t>
      </w:r>
    </w:p>
    <w:p w14:paraId="772B18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砌块及砖在出厂前乙方必须自检合格。到项目现场进行第三检测相关费用由甲方负责，材料费用由乙方负责。</w:t>
      </w:r>
    </w:p>
    <w:p w14:paraId="00D0DA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砌块的检测项目（参数包括但不限于以下项目）：</w:t>
      </w:r>
    </w:p>
    <w:p w14:paraId="59C4FAAB">
      <w:r>
        <w:drawing>
          <wp:inline distT="0" distB="0" distL="114300" distR="114300">
            <wp:extent cx="5272405" cy="334645"/>
            <wp:effectExtent l="0" t="0" r="444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C5D08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砖的检测（参数包括但不限于以下项目）：</w:t>
      </w:r>
    </w:p>
    <w:p w14:paraId="5E74BC3A">
      <w:r>
        <w:drawing>
          <wp:inline distT="0" distB="0" distL="114300" distR="114300">
            <wp:extent cx="5271770" cy="5967095"/>
            <wp:effectExtent l="0" t="0" r="508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96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355F5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2024年8月20日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kOTA2YTU2YTMyNWMxZDllOWFmNTY2NDdiZGVlOTgifQ=="/>
  </w:docVars>
  <w:rsids>
    <w:rsidRoot w:val="00000000"/>
    <w:rsid w:val="10C568DB"/>
    <w:rsid w:val="47637345"/>
    <w:rsid w:val="798B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8</TotalTime>
  <ScaleCrop>false</ScaleCrop>
  <LinksUpToDate>false</LinksUpToDate>
  <CharactersWithSpaces>85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2024-08-20T05:44:00Z</dcterms:created>
  <dc:creator>Administrator</dc:creator>
  <cp:lastModifiedBy>周小龙</cp:lastModifiedBy>
  <dcterms:modified xsi:type="dcterms:W3CDTF">2024-08-20T10:09:24Z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8A0223BB00B94E41B75276AC45C204AE_12</vt:lpwstr>
  </property>
</Properties>
</file>