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4DAB8">
      <w:pPr>
        <w:jc w:val="both"/>
        <w:rPr>
          <w:rFonts w:hint="eastAsia" w:ascii="仿宋" w:hAnsi="仿宋" w:eastAsia="仿宋" w:cs="仿宋"/>
          <w:color w:val="auto"/>
          <w:highlight w:val="none"/>
          <w:lang w:val="en-US" w:eastAsia="zh-CN"/>
        </w:rPr>
      </w:pPr>
    </w:p>
    <w:p w14:paraId="2466911E">
      <w:pPr>
        <w:jc w:val="both"/>
        <w:rPr>
          <w:rFonts w:hint="eastAsia" w:ascii="仿宋" w:hAnsi="仿宋" w:eastAsia="仿宋" w:cs="仿宋"/>
          <w:b/>
          <w:color w:val="auto"/>
          <w:sz w:val="72"/>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19685</wp:posOffset>
            </wp:positionV>
            <wp:extent cx="4288790" cy="525780"/>
            <wp:effectExtent l="0" t="0" r="16510" b="7620"/>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9"/>
                    <a:stretch>
                      <a:fillRect/>
                    </a:stretch>
                  </pic:blipFill>
                  <pic:spPr>
                    <a:xfrm>
                      <a:off x="0" y="0"/>
                      <a:ext cx="4288790" cy="525780"/>
                    </a:xfrm>
                    <a:prstGeom prst="rect">
                      <a:avLst/>
                    </a:prstGeom>
                    <a:noFill/>
                    <a:ln>
                      <a:noFill/>
                    </a:ln>
                  </pic:spPr>
                </pic:pic>
              </a:graphicData>
            </a:graphic>
          </wp:anchor>
        </w:drawing>
      </w:r>
    </w:p>
    <w:p w14:paraId="424FAA0A">
      <w:pPr>
        <w:jc w:val="center"/>
        <w:rPr>
          <w:rFonts w:hint="eastAsia" w:ascii="仿宋" w:hAnsi="仿宋" w:eastAsia="仿宋" w:cs="仿宋"/>
          <w:b/>
          <w:color w:val="auto"/>
          <w:sz w:val="56"/>
          <w:szCs w:val="22"/>
          <w:highlight w:val="none"/>
          <w:lang w:val="en-US" w:eastAsia="zh-CN"/>
        </w:rPr>
      </w:pPr>
    </w:p>
    <w:p w14:paraId="1598BBFC">
      <w:pPr>
        <w:jc w:val="center"/>
        <w:rPr>
          <w:rFonts w:hint="eastAsia" w:ascii="仿宋" w:hAnsi="仿宋" w:eastAsia="仿宋" w:cs="仿宋"/>
          <w:b/>
          <w:color w:val="auto"/>
          <w:sz w:val="56"/>
          <w:szCs w:val="22"/>
          <w:highlight w:val="none"/>
          <w:lang w:val="en-US" w:eastAsia="zh-CN"/>
        </w:rPr>
      </w:pPr>
    </w:p>
    <w:p w14:paraId="36AC228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玉林(福绵)节能环保产业园</w:t>
      </w:r>
    </w:p>
    <w:p w14:paraId="5514C28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single"/>
          <w:lang w:val="en-US" w:eastAsia="zh-CN"/>
        </w:rPr>
        <w:t>XXX项目</w:t>
      </w:r>
      <w:r>
        <w:rPr>
          <w:rFonts w:hint="eastAsia" w:ascii="仿宋" w:hAnsi="仿宋" w:eastAsia="仿宋" w:cs="仿宋"/>
          <w:b/>
          <w:color w:val="auto"/>
          <w:sz w:val="52"/>
          <w:szCs w:val="52"/>
          <w:highlight w:val="none"/>
          <w:u w:val="none"/>
          <w:lang w:val="en-US" w:eastAsia="zh-CN"/>
        </w:rPr>
        <w:t>预拌混凝土</w:t>
      </w:r>
    </w:p>
    <w:p w14:paraId="46496433">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0" w:name="_Toc23970"/>
      <w:bookmarkStart w:id="1" w:name="_Toc927"/>
      <w:bookmarkStart w:id="2" w:name="_Toc31764"/>
      <w:bookmarkStart w:id="3" w:name="_Toc28610"/>
      <w:bookmarkStart w:id="4" w:name="_Toc27693"/>
      <w:bookmarkStart w:id="5" w:name="_Toc15219"/>
      <w:bookmarkStart w:id="6" w:name="_Toc782"/>
      <w:r>
        <w:rPr>
          <w:rFonts w:hint="eastAsia" w:ascii="仿宋" w:hAnsi="仿宋" w:eastAsia="仿宋" w:cs="仿宋"/>
          <w:b/>
          <w:color w:val="auto"/>
          <w:sz w:val="52"/>
          <w:szCs w:val="52"/>
          <w:highlight w:val="none"/>
          <w:lang w:val="en-US" w:eastAsia="zh-CN"/>
        </w:rPr>
        <w:t>购</w:t>
      </w:r>
      <w:bookmarkEnd w:id="0"/>
      <w:bookmarkEnd w:id="1"/>
      <w:bookmarkEnd w:id="2"/>
      <w:bookmarkEnd w:id="3"/>
      <w:bookmarkEnd w:id="4"/>
      <w:bookmarkEnd w:id="5"/>
      <w:bookmarkEnd w:id="6"/>
    </w:p>
    <w:p w14:paraId="1AF5D40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7" w:name="_Toc9191"/>
      <w:bookmarkStart w:id="8" w:name="_Toc19114"/>
      <w:bookmarkStart w:id="9" w:name="_Toc23659"/>
      <w:bookmarkStart w:id="10" w:name="_Toc15725"/>
      <w:bookmarkStart w:id="11" w:name="_Toc2828"/>
      <w:bookmarkStart w:id="12" w:name="_Toc28177"/>
      <w:bookmarkStart w:id="13" w:name="_Toc516"/>
      <w:r>
        <w:rPr>
          <w:rFonts w:hint="eastAsia" w:ascii="仿宋" w:hAnsi="仿宋" w:eastAsia="仿宋" w:cs="仿宋"/>
          <w:b/>
          <w:color w:val="auto"/>
          <w:sz w:val="52"/>
          <w:szCs w:val="52"/>
          <w:highlight w:val="none"/>
          <w:lang w:val="en-US" w:eastAsia="zh-CN"/>
        </w:rPr>
        <w:t>销</w:t>
      </w:r>
      <w:bookmarkEnd w:id="7"/>
      <w:bookmarkEnd w:id="8"/>
      <w:bookmarkEnd w:id="9"/>
      <w:bookmarkEnd w:id="10"/>
      <w:bookmarkEnd w:id="11"/>
      <w:bookmarkEnd w:id="12"/>
      <w:bookmarkEnd w:id="13"/>
    </w:p>
    <w:p w14:paraId="75A0D8DA">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14" w:name="_Toc22933"/>
      <w:bookmarkStart w:id="15" w:name="_Toc16372"/>
      <w:bookmarkStart w:id="16" w:name="_Toc15292"/>
      <w:bookmarkStart w:id="17" w:name="_Toc30857"/>
      <w:bookmarkStart w:id="18" w:name="_Toc3249"/>
      <w:bookmarkStart w:id="19" w:name="_Toc4020"/>
      <w:bookmarkStart w:id="20" w:name="_Toc9639"/>
      <w:r>
        <w:rPr>
          <w:rFonts w:hint="eastAsia" w:ascii="仿宋" w:hAnsi="仿宋" w:eastAsia="仿宋" w:cs="仿宋"/>
          <w:b/>
          <w:color w:val="auto"/>
          <w:sz w:val="52"/>
          <w:szCs w:val="52"/>
          <w:highlight w:val="none"/>
          <w:lang w:val="en-US" w:eastAsia="zh-CN"/>
        </w:rPr>
        <w:t>合</w:t>
      </w:r>
      <w:bookmarkEnd w:id="14"/>
      <w:bookmarkEnd w:id="15"/>
      <w:bookmarkEnd w:id="16"/>
      <w:bookmarkEnd w:id="17"/>
      <w:bookmarkEnd w:id="18"/>
      <w:bookmarkEnd w:id="19"/>
      <w:bookmarkEnd w:id="20"/>
    </w:p>
    <w:p w14:paraId="4255073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color w:val="auto"/>
          <w:highlight w:val="none"/>
          <w:lang w:val="en-US" w:eastAsia="zh-CN"/>
        </w:rPr>
      </w:pPr>
      <w:bookmarkStart w:id="21" w:name="_Toc105"/>
      <w:bookmarkStart w:id="22" w:name="_Toc17665"/>
      <w:bookmarkStart w:id="23" w:name="_Toc20513"/>
      <w:bookmarkStart w:id="24" w:name="_Toc2686"/>
      <w:bookmarkStart w:id="25" w:name="_Toc10614"/>
      <w:bookmarkStart w:id="26" w:name="_Toc23241"/>
      <w:bookmarkStart w:id="27" w:name="_Toc6169"/>
      <w:r>
        <w:rPr>
          <w:rFonts w:hint="eastAsia" w:ascii="仿宋" w:hAnsi="仿宋" w:eastAsia="仿宋" w:cs="仿宋"/>
          <w:b/>
          <w:color w:val="auto"/>
          <w:sz w:val="52"/>
          <w:szCs w:val="52"/>
          <w:highlight w:val="none"/>
          <w:lang w:val="en-US" w:eastAsia="zh-CN"/>
        </w:rPr>
        <w:t>同</w:t>
      </w:r>
      <w:bookmarkEnd w:id="21"/>
      <w:bookmarkEnd w:id="22"/>
      <w:bookmarkEnd w:id="23"/>
      <w:bookmarkEnd w:id="24"/>
      <w:bookmarkEnd w:id="25"/>
      <w:bookmarkEnd w:id="26"/>
      <w:bookmarkEnd w:id="27"/>
    </w:p>
    <w:p w14:paraId="50C93E44">
      <w:pPr>
        <w:jc w:val="both"/>
        <w:rPr>
          <w:rFonts w:hint="eastAsia" w:ascii="仿宋" w:hAnsi="仿宋" w:eastAsia="仿宋" w:cs="仿宋"/>
          <w:color w:val="auto"/>
          <w:highlight w:val="none"/>
          <w:lang w:val="en-US" w:eastAsia="zh-CN"/>
        </w:rPr>
      </w:pPr>
    </w:p>
    <w:p w14:paraId="42146617">
      <w:pPr>
        <w:jc w:val="both"/>
        <w:rPr>
          <w:rFonts w:hint="eastAsia" w:ascii="仿宋" w:hAnsi="仿宋" w:eastAsia="仿宋" w:cs="仿宋"/>
          <w:color w:val="auto"/>
          <w:highlight w:val="none"/>
          <w:lang w:val="en-US" w:eastAsia="zh-CN"/>
        </w:rPr>
      </w:pPr>
    </w:p>
    <w:p w14:paraId="0A3F889A">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8"/>
          <w:szCs w:val="28"/>
          <w:highlight w:val="none"/>
          <w:lang w:val="en-US" w:eastAsia="zh-CN"/>
        </w:rPr>
      </w:pPr>
    </w:p>
    <w:p w14:paraId="18ACED8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lang w:val="en-US" w:eastAsia="zh-CN"/>
        </w:rPr>
      </w:pPr>
    </w:p>
    <w:p w14:paraId="2A267D58">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4B79B5E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甲方（需方）：东莞市中泰建安工程有限公司</w:t>
      </w:r>
    </w:p>
    <w:p w14:paraId="67B1480A">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乙方（供方）：</w:t>
      </w:r>
    </w:p>
    <w:p w14:paraId="45F7EB0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62C4B37D">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8"/>
          <w:szCs w:val="28"/>
          <w:highlight w:val="none"/>
          <w:u w:val="none"/>
          <w:lang w:val="en-US" w:eastAsia="zh-CN"/>
        </w:rPr>
        <w:t>签订地点：广东东莞。</w:t>
      </w:r>
    </w:p>
    <w:p w14:paraId="378815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1080" w:bottom="1440" w:left="10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sdt>
      <w:sdtPr>
        <w:rPr>
          <w:rFonts w:ascii="宋体" w:hAnsi="宋体" w:eastAsia="宋体" w:cs="Times New Roman"/>
          <w:b/>
          <w:bCs/>
          <w:color w:val="auto"/>
          <w:kern w:val="2"/>
          <w:sz w:val="36"/>
          <w:szCs w:val="44"/>
          <w:highlight w:val="none"/>
          <w:lang w:val="en-US" w:eastAsia="zh-CN" w:bidi="ar-SA"/>
        </w:rPr>
        <w:id w:val="147469750"/>
        <w15:color w:val="DBDBDB"/>
        <w:docPartObj>
          <w:docPartGallery w:val="Table of Contents"/>
          <w:docPartUnique/>
        </w:docPartObj>
      </w:sdtPr>
      <w:sdtEndPr>
        <w:rPr>
          <w:rFonts w:hint="eastAsia" w:ascii="仿宋" w:hAnsi="仿宋" w:eastAsia="仿宋" w:cs="仿宋"/>
          <w:b/>
          <w:bCs/>
          <w:color w:val="auto"/>
          <w:kern w:val="2"/>
          <w:sz w:val="21"/>
          <w:szCs w:val="32"/>
          <w:highlight w:val="none"/>
          <w:lang w:val="en-US" w:eastAsia="zh-CN" w:bidi="ar-SA"/>
        </w:rPr>
      </w:sdtEndPr>
      <w:sdtContent>
        <w:p w14:paraId="748C8B6B">
          <w:pPr>
            <w:spacing w:before="0" w:beforeLines="0" w:after="0" w:afterLines="0" w:line="240" w:lineRule="auto"/>
            <w:ind w:left="0" w:leftChars="0" w:right="0" w:rightChars="0" w:firstLine="0" w:firstLineChars="0"/>
            <w:jc w:val="center"/>
            <w:rPr>
              <w:b/>
              <w:bCs/>
              <w:color w:val="auto"/>
              <w:sz w:val="36"/>
              <w:szCs w:val="44"/>
              <w:highlight w:val="none"/>
            </w:rPr>
          </w:pPr>
          <w:r>
            <w:rPr>
              <w:rFonts w:ascii="宋体" w:hAnsi="宋体" w:eastAsia="宋体"/>
              <w:b/>
              <w:bCs/>
              <w:color w:val="auto"/>
              <w:sz w:val="36"/>
              <w:szCs w:val="44"/>
              <w:highlight w:val="none"/>
            </w:rPr>
            <w:t>目录</w:t>
          </w:r>
        </w:p>
        <w:p w14:paraId="05EC472A">
          <w:pPr>
            <w:pStyle w:val="13"/>
            <w:tabs>
              <w:tab w:val="right" w:leader="dot" w:pos="9525"/>
            </w:tabs>
            <w:rPr>
              <w:b/>
              <w:color w:val="auto"/>
              <w:sz w:val="24"/>
              <w:szCs w:val="24"/>
              <w:highlight w:val="none"/>
            </w:rPr>
          </w:pPr>
          <w:r>
            <w:rPr>
              <w:rFonts w:hint="eastAsia" w:ascii="仿宋" w:hAnsi="仿宋" w:eastAsia="仿宋" w:cs="仿宋"/>
              <w:b/>
              <w:bCs/>
              <w:color w:val="auto"/>
              <w:sz w:val="32"/>
              <w:szCs w:val="32"/>
              <w:highlight w:val="none"/>
              <w:lang w:val="en-US" w:eastAsia="zh-CN"/>
            </w:rPr>
            <w:fldChar w:fldCharType="begin"/>
          </w:r>
          <w:r>
            <w:rPr>
              <w:rFonts w:hint="eastAsia" w:ascii="仿宋" w:hAnsi="仿宋" w:eastAsia="仿宋" w:cs="仿宋"/>
              <w:b/>
              <w:bCs/>
              <w:color w:val="auto"/>
              <w:sz w:val="32"/>
              <w:szCs w:val="32"/>
              <w:highlight w:val="none"/>
              <w:lang w:val="en-US" w:eastAsia="zh-CN"/>
            </w:rPr>
            <w:instrText xml:space="preserve">TOC \o "1-2" \h \u </w:instrText>
          </w:r>
          <w:r>
            <w:rPr>
              <w:rFonts w:hint="eastAsia" w:ascii="仿宋" w:hAnsi="仿宋" w:eastAsia="仿宋" w:cs="仿宋"/>
              <w:b/>
              <w:bCs/>
              <w:color w:val="auto"/>
              <w:sz w:val="32"/>
              <w:szCs w:val="32"/>
              <w:highlight w:val="none"/>
              <w:lang w:val="en-US" w:eastAsia="zh-CN"/>
            </w:rPr>
            <w:fldChar w:fldCharType="separate"/>
          </w:r>
        </w:p>
        <w:p w14:paraId="067242F3">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_Toc23236 </w:instrText>
          </w:r>
          <w:r>
            <w:rPr>
              <w:rFonts w:hint="eastAsia" w:ascii="仿宋" w:hAnsi="仿宋" w:eastAsia="仿宋" w:cs="仿宋"/>
              <w:b/>
              <w:bCs/>
              <w:color w:val="auto"/>
              <w:sz w:val="28"/>
              <w:szCs w:val="48"/>
              <w:highlight w:val="none"/>
              <w:lang w:val="en-US" w:eastAsia="zh-CN"/>
            </w:rPr>
            <w:fldChar w:fldCharType="separate"/>
          </w:r>
          <w:r>
            <w:rPr>
              <w:rFonts w:hint="eastAsia" w:ascii="仿宋" w:hAnsi="仿宋" w:eastAsia="仿宋" w:cs="仿宋"/>
              <w:b/>
              <w:bCs/>
              <w:color w:val="auto"/>
              <w:sz w:val="28"/>
              <w:szCs w:val="48"/>
              <w:highlight w:val="none"/>
              <w:lang w:val="en-US" w:eastAsia="zh-CN"/>
            </w:rPr>
            <w:t>第一部分 协议书</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_Toc23236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13CFAB0A">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_Toc24459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第一章、产品内容及合同价款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_Toc24459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550DAD5">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_Toc6223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第二章、付款方式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_Toc6223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01E1B80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_Toc9514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第三章、交货</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_Toc9514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25D43598">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_Toc6165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kern w:val="2"/>
              <w:sz w:val="28"/>
              <w:szCs w:val="44"/>
              <w:highlight w:val="none"/>
              <w:lang w:val="en-US" w:eastAsia="zh-CN" w:bidi="ar-SA"/>
            </w:rPr>
            <w:t>第四章、甲乙双方联系人</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_Toc6165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43B89C99">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_Toc27333 </w:instrText>
          </w:r>
          <w:r>
            <w:rPr>
              <w:rFonts w:hint="eastAsia" w:ascii="仿宋" w:hAnsi="仿宋" w:eastAsia="仿宋" w:cs="仿宋"/>
              <w:b/>
              <w:bCs/>
              <w:color w:val="auto"/>
              <w:sz w:val="28"/>
              <w:szCs w:val="48"/>
              <w:highlight w:val="none"/>
              <w:lang w:val="en-US" w:eastAsia="zh-CN"/>
            </w:rPr>
            <w:fldChar w:fldCharType="separate"/>
          </w:r>
          <w:r>
            <w:rPr>
              <w:rFonts w:hint="eastAsia" w:ascii="仿宋" w:hAnsi="仿宋" w:eastAsia="仿宋" w:cs="仿宋"/>
              <w:b/>
              <w:bCs/>
              <w:color w:val="auto"/>
              <w:kern w:val="2"/>
              <w:sz w:val="28"/>
              <w:szCs w:val="48"/>
              <w:highlight w:val="none"/>
              <w:shd w:val="clear" w:fill="auto"/>
              <w:vertAlign w:val="baseline"/>
              <w:lang w:val="en-US" w:eastAsia="zh-CN" w:bidi="ar-SA"/>
            </w:rPr>
            <w:t xml:space="preserve">第二部分 </w:t>
          </w:r>
          <w:r>
            <w:rPr>
              <w:rFonts w:hint="eastAsia" w:ascii="仿宋_GB2312" w:hAnsi="仿宋_GB2312" w:eastAsia="仿宋_GB2312" w:cs="仿宋_GB2312"/>
              <w:b/>
              <w:bCs/>
              <w:i w:val="0"/>
              <w:iCs w:val="0"/>
              <w:color w:val="auto"/>
              <w:kern w:val="0"/>
              <w:sz w:val="28"/>
              <w:szCs w:val="48"/>
              <w:highlight w:val="none"/>
              <w:shd w:val="clear" w:color="auto" w:fill="auto"/>
              <w:lang w:val="en-US" w:eastAsia="zh-CN"/>
            </w:rPr>
            <w:t>合同专用条款</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_Toc27333 \h </w:instrText>
          </w:r>
          <w:r>
            <w:rPr>
              <w:b/>
              <w:color w:val="auto"/>
              <w:sz w:val="28"/>
              <w:szCs w:val="28"/>
              <w:highlight w:val="none"/>
            </w:rPr>
            <w:fldChar w:fldCharType="separate"/>
          </w:r>
          <w:r>
            <w:rPr>
              <w:b/>
              <w:color w:val="auto"/>
              <w:sz w:val="28"/>
              <w:szCs w:val="28"/>
              <w:highlight w:val="none"/>
            </w:rPr>
            <w:t>5</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7F953ED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_Toc9158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第一章、计量方法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_Toc9158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6D8206F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_Toc22337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第二章、产品</w:t>
          </w:r>
          <w:r>
            <w:rPr>
              <w:rFonts w:hint="eastAsia" w:ascii="仿宋" w:hAnsi="仿宋" w:eastAsia="仿宋" w:cs="仿宋"/>
              <w:bCs/>
              <w:color w:val="auto"/>
              <w:sz w:val="28"/>
              <w:szCs w:val="44"/>
              <w:highlight w:val="none"/>
            </w:rPr>
            <w:t>质量</w:t>
          </w:r>
          <w:r>
            <w:rPr>
              <w:rFonts w:hint="eastAsia" w:ascii="仿宋" w:hAnsi="仿宋" w:eastAsia="仿宋" w:cs="仿宋"/>
              <w:bCs/>
              <w:color w:val="auto"/>
              <w:sz w:val="28"/>
              <w:szCs w:val="44"/>
              <w:highlight w:val="none"/>
              <w:lang w:val="en-US" w:eastAsia="zh-CN"/>
            </w:rPr>
            <w:t>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_Toc22337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DFE0D69">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_Toc3144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第三章、交货及验收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_Toc3144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6B30E0D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_Toc32257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第四章、双方责任、义务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_Toc32257 \h </w:instrText>
          </w:r>
          <w:r>
            <w:rPr>
              <w:color w:val="auto"/>
              <w:sz w:val="28"/>
              <w:szCs w:val="28"/>
              <w:highlight w:val="none"/>
            </w:rPr>
            <w:fldChar w:fldCharType="separate"/>
          </w:r>
          <w:r>
            <w:rPr>
              <w:color w:val="auto"/>
              <w:sz w:val="28"/>
              <w:szCs w:val="28"/>
              <w:highlight w:val="none"/>
            </w:rPr>
            <w:t>10</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1E66CBE1">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_Toc14555 </w:instrText>
          </w:r>
          <w:r>
            <w:rPr>
              <w:rFonts w:hint="eastAsia" w:ascii="仿宋" w:hAnsi="仿宋" w:eastAsia="仿宋" w:cs="仿宋"/>
              <w:b/>
              <w:bCs/>
              <w:color w:val="auto"/>
              <w:sz w:val="28"/>
              <w:szCs w:val="48"/>
              <w:highlight w:val="none"/>
              <w:lang w:val="en-US" w:eastAsia="zh-CN"/>
            </w:rPr>
            <w:fldChar w:fldCharType="separate"/>
          </w:r>
          <w:r>
            <w:rPr>
              <w:rFonts w:hint="eastAsia" w:ascii="仿宋_GB2312" w:hAnsi="仿宋_GB2312" w:eastAsia="仿宋_GB2312" w:cs="仿宋_GB2312"/>
              <w:b/>
              <w:bCs/>
              <w:i w:val="0"/>
              <w:iCs w:val="0"/>
              <w:color w:val="auto"/>
              <w:kern w:val="0"/>
              <w:sz w:val="28"/>
              <w:szCs w:val="48"/>
              <w:highlight w:val="none"/>
              <w:shd w:val="clear" w:fill="auto"/>
              <w:lang w:val="en-US" w:eastAsia="zh-CN" w:bidi="ar-SA"/>
            </w:rPr>
            <w:t xml:space="preserve">第三部分 </w:t>
          </w:r>
          <w:r>
            <w:rPr>
              <w:rFonts w:hint="eastAsia" w:ascii="仿宋_GB2312" w:hAnsi="仿宋_GB2312" w:eastAsia="仿宋_GB2312" w:cs="仿宋_GB2312"/>
              <w:b/>
              <w:bCs/>
              <w:i w:val="0"/>
              <w:iCs w:val="0"/>
              <w:color w:val="auto"/>
              <w:kern w:val="0"/>
              <w:sz w:val="28"/>
              <w:szCs w:val="48"/>
              <w:highlight w:val="none"/>
              <w:shd w:val="clear" w:color="auto" w:fill="auto"/>
              <w:lang w:val="en-US" w:eastAsia="zh-CN"/>
            </w:rPr>
            <w:t>合同通用条款</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_Toc14555 \h </w:instrText>
          </w:r>
          <w:r>
            <w:rPr>
              <w:b/>
              <w:color w:val="auto"/>
              <w:sz w:val="28"/>
              <w:szCs w:val="28"/>
              <w:highlight w:val="none"/>
            </w:rPr>
            <w:fldChar w:fldCharType="separate"/>
          </w:r>
          <w:r>
            <w:rPr>
              <w:b/>
              <w:color w:val="auto"/>
              <w:sz w:val="28"/>
              <w:szCs w:val="28"/>
              <w:highlight w:val="none"/>
            </w:rPr>
            <w:t>15</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27EEF88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_Toc20715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第一章、对账及发票要求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_Toc20715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7ACF7B5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_Toc1237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第二章、收货、验收流程及标准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_Toc1237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48140F57">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_Toc13048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第三章、保修</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_Toc13048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5AD93D9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_Toc20567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第四章、违约责任</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_Toc20567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1B7D8A4D">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_Toc12434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eastAsia="zh-CN"/>
            </w:rPr>
            <w:t>第</w:t>
          </w:r>
          <w:r>
            <w:rPr>
              <w:rFonts w:hint="eastAsia" w:ascii="仿宋" w:hAnsi="仿宋" w:eastAsia="仿宋" w:cs="仿宋"/>
              <w:bCs/>
              <w:color w:val="auto"/>
              <w:sz w:val="28"/>
              <w:szCs w:val="44"/>
              <w:highlight w:val="none"/>
              <w:lang w:val="en-US" w:eastAsia="zh-CN"/>
            </w:rPr>
            <w:t>五</w:t>
          </w:r>
          <w:r>
            <w:rPr>
              <w:rFonts w:hint="eastAsia" w:ascii="仿宋" w:hAnsi="仿宋" w:eastAsia="仿宋" w:cs="仿宋"/>
              <w:bCs/>
              <w:color w:val="auto"/>
              <w:sz w:val="28"/>
              <w:szCs w:val="44"/>
              <w:highlight w:val="none"/>
              <w:lang w:eastAsia="zh-CN"/>
            </w:rPr>
            <w:t>章、廉洁条款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_Toc12434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0042566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_Toc6091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第六章、甲乙双方联系人权限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_Toc6091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6776E59">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_Toc30612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第七章、其他</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_Toc30612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74436393">
          <w:pPr>
            <w:pStyle w:val="13"/>
            <w:tabs>
              <w:tab w:val="right" w:leader="dot" w:pos="9525"/>
            </w:tabs>
            <w:rPr>
              <w:b/>
              <w:color w:val="auto"/>
              <w:highlight w:val="none"/>
            </w:rPr>
          </w:pPr>
        </w:p>
        <w:p w14:paraId="406B0C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21"/>
              <w:szCs w:val="32"/>
              <w:highlight w:val="none"/>
              <w:lang w:val="en-US" w:eastAsia="zh-CN" w:bidi="ar-SA"/>
            </w:rPr>
          </w:pPr>
          <w:r>
            <w:rPr>
              <w:rFonts w:hint="eastAsia" w:ascii="仿宋" w:hAnsi="仿宋" w:eastAsia="仿宋" w:cs="仿宋"/>
              <w:b/>
              <w:bCs/>
              <w:color w:val="auto"/>
              <w:szCs w:val="32"/>
              <w:highlight w:val="none"/>
              <w:lang w:val="en-US" w:eastAsia="zh-CN"/>
            </w:rPr>
            <w:fldChar w:fldCharType="end"/>
          </w:r>
        </w:p>
      </w:sdtContent>
    </w:sdt>
    <w:p w14:paraId="6599EC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21"/>
          <w:szCs w:val="32"/>
          <w:highlight w:val="none"/>
          <w:lang w:val="en-US" w:eastAsia="zh-CN" w:bidi="ar-SA"/>
        </w:rPr>
      </w:pPr>
    </w:p>
    <w:p w14:paraId="0CB7BC42">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bookmarkStart w:id="28" w:name="_Toc23236"/>
    </w:p>
    <w:p w14:paraId="6A1DE66D">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p>
    <w:p w14:paraId="786CEE14">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p>
    <w:p w14:paraId="020C701D">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bCs/>
          <w:color w:val="auto"/>
          <w:sz w:val="32"/>
          <w:szCs w:val="32"/>
          <w:highlight w:val="none"/>
          <w:lang w:val="en-US" w:eastAsia="zh-CN"/>
        </w:rPr>
        <w:sectPr>
          <w:footerReference r:id="rId5" w:type="default"/>
          <w:pgSz w:w="11906" w:h="16838"/>
          <w:pgMar w:top="964" w:right="1134" w:bottom="964" w:left="113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1491C560">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第一部分 协议书</w:t>
      </w:r>
      <w:bookmarkEnd w:id="28"/>
    </w:p>
    <w:p w14:paraId="2CE6878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kern w:val="2"/>
          <w:sz w:val="28"/>
          <w:szCs w:val="28"/>
          <w:highlight w:val="none"/>
          <w:u w:val="none"/>
          <w:shd w:val="clear" w:color="auto" w:fill="auto"/>
          <w:lang w:val="en-US" w:eastAsia="zh-CN" w:bidi="ar-SA"/>
        </w:rPr>
        <w:t>根据《中华人民共和国民法典》《中华人民共和国产品质量法》及其他有关法律法规，在乙方确认并承诺满足本项目所在地住建主管部门各项要求的前提下，甲乙双方在平等、自愿、公平和诚实信用的基础上，就拟用于</w:t>
      </w:r>
      <w:r>
        <w:rPr>
          <w:rFonts w:hint="eastAsia" w:ascii="仿宋" w:hAnsi="仿宋" w:eastAsia="仿宋" w:cs="仿宋"/>
          <w:b w:val="0"/>
          <w:bCs w:val="0"/>
          <w:color w:val="auto"/>
          <w:kern w:val="2"/>
          <w:sz w:val="28"/>
          <w:szCs w:val="28"/>
          <w:highlight w:val="none"/>
          <w:u w:val="single"/>
          <w:shd w:val="clear" w:color="auto" w:fill="auto"/>
          <w:lang w:val="en-US" w:eastAsia="zh-CN" w:bidi="ar-SA"/>
        </w:rPr>
        <w:t>玉林(福绵)节能环保产业园</w:t>
      </w:r>
      <w:r>
        <w:rPr>
          <w:rFonts w:hint="eastAsia" w:ascii="仿宋" w:hAnsi="仿宋" w:eastAsia="仿宋" w:cs="仿宋"/>
          <w:b w:val="0"/>
          <w:bCs w:val="0"/>
          <w:color w:val="FF0000"/>
          <w:kern w:val="2"/>
          <w:sz w:val="28"/>
          <w:szCs w:val="28"/>
          <w:highlight w:val="none"/>
          <w:u w:val="single"/>
          <w:shd w:val="clear" w:color="auto" w:fill="auto"/>
          <w:lang w:val="en-US" w:eastAsia="zh-CN" w:bidi="ar-SA"/>
        </w:rPr>
        <w:t>【具体项目名称以签约为准】项目</w:t>
      </w:r>
      <w:r>
        <w:rPr>
          <w:rFonts w:hint="eastAsia" w:ascii="仿宋" w:hAnsi="仿宋" w:eastAsia="仿宋" w:cs="仿宋"/>
          <w:b w:val="0"/>
          <w:bCs w:val="0"/>
          <w:color w:val="auto"/>
          <w:kern w:val="2"/>
          <w:sz w:val="28"/>
          <w:szCs w:val="28"/>
          <w:highlight w:val="none"/>
          <w:u w:val="none"/>
          <w:lang w:val="en-US" w:eastAsia="zh-CN" w:bidi="ar-SA"/>
        </w:rPr>
        <w:t>（简称“本项目”）</w:t>
      </w:r>
      <w:r>
        <w:rPr>
          <w:rFonts w:hint="eastAsia" w:ascii="仿宋" w:hAnsi="仿宋" w:eastAsia="仿宋" w:cs="仿宋"/>
          <w:b w:val="0"/>
          <w:bCs w:val="0"/>
          <w:color w:val="auto"/>
          <w:kern w:val="2"/>
          <w:sz w:val="28"/>
          <w:szCs w:val="28"/>
          <w:highlight w:val="none"/>
          <w:u w:val="none"/>
          <w:shd w:val="clear" w:color="auto" w:fill="auto"/>
          <w:lang w:val="en-US" w:eastAsia="zh-CN" w:bidi="ar-SA"/>
        </w:rPr>
        <w:t>的</w:t>
      </w:r>
      <w:r>
        <w:rPr>
          <w:rFonts w:hint="eastAsia" w:ascii="仿宋" w:hAnsi="仿宋" w:eastAsia="仿宋" w:cs="仿宋"/>
          <w:color w:val="auto"/>
          <w:sz w:val="28"/>
          <w:szCs w:val="28"/>
          <w:highlight w:val="none"/>
          <w:u w:val="single"/>
          <w:lang w:val="en-US" w:eastAsia="zh-CN"/>
        </w:rPr>
        <w:t>预拌混凝土</w:t>
      </w:r>
      <w:r>
        <w:rPr>
          <w:rFonts w:hint="eastAsia" w:ascii="仿宋" w:hAnsi="仿宋" w:eastAsia="仿宋" w:cs="仿宋"/>
          <w:b w:val="0"/>
          <w:bCs w:val="0"/>
          <w:color w:val="auto"/>
          <w:kern w:val="2"/>
          <w:sz w:val="28"/>
          <w:szCs w:val="28"/>
          <w:highlight w:val="none"/>
          <w:u w:val="none"/>
          <w:shd w:val="clear" w:color="auto" w:fill="auto"/>
          <w:lang w:val="en-US" w:eastAsia="zh-CN" w:bidi="ar-SA"/>
        </w:rPr>
        <w:t>（以下简称“产品”） 购销事宜协商一致，特签订本合同。</w:t>
      </w:r>
      <w:r>
        <w:rPr>
          <w:rFonts w:hint="eastAsia" w:ascii="仿宋" w:hAnsi="仿宋" w:eastAsia="仿宋" w:cs="仿宋"/>
          <w:b w:val="0"/>
          <w:bCs w:val="0"/>
          <w:color w:val="auto"/>
          <w:kern w:val="2"/>
          <w:sz w:val="28"/>
          <w:szCs w:val="28"/>
          <w:highlight w:val="none"/>
          <w:u w:val="none"/>
          <w:lang w:val="en-US" w:eastAsia="zh-CN" w:bidi="ar-SA"/>
        </w:rPr>
        <w:t>（本合同范围内，对以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开头的内容为准。）</w:t>
      </w:r>
    </w:p>
    <w:p w14:paraId="4710B66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29" w:name="_Toc21761"/>
      <w:bookmarkStart w:id="30" w:name="_Toc29857"/>
      <w:bookmarkStart w:id="31" w:name="_Toc29161"/>
      <w:bookmarkStart w:id="32" w:name="_Toc20142"/>
      <w:bookmarkStart w:id="33" w:name="_Toc30413"/>
      <w:bookmarkStart w:id="34" w:name="_Toc24459"/>
      <w:bookmarkStart w:id="35" w:name="_Toc30517"/>
      <w:bookmarkStart w:id="36" w:name="_Toc26009"/>
      <w:bookmarkStart w:id="37" w:name="_Toc5311"/>
      <w:r>
        <w:rPr>
          <w:rFonts w:hint="eastAsia" w:ascii="仿宋" w:hAnsi="仿宋" w:eastAsia="仿宋" w:cs="仿宋"/>
          <w:b/>
          <w:bCs/>
          <w:color w:val="auto"/>
          <w:sz w:val="28"/>
          <w:szCs w:val="28"/>
          <w:highlight w:val="none"/>
          <w:lang w:val="en-US" w:eastAsia="zh-CN"/>
        </w:rPr>
        <w:t>第一章、产品内容及合同价款</w:t>
      </w:r>
      <w:bookmarkEnd w:id="29"/>
      <w:bookmarkEnd w:id="30"/>
      <w:bookmarkEnd w:id="31"/>
      <w:bookmarkEnd w:id="32"/>
      <w:bookmarkEnd w:id="33"/>
      <w:bookmarkEnd w:id="34"/>
      <w:r>
        <w:rPr>
          <w:rFonts w:hint="eastAsia" w:ascii="仿宋" w:hAnsi="仿宋" w:eastAsia="仿宋" w:cs="仿宋"/>
          <w:b/>
          <w:bCs/>
          <w:color w:val="auto"/>
          <w:sz w:val="28"/>
          <w:szCs w:val="28"/>
          <w:highlight w:val="none"/>
          <w:lang w:val="en-US" w:eastAsia="zh-CN"/>
        </w:rPr>
        <w:tab/>
      </w:r>
      <w:bookmarkEnd w:id="35"/>
      <w:bookmarkEnd w:id="36"/>
      <w:bookmarkEnd w:id="37"/>
      <w:bookmarkStart w:id="38" w:name="_Toc2086"/>
      <w:bookmarkStart w:id="39" w:name="_Toc7579"/>
    </w:p>
    <w:p w14:paraId="440F65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1.1本合同为固定单价合同，合同单价详见附件《报价清单》，乙方开具税率</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的增值税专用发票，税率按国家政策执行，如税率调整，合同单价随之调整。除合同另有约定外，合同单价不作任何调整。本合同暂定总价为人民币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元，合同暂定总价仅供参考，不作结算用途。</w:t>
      </w:r>
    </w:p>
    <w:p w14:paraId="161E94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合同单价含材料原价、材料运杂费、运输费、损耗费、采购保管费等运至施工现场的各项费用和人工费、泵送机械设备费及进退场费(来、回车费)、燃油费、司机劳务费、维修费，也包含税金、提供检验检测所需材料费（数量按当地送检取样要求)、检验检测费(产品移交甲方前的所有检验检测费用，检验检测结果须符合工程所在地政府主管部门要求)、装卸费、风险费、保险费、利润、管理费、税金等承担合同义务、责任、风险所涉及的全部费用。</w:t>
      </w:r>
    </w:p>
    <w:p w14:paraId="6E7996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乙方的送货数量、品牌、规格由甲方决定，乙方无条件配合，否则甲方有权单方取消该批订单或解除本合同且不违约。乙方每次送货时须在送货单上注明该批产品的品牌、规格、数量，否则甲方有权自行决定该批产品的结算价格。产品购销数量按甲方实际接收并验收合格的产品数量结算。乙方必须按甲方要求现场办理签收单确认收货入库数量的签字手续，乙方逾期办理的视同乙方违约，按违约条款处理。</w:t>
      </w:r>
    </w:p>
    <w:p w14:paraId="3E49AA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1.4如</w:t>
      </w:r>
      <w:r>
        <w:rPr>
          <w:rFonts w:hint="eastAsia" w:ascii="仿宋" w:hAnsi="仿宋" w:eastAsia="仿宋" w:cs="仿宋"/>
          <w:color w:val="auto"/>
          <w:sz w:val="28"/>
          <w:szCs w:val="28"/>
          <w:highlight w:val="none"/>
          <w:lang w:val="en-US" w:eastAsia="zh-CN"/>
        </w:rPr>
        <w:t>乙方在合同有效期内要求上调合同单价，乙方按其要求涨价金额的100%向甲方承担违约金。如若乙方因未实现涨价而停止供货或以其他任何理由停止供货，甲方有权对乙方收取违约金伍万元/次。</w:t>
      </w:r>
    </w:p>
    <w:p w14:paraId="28E831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1.5乙方供货范围由甲方指定，乙方须无条件服从，否则视为乙方违约且甲方有权单方解除合同并安排其他单位供货。</w:t>
      </w:r>
    </w:p>
    <w:p w14:paraId="11632E2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sz w:val="28"/>
          <w:szCs w:val="28"/>
          <w:highlight w:val="none"/>
          <w:u w:val="none"/>
          <w:lang w:val="en-US" w:eastAsia="zh-CN"/>
        </w:rPr>
      </w:pPr>
      <w:bookmarkStart w:id="40" w:name="_Toc2954"/>
      <w:bookmarkStart w:id="41" w:name="_Toc13685"/>
      <w:bookmarkStart w:id="42" w:name="_Toc6223"/>
      <w:bookmarkStart w:id="43" w:name="_Toc12182"/>
      <w:r>
        <w:rPr>
          <w:rFonts w:hint="eastAsia" w:ascii="仿宋" w:hAnsi="仿宋" w:eastAsia="仿宋" w:cs="仿宋"/>
          <w:b/>
          <w:bCs/>
          <w:color w:val="auto"/>
          <w:sz w:val="28"/>
          <w:szCs w:val="28"/>
          <w:highlight w:val="none"/>
          <w:u w:val="none"/>
          <w:lang w:val="en-US" w:eastAsia="zh-CN"/>
        </w:rPr>
        <w:t>第二章、付款方式</w:t>
      </w:r>
      <w:bookmarkEnd w:id="40"/>
      <w:bookmarkEnd w:id="41"/>
      <w:bookmarkEnd w:id="42"/>
      <w:bookmarkEnd w:id="43"/>
    </w:p>
    <w:p w14:paraId="602E5D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☑办法一</w:t>
      </w:r>
    </w:p>
    <w:p w14:paraId="52B2A5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每月货款在该月起的第五个月底前付清（即五月份付一月份的货款，六月份付二月份的货款，依此类推）。乙方按合同约定的时间交齐当月对账资料且与甲方完成对账的，甲方则按合同约定时限完成付款，若乙方逾期交齐对账资料或完成对账，甲方付款时间则按完成对账月对应的付款节点支付。甲乙双方须每月对账并确认对账结果，对账结果须经甲方项目成本管理员签认。</w:t>
      </w:r>
    </w:p>
    <w:p w14:paraId="6060DFA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□办法二</w:t>
      </w:r>
    </w:p>
    <w:p w14:paraId="3DE308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u w:val="single"/>
          <w:lang w:val="en-US" w:eastAsia="zh-CN"/>
        </w:rPr>
        <w:t xml:space="preserve"> （根据与乙方议定的实际情况填写） 。</w:t>
      </w:r>
    </w:p>
    <w:p w14:paraId="2CFCA8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2.2付款形式：优先使用网银、银行承兑汇票等，支票、电汇视情况而定。甲方选择其中任</w:t>
      </w:r>
      <w:r>
        <w:rPr>
          <w:rFonts w:hint="eastAsia" w:ascii="仿宋" w:hAnsi="仿宋" w:eastAsia="仿宋" w:cs="仿宋"/>
          <w:color w:val="auto"/>
          <w:sz w:val="28"/>
          <w:szCs w:val="28"/>
          <w:highlight w:val="none"/>
          <w:lang w:val="en-US" w:eastAsia="zh-CN"/>
        </w:rPr>
        <w:t>意一种支付形式给乙方合同款，均视为乙方收到该货款。乙方可以接收银行承兑汇票的百分比为100%。</w:t>
      </w:r>
    </w:p>
    <w:p w14:paraId="611AE5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对账日期：乙方在每月25日前一次性提交上月25日至本月24日供货的对账资料至甲方项目部，并在同月28日前（遇节假日则顺延）与甲方完成对账，同月31日（如同月无31日，以同月30日为准）前开具发票给甲方。如乙方逾期交齐对账资料，则对账日期顺延至次月的25日至28日，次月乙方对账的同时须提供“延迟付款声明函”（格式详见附件），依此类推。例：乙方在5月25日前交齐4月25日至5月24日货款的对账资料给甲方项目部并在5月28日前完成对账，且在5月31日前甲方收到开票金额与对账金额一致的发票后，则甲方在9月30日前支付4月25日至5月24日货款。若乙方5月26日（或更迟）交齐4月25日至5月24日货款的对账资料给甲方，则4月25日至5月24日货款的对账时间顺延至6月25日至28日，付款顺延至10月31日前。）</w:t>
      </w:r>
    </w:p>
    <w:p w14:paraId="06E55F9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20" w:firstLineChars="150"/>
        <w:textAlignment w:val="auto"/>
        <w:outlineLvl w:val="1"/>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szCs w:val="28"/>
          <w:highlight w:val="none"/>
          <w:u w:val="none"/>
          <w:lang w:val="en-US" w:eastAsia="zh-CN"/>
        </w:rPr>
        <w:t>合同履约保证金及违约责任</w:t>
      </w:r>
    </w:p>
    <w:p w14:paraId="165F728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20" w:firstLineChars="150"/>
        <w:textAlignment w:val="auto"/>
        <w:outlineLvl w:val="1"/>
        <w:rPr>
          <w:rFonts w:hint="eastAsia" w:ascii="仿宋" w:hAnsi="仿宋" w:eastAsia="仿宋" w:cs="仿宋"/>
          <w:b w:val="0"/>
          <w:bCs w:val="0"/>
          <w:color w:val="auto"/>
          <w:kern w:val="2"/>
          <w:sz w:val="28"/>
          <w:szCs w:val="28"/>
          <w:highlight w:val="none"/>
          <w:u w:val="none"/>
          <w:shd w:val="clear" w:color="auto" w:fill="auto"/>
          <w:lang w:val="en-US" w:eastAsia="zh-CN" w:bidi="ar-SA"/>
        </w:rPr>
      </w:pPr>
      <w:r>
        <w:rPr>
          <w:rFonts w:hint="eastAsia" w:ascii="仿宋" w:hAnsi="仿宋" w:eastAsia="仿宋" w:cs="仿宋"/>
          <w:color w:val="auto"/>
          <w:sz w:val="28"/>
          <w:highlight w:val="none"/>
          <w:lang w:val="en-US" w:eastAsia="zh-CN"/>
        </w:rPr>
        <w:t>2.4.1</w:t>
      </w:r>
      <w:r>
        <w:rPr>
          <w:rFonts w:hint="eastAsia" w:ascii="仿宋" w:hAnsi="仿宋" w:eastAsia="仿宋" w:cs="仿宋"/>
          <w:color w:val="auto"/>
          <w:sz w:val="28"/>
          <w:szCs w:val="28"/>
          <w:highlight w:val="none"/>
          <w:u w:val="none"/>
          <w:lang w:val="en-US" w:eastAsia="zh-CN"/>
        </w:rPr>
        <w:t>本合同履约保证为人民币</w:t>
      </w:r>
      <w:r>
        <w:rPr>
          <w:rFonts w:hint="default" w:ascii="仿宋" w:hAnsi="仿宋" w:eastAsia="仿宋" w:cs="仿宋"/>
          <w:b/>
          <w:bCs/>
          <w:color w:val="auto"/>
          <w:sz w:val="28"/>
          <w:highlight w:val="none"/>
          <w:u w:val="single"/>
          <w:lang w:val="en-US" w:eastAsia="zh-CN"/>
        </w:rPr>
        <w:t xml:space="preserve"> </w:t>
      </w:r>
      <w:r>
        <w:rPr>
          <w:rFonts w:hint="eastAsia" w:ascii="仿宋" w:hAnsi="仿宋" w:eastAsia="仿宋" w:cs="仿宋"/>
          <w:b/>
          <w:bCs/>
          <w:color w:val="auto"/>
          <w:sz w:val="28"/>
          <w:highlight w:val="none"/>
          <w:u w:val="single"/>
          <w:lang w:val="en-US" w:eastAsia="zh-CN"/>
        </w:rPr>
        <w:t>伍万</w:t>
      </w:r>
      <w:r>
        <w:rPr>
          <w:rFonts w:hint="default" w:ascii="仿宋" w:hAnsi="仿宋" w:eastAsia="仿宋" w:cs="仿宋"/>
          <w:b/>
          <w:bCs/>
          <w:color w:val="auto"/>
          <w:sz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元整（由乙方的投标保证金无息转成），此履约保证金与甲乙双方签订的下述</w:t>
      </w:r>
      <w:r>
        <w:rPr>
          <w:rFonts w:hint="eastAsia" w:ascii="仿宋" w:hAnsi="仿宋" w:eastAsia="仿宋" w:cs="仿宋"/>
          <w:b w:val="0"/>
          <w:bCs w:val="0"/>
          <w:color w:val="auto"/>
          <w:kern w:val="2"/>
          <w:sz w:val="28"/>
          <w:szCs w:val="28"/>
          <w:highlight w:val="none"/>
          <w:u w:val="none"/>
          <w:shd w:val="clear" w:color="auto" w:fill="auto"/>
          <w:lang w:val="en-US" w:eastAsia="zh-CN" w:bidi="ar-SA"/>
        </w:rPr>
        <w:t>合同共用：</w:t>
      </w:r>
      <w:bookmarkStart w:id="219" w:name="_GoBack"/>
      <w:bookmarkEnd w:id="219"/>
    </w:p>
    <w:tbl>
      <w:tblPr>
        <w:tblStyle w:val="10"/>
        <w:tblW w:w="9713"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3"/>
      </w:tblGrid>
      <w:tr w14:paraId="5522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3" w:type="dxa"/>
          </w:tcPr>
          <w:p w14:paraId="28ACDA0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outlineLvl w:val="1"/>
              <w:rPr>
                <w:rFonts w:hint="eastAsia" w:ascii="仿宋" w:hAnsi="仿宋" w:eastAsia="仿宋" w:cs="仿宋"/>
                <w:b w:val="0"/>
                <w:bCs w:val="0"/>
                <w:color w:val="auto"/>
                <w:kern w:val="2"/>
                <w:sz w:val="24"/>
                <w:szCs w:val="24"/>
                <w:highlight w:val="none"/>
                <w:u w:val="none"/>
                <w:shd w:val="clear" w:color="auto" w:fill="auto"/>
                <w:vertAlign w:val="baseline"/>
                <w:lang w:val="en-US" w:eastAsia="zh-CN" w:bidi="ar-SA"/>
              </w:rPr>
            </w:pPr>
            <w:r>
              <w:rPr>
                <w:rFonts w:hint="default" w:ascii="仿宋" w:hAnsi="仿宋" w:eastAsia="仿宋" w:cs="仿宋"/>
                <w:color w:val="auto"/>
                <w:sz w:val="24"/>
                <w:szCs w:val="24"/>
                <w:highlight w:val="none"/>
                <w:u w:val="none"/>
                <w:lang w:val="en-US" w:eastAsia="zh-CN"/>
              </w:rPr>
              <w:t>玉林(福绵)节能环保产业园南部工业供水厂建设项目(二期5万吨/天)</w:t>
            </w:r>
            <w:r>
              <w:rPr>
                <w:rFonts w:hint="eastAsia" w:ascii="仿宋" w:hAnsi="仿宋" w:eastAsia="仿宋" w:cs="仿宋"/>
                <w:color w:val="auto"/>
                <w:sz w:val="24"/>
                <w:szCs w:val="24"/>
                <w:highlight w:val="none"/>
                <w:u w:val="none"/>
                <w:lang w:val="en-US" w:eastAsia="zh-CN"/>
              </w:rPr>
              <w:t>预拌混凝土</w:t>
            </w:r>
            <w:r>
              <w:rPr>
                <w:rFonts w:hint="eastAsia" w:ascii="仿宋" w:hAnsi="仿宋" w:eastAsia="仿宋" w:cs="仿宋"/>
                <w:color w:val="auto"/>
                <w:sz w:val="24"/>
                <w:szCs w:val="24"/>
                <w:highlight w:val="none"/>
                <w:u w:val="none"/>
                <w:lang w:val="en-US" w:eastAsia="zh-CN"/>
              </w:rPr>
              <w:t>购销合同</w:t>
            </w:r>
          </w:p>
        </w:tc>
      </w:tr>
      <w:tr w14:paraId="3DEE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3" w:type="dxa"/>
          </w:tcPr>
          <w:p w14:paraId="1F02D2B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outlineLvl w:val="1"/>
              <w:rPr>
                <w:rFonts w:hint="eastAsia" w:ascii="仿宋" w:hAnsi="仿宋" w:eastAsia="仿宋" w:cs="仿宋"/>
                <w:b w:val="0"/>
                <w:bCs w:val="0"/>
                <w:color w:val="auto"/>
                <w:kern w:val="2"/>
                <w:sz w:val="24"/>
                <w:szCs w:val="24"/>
                <w:highlight w:val="none"/>
                <w:u w:val="none"/>
                <w:shd w:val="clear" w:color="auto" w:fill="auto"/>
                <w:vertAlign w:val="baseline"/>
                <w:lang w:val="en-US" w:eastAsia="zh-CN" w:bidi="ar-SA"/>
              </w:rPr>
            </w:pPr>
            <w:r>
              <w:rPr>
                <w:rFonts w:hint="default" w:ascii="仿宋" w:hAnsi="仿宋" w:eastAsia="仿宋" w:cs="仿宋"/>
                <w:color w:val="auto"/>
                <w:sz w:val="24"/>
                <w:szCs w:val="24"/>
                <w:highlight w:val="none"/>
                <w:u w:val="none"/>
                <w:lang w:val="en-US" w:eastAsia="zh-CN"/>
              </w:rPr>
              <w:t>玉林(福绵)节能环保产业园南片区热电联产项目(一期)-二阶段</w:t>
            </w:r>
            <w:r>
              <w:rPr>
                <w:rFonts w:hint="eastAsia" w:ascii="仿宋" w:hAnsi="仿宋" w:eastAsia="仿宋" w:cs="仿宋"/>
                <w:color w:val="auto"/>
                <w:sz w:val="24"/>
                <w:szCs w:val="24"/>
                <w:highlight w:val="none"/>
                <w:u w:val="none"/>
                <w:lang w:val="en-US" w:eastAsia="zh-CN"/>
              </w:rPr>
              <w:t>预拌混凝土购销合同</w:t>
            </w:r>
          </w:p>
        </w:tc>
      </w:tr>
      <w:tr w14:paraId="4CD9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3" w:type="dxa"/>
          </w:tcPr>
          <w:p w14:paraId="462BE3F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outlineLvl w:val="1"/>
              <w:rPr>
                <w:rFonts w:hint="eastAsia" w:ascii="仿宋" w:hAnsi="仿宋" w:eastAsia="仿宋" w:cs="仿宋"/>
                <w:b w:val="0"/>
                <w:bCs w:val="0"/>
                <w:color w:val="auto"/>
                <w:kern w:val="2"/>
                <w:sz w:val="24"/>
                <w:szCs w:val="24"/>
                <w:highlight w:val="none"/>
                <w:u w:val="none"/>
                <w:shd w:val="clear" w:color="auto" w:fill="auto"/>
                <w:vertAlign w:val="baseline"/>
                <w:lang w:val="en-US" w:eastAsia="zh-CN" w:bidi="ar-SA"/>
              </w:rPr>
            </w:pPr>
            <w:r>
              <w:rPr>
                <w:rFonts w:hint="default" w:ascii="仿宋" w:hAnsi="仿宋" w:eastAsia="仿宋" w:cs="仿宋"/>
                <w:color w:val="auto"/>
                <w:sz w:val="24"/>
                <w:szCs w:val="24"/>
                <w:highlight w:val="none"/>
                <w:u w:val="none"/>
                <w:lang w:val="en-US" w:eastAsia="zh-CN"/>
              </w:rPr>
              <w:t>玉林(福绵)节能环保产业园南部污水处理厂及中水回用设施建设项目(一期一标段5</w:t>
            </w:r>
            <w:r>
              <w:rPr>
                <w:rFonts w:hint="eastAsia" w:ascii="仿宋" w:hAnsi="仿宋" w:eastAsia="仿宋" w:cs="仿宋"/>
                <w:color w:val="auto"/>
                <w:sz w:val="24"/>
                <w:szCs w:val="24"/>
                <w:highlight w:val="none"/>
                <w:u w:val="none"/>
                <w:lang w:val="en-US" w:eastAsia="zh-CN"/>
              </w:rPr>
              <w:t>万</w:t>
            </w:r>
            <w:r>
              <w:rPr>
                <w:rFonts w:hint="default" w:ascii="仿宋" w:hAnsi="仿宋" w:eastAsia="仿宋" w:cs="仿宋"/>
                <w:color w:val="auto"/>
                <w:sz w:val="24"/>
                <w:szCs w:val="24"/>
                <w:highlight w:val="none"/>
                <w:u w:val="none"/>
                <w:lang w:val="en-US" w:eastAsia="zh-CN"/>
              </w:rPr>
              <w:t>吨/天)-3#污泥浓缩池</w:t>
            </w:r>
            <w:r>
              <w:rPr>
                <w:rFonts w:hint="eastAsia" w:ascii="仿宋" w:hAnsi="仿宋" w:eastAsia="仿宋" w:cs="仿宋"/>
                <w:color w:val="auto"/>
                <w:sz w:val="24"/>
                <w:szCs w:val="24"/>
                <w:highlight w:val="none"/>
                <w:u w:val="none"/>
                <w:lang w:val="en-US" w:eastAsia="zh-CN"/>
              </w:rPr>
              <w:t>预拌混凝土购销合同</w:t>
            </w:r>
          </w:p>
        </w:tc>
      </w:tr>
      <w:tr w14:paraId="3C5D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3" w:type="dxa"/>
          </w:tcPr>
          <w:p w14:paraId="7E404F6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outlineLvl w:val="1"/>
              <w:rPr>
                <w:rFonts w:hint="eastAsia" w:ascii="仿宋" w:hAnsi="仿宋" w:eastAsia="仿宋" w:cs="仿宋"/>
                <w:b w:val="0"/>
                <w:bCs w:val="0"/>
                <w:color w:val="auto"/>
                <w:kern w:val="2"/>
                <w:sz w:val="24"/>
                <w:szCs w:val="24"/>
                <w:highlight w:val="none"/>
                <w:u w:val="none"/>
                <w:shd w:val="clear" w:color="auto" w:fill="auto"/>
                <w:vertAlign w:val="baseline"/>
                <w:lang w:val="en-US" w:eastAsia="zh-CN" w:bidi="ar-SA"/>
              </w:rPr>
            </w:pPr>
            <w:r>
              <w:rPr>
                <w:rFonts w:hint="default" w:ascii="仿宋" w:hAnsi="仿宋" w:eastAsia="仿宋" w:cs="仿宋"/>
                <w:color w:val="auto"/>
                <w:sz w:val="24"/>
                <w:szCs w:val="24"/>
                <w:highlight w:val="none"/>
                <w:u w:val="none"/>
                <w:lang w:val="en-US" w:eastAsia="zh-CN"/>
              </w:rPr>
              <w:t>玉林（福绵）节能环保产业园南部污水处理厂及中水回用设施建设项目（一期二标段5万吨/天）</w:t>
            </w:r>
            <w:r>
              <w:rPr>
                <w:rFonts w:hint="eastAsia" w:ascii="仿宋" w:hAnsi="仿宋" w:eastAsia="仿宋" w:cs="仿宋"/>
                <w:color w:val="auto"/>
                <w:sz w:val="24"/>
                <w:szCs w:val="24"/>
                <w:highlight w:val="none"/>
                <w:u w:val="none"/>
                <w:lang w:val="en-US" w:eastAsia="zh-CN"/>
              </w:rPr>
              <w:t>预拌混凝土购销合同</w:t>
            </w:r>
          </w:p>
        </w:tc>
      </w:tr>
    </w:tbl>
    <w:p w14:paraId="4B004BB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20" w:firstLineChars="150"/>
        <w:textAlignment w:val="auto"/>
        <w:outlineLvl w:val="1"/>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2.4.2乙方履行上述任一合同出现违约情形时，甲方有权在本合同履约保证金内提取相应款项作为违约金（若履约保证金不足，乙方须自甲方要求之日起十天内向甲方补足）。如乙方原因致使上述任一合同无法履行，本合同履约保证金全额不予返还，且甲方有权立即单方解除上述合同，乙方须承担因此产生的一切法律后果及赔偿甲方所有的经济损失。如乙方在合同履行期间无违约行为，则上述最晚进行首次交货的合同完成首批产品收货、验收合格后，甲方无息原路退回剩余的履约保证金。</w:t>
      </w:r>
    </w:p>
    <w:p w14:paraId="6140EFE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20" w:firstLineChars="150"/>
        <w:textAlignment w:val="auto"/>
        <w:outlineLvl w:val="1"/>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2.4.3乙方履行上述任一合同出现违约情形时，甲方可从本合同的合同款中扣款作为被违约合同的违约金给甲方。当甲方单方终止上述任一合同时，甲方有权同时单方终止本合同，由此产生的所有损失和后果由乙方承担。  </w:t>
      </w:r>
    </w:p>
    <w:p w14:paraId="3B151EAD">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default" w:ascii="仿宋" w:hAnsi="仿宋" w:eastAsia="仿宋" w:cs="仿宋"/>
          <w:b/>
          <w:bCs/>
          <w:color w:val="auto"/>
          <w:sz w:val="28"/>
          <w:szCs w:val="28"/>
          <w:highlight w:val="none"/>
          <w:u w:val="none"/>
          <w:lang w:val="en-US" w:eastAsia="zh-CN"/>
        </w:rPr>
      </w:pPr>
      <w:bookmarkStart w:id="44" w:name="_Toc7339"/>
      <w:bookmarkStart w:id="45" w:name="_Toc22304"/>
      <w:bookmarkStart w:id="46" w:name="_Toc9514"/>
      <w:r>
        <w:rPr>
          <w:rFonts w:hint="eastAsia" w:ascii="仿宋" w:hAnsi="仿宋" w:eastAsia="仿宋" w:cs="仿宋"/>
          <w:b/>
          <w:bCs/>
          <w:color w:val="auto"/>
          <w:sz w:val="28"/>
          <w:szCs w:val="28"/>
          <w:highlight w:val="none"/>
          <w:u w:val="none"/>
          <w:lang w:val="en-US" w:eastAsia="zh-CN"/>
        </w:rPr>
        <w:t>第三章、交货</w:t>
      </w:r>
      <w:bookmarkEnd w:id="44"/>
      <w:bookmarkEnd w:id="45"/>
      <w:bookmarkEnd w:id="46"/>
    </w:p>
    <w:p w14:paraId="42D2A8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47" w:name="_Toc29652"/>
      <w:bookmarkStart w:id="48" w:name="_Toc32105"/>
      <w:bookmarkStart w:id="49" w:name="_Toc14225"/>
      <w:bookmarkStart w:id="50" w:name="_Toc1140"/>
      <w:r>
        <w:rPr>
          <w:rFonts w:hint="eastAsia" w:ascii="仿宋" w:hAnsi="仿宋" w:eastAsia="仿宋" w:cs="仿宋"/>
          <w:color w:val="auto"/>
          <w:sz w:val="28"/>
          <w:highlight w:val="none"/>
          <w:lang w:val="en-US" w:eastAsia="zh-CN"/>
        </w:rPr>
        <w:t>3.1交货地点</w:t>
      </w:r>
      <w:r>
        <w:rPr>
          <w:rFonts w:hint="eastAsia" w:ascii="仿宋" w:hAnsi="仿宋" w:eastAsia="仿宋" w:cs="仿宋"/>
          <w:color w:val="auto"/>
          <w:sz w:val="28"/>
          <w:highlight w:val="none"/>
          <w:u w:val="single"/>
          <w:lang w:val="en-US" w:eastAsia="zh-CN"/>
        </w:rPr>
        <w:t xml:space="preserve">：玉林(福绵)节能环保产业园  </w:t>
      </w:r>
      <w:r>
        <w:rPr>
          <w:rFonts w:hint="eastAsia" w:ascii="仿宋" w:hAnsi="仿宋" w:eastAsia="仿宋" w:cs="仿宋"/>
          <w:color w:val="auto"/>
          <w:sz w:val="28"/>
          <w:highlight w:val="none"/>
          <w:lang w:val="en-US" w:eastAsia="zh-CN"/>
        </w:rPr>
        <w:t>甲方指定地点。</w:t>
      </w:r>
      <w:bookmarkEnd w:id="47"/>
      <w:bookmarkEnd w:id="48"/>
      <w:bookmarkEnd w:id="49"/>
      <w:bookmarkEnd w:id="50"/>
      <w:r>
        <w:rPr>
          <w:rFonts w:hint="eastAsia" w:ascii="仿宋" w:hAnsi="仿宋" w:eastAsia="仿宋" w:cs="仿宋"/>
          <w:color w:val="auto"/>
          <w:sz w:val="28"/>
          <w:highlight w:val="none"/>
          <w:lang w:val="en-US" w:eastAsia="zh-CN"/>
        </w:rPr>
        <w:tab/>
      </w:r>
    </w:p>
    <w:p w14:paraId="197AC6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3.2交货</w:t>
      </w:r>
      <w:r>
        <w:rPr>
          <w:rFonts w:hint="eastAsia" w:ascii="仿宋" w:hAnsi="仿宋" w:eastAsia="仿宋" w:cs="仿宋"/>
          <w:color w:val="auto"/>
          <w:sz w:val="28"/>
          <w:szCs w:val="28"/>
          <w:highlight w:val="none"/>
        </w:rPr>
        <w:t>期限</w:t>
      </w:r>
      <w:r>
        <w:rPr>
          <w:rFonts w:hint="eastAsia" w:ascii="仿宋" w:hAnsi="仿宋" w:eastAsia="仿宋" w:cs="仿宋"/>
          <w:color w:val="auto"/>
          <w:sz w:val="28"/>
          <w:szCs w:val="28"/>
          <w:highlight w:val="none"/>
          <w:lang w:eastAsia="zh-CN"/>
        </w:rPr>
        <w:t>：乙方自</w:t>
      </w:r>
      <w:r>
        <w:rPr>
          <w:rFonts w:hint="eastAsia" w:ascii="仿宋" w:hAnsi="仿宋" w:eastAsia="仿宋" w:cs="仿宋"/>
          <w:color w:val="auto"/>
          <w:sz w:val="28"/>
          <w:szCs w:val="28"/>
          <w:highlight w:val="none"/>
          <w:lang w:val="en-US" w:eastAsia="zh-CN"/>
        </w:rPr>
        <w:t>甲方通知起</w:t>
      </w:r>
      <w:r>
        <w:rPr>
          <w:rFonts w:hint="eastAsia" w:ascii="仿宋" w:hAnsi="仿宋" w:eastAsia="仿宋" w:cs="仿宋"/>
          <w:color w:val="auto"/>
          <w:sz w:val="28"/>
          <w:szCs w:val="28"/>
          <w:highlight w:val="none"/>
          <w:u w:val="single"/>
          <w:lang w:val="en-US" w:eastAsia="zh-CN"/>
        </w:rPr>
        <w:t xml:space="preserve"> （按定标结果填写） </w:t>
      </w:r>
      <w:r>
        <w:rPr>
          <w:rFonts w:hint="eastAsia" w:ascii="仿宋" w:hAnsi="仿宋" w:eastAsia="仿宋" w:cs="仿宋"/>
          <w:color w:val="auto"/>
          <w:sz w:val="28"/>
          <w:szCs w:val="28"/>
          <w:highlight w:val="none"/>
          <w:lang w:val="en-US" w:eastAsia="zh-CN"/>
        </w:rPr>
        <w:t>分钟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把</w:t>
      </w:r>
      <w:r>
        <w:rPr>
          <w:rFonts w:hint="eastAsia" w:ascii="仿宋" w:hAnsi="仿宋" w:eastAsia="仿宋" w:cs="仿宋"/>
          <w:color w:val="auto"/>
          <w:sz w:val="28"/>
          <w:szCs w:val="28"/>
          <w:highlight w:val="none"/>
          <w:lang w:val="en-US" w:eastAsia="zh-CN"/>
        </w:rPr>
        <w:t>订单对</w:t>
      </w:r>
      <w:r>
        <w:rPr>
          <w:rFonts w:hint="eastAsia" w:ascii="仿宋" w:hAnsi="仿宋" w:eastAsia="仿宋" w:cs="仿宋"/>
          <w:color w:val="auto"/>
          <w:sz w:val="28"/>
          <w:highlight w:val="none"/>
          <w:lang w:val="en-US" w:eastAsia="zh-CN"/>
        </w:rPr>
        <w:t>应的该批产品送齐至交货地点。</w:t>
      </w:r>
    </w:p>
    <w:p w14:paraId="0766DB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3.3订单确认方式：甲方在产品使用之日的前一个日历天17：00前，将符合甲方相关制度规定、有甲方相关人员签字完善的“物料申购单”（格式详见附件）发送给合同约定的乙方合同执行代表。甲方发送方式包括但不限于传真、短信、微信等方式。</w:t>
      </w:r>
    </w:p>
    <w:p w14:paraId="6AC535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kern w:val="2"/>
          <w:sz w:val="28"/>
          <w:szCs w:val="28"/>
          <w:highlight w:val="none"/>
          <w:u w:val="none"/>
          <w:lang w:val="en-US" w:eastAsia="zh-CN" w:bidi="ar-SA"/>
        </w:rPr>
      </w:pPr>
      <w:bookmarkStart w:id="51" w:name="_Toc21565"/>
      <w:bookmarkStart w:id="52" w:name="_Toc18701"/>
      <w:bookmarkStart w:id="53" w:name="_Toc6165"/>
      <w:r>
        <w:rPr>
          <w:rFonts w:hint="eastAsia" w:ascii="仿宋" w:hAnsi="仿宋" w:eastAsia="仿宋" w:cs="仿宋"/>
          <w:b/>
          <w:bCs/>
          <w:color w:val="auto"/>
          <w:kern w:val="2"/>
          <w:sz w:val="28"/>
          <w:szCs w:val="28"/>
          <w:highlight w:val="none"/>
          <w:u w:val="none"/>
          <w:lang w:val="en-US" w:eastAsia="zh-CN" w:bidi="ar-SA"/>
        </w:rPr>
        <w:t>第四章、甲乙双方联系人</w:t>
      </w:r>
      <w:bookmarkEnd w:id="51"/>
      <w:bookmarkEnd w:id="52"/>
      <w:bookmarkEnd w:id="53"/>
    </w:p>
    <w:p w14:paraId="7C6C12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4.1甲方联系人</w:t>
      </w:r>
    </w:p>
    <w:p w14:paraId="0808F9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甲方指定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莫龙（联系电话：13751400863</w:t>
      </w:r>
      <w:r>
        <w:rPr>
          <w:rFonts w:hint="eastAsia" w:ascii="仿宋" w:hAnsi="仿宋" w:eastAsia="仿宋" w:cs="仿宋"/>
          <w:color w:val="auto"/>
          <w:sz w:val="28"/>
          <w:highlight w:val="none"/>
          <w:u w:val="single"/>
          <w:lang w:val="en-US" w:eastAsia="zh-CN"/>
        </w:rPr>
        <w:t>）</w:t>
      </w:r>
      <w:r>
        <w:rPr>
          <w:rFonts w:hint="eastAsia" w:ascii="仿宋" w:hAnsi="仿宋" w:eastAsia="仿宋" w:cs="仿宋"/>
          <w:color w:val="auto"/>
          <w:sz w:val="28"/>
          <w:highlight w:val="none"/>
          <w:lang w:val="en-US" w:eastAsia="zh-CN"/>
        </w:rPr>
        <w:t>为本合同甲方执行联系人，指定</w:t>
      </w:r>
      <w:r>
        <w:rPr>
          <w:rFonts w:hint="eastAsia" w:ascii="仿宋" w:hAnsi="仿宋" w:eastAsia="仿宋" w:cs="仿宋"/>
          <w:color w:val="auto"/>
          <w:sz w:val="28"/>
          <w:highlight w:val="none"/>
          <w:u w:val="single"/>
          <w:lang w:val="en-US" w:eastAsia="zh-CN"/>
        </w:rPr>
        <w:t xml:space="preserve"> （待定） </w:t>
      </w:r>
      <w:r>
        <w:rPr>
          <w:rFonts w:hint="eastAsia" w:ascii="仿宋" w:hAnsi="仿宋" w:eastAsia="仿宋" w:cs="仿宋"/>
          <w:color w:val="auto"/>
          <w:sz w:val="28"/>
          <w:highlight w:val="none"/>
          <w:lang w:val="en-US" w:eastAsia="zh-CN"/>
        </w:rPr>
        <w:t>为产品签收人，联系电话:</w:t>
      </w:r>
      <w:r>
        <w:rPr>
          <w:rFonts w:hint="eastAsia" w:ascii="仿宋" w:hAnsi="仿宋" w:eastAsia="仿宋" w:cs="仿宋"/>
          <w:color w:val="auto"/>
          <w:sz w:val="28"/>
          <w:highlight w:val="none"/>
          <w:u w:val="single"/>
          <w:lang w:val="en-US" w:eastAsia="zh-CN"/>
        </w:rPr>
        <w:t xml:space="preserve"> （待定） </w:t>
      </w:r>
      <w:r>
        <w:rPr>
          <w:rFonts w:hint="eastAsia" w:ascii="仿宋" w:hAnsi="仿宋" w:eastAsia="仿宋" w:cs="仿宋"/>
          <w:color w:val="auto"/>
          <w:sz w:val="28"/>
          <w:highlight w:val="none"/>
          <w:lang w:val="en-US" w:eastAsia="zh-CN"/>
        </w:rPr>
        <w:t>。未经甲方加盖公章确认，甲方项目负责人及合同执行联系人、签约代表及其他职员均无权代表甲方做出减损、放弃甲方权利、乙方义务、乙方责任的行为，也无权做出增加甲方义务的行为。</w:t>
      </w:r>
    </w:p>
    <w:p w14:paraId="4219CE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4.2乙方联系人</w:t>
      </w:r>
    </w:p>
    <w:p w14:paraId="349613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乙方指定</w:t>
      </w:r>
      <w:r>
        <w:rPr>
          <w:rFonts w:hint="eastAsia" w:ascii="仿宋" w:hAnsi="仿宋" w:eastAsia="仿宋" w:cs="仿宋"/>
          <w:color w:val="auto"/>
          <w:sz w:val="28"/>
          <w:highlight w:val="none"/>
          <w:u w:val="single"/>
          <w:lang w:val="en-US" w:eastAsia="zh-CN"/>
        </w:rPr>
        <w:t xml:space="preserve">   （身份证号码：        ；手机号码：    ；电子邮箱：    ；微信号：     ）</w:t>
      </w:r>
      <w:r>
        <w:rPr>
          <w:rFonts w:hint="eastAsia" w:ascii="仿宋" w:hAnsi="仿宋" w:eastAsia="仿宋" w:cs="仿宋"/>
          <w:color w:val="auto"/>
          <w:sz w:val="28"/>
          <w:highlight w:val="none"/>
          <w:lang w:val="en-US" w:eastAsia="zh-CN"/>
        </w:rPr>
        <w:t>作为其授权代表，在本合同有效期内执行与本合同有关的事项。</w:t>
      </w:r>
    </w:p>
    <w:p w14:paraId="2D0C42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乙方指定</w:t>
      </w:r>
      <w:r>
        <w:rPr>
          <w:rFonts w:hint="eastAsia" w:ascii="仿宋" w:hAnsi="仿宋" w:eastAsia="仿宋" w:cs="仿宋"/>
          <w:color w:val="auto"/>
          <w:sz w:val="28"/>
          <w:highlight w:val="none"/>
          <w:u w:val="single"/>
          <w:lang w:val="en-US" w:eastAsia="zh-CN"/>
        </w:rPr>
        <w:t xml:space="preserve">  （身份证号码：    ；手机号码：    ；电子邮箱：    ；微信号：   ）</w:t>
      </w:r>
      <w:r>
        <w:rPr>
          <w:rFonts w:hint="eastAsia" w:ascii="仿宋" w:hAnsi="仿宋" w:eastAsia="仿宋" w:cs="仿宋"/>
          <w:color w:val="auto"/>
          <w:sz w:val="28"/>
          <w:highlight w:val="none"/>
          <w:lang w:val="en-US" w:eastAsia="zh-CN"/>
        </w:rPr>
        <w:t>为本合同的乙方现场负责人，合同有效期内其为乙方授权处理本项目施工现场相关事项代表，负责与甲方项目现场的工作签认、安排等全部事务。</w:t>
      </w:r>
    </w:p>
    <w:p w14:paraId="2A4CD0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p>
    <w:p w14:paraId="79FB4E0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乙方(盖章):  </w:t>
      </w:r>
    </w:p>
    <w:p w14:paraId="13A7F76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p>
    <w:p w14:paraId="6C75841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签约代表: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签约代表:</w:t>
      </w:r>
    </w:p>
    <w:p w14:paraId="41B9532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shd w:val="clear" w:color="auto" w:fill="auto"/>
        </w:rPr>
        <w:t>91441900732168546R</w:t>
      </w:r>
      <w:r>
        <w:rPr>
          <w:rFonts w:hint="eastAsia" w:ascii="仿宋" w:hAnsi="仿宋" w:eastAsia="仿宋" w:cs="仿宋"/>
          <w:b/>
          <w:bCs/>
          <w:color w:val="auto"/>
          <w:sz w:val="24"/>
          <w:szCs w:val="24"/>
          <w:highlight w:val="none"/>
          <w:shd w:val="clear" w:color="auto" w:fill="auto"/>
        </w:rPr>
        <w:tab/>
      </w:r>
      <w:r>
        <w:rPr>
          <w:rFonts w:hint="eastAsia" w:ascii="仿宋" w:hAnsi="仿宋" w:eastAsia="仿宋" w:cs="仿宋"/>
          <w:b/>
          <w:bCs/>
          <w:color w:val="auto"/>
          <w:sz w:val="24"/>
          <w:szCs w:val="24"/>
          <w:highlight w:val="none"/>
          <w:shd w:val="clear" w:color="auto" w:fill="auto"/>
        </w:rPr>
        <w:tab/>
      </w:r>
      <w:r>
        <w:rPr>
          <w:rFonts w:hint="eastAsia" w:ascii="仿宋" w:hAnsi="仿宋" w:eastAsia="仿宋" w:cs="仿宋"/>
          <w:b/>
          <w:bCs/>
          <w:color w:val="auto"/>
          <w:sz w:val="24"/>
          <w:szCs w:val="24"/>
          <w:highlight w:val="none"/>
          <w:shd w:val="clear" w:color="auto" w:fill="auto"/>
          <w:lang w:val="en-US" w:eastAsia="zh-CN"/>
        </w:rPr>
        <w:t xml:space="preserve">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shd w:val="clear" w:color="auto" w:fill="auto"/>
        </w:rPr>
        <w:tab/>
      </w:r>
    </w:p>
    <w:p w14:paraId="310AD3E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账  号：548000013639239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p>
    <w:p w14:paraId="694A178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开户行：               </w:t>
      </w:r>
    </w:p>
    <w:p w14:paraId="02D3C6D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地 址：广东省东莞市南城街道鸿福路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  址：</w:t>
      </w:r>
    </w:p>
    <w:p w14:paraId="641FC38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1AEE63D0">
      <w:pPr>
        <w:spacing w:line="240" w:lineRule="auto"/>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  话:</w:t>
      </w:r>
    </w:p>
    <w:p w14:paraId="73DDA862">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【甲方人员如有营私舞弊、吃拿卡要等损害乙方合法权益的行为，乙方可拨打投诉专线 4000968086或发邮件至投诉邮箱:zhglzx@nanfeng.cn，也可至广东省东莞市南城街道鸿福路 106 号南峰中心 12楼内控中心办公室面诉。】</w:t>
      </w:r>
      <w:bookmarkStart w:id="54" w:name="_Toc3944"/>
      <w:bookmarkStart w:id="55" w:name="_Toc28683"/>
      <w:bookmarkStart w:id="56" w:name="_Toc11314"/>
    </w:p>
    <w:p w14:paraId="03B16495">
      <w:pPr>
        <w:spacing w:line="240" w:lineRule="auto"/>
        <w:rPr>
          <w:rFonts w:hint="eastAsia" w:ascii="仿宋" w:hAnsi="仿宋" w:eastAsia="仿宋" w:cs="仿宋"/>
          <w:b/>
          <w:bCs/>
          <w:color w:val="auto"/>
          <w:sz w:val="24"/>
          <w:szCs w:val="24"/>
          <w:highlight w:val="none"/>
          <w:lang w:val="en-US" w:eastAsia="zh-CN"/>
        </w:rPr>
      </w:pPr>
    </w:p>
    <w:p w14:paraId="63223202">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sz w:val="28"/>
          <w:szCs w:val="28"/>
          <w:highlight w:val="none"/>
          <w:lang w:val="en-US" w:eastAsia="zh-CN"/>
        </w:rPr>
      </w:pPr>
      <w:bookmarkStart w:id="57" w:name="_Toc27333"/>
      <w:r>
        <w:rPr>
          <w:rFonts w:hint="eastAsia" w:ascii="仿宋" w:hAnsi="仿宋" w:eastAsia="仿宋" w:cs="仿宋"/>
          <w:b/>
          <w:bCs/>
          <w:color w:val="auto"/>
          <w:kern w:val="2"/>
          <w:sz w:val="32"/>
          <w:szCs w:val="32"/>
          <w:highlight w:val="none"/>
          <w:shd w:val="clear" w:fill="auto"/>
          <w:vertAlign w:val="baseline"/>
          <w:lang w:val="en-US" w:eastAsia="zh-CN" w:bidi="ar-SA"/>
        </w:rPr>
        <w:t xml:space="preserve">第二部分 </w:t>
      </w:r>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合同专用条款</w:t>
      </w:r>
      <w:bookmarkEnd w:id="54"/>
      <w:bookmarkEnd w:id="55"/>
      <w:bookmarkEnd w:id="56"/>
      <w:bookmarkEnd w:id="57"/>
    </w:p>
    <w:p w14:paraId="30C137B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58" w:name="_Toc21950"/>
      <w:bookmarkStart w:id="59" w:name="_Toc9158"/>
      <w:bookmarkStart w:id="60" w:name="_Toc22893"/>
      <w:bookmarkStart w:id="61" w:name="_Toc27625"/>
      <w:r>
        <w:rPr>
          <w:rFonts w:hint="eastAsia" w:ascii="仿宋" w:hAnsi="仿宋" w:eastAsia="仿宋" w:cs="仿宋"/>
          <w:b/>
          <w:bCs/>
          <w:color w:val="auto"/>
          <w:sz w:val="28"/>
          <w:szCs w:val="28"/>
          <w:highlight w:val="none"/>
          <w:lang w:val="en-US" w:eastAsia="zh-CN"/>
        </w:rPr>
        <w:t>第一章、计量方法</w:t>
      </w:r>
      <w:bookmarkEnd w:id="38"/>
      <w:bookmarkEnd w:id="39"/>
      <w:bookmarkEnd w:id="58"/>
      <w:bookmarkEnd w:id="59"/>
      <w:bookmarkEnd w:id="60"/>
      <w:bookmarkEnd w:id="61"/>
    </w:p>
    <w:p w14:paraId="47A837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1.1计量单位：立方米（m³），取值：四舍五入小数点后取两位，运输方式：车运，产品须在本项目现场过磅称重验收。</w:t>
      </w:r>
    </w:p>
    <w:p w14:paraId="5025CD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1.2数量计算公式：净重÷容重比=数量（例：某车规格C30混凝土过磅净重17000Kg，则该车产品结算数量：17000Kg÷2367Kg/m³=7.18m³）。</w:t>
      </w:r>
    </w:p>
    <w:p w14:paraId="37C66D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1.3容重比标准：按表一执行。</w:t>
      </w:r>
    </w:p>
    <w:p w14:paraId="3845E71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center"/>
        <w:textAlignment w:val="auto"/>
        <w:rPr>
          <w:rFonts w:hint="default" w:ascii="仿宋" w:hAnsi="仿宋" w:eastAsia="仿宋" w:cs="仿宋"/>
          <w:color w:val="auto"/>
          <w:highlight w:val="none"/>
          <w:lang w:val="en-US"/>
        </w:rPr>
      </w:pPr>
      <w:r>
        <w:rPr>
          <w:rFonts w:hint="eastAsia" w:ascii="仿宋" w:hAnsi="仿宋" w:eastAsia="仿宋" w:cs="仿宋"/>
          <w:color w:val="auto"/>
          <w:sz w:val="28"/>
          <w:szCs w:val="28"/>
          <w:highlight w:val="none"/>
          <w:lang w:val="en-US" w:eastAsia="zh-CN"/>
        </w:rPr>
        <w:t>表一</w:t>
      </w:r>
    </w:p>
    <w:tbl>
      <w:tblPr>
        <w:tblStyle w:val="10"/>
        <w:tblW w:w="4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327"/>
        <w:gridCol w:w="1728"/>
        <w:gridCol w:w="2270"/>
      </w:tblGrid>
      <w:tr w14:paraId="64A9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49D8E6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强度等级</w:t>
            </w:r>
          </w:p>
        </w:tc>
        <w:tc>
          <w:tcPr>
            <w:tcW w:w="1521" w:type="pct"/>
            <w:noWrap w:val="0"/>
            <w:vAlign w:val="center"/>
          </w:tcPr>
          <w:p w14:paraId="35A186B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容重比</w:t>
            </w:r>
          </w:p>
          <w:p w14:paraId="787552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（Kg/m³）</w:t>
            </w:r>
          </w:p>
        </w:tc>
        <w:tc>
          <w:tcPr>
            <w:tcW w:w="1130" w:type="pct"/>
            <w:noWrap w:val="0"/>
            <w:vAlign w:val="center"/>
          </w:tcPr>
          <w:p w14:paraId="246689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强度等级</w:t>
            </w:r>
          </w:p>
        </w:tc>
        <w:tc>
          <w:tcPr>
            <w:tcW w:w="1484" w:type="pct"/>
            <w:noWrap w:val="0"/>
            <w:vAlign w:val="center"/>
          </w:tcPr>
          <w:p w14:paraId="1F12DB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容重比</w:t>
            </w:r>
          </w:p>
          <w:p w14:paraId="0BFE5B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（Kg/m³）</w:t>
            </w:r>
          </w:p>
        </w:tc>
      </w:tr>
      <w:tr w14:paraId="0587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63" w:type="pct"/>
            <w:noWrap w:val="0"/>
            <w:vAlign w:val="center"/>
          </w:tcPr>
          <w:p w14:paraId="2A26C9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C10</w:t>
            </w:r>
          </w:p>
        </w:tc>
        <w:tc>
          <w:tcPr>
            <w:tcW w:w="1521" w:type="pct"/>
            <w:noWrap w:val="0"/>
            <w:vAlign w:val="center"/>
          </w:tcPr>
          <w:p w14:paraId="36EC20E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2345</w:t>
            </w:r>
          </w:p>
        </w:tc>
        <w:tc>
          <w:tcPr>
            <w:tcW w:w="1130" w:type="pct"/>
            <w:noWrap w:val="0"/>
            <w:vAlign w:val="center"/>
          </w:tcPr>
          <w:p w14:paraId="1D2B64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C45</w:t>
            </w:r>
          </w:p>
        </w:tc>
        <w:tc>
          <w:tcPr>
            <w:tcW w:w="1484" w:type="pct"/>
            <w:noWrap w:val="0"/>
            <w:vAlign w:val="center"/>
          </w:tcPr>
          <w:p w14:paraId="6F1005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2380</w:t>
            </w:r>
          </w:p>
        </w:tc>
      </w:tr>
      <w:tr w14:paraId="523E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45114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C15</w:t>
            </w:r>
          </w:p>
        </w:tc>
        <w:tc>
          <w:tcPr>
            <w:tcW w:w="1521" w:type="pct"/>
            <w:noWrap w:val="0"/>
            <w:vAlign w:val="center"/>
          </w:tcPr>
          <w:p w14:paraId="3A5512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2350</w:t>
            </w:r>
          </w:p>
        </w:tc>
        <w:tc>
          <w:tcPr>
            <w:tcW w:w="1130" w:type="pct"/>
            <w:noWrap w:val="0"/>
            <w:vAlign w:val="center"/>
          </w:tcPr>
          <w:p w14:paraId="1EE085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C50</w:t>
            </w:r>
          </w:p>
        </w:tc>
        <w:tc>
          <w:tcPr>
            <w:tcW w:w="1484" w:type="pct"/>
            <w:noWrap w:val="0"/>
            <w:vAlign w:val="center"/>
          </w:tcPr>
          <w:p w14:paraId="4F5D2C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2387</w:t>
            </w:r>
          </w:p>
        </w:tc>
      </w:tr>
      <w:tr w14:paraId="5962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17BF5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C20</w:t>
            </w:r>
          </w:p>
        </w:tc>
        <w:tc>
          <w:tcPr>
            <w:tcW w:w="1521" w:type="pct"/>
            <w:noWrap w:val="0"/>
            <w:vAlign w:val="center"/>
          </w:tcPr>
          <w:p w14:paraId="18F97D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2354</w:t>
            </w:r>
          </w:p>
        </w:tc>
        <w:tc>
          <w:tcPr>
            <w:tcW w:w="1130" w:type="pct"/>
            <w:noWrap w:val="0"/>
            <w:vAlign w:val="center"/>
          </w:tcPr>
          <w:p w14:paraId="3AD348D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C15细石</w:t>
            </w:r>
          </w:p>
        </w:tc>
        <w:tc>
          <w:tcPr>
            <w:tcW w:w="1484" w:type="pct"/>
            <w:noWrap w:val="0"/>
            <w:vAlign w:val="center"/>
          </w:tcPr>
          <w:p w14:paraId="343AD9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2351</w:t>
            </w:r>
          </w:p>
        </w:tc>
      </w:tr>
      <w:tr w14:paraId="419C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5D6E61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C25</w:t>
            </w:r>
          </w:p>
        </w:tc>
        <w:tc>
          <w:tcPr>
            <w:tcW w:w="1521" w:type="pct"/>
            <w:noWrap w:val="0"/>
            <w:vAlign w:val="center"/>
          </w:tcPr>
          <w:p w14:paraId="087849F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2362</w:t>
            </w:r>
          </w:p>
        </w:tc>
        <w:tc>
          <w:tcPr>
            <w:tcW w:w="1130" w:type="pct"/>
            <w:noWrap w:val="0"/>
            <w:vAlign w:val="center"/>
          </w:tcPr>
          <w:p w14:paraId="7A26C6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C20细石</w:t>
            </w:r>
          </w:p>
        </w:tc>
        <w:tc>
          <w:tcPr>
            <w:tcW w:w="1484" w:type="pct"/>
            <w:noWrap w:val="0"/>
            <w:vAlign w:val="center"/>
          </w:tcPr>
          <w:p w14:paraId="55DB71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2357</w:t>
            </w:r>
          </w:p>
        </w:tc>
      </w:tr>
      <w:tr w14:paraId="2A90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90E78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C30</w:t>
            </w:r>
          </w:p>
        </w:tc>
        <w:tc>
          <w:tcPr>
            <w:tcW w:w="1521" w:type="pct"/>
            <w:noWrap w:val="0"/>
            <w:vAlign w:val="center"/>
          </w:tcPr>
          <w:p w14:paraId="70244C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2368</w:t>
            </w:r>
          </w:p>
        </w:tc>
        <w:tc>
          <w:tcPr>
            <w:tcW w:w="1130" w:type="pct"/>
            <w:noWrap w:val="0"/>
            <w:vAlign w:val="center"/>
          </w:tcPr>
          <w:p w14:paraId="47EE0C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C25细石</w:t>
            </w:r>
          </w:p>
        </w:tc>
        <w:tc>
          <w:tcPr>
            <w:tcW w:w="1484" w:type="pct"/>
            <w:noWrap w:val="0"/>
            <w:vAlign w:val="center"/>
          </w:tcPr>
          <w:p w14:paraId="0A0328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2360</w:t>
            </w:r>
          </w:p>
        </w:tc>
      </w:tr>
      <w:tr w14:paraId="75A1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D6126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C35</w:t>
            </w:r>
          </w:p>
        </w:tc>
        <w:tc>
          <w:tcPr>
            <w:tcW w:w="1521" w:type="pct"/>
            <w:noWrap w:val="0"/>
            <w:vAlign w:val="center"/>
          </w:tcPr>
          <w:p w14:paraId="510500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2372</w:t>
            </w:r>
          </w:p>
        </w:tc>
        <w:tc>
          <w:tcPr>
            <w:tcW w:w="1130" w:type="pct"/>
            <w:noWrap w:val="0"/>
            <w:vAlign w:val="center"/>
          </w:tcPr>
          <w:p w14:paraId="752DA0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C30细石</w:t>
            </w:r>
          </w:p>
        </w:tc>
        <w:tc>
          <w:tcPr>
            <w:tcW w:w="1484" w:type="pct"/>
            <w:noWrap w:val="0"/>
            <w:vAlign w:val="center"/>
          </w:tcPr>
          <w:p w14:paraId="74F932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2364</w:t>
            </w:r>
          </w:p>
        </w:tc>
      </w:tr>
      <w:tr w14:paraId="0F9A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3DD249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C40</w:t>
            </w:r>
          </w:p>
        </w:tc>
        <w:tc>
          <w:tcPr>
            <w:tcW w:w="1521" w:type="pct"/>
            <w:noWrap w:val="0"/>
            <w:vAlign w:val="center"/>
          </w:tcPr>
          <w:p w14:paraId="715B2C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2376</w:t>
            </w:r>
          </w:p>
        </w:tc>
        <w:tc>
          <w:tcPr>
            <w:tcW w:w="1130" w:type="pct"/>
            <w:noWrap w:val="0"/>
            <w:vAlign w:val="center"/>
          </w:tcPr>
          <w:p w14:paraId="2050E5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预拌砂浆</w:t>
            </w:r>
          </w:p>
        </w:tc>
        <w:tc>
          <w:tcPr>
            <w:tcW w:w="1484" w:type="pct"/>
            <w:noWrap w:val="0"/>
            <w:vAlign w:val="center"/>
          </w:tcPr>
          <w:p w14:paraId="26E304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1450</w:t>
            </w:r>
          </w:p>
        </w:tc>
      </w:tr>
      <w:tr w14:paraId="5440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0C2937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砂浆</w:t>
            </w:r>
          </w:p>
        </w:tc>
        <w:tc>
          <w:tcPr>
            <w:tcW w:w="1521" w:type="pct"/>
            <w:noWrap w:val="0"/>
            <w:vAlign w:val="center"/>
          </w:tcPr>
          <w:p w14:paraId="272E98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1800</w:t>
            </w:r>
          </w:p>
        </w:tc>
        <w:tc>
          <w:tcPr>
            <w:tcW w:w="1130" w:type="pct"/>
            <w:noWrap w:val="0"/>
            <w:vAlign w:val="center"/>
          </w:tcPr>
          <w:p w14:paraId="661EA3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p>
        </w:tc>
        <w:tc>
          <w:tcPr>
            <w:tcW w:w="1484" w:type="pct"/>
            <w:noWrap w:val="0"/>
            <w:vAlign w:val="center"/>
          </w:tcPr>
          <w:p w14:paraId="2D56AC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p>
        </w:tc>
      </w:tr>
    </w:tbl>
    <w:p w14:paraId="6D5B15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1.4甲方将在本项目现场以1立方米/次随机抽样三次进行过磅，其平均值作为当批次砼或砂浆的容重校核值，并与前述的第1.2条和第1.3条对比，以大值作为容重计量依据。</w:t>
      </w:r>
    </w:p>
    <w:p w14:paraId="1D2BAE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62" w:name="_Toc8365"/>
      <w:bookmarkStart w:id="63" w:name="_Toc13656"/>
      <w:r>
        <w:rPr>
          <w:rFonts w:hint="eastAsia" w:ascii="仿宋" w:hAnsi="仿宋" w:eastAsia="仿宋" w:cs="仿宋"/>
          <w:color w:val="auto"/>
          <w:sz w:val="28"/>
          <w:highlight w:val="none"/>
          <w:lang w:val="en-US" w:eastAsia="zh-CN"/>
        </w:rPr>
        <w:t>1.5如任意一车产品数量差额在（国标允许范围）±2%内，该车产品以乙方送货单所示数量结算；反之，则以“本项目过磅净重数量”与“乙方送货单所示数量”两者比较数值低的为结算数量。</w:t>
      </w:r>
    </w:p>
    <w:p w14:paraId="7A1C8C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1.6数量差额计算公式：（本项目过磅净重数量-乙方送货单所示数量）÷乙方送货单所示数量×100%=数量差额。</w:t>
      </w:r>
    </w:p>
    <w:p w14:paraId="7B531C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1.7任意一批产品（用于同一浇筑施工段的产品，以甲方当次订购的数量及部位定义为同一批次）如有三车以上（含三车）数量差额超出（详见前述约定）±2%的，属乙方违约，按（1+本批次数量差额最低三车的平均值）×本批次数量（按本合同第1.4条约定计量）的比例结算，乙方就该批次的违约承担违约金1万元～10万元/批（视实际</w:t>
      </w:r>
      <w:r>
        <w:rPr>
          <w:rFonts w:hint="eastAsia" w:ascii="仿宋" w:hAnsi="仿宋" w:eastAsia="仿宋" w:cs="仿宋"/>
          <w:color w:val="auto"/>
          <w:sz w:val="28"/>
          <w:szCs w:val="28"/>
          <w:highlight w:val="none"/>
          <w:u w:val="none"/>
          <w:lang w:val="en-US" w:eastAsia="zh-CN"/>
        </w:rPr>
        <w:t>相差数量，违约金金额由甲方确定），且甲方可以从乙方相关的任意合同款中直接扣款。</w:t>
      </w:r>
      <w:bookmarkEnd w:id="62"/>
      <w:bookmarkEnd w:id="63"/>
      <w:r>
        <w:rPr>
          <w:rFonts w:hint="eastAsia" w:ascii="仿宋" w:hAnsi="仿宋" w:eastAsia="仿宋" w:cs="仿宋"/>
          <w:b w:val="0"/>
          <w:bCs w:val="0"/>
          <w:color w:val="auto"/>
          <w:sz w:val="28"/>
          <w:szCs w:val="28"/>
          <w:highlight w:val="none"/>
          <w:u w:val="none"/>
          <w:lang w:val="en-US" w:eastAsia="zh-CN"/>
        </w:rPr>
        <w:t xml:space="preserve">                  </w:t>
      </w:r>
    </w:p>
    <w:p w14:paraId="23E9ECD0">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64" w:name="_Toc17081"/>
      <w:bookmarkStart w:id="65" w:name="_Toc13709"/>
      <w:bookmarkStart w:id="66" w:name="_Toc15746"/>
      <w:bookmarkStart w:id="67" w:name="_Toc21358"/>
      <w:bookmarkStart w:id="68" w:name="_Toc22337"/>
      <w:bookmarkStart w:id="69" w:name="_Toc27193"/>
      <w:r>
        <w:rPr>
          <w:rFonts w:hint="eastAsia" w:ascii="仿宋" w:hAnsi="仿宋" w:eastAsia="仿宋" w:cs="仿宋"/>
          <w:b/>
          <w:bCs/>
          <w:color w:val="auto"/>
          <w:sz w:val="28"/>
          <w:szCs w:val="28"/>
          <w:highlight w:val="none"/>
          <w:lang w:val="en-US" w:eastAsia="zh-CN"/>
        </w:rPr>
        <w:t>第二章、产品</w:t>
      </w:r>
      <w:r>
        <w:rPr>
          <w:rFonts w:hint="eastAsia" w:ascii="仿宋" w:hAnsi="仿宋" w:eastAsia="仿宋" w:cs="仿宋"/>
          <w:b/>
          <w:bCs/>
          <w:color w:val="auto"/>
          <w:sz w:val="28"/>
          <w:szCs w:val="28"/>
          <w:highlight w:val="none"/>
        </w:rPr>
        <w:t>质量</w:t>
      </w:r>
      <w:bookmarkEnd w:id="64"/>
      <w:bookmarkEnd w:id="65"/>
      <w:r>
        <w:rPr>
          <w:rFonts w:hint="eastAsia" w:ascii="仿宋" w:hAnsi="仿宋" w:eastAsia="仿宋" w:cs="仿宋"/>
          <w:b/>
          <w:bCs/>
          <w:color w:val="auto"/>
          <w:sz w:val="28"/>
          <w:szCs w:val="28"/>
          <w:highlight w:val="none"/>
          <w:lang w:val="en-US" w:eastAsia="zh-CN"/>
        </w:rPr>
        <w:t>要求</w:t>
      </w:r>
      <w:bookmarkEnd w:id="66"/>
      <w:bookmarkEnd w:id="67"/>
      <w:bookmarkEnd w:id="68"/>
      <w:bookmarkEnd w:id="69"/>
    </w:p>
    <w:p w14:paraId="1D7228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2.1乙方所供产品须满足合同约定、甲方验收要求且符合本项目所在地政府主管部门相关质量验收规范标准和文件要求。</w:t>
      </w:r>
    </w:p>
    <w:p w14:paraId="4054D4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2.2乙方提供的预拌混凝土质量须符合最新的国家标准《预拌混凝土》（GB/T 14902-2012）等有关行业和地方标准，并向甲方提供相应的技术资料（包括出厂质量证明书等），以满足并符合本项目所在地住建主管部门要求为准。</w:t>
      </w:r>
    </w:p>
    <w:p w14:paraId="0CD537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2.3产品强度的试验结果评定以最新的国家标准《混凝土强度检验评定标准》（GB/T 50107）及本项目所在地政府主管部门认可的标准、规范为准。</w:t>
      </w:r>
    </w:p>
    <w:p w14:paraId="4BE7EF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2.4本合同签订后至开始供应产品前，乙方根据甲方对产品的技术要求（包括但不限于附件《关于混凝土材料、结构的抗裂措施等说明》）提交书面技术交底报告，注明在现场接收、泵送、浇筑、养护产品的注意事项，且甲乙双方须召开一次会议，对产品供应过程中的技术及双方相关人员的配合、协调等事项进行一次细致的研究和探讨，拟定可行的产品浇筑方案并形成会议纪要。乙方承诺以合格的产品及专业的技术保障甲方的施工质量。</w:t>
      </w:r>
    </w:p>
    <w:p w14:paraId="0E95FC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2.5乙方混凝土到达施工现场的坍落度必须符合最新的国家标准《预拌混凝土》（GB/T 14902-2012）及《混凝土结构工程施工规范》（GB 50666-2019）。</w:t>
      </w:r>
    </w:p>
    <w:p w14:paraId="1159C9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2.6粉煤灰必须符合国家建设现行相关检测标准要求，其细度、需水量比、含水量、三氧化硫、游离氧化钙、安定性等必须检测，并提供本项目所在地住建局认可单位出具的相应检测报告给甲方。</w:t>
      </w:r>
    </w:p>
    <w:p w14:paraId="767577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2.7乙方供应的产品须保证在标准养护下28天的强度达到设计强度和规范验收标准。</w:t>
      </w:r>
    </w:p>
    <w:p w14:paraId="70DB74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2.8乙方供应的产品质量不符合本合同要求的，乙方承担补救费用并赔偿甲方因此造成的损失（包括但不限于：甲方拆除不合格施工部位、重新施工、甲方向第三方采购产生的差价、甲方因此延误工期而向建设方承担的违约责任、赔偿责任等损失）。</w:t>
      </w:r>
    </w:p>
    <w:p w14:paraId="28ADBF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70" w:name="_Toc23033"/>
      <w:bookmarkStart w:id="71" w:name="_Toc4462"/>
      <w:r>
        <w:rPr>
          <w:rFonts w:hint="eastAsia" w:ascii="仿宋" w:hAnsi="仿宋" w:eastAsia="仿宋" w:cs="仿宋"/>
          <w:color w:val="auto"/>
          <w:sz w:val="28"/>
          <w:highlight w:val="none"/>
          <w:lang w:val="en-US" w:eastAsia="zh-CN"/>
        </w:rPr>
        <w:t>2.9因乙方送错产品或产品质量问题造成甲方损失的，由乙方全额赔偿甲方。</w:t>
      </w:r>
    </w:p>
    <w:p w14:paraId="475638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2.10如乙方原因导致产品浇筑施工过程中发生明显离析现象等质量问题，甲方有权停止使用，余下产品由乙方自行退场处理或调配至合格产品且符合使用要求为止，同时乙方承担因离析现象等质量问题导致的一切责任、损失及费用。</w:t>
      </w:r>
    </w:p>
    <w:p w14:paraId="2988AC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2.11如产品质量原因导致</w:t>
      </w:r>
      <w:r>
        <w:rPr>
          <w:rFonts w:hint="eastAsia" w:ascii="仿宋" w:hAnsi="仿宋" w:eastAsia="仿宋" w:cs="仿宋"/>
          <w:color w:val="auto"/>
          <w:sz w:val="28"/>
          <w:szCs w:val="28"/>
          <w:highlight w:val="none"/>
          <w:lang w:val="en-US" w:eastAsia="zh-CN"/>
        </w:rPr>
        <w:t>塞管、爆管的，所产生的费用及损失由乙方承担并赔</w:t>
      </w:r>
      <w:r>
        <w:rPr>
          <w:rFonts w:hint="eastAsia" w:ascii="仿宋" w:hAnsi="仿宋" w:eastAsia="仿宋" w:cs="仿宋"/>
          <w:color w:val="auto"/>
          <w:sz w:val="28"/>
          <w:highlight w:val="none"/>
          <w:lang w:val="en-US" w:eastAsia="zh-CN"/>
        </w:rPr>
        <w:t>偿甲方损失。</w:t>
      </w:r>
    </w:p>
    <w:p w14:paraId="64B0D6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2.12乙方提供的预拌砂浆及其原材料质量，必须符合国家标准《预拌砂浆》GB/T 25181-2019及GB/T 31245-2024《预拌砂浆术语》最新国家标准及有关行业和地方标准的要求。</w:t>
      </w:r>
    </w:p>
    <w:p w14:paraId="5FA52C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lang w:val="en-US" w:eastAsia="zh-CN"/>
        </w:rPr>
      </w:pPr>
      <w:r>
        <w:rPr>
          <w:rFonts w:hint="eastAsia" w:ascii="仿宋" w:hAnsi="仿宋" w:eastAsia="仿宋" w:cs="仿宋"/>
          <w:b/>
          <w:bCs/>
          <w:color w:val="auto"/>
          <w:sz w:val="28"/>
          <w:highlight w:val="none"/>
          <w:lang w:val="en-US" w:eastAsia="zh-CN"/>
        </w:rPr>
        <w:t>2.13其他要求：</w:t>
      </w:r>
    </w:p>
    <w:p w14:paraId="1EC24C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u w:val="single"/>
          <w:lang w:val="en-US" w:eastAsia="zh-CN"/>
        </w:rPr>
      </w:pPr>
      <w:r>
        <w:rPr>
          <w:rFonts w:hint="eastAsia" w:ascii="仿宋" w:hAnsi="仿宋" w:eastAsia="仿宋" w:cs="仿宋"/>
          <w:b/>
          <w:bCs/>
          <w:color w:val="auto"/>
          <w:sz w:val="28"/>
          <w:highlight w:val="none"/>
          <w:u w:val="single"/>
          <w:lang w:val="en-US" w:eastAsia="zh-CN"/>
        </w:rPr>
        <w:t>2.13.1水泥、混凝土及外加剂要求：</w:t>
      </w:r>
    </w:p>
    <w:p w14:paraId="002D50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u w:val="single"/>
          <w:lang w:val="en-US" w:eastAsia="zh-CN"/>
        </w:rPr>
      </w:pPr>
      <w:r>
        <w:rPr>
          <w:rFonts w:hint="eastAsia" w:ascii="仿宋" w:hAnsi="仿宋" w:eastAsia="仿宋" w:cs="仿宋"/>
          <w:b/>
          <w:bCs/>
          <w:color w:val="auto"/>
          <w:sz w:val="28"/>
          <w:highlight w:val="none"/>
          <w:u w:val="single"/>
          <w:lang w:val="en-US" w:eastAsia="zh-CN"/>
        </w:rPr>
        <w:t>(1)每一结构层应采用同一厂家、同一品种的水泥或混凝土，不得混用。</w:t>
      </w:r>
    </w:p>
    <w:p w14:paraId="741A08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u w:val="single"/>
          <w:lang w:val="en-US" w:eastAsia="zh-CN"/>
        </w:rPr>
      </w:pPr>
      <w:r>
        <w:rPr>
          <w:rFonts w:hint="eastAsia" w:ascii="仿宋" w:hAnsi="仿宋" w:eastAsia="仿宋" w:cs="仿宋"/>
          <w:b/>
          <w:bCs/>
          <w:color w:val="auto"/>
          <w:sz w:val="28"/>
          <w:highlight w:val="none"/>
          <w:u w:val="single"/>
          <w:lang w:val="en-US" w:eastAsia="zh-CN"/>
        </w:rPr>
        <w:t>(2)所有砼的外加剂、超细渗合料(硅粉、粉煤灰)防水渗合料钢纤维、合成纤维等要求在施工前做相溶性试验及配合比试验，试验结果符合强度要求方可施工。外加剂的使用按《混凝土外加剂应用技术规范》GB 50119执行。</w:t>
      </w:r>
    </w:p>
    <w:p w14:paraId="11C839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u w:val="single"/>
          <w:lang w:val="en-US" w:eastAsia="zh-CN"/>
        </w:rPr>
      </w:pPr>
      <w:r>
        <w:rPr>
          <w:rFonts w:hint="eastAsia" w:ascii="仿宋" w:hAnsi="仿宋" w:eastAsia="仿宋" w:cs="仿宋"/>
          <w:b/>
          <w:bCs/>
          <w:color w:val="auto"/>
          <w:sz w:val="28"/>
          <w:highlight w:val="none"/>
          <w:u w:val="single"/>
          <w:lang w:val="en-US" w:eastAsia="zh-CN"/>
        </w:rPr>
        <w:t>2.13.2结构混凝土用砂应符合下列规定:砂的坚固性指标不应大于10%;对于有抗渗、抗冻、抗腐蚀、耐磨或其他特殊要求的混凝土，砂的含泥量和泥块含量分别不应大于3.0%和1.0%，坚固性指标不应大于8%；高强混凝土用砂的含泥量和泥块含量分别不应大于2.0%和0.5%；机制砂应按石粉的亚甲蓝值指标和石粉的流动比指标控制石粉含量。</w:t>
      </w:r>
    </w:p>
    <w:p w14:paraId="37C5E8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u w:val="single"/>
          <w:lang w:val="en-US" w:eastAsia="zh-CN"/>
        </w:rPr>
      </w:pPr>
      <w:r>
        <w:rPr>
          <w:rFonts w:hint="eastAsia" w:ascii="仿宋" w:hAnsi="仿宋" w:eastAsia="仿宋" w:cs="仿宋"/>
          <w:b/>
          <w:bCs/>
          <w:color w:val="auto"/>
          <w:sz w:val="28"/>
          <w:highlight w:val="none"/>
          <w:u w:val="single"/>
          <w:lang w:val="en-US" w:eastAsia="zh-CN"/>
        </w:rPr>
        <w:t>2.13.3混凝土结构用海砂必须经过净化处理。</w:t>
      </w:r>
    </w:p>
    <w:p w14:paraId="4E9843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u w:val="single"/>
          <w:lang w:val="en-US" w:eastAsia="zh-CN"/>
        </w:rPr>
      </w:pPr>
      <w:r>
        <w:rPr>
          <w:rFonts w:hint="eastAsia" w:ascii="仿宋" w:hAnsi="仿宋" w:eastAsia="仿宋" w:cs="仿宋"/>
          <w:b/>
          <w:bCs/>
          <w:color w:val="auto"/>
          <w:sz w:val="28"/>
          <w:highlight w:val="none"/>
          <w:u w:val="single"/>
          <w:lang w:val="en-US" w:eastAsia="zh-CN"/>
        </w:rPr>
        <w:t>2.13.4钢筋混凝土用砂的氯离子含量不应大于0.03%。</w:t>
      </w:r>
    </w:p>
    <w:p w14:paraId="4F3C1A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b/>
          <w:bCs/>
          <w:color w:val="auto"/>
          <w:sz w:val="28"/>
          <w:highlight w:val="none"/>
          <w:u w:val="single"/>
          <w:lang w:val="en-US" w:eastAsia="zh-CN"/>
        </w:rPr>
        <w:t>2.13.5预应力混凝土用砂的氯离子含量不应大于0.01%</w:t>
      </w:r>
      <w:r>
        <w:rPr>
          <w:rFonts w:hint="eastAsia" w:ascii="仿宋" w:hAnsi="仿宋" w:eastAsia="仿宋" w:cs="仿宋"/>
          <w:b/>
          <w:bCs/>
          <w:color w:val="auto"/>
          <w:sz w:val="28"/>
          <w:highlight w:val="none"/>
          <w:lang w:val="en-US" w:eastAsia="zh-CN"/>
        </w:rPr>
        <w:t>。</w:t>
      </w:r>
      <w:r>
        <w:rPr>
          <w:rFonts w:hint="eastAsia" w:ascii="仿宋" w:hAnsi="仿宋" w:eastAsia="仿宋" w:cs="仿宋"/>
          <w:color w:val="auto"/>
          <w:sz w:val="28"/>
          <w:highlight w:val="none"/>
          <w:lang w:val="en-US" w:eastAsia="zh-CN"/>
        </w:rPr>
        <w:t xml:space="preserve"> </w:t>
      </w:r>
      <w:r>
        <w:rPr>
          <w:rFonts w:hint="eastAsia" w:ascii="仿宋" w:hAnsi="仿宋" w:eastAsia="仿宋" w:cs="仿宋"/>
          <w:color w:val="auto"/>
          <w:kern w:val="2"/>
          <w:sz w:val="28"/>
          <w:szCs w:val="24"/>
          <w:highlight w:val="none"/>
          <w:lang w:val="en-US" w:eastAsia="zh-CN" w:bidi="ar-SA"/>
        </w:rPr>
        <w:t xml:space="preserve">      </w:t>
      </w:r>
    </w:p>
    <w:p w14:paraId="6A60EC63">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72" w:name="_Toc3144"/>
      <w:bookmarkStart w:id="73" w:name="_Toc29914"/>
      <w:bookmarkStart w:id="74" w:name="_Toc29158"/>
      <w:bookmarkStart w:id="75" w:name="_Toc18099"/>
      <w:r>
        <w:rPr>
          <w:rFonts w:hint="eastAsia" w:ascii="仿宋" w:hAnsi="仿宋" w:eastAsia="仿宋" w:cs="仿宋"/>
          <w:b/>
          <w:bCs/>
          <w:color w:val="auto"/>
          <w:sz w:val="28"/>
          <w:szCs w:val="28"/>
          <w:highlight w:val="none"/>
          <w:lang w:val="en-US" w:eastAsia="zh-CN"/>
        </w:rPr>
        <w:t>第三章、</w:t>
      </w:r>
      <w:bookmarkEnd w:id="70"/>
      <w:bookmarkEnd w:id="71"/>
      <w:r>
        <w:rPr>
          <w:rFonts w:hint="eastAsia" w:ascii="仿宋" w:hAnsi="仿宋" w:eastAsia="仿宋" w:cs="仿宋"/>
          <w:b/>
          <w:bCs/>
          <w:color w:val="auto"/>
          <w:sz w:val="28"/>
          <w:szCs w:val="28"/>
          <w:highlight w:val="none"/>
          <w:lang w:val="en-US" w:eastAsia="zh-CN"/>
        </w:rPr>
        <w:t>交货及验收</w:t>
      </w:r>
      <w:bookmarkEnd w:id="72"/>
      <w:bookmarkEnd w:id="73"/>
      <w:bookmarkEnd w:id="74"/>
      <w:bookmarkEnd w:id="75"/>
    </w:p>
    <w:p w14:paraId="109113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3.1产品送到交货地点时，产品运输时间、产品拌合物性能、产品所附带的出厂检验合格等相关资料不符合标准或合同约定时，甲方拒收该车产品，乙方自行退场处理并重新供应符合要求的产品。</w:t>
      </w:r>
    </w:p>
    <w:p w14:paraId="0D76C3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lang w:val="en-US" w:eastAsia="zh-CN"/>
        </w:rPr>
      </w:pPr>
      <w:r>
        <w:rPr>
          <w:rFonts w:hint="eastAsia" w:ascii="仿宋" w:hAnsi="仿宋" w:eastAsia="仿宋" w:cs="仿宋"/>
          <w:b/>
          <w:bCs/>
          <w:color w:val="auto"/>
          <w:sz w:val="28"/>
          <w:highlight w:val="none"/>
          <w:lang w:val="en-US" w:eastAsia="zh-CN"/>
        </w:rPr>
        <w:t>每楼栋每层混凝土浇筑28天后，对现场混凝土进行强度回弹检测，必须符合设计要求。</w:t>
      </w:r>
    </w:p>
    <w:p w14:paraId="6DD438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3.2每批产品浇筑前，乙方须将该批产品的原材料检验报告、配合比设计报告等所有本项目需要的资料送交甲方，如甲方要求质检站出具该批产品原材料检验报告，则由乙方无偿提供原材料。</w:t>
      </w:r>
    </w:p>
    <w:p w14:paraId="29039E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3.4供应产品时，乙方定期派技术人员到浇筑现场进行技术服务</w:t>
      </w:r>
      <w:r>
        <w:rPr>
          <w:rFonts w:hint="eastAsia" w:ascii="仿宋" w:hAnsi="仿宋" w:eastAsia="仿宋" w:cs="仿宋"/>
          <w:b w:val="0"/>
          <w:bCs w:val="0"/>
          <w:color w:val="auto"/>
          <w:sz w:val="28"/>
          <w:szCs w:val="28"/>
          <w:highlight w:val="none"/>
          <w:lang w:val="en-US" w:eastAsia="zh-CN"/>
        </w:rPr>
        <w:t>。供应大方量产品（单次浇筑量</w:t>
      </w:r>
      <w:r>
        <w:rPr>
          <w:rFonts w:hint="eastAsia" w:ascii="仿宋" w:hAnsi="仿宋" w:eastAsia="仿宋" w:cs="仿宋"/>
          <w:b w:val="0"/>
          <w:bCs w:val="0"/>
          <w:color w:val="auto"/>
          <w:sz w:val="28"/>
          <w:szCs w:val="28"/>
          <w:highlight w:val="none"/>
          <w:u w:val="single"/>
          <w:lang w:val="en-US" w:eastAsia="zh-CN"/>
        </w:rPr>
        <w:t>≥200m³</w:t>
      </w:r>
      <w:r>
        <w:rPr>
          <w:rFonts w:hint="eastAsia" w:ascii="仿宋" w:hAnsi="仿宋" w:eastAsia="仿宋" w:cs="仿宋"/>
          <w:b w:val="0"/>
          <w:bCs w:val="0"/>
          <w:color w:val="auto"/>
          <w:sz w:val="28"/>
          <w:szCs w:val="28"/>
          <w:highlight w:val="none"/>
          <w:lang w:val="en-US" w:eastAsia="zh-CN"/>
        </w:rPr>
        <w:t>）时，乙方派技术人员到浇筑现场进行全程技术服</w:t>
      </w:r>
      <w:r>
        <w:rPr>
          <w:rFonts w:hint="eastAsia" w:ascii="仿宋" w:hAnsi="仿宋" w:eastAsia="仿宋" w:cs="仿宋"/>
          <w:color w:val="auto"/>
          <w:sz w:val="28"/>
          <w:highlight w:val="none"/>
          <w:lang w:val="en-US" w:eastAsia="zh-CN"/>
        </w:rPr>
        <w:t>务。本条所述服务涉及的费用已含于合同结算单价中，甲方无需再付费给乙方。</w:t>
      </w:r>
    </w:p>
    <w:p w14:paraId="28B360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3.5收货验收流程及标准：</w:t>
      </w:r>
    </w:p>
    <w:p w14:paraId="56BA98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3.5.1每车产品进场后，甲方按最新版的国家标准《预拌混凝土》（GB/T 14902）对乙方所供产品进行现场取样，其结果作为验收产品表面、外观质量的依据。如现场抽样送检试块强度不合格或甲方认为产品有质量问题且甲乙双方意见不一致时，根据质检站要求使用抽芯及超声波综合法等方法进行检测（具体方法以甲方确定为准），对现场抽样送检费用，若产品检验合格则由甲方承担，不合格则由乙方承担且乙方承担由此产生的责任、费用并无条件将该批产品更换为合格产品（货期不予延长），同时甲方亦有权单方解除合同。如甲方单方解除合同，乙方退还全部已收款项并赔偿甲方损失。甲方按照规范现场取样并进行养护，其结果作为甲方工程质量管理，工程资料组卷归档，各种验收，货款支付，质量责任、违约责任及损失费用划分及承担的依据。</w:t>
      </w:r>
    </w:p>
    <w:p w14:paraId="76A310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3.6产品送至交货地点后，尽管现场表观验收结果合格，但如果有下列情形之一的，则由乙方承担全部责任、损失及费用：</w:t>
      </w:r>
    </w:p>
    <w:p w14:paraId="4AEAE4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3.6.1混凝土使用原材料不合格，混凝土质量不符合国家相关规范规定及地方标准文件；</w:t>
      </w:r>
    </w:p>
    <w:p w14:paraId="105C7A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3.6.2混凝土配合比设计或实际使用的生产配比有误；</w:t>
      </w:r>
    </w:p>
    <w:p w14:paraId="6B1EC8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3.6.3游离氧化钙f-CaO对混凝土质量有不良影响，混凝土氯离子含量及其他耐久性指标不满足设计要求；</w:t>
      </w:r>
    </w:p>
    <w:p w14:paraId="051664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3.6.4因乙方送错料或混凝土本身质量问题；</w:t>
      </w:r>
    </w:p>
    <w:p w14:paraId="52F753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3.6.5部分混凝土出现外加剂用量不准确 (如目测无法判别,则通过浇筑到现场的混凝土凝固时间和拆模后的外观进行判定)；</w:t>
      </w:r>
    </w:p>
    <w:p w14:paraId="0DD7BD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3.6.6混凝土浇筑施工过程中发现有离析现象等质量问题；</w:t>
      </w:r>
    </w:p>
    <w:p w14:paraId="6EA44E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3.6.7用回弹仪对混凝士的标准养护试块及现场结构进行回弹检测，试块强度不能达到设计强度的100%；</w:t>
      </w:r>
    </w:p>
    <w:p w14:paraId="4472B4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3.6.8乙方在其原材料检验检测、施工配合比设计、预拌生产过程中不按国家相关规范执行。</w:t>
      </w:r>
    </w:p>
    <w:p w14:paraId="1760ED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76" w:name="_Toc7651"/>
      <w:bookmarkStart w:id="77" w:name="_Toc6451"/>
      <w:r>
        <w:rPr>
          <w:rFonts w:hint="eastAsia" w:ascii="仿宋" w:hAnsi="仿宋" w:eastAsia="仿宋" w:cs="仿宋"/>
          <w:color w:val="auto"/>
          <w:sz w:val="28"/>
          <w:highlight w:val="none"/>
          <w:lang w:val="en-US" w:eastAsia="zh-CN"/>
        </w:rPr>
        <w:t>3.7在泵送设备按计划进场前一日，乙方派人到工程现场勘查设备使用环境，与甲方共同制定合理的使用设备型号及设备最佳停放位置，报甲方审核通过后方可安排进场。</w:t>
      </w:r>
    </w:p>
    <w:p w14:paraId="4AC7C7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3.8自甲方发出通知起(通知方式包括但不限于微信、短信、传真、电子邮件、纸质文件等)24小时内，乙方须按由甲方项目部栋号施工员、项目副经理、项目经理签名确认的泵机使用通知文件要求的数量、型号将设备投放至本项目并开始泵送。泵送设备进入施工现场，甲方栋号施工员须马上与乙方合同指定人员核对设备类型是否与泵机使用通知文件的要求相符，若不相符(如计划 37 米，到场地 52 米)，乙方无条件按甲方要求更换为符合要求的设备。</w:t>
      </w:r>
    </w:p>
    <w:p w14:paraId="07E989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3.9泵送设备在施工过程中发生故障而在1.5小时内不能修复的，乙方须马上调换其它正常的设备代用，且该设备故障期间不计任何费用，由此导致的施工分包单位损失费用由乙方承担。</w:t>
      </w:r>
    </w:p>
    <w:p w14:paraId="7059ED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outlineLvl w:val="1"/>
        <w:rPr>
          <w:rFonts w:hint="eastAsia" w:ascii="仿宋" w:hAnsi="仿宋" w:eastAsia="仿宋" w:cs="仿宋"/>
          <w:b/>
          <w:bCs/>
          <w:color w:val="auto"/>
          <w:sz w:val="28"/>
          <w:szCs w:val="28"/>
          <w:highlight w:val="none"/>
          <w:lang w:val="en-US" w:eastAsia="zh-CN"/>
        </w:rPr>
      </w:pPr>
      <w:bookmarkStart w:id="78" w:name="_Toc1756"/>
      <w:bookmarkStart w:id="79" w:name="_Toc32257"/>
      <w:r>
        <w:rPr>
          <w:rFonts w:hint="eastAsia" w:ascii="仿宋" w:hAnsi="仿宋" w:eastAsia="仿宋" w:cs="仿宋"/>
          <w:b/>
          <w:bCs/>
          <w:color w:val="auto"/>
          <w:sz w:val="28"/>
          <w:szCs w:val="28"/>
          <w:highlight w:val="none"/>
          <w:lang w:val="en-US" w:eastAsia="zh-CN"/>
        </w:rPr>
        <w:t>第四章、双方责任、义务</w:t>
      </w:r>
      <w:bookmarkEnd w:id="78"/>
      <w:bookmarkEnd w:id="79"/>
    </w:p>
    <w:p w14:paraId="0CCAF8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4.1甲方责任、义务</w:t>
      </w:r>
    </w:p>
    <w:p w14:paraId="09C015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4.1.1甲方为乙方提供的接收产品条件为：施工现场内道路畅通，施工现场内有临时的清洁车辆场地、照明、用水设施，施工现场内设立相关标志，施工现场内开设安全通道并设专人指挥搅拌车进出及卸料。</w:t>
      </w:r>
    </w:p>
    <w:p w14:paraId="79EEF2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4.1.2甲方不得对产品违规加水或加入其他掺合料，否则造成质量问题及损失由甲方自行负责。</w:t>
      </w:r>
    </w:p>
    <w:p w14:paraId="2276D4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4.1.3甲方编制的《商品混凝土、砂浆验收管理制度》为本合同不可分割的组成部分，与合同正文具有同等效力，乙方须照章供应。此类文件及本合同附件表格格式以施工当期甲方提供的最新版为准，最终解释权归甲方所有。</w:t>
      </w:r>
    </w:p>
    <w:p w14:paraId="2398EF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w:t>
      </w:r>
      <w:r>
        <w:rPr>
          <w:rFonts w:hint="default" w:ascii="仿宋" w:hAnsi="仿宋" w:eastAsia="仿宋" w:cs="仿宋"/>
          <w:color w:val="auto"/>
          <w:sz w:val="28"/>
          <w:highlight w:val="none"/>
          <w:lang w:val="en-US" w:eastAsia="zh-CN"/>
        </w:rPr>
        <w:t>甲方应对乙方进场的施工人员进行安全教育。</w:t>
      </w:r>
    </w:p>
    <w:p w14:paraId="38E9D5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4.1.5</w:t>
      </w:r>
      <w:r>
        <w:rPr>
          <w:rFonts w:hint="default" w:ascii="仿宋" w:hAnsi="仿宋" w:eastAsia="仿宋" w:cs="仿宋"/>
          <w:color w:val="auto"/>
          <w:sz w:val="28"/>
          <w:highlight w:val="none"/>
          <w:lang w:val="en-US" w:eastAsia="zh-CN"/>
        </w:rPr>
        <w:t>甲方不得违反《建设工程安全生产管理条例》(有更新版本则按最新版本执行)的规定要求乙方违章施工。因甲方指挥失误导致的安全事故由甲方承担相应责任和费用。</w:t>
      </w:r>
    </w:p>
    <w:p w14:paraId="051246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4.1.6甲方对乙方向乙方人员发放报酬的情况有知情权，乙方工人工资金额由乙方提供书面文件给甲方项目部及甲方工程部核实确定，甲方有权知晓乙方本项目工作人员的工资分发制度和实施情况，对不合理、违规的分发甲方有权制止及干预。乙方应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乙方在甲方发出书面通知起3个日历天内还清甲方垫付款并自甲方垫付之日起按</w:t>
      </w:r>
      <w:r>
        <w:rPr>
          <w:rFonts w:hint="eastAsia" w:ascii="仿宋" w:hAnsi="仿宋" w:eastAsia="仿宋" w:cs="仿宋"/>
          <w:i w:val="0"/>
          <w:iCs w:val="0"/>
          <w:color w:val="auto"/>
          <w:sz w:val="28"/>
          <w:szCs w:val="28"/>
          <w:highlight w:val="none"/>
          <w:shd w:val="clear" w:color="auto" w:fill="auto"/>
          <w:lang w:val="en-US" w:eastAsia="zh-CN"/>
        </w:rPr>
        <w:t>一年期贷款市场报价利率（LPR）的4倍</w:t>
      </w:r>
      <w:r>
        <w:rPr>
          <w:rFonts w:hint="eastAsia" w:ascii="仿宋" w:hAnsi="仿宋" w:eastAsia="仿宋" w:cs="仿宋"/>
          <w:color w:val="auto"/>
          <w:sz w:val="28"/>
          <w:highlight w:val="none"/>
          <w:lang w:val="en-US" w:eastAsia="zh-CN"/>
        </w:rPr>
        <w:t>支付利息给甲方，乙方同时按本合同相关条款承担违约责任。</w:t>
      </w:r>
    </w:p>
    <w:p w14:paraId="6D6888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4.2乙方责任、义务</w:t>
      </w:r>
    </w:p>
    <w:p w14:paraId="53C684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w:t>
      </w:r>
      <w:r>
        <w:rPr>
          <w:rFonts w:hint="default" w:ascii="仿宋" w:hAnsi="仿宋" w:eastAsia="仿宋" w:cs="仿宋"/>
          <w:color w:val="auto"/>
          <w:sz w:val="28"/>
          <w:highlight w:val="none"/>
          <w:lang w:val="en-US" w:eastAsia="zh-CN"/>
        </w:rPr>
        <w:t>乙方设备在任</w:t>
      </w:r>
      <w:r>
        <w:rPr>
          <w:rFonts w:hint="eastAsia" w:ascii="仿宋" w:hAnsi="仿宋" w:eastAsia="仿宋" w:cs="仿宋"/>
          <w:color w:val="auto"/>
          <w:sz w:val="28"/>
          <w:highlight w:val="none"/>
          <w:lang w:val="en-US" w:eastAsia="zh-CN"/>
        </w:rPr>
        <w:t>何</w:t>
      </w:r>
      <w:r>
        <w:rPr>
          <w:rFonts w:hint="default" w:ascii="仿宋" w:hAnsi="仿宋" w:eastAsia="仿宋" w:cs="仿宋"/>
          <w:color w:val="auto"/>
          <w:sz w:val="28"/>
          <w:highlight w:val="none"/>
          <w:lang w:val="en-US" w:eastAsia="zh-CN"/>
        </w:rPr>
        <w:t>一个工作面发生的故障(包括因动力不足堵管或输送管质量引起的爆管</w:t>
      </w:r>
      <w:r>
        <w:rPr>
          <w:rFonts w:hint="eastAsia" w:ascii="仿宋" w:hAnsi="仿宋" w:eastAsia="仿宋" w:cs="仿宋"/>
          <w:color w:val="auto"/>
          <w:sz w:val="28"/>
          <w:highlight w:val="none"/>
          <w:lang w:val="en-US" w:eastAsia="zh-CN"/>
        </w:rPr>
        <w:t>等</w:t>
      </w:r>
      <w:r>
        <w:rPr>
          <w:rFonts w:hint="default" w:ascii="仿宋" w:hAnsi="仿宋" w:eastAsia="仿宋" w:cs="仿宋"/>
          <w:color w:val="auto"/>
          <w:sz w:val="28"/>
          <w:highlight w:val="none"/>
          <w:lang w:val="en-US" w:eastAsia="zh-CN"/>
        </w:rPr>
        <w:t>)</w:t>
      </w:r>
      <w:r>
        <w:rPr>
          <w:rFonts w:hint="eastAsia" w:ascii="仿宋" w:hAnsi="仿宋" w:eastAsia="仿宋" w:cs="仿宋"/>
          <w:color w:val="auto"/>
          <w:sz w:val="28"/>
          <w:highlight w:val="none"/>
          <w:lang w:val="en-US" w:eastAsia="zh-CN"/>
        </w:rPr>
        <w:t>累计</w:t>
      </w:r>
      <w:r>
        <w:rPr>
          <w:rFonts w:hint="default" w:ascii="仿宋" w:hAnsi="仿宋" w:eastAsia="仿宋" w:cs="仿宋"/>
          <w:color w:val="auto"/>
          <w:sz w:val="28"/>
          <w:highlight w:val="none"/>
          <w:lang w:val="en-US" w:eastAsia="zh-CN"/>
        </w:rPr>
        <w:t>不得超过2次，否则按甲方要求无条件更换合格设备接替工作。因乙方处理不当造成的损失由乙方全额赔偿甲方，赔偿</w:t>
      </w:r>
      <w:r>
        <w:rPr>
          <w:rFonts w:hint="eastAsia" w:ascii="仿宋" w:hAnsi="仿宋" w:eastAsia="仿宋" w:cs="仿宋"/>
          <w:color w:val="auto"/>
          <w:sz w:val="28"/>
          <w:highlight w:val="none"/>
          <w:lang w:val="en-US" w:eastAsia="zh-CN"/>
        </w:rPr>
        <w:t>范围</w:t>
      </w:r>
      <w:r>
        <w:rPr>
          <w:rFonts w:hint="default" w:ascii="仿宋" w:hAnsi="仿宋" w:eastAsia="仿宋" w:cs="仿宋"/>
          <w:color w:val="auto"/>
          <w:sz w:val="28"/>
          <w:highlight w:val="none"/>
          <w:lang w:val="en-US" w:eastAsia="zh-CN"/>
        </w:rPr>
        <w:t>包括但不限于混凝土费、洗管费、混凝土车误工费、人工费、泵车停机损失费。</w:t>
      </w:r>
    </w:p>
    <w:p w14:paraId="0BDF14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w:t>
      </w:r>
      <w:r>
        <w:rPr>
          <w:rFonts w:hint="default" w:ascii="仿宋" w:hAnsi="仿宋" w:eastAsia="仿宋" w:cs="仿宋"/>
          <w:color w:val="auto"/>
          <w:sz w:val="28"/>
          <w:highlight w:val="none"/>
          <w:lang w:val="en-US" w:eastAsia="zh-CN"/>
        </w:rPr>
        <w:t>因乙方原因操作失误导致泵送设备堵管的，由此造成的相关损失及一切责任概由乙方自行承担。乙方设备在本项目内外发生的交通事故、机械故障、工伤等，经政府主管部门认定责任后，由责任方承担一切损失和责任。</w:t>
      </w:r>
    </w:p>
    <w:p w14:paraId="01899F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4.2.3</w:t>
      </w:r>
      <w:r>
        <w:rPr>
          <w:rFonts w:hint="default" w:ascii="仿宋" w:hAnsi="仿宋" w:eastAsia="仿宋" w:cs="仿宋"/>
          <w:color w:val="auto"/>
          <w:sz w:val="28"/>
          <w:highlight w:val="none"/>
          <w:lang w:val="en-US" w:eastAsia="zh-CN"/>
        </w:rPr>
        <w:t>乙方设备故障或人为原因导致砼不能连续施工，造成混凝土报废的，由乙方承担全部责任。凡乙方发生怠工、配合消极的，乙方向甲方赔偿违约金 500-1000 元/次且甲方有权单方解除合同。</w:t>
      </w:r>
    </w:p>
    <w:p w14:paraId="192C15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4.2.4</w:t>
      </w:r>
      <w:r>
        <w:rPr>
          <w:rFonts w:hint="default" w:ascii="仿宋" w:hAnsi="仿宋" w:eastAsia="仿宋" w:cs="仿宋"/>
          <w:color w:val="auto"/>
          <w:sz w:val="28"/>
          <w:highlight w:val="none"/>
          <w:lang w:val="en-US" w:eastAsia="zh-CN"/>
        </w:rPr>
        <w:t>乙方操作员在设备工作过程中必须按照《混凝土输送泵的安全操作规程》操作和使用设备，否则出现的工作失误由乙方承担一切损失。</w:t>
      </w:r>
    </w:p>
    <w:p w14:paraId="7D68F0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4.2.5乙方送货不及时【包含不限于：在浇筑混凝土过程中供料中断40分钟（包括甲方退回的）】导致的各种损失（包括但不限于甲方向第三方采购产生的差价、甲方因此延误工期而向建设方承担的违约责任、赔偿责任等间接损失）及费用由乙方承担，且甲方有权向乙方计取壹万元/次的违约金。如乙方供货不及时情况发生2次以上，甲方可随时单方解除合同，同时乙方赔偿甲方因此产生的损失（包括但不限于甲方向第三方采购产生的差价、甲方因此延误工期而向建设方承担的违约责任、赔偿责任等间接损失）和全部费用。</w:t>
      </w:r>
    </w:p>
    <w:p w14:paraId="3B1A8E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4.2.6</w:t>
      </w:r>
      <w:r>
        <w:rPr>
          <w:rFonts w:hint="default" w:ascii="仿宋" w:hAnsi="仿宋" w:eastAsia="仿宋" w:cs="仿宋"/>
          <w:color w:val="auto"/>
          <w:sz w:val="28"/>
          <w:highlight w:val="none"/>
          <w:lang w:val="en-US" w:eastAsia="zh-CN"/>
        </w:rPr>
        <w:t>乙方泵送过程中，负责本</w:t>
      </w:r>
      <w:r>
        <w:rPr>
          <w:rFonts w:hint="eastAsia" w:ascii="仿宋" w:hAnsi="仿宋" w:eastAsia="仿宋" w:cs="仿宋"/>
          <w:color w:val="auto"/>
          <w:sz w:val="28"/>
          <w:highlight w:val="none"/>
          <w:lang w:val="en-US" w:eastAsia="zh-CN"/>
        </w:rPr>
        <w:t>项目</w:t>
      </w:r>
      <w:r>
        <w:rPr>
          <w:rFonts w:hint="default" w:ascii="仿宋" w:hAnsi="仿宋" w:eastAsia="仿宋" w:cs="仿宋"/>
          <w:color w:val="auto"/>
          <w:sz w:val="28"/>
          <w:highlight w:val="none"/>
          <w:lang w:val="en-US" w:eastAsia="zh-CN"/>
        </w:rPr>
        <w:t>工作面上所用材料、机具</w:t>
      </w:r>
      <w:r>
        <w:rPr>
          <w:rFonts w:hint="eastAsia" w:ascii="仿宋" w:hAnsi="仿宋" w:eastAsia="仿宋" w:cs="仿宋"/>
          <w:color w:val="auto"/>
          <w:sz w:val="28"/>
          <w:highlight w:val="none"/>
          <w:lang w:val="en-US" w:eastAsia="zh-CN"/>
        </w:rPr>
        <w:t>的</w:t>
      </w:r>
      <w:r>
        <w:rPr>
          <w:rFonts w:hint="default" w:ascii="仿宋" w:hAnsi="仿宋" w:eastAsia="仿宋" w:cs="仿宋"/>
          <w:color w:val="auto"/>
          <w:sz w:val="28"/>
          <w:highlight w:val="none"/>
          <w:lang w:val="en-US" w:eastAsia="zh-CN"/>
        </w:rPr>
        <w:t>垃圾清理，做到工完场清，并自行负责</w:t>
      </w:r>
      <w:r>
        <w:rPr>
          <w:rFonts w:hint="eastAsia" w:ascii="仿宋" w:hAnsi="仿宋" w:eastAsia="仿宋" w:cs="仿宋"/>
          <w:color w:val="auto"/>
          <w:sz w:val="28"/>
          <w:highlight w:val="none"/>
          <w:lang w:val="en-US" w:eastAsia="zh-CN"/>
        </w:rPr>
        <w:t>工作面</w:t>
      </w:r>
      <w:r>
        <w:rPr>
          <w:rFonts w:hint="default" w:ascii="仿宋" w:hAnsi="仿宋" w:eastAsia="仿宋" w:cs="仿宋"/>
          <w:color w:val="auto"/>
          <w:sz w:val="28"/>
          <w:highlight w:val="none"/>
          <w:lang w:val="en-US" w:eastAsia="zh-CN"/>
        </w:rPr>
        <w:t>所</w:t>
      </w:r>
      <w:r>
        <w:rPr>
          <w:rFonts w:hint="eastAsia" w:ascii="仿宋" w:hAnsi="仿宋" w:eastAsia="仿宋" w:cs="仿宋"/>
          <w:color w:val="auto"/>
          <w:sz w:val="28"/>
          <w:highlight w:val="none"/>
          <w:lang w:val="en-US" w:eastAsia="zh-CN"/>
        </w:rPr>
        <w:t>涉及的</w:t>
      </w:r>
      <w:r>
        <w:rPr>
          <w:rFonts w:hint="default" w:ascii="仿宋" w:hAnsi="仿宋" w:eastAsia="仿宋" w:cs="仿宋"/>
          <w:color w:val="auto"/>
          <w:sz w:val="28"/>
          <w:highlight w:val="none"/>
          <w:lang w:val="en-US" w:eastAsia="zh-CN"/>
        </w:rPr>
        <w:t>建筑垃圾、生活垃圾</w:t>
      </w:r>
      <w:r>
        <w:rPr>
          <w:rFonts w:hint="eastAsia" w:ascii="仿宋" w:hAnsi="仿宋" w:eastAsia="仿宋" w:cs="仿宋"/>
          <w:color w:val="auto"/>
          <w:sz w:val="28"/>
          <w:highlight w:val="none"/>
          <w:lang w:val="en-US" w:eastAsia="zh-CN"/>
        </w:rPr>
        <w:t>、有机物垃圾</w:t>
      </w:r>
      <w:r>
        <w:rPr>
          <w:rFonts w:hint="default" w:ascii="仿宋" w:hAnsi="仿宋" w:eastAsia="仿宋" w:cs="仿宋"/>
          <w:color w:val="auto"/>
          <w:sz w:val="28"/>
          <w:highlight w:val="none"/>
          <w:lang w:val="en-US" w:eastAsia="zh-CN"/>
        </w:rPr>
        <w:t>的处置。如乙方未能自行处置，必须于每道工序验收前把工作面</w:t>
      </w:r>
      <w:r>
        <w:rPr>
          <w:rFonts w:hint="eastAsia" w:ascii="仿宋" w:hAnsi="仿宋" w:eastAsia="仿宋" w:cs="仿宋"/>
          <w:color w:val="auto"/>
          <w:sz w:val="28"/>
          <w:highlight w:val="none"/>
          <w:lang w:val="en-US" w:eastAsia="zh-CN"/>
        </w:rPr>
        <w:t>上的</w:t>
      </w:r>
      <w:r>
        <w:rPr>
          <w:rFonts w:hint="default" w:ascii="仿宋" w:hAnsi="仿宋" w:eastAsia="仿宋" w:cs="仿宋"/>
          <w:color w:val="auto"/>
          <w:sz w:val="28"/>
          <w:highlight w:val="none"/>
          <w:lang w:val="en-US" w:eastAsia="zh-CN"/>
        </w:rPr>
        <w:t>垃圾清理到甲方指定位置，由甲方统一就该部分垃圾处理费(含外运及机械台班费等)按责、按量进行分摊后，由乙方及相关分包单位承担并以书面形式确认，在结算时予以扣除。结算书须包含甲方项目部按照垃圾产生的责任单位进行数量和全部费用的分摊表，该表须甲方施工员、项目副经理、项目经理签认，否则甲方有权不</w:t>
      </w:r>
      <w:r>
        <w:rPr>
          <w:rFonts w:hint="eastAsia" w:ascii="仿宋" w:hAnsi="仿宋" w:eastAsia="仿宋" w:cs="仿宋"/>
          <w:color w:val="auto"/>
          <w:sz w:val="28"/>
          <w:highlight w:val="none"/>
          <w:lang w:val="en-US" w:eastAsia="zh-CN"/>
        </w:rPr>
        <w:t>付款</w:t>
      </w:r>
      <w:r>
        <w:rPr>
          <w:rFonts w:hint="default" w:ascii="仿宋" w:hAnsi="仿宋" w:eastAsia="仿宋" w:cs="仿宋"/>
          <w:color w:val="auto"/>
          <w:sz w:val="28"/>
          <w:highlight w:val="none"/>
          <w:lang w:val="en-US" w:eastAsia="zh-CN"/>
        </w:rPr>
        <w:t>且不违约。</w:t>
      </w:r>
    </w:p>
    <w:p w14:paraId="030271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4.2.7</w:t>
      </w:r>
      <w:r>
        <w:rPr>
          <w:rFonts w:hint="default" w:ascii="仿宋" w:hAnsi="仿宋" w:eastAsia="仿宋" w:cs="仿宋"/>
          <w:color w:val="auto"/>
          <w:sz w:val="28"/>
          <w:highlight w:val="none"/>
          <w:lang w:val="en-US" w:eastAsia="zh-CN"/>
        </w:rPr>
        <w:t>乙方延迟开工或不能按合同约定时间准时安排设备到工地服务时，每台设备每逾期一小时向甲方支付违约金人民币贰</w:t>
      </w:r>
      <w:r>
        <w:rPr>
          <w:rFonts w:hint="eastAsia" w:ascii="仿宋" w:hAnsi="仿宋" w:eastAsia="仿宋" w:cs="仿宋"/>
          <w:color w:val="auto"/>
          <w:sz w:val="28"/>
          <w:highlight w:val="none"/>
          <w:lang w:val="en-US" w:eastAsia="zh-CN"/>
        </w:rPr>
        <w:t>仟</w:t>
      </w:r>
      <w:r>
        <w:rPr>
          <w:rFonts w:hint="default" w:ascii="仿宋" w:hAnsi="仿宋" w:eastAsia="仿宋" w:cs="仿宋"/>
          <w:color w:val="auto"/>
          <w:sz w:val="28"/>
          <w:highlight w:val="none"/>
          <w:lang w:val="en-US" w:eastAsia="zh-CN"/>
        </w:rPr>
        <w:t>元，逾期四小时以上的甲方有权向第三方租赁设备及人员完成本项目混凝土泵送工作，同时甲方有权单方解除本合同，乙方</w:t>
      </w:r>
      <w:r>
        <w:rPr>
          <w:rFonts w:hint="eastAsia" w:ascii="仿宋" w:hAnsi="仿宋" w:eastAsia="仿宋" w:cs="仿宋"/>
          <w:color w:val="auto"/>
          <w:sz w:val="28"/>
          <w:highlight w:val="none"/>
          <w:lang w:val="en-US" w:eastAsia="zh-CN"/>
        </w:rPr>
        <w:t>另</w:t>
      </w:r>
      <w:r>
        <w:rPr>
          <w:rFonts w:hint="default" w:ascii="仿宋" w:hAnsi="仿宋" w:eastAsia="仿宋" w:cs="仿宋"/>
          <w:color w:val="auto"/>
          <w:sz w:val="28"/>
          <w:highlight w:val="none"/>
          <w:lang w:val="en-US" w:eastAsia="zh-CN"/>
        </w:rPr>
        <w:t>支付违约金贰万元并按甲方要求准时退场，每延迟一个日历天退场，乙方向甲方另行支付违约金人民币伍仟元整，甲方的损失(包括但不限于因逾期而使得甲方需对建设单位承担的违约责任损失赔偿责任等)由乙方赔偿。</w:t>
      </w:r>
    </w:p>
    <w:p w14:paraId="16115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4.2.8合同履行过程中，乙方人员进入甲方施工现场期间必须自备安全防护用品，并服从甲方管理。乙方必须为其人员购买社会保险及人身意外伤害保险，一切安全事故和交通事故均由乙方自行承担。合同履行期间，乙方无条件执行甲方与建设单位确定的本项目施工现场管理制度，因乙方原因导致建设单位或其他部门对甲方进行处罚扣款的，乙方按该处罚金额的2倍向甲方承担违约金。乙方履行合同、作业期间发生的安全事故由乙方自行解决并承担全部费用，甲方不承担任何义务及责任。如乙方原因导致人员伤亡、财产受损（包括甲方、乙方、第三方的人员、财产），由乙方承担全部责任，如因此导致甲方被追究责任的，甲方有权向乙方追偿，乙方应赔偿甲方的全部损失。</w:t>
      </w:r>
    </w:p>
    <w:p w14:paraId="643DB5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4.2.9</w:t>
      </w:r>
      <w:r>
        <w:rPr>
          <w:rFonts w:hint="default" w:ascii="仿宋" w:hAnsi="仿宋" w:eastAsia="仿宋" w:cs="仿宋"/>
          <w:color w:val="auto"/>
          <w:sz w:val="28"/>
          <w:highlight w:val="none"/>
          <w:lang w:val="en-US" w:eastAsia="zh-CN"/>
        </w:rPr>
        <w:t>乙方在服务过程中的个人防护用品(如安全帽、手套等)由乙方自理，费用已包含在合同单价中。乙方人员须自觉穿戴好防护用品，因乙方防护不当造成事故的由乙方自行承担全部责任和费用。</w:t>
      </w:r>
      <w:r>
        <w:rPr>
          <w:rFonts w:hint="eastAsia" w:ascii="仿宋" w:hAnsi="仿宋" w:eastAsia="仿宋" w:cs="仿宋"/>
          <w:color w:val="auto"/>
          <w:sz w:val="28"/>
          <w:highlight w:val="none"/>
          <w:lang w:val="en-US" w:eastAsia="zh-CN"/>
        </w:rPr>
        <w:t>如由甲方统一采购</w:t>
      </w:r>
      <w:r>
        <w:rPr>
          <w:rFonts w:hint="default" w:ascii="仿宋" w:hAnsi="仿宋" w:eastAsia="仿宋" w:cs="仿宋"/>
          <w:color w:val="auto"/>
          <w:sz w:val="28"/>
          <w:highlight w:val="none"/>
          <w:lang w:val="en-US" w:eastAsia="zh-CN"/>
        </w:rPr>
        <w:t>劳保用品</w:t>
      </w:r>
      <w:r>
        <w:rPr>
          <w:rFonts w:hint="eastAsia" w:ascii="仿宋" w:hAnsi="仿宋" w:eastAsia="仿宋" w:cs="仿宋"/>
          <w:color w:val="auto"/>
          <w:sz w:val="28"/>
          <w:highlight w:val="none"/>
          <w:lang w:val="en-US" w:eastAsia="zh-CN"/>
        </w:rPr>
        <w:t>，则</w:t>
      </w:r>
      <w:r>
        <w:rPr>
          <w:rFonts w:hint="default" w:ascii="仿宋" w:hAnsi="仿宋" w:eastAsia="仿宋" w:cs="仿宋"/>
          <w:color w:val="auto"/>
          <w:sz w:val="28"/>
          <w:highlight w:val="none"/>
          <w:lang w:val="en-US" w:eastAsia="zh-CN"/>
        </w:rPr>
        <w:t>配置标准具体实施及费用收取标准、办法</w:t>
      </w:r>
      <w:r>
        <w:rPr>
          <w:rFonts w:hint="eastAsia" w:ascii="仿宋" w:hAnsi="仿宋" w:eastAsia="仿宋" w:cs="仿宋"/>
          <w:color w:val="auto"/>
          <w:sz w:val="28"/>
          <w:highlight w:val="none"/>
          <w:lang w:val="en-US" w:eastAsia="zh-CN"/>
        </w:rPr>
        <w:t>如下</w:t>
      </w:r>
      <w:r>
        <w:rPr>
          <w:rFonts w:hint="default" w:ascii="仿宋" w:hAnsi="仿宋" w:eastAsia="仿宋" w:cs="仿宋"/>
          <w:color w:val="auto"/>
          <w:sz w:val="28"/>
          <w:highlight w:val="none"/>
          <w:lang w:val="en-US" w:eastAsia="zh-CN"/>
        </w:rPr>
        <w:t>：</w:t>
      </w:r>
    </w:p>
    <w:p w14:paraId="2F0C43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4.2.9.1</w:t>
      </w:r>
      <w:r>
        <w:rPr>
          <w:rFonts w:hint="default" w:ascii="仿宋" w:hAnsi="仿宋" w:eastAsia="仿宋" w:cs="仿宋"/>
          <w:color w:val="auto"/>
          <w:sz w:val="28"/>
          <w:highlight w:val="none"/>
          <w:lang w:val="en-US" w:eastAsia="zh-CN"/>
        </w:rPr>
        <w:t>本工程配置黄色的安全帽、荧光黄色的反光背心，款式按甲方颁布的《劳保用品配置标准及司旗款式》（V2022）制度执行。</w:t>
      </w:r>
    </w:p>
    <w:p w14:paraId="4D5ADE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4.2.9.2</w:t>
      </w:r>
      <w:r>
        <w:rPr>
          <w:rFonts w:hint="default" w:ascii="仿宋" w:hAnsi="仿宋" w:eastAsia="仿宋" w:cs="仿宋"/>
          <w:color w:val="auto"/>
          <w:sz w:val="28"/>
          <w:highlight w:val="none"/>
          <w:lang w:val="en-US" w:eastAsia="zh-CN"/>
        </w:rPr>
        <w:t>甲方提供安全帽20元/顶、反光背心15元/件，按乙方实际领取数量的对应金额在结算时进行扣除。</w:t>
      </w:r>
    </w:p>
    <w:p w14:paraId="7C8B69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4.2.10乙方若发生本合同约定的责任或义务任意一条的行为均属违约，乙方除按相应条款承担包括但不限于合同所述的违约责任外，甲方可随时单方解除合同，同时乙方赔偿甲方因此遭受的损失。</w:t>
      </w:r>
    </w:p>
    <w:p w14:paraId="6D2188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4.2.11对乙方应承担的赔偿及违约金，甲方有权从与乙方相关的任意合同款中直接扣除，与乙方相关的合同款不足扣款的，乙方在甲方规定期限内另行支付给甲方。</w:t>
      </w:r>
    </w:p>
    <w:p w14:paraId="07F829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4.2.12</w:t>
      </w:r>
      <w:r>
        <w:rPr>
          <w:rFonts w:hint="default" w:ascii="仿宋" w:hAnsi="仿宋" w:eastAsia="仿宋" w:cs="仿宋"/>
          <w:color w:val="auto"/>
          <w:sz w:val="28"/>
          <w:highlight w:val="none"/>
          <w:lang w:val="en-US" w:eastAsia="zh-CN"/>
        </w:rPr>
        <w:t>乙方用于本项目的所有机械设备必须符合现行国家及本项目</w:t>
      </w:r>
      <w:r>
        <w:rPr>
          <w:rFonts w:hint="eastAsia" w:ascii="仿宋" w:hAnsi="仿宋" w:eastAsia="仿宋" w:cs="仿宋"/>
          <w:color w:val="auto"/>
          <w:sz w:val="28"/>
          <w:highlight w:val="none"/>
          <w:lang w:val="en-US" w:eastAsia="zh-CN"/>
        </w:rPr>
        <w:t>所在</w:t>
      </w:r>
      <w:r>
        <w:rPr>
          <w:rFonts w:hint="default" w:ascii="仿宋" w:hAnsi="仿宋" w:eastAsia="仿宋" w:cs="仿宋"/>
          <w:color w:val="auto"/>
          <w:sz w:val="28"/>
          <w:highlight w:val="none"/>
          <w:lang w:val="en-US" w:eastAsia="zh-CN"/>
        </w:rPr>
        <w:t>地的相关规定，同时按甲方《分包单位材料管理制度》执行。</w:t>
      </w:r>
    </w:p>
    <w:p w14:paraId="227DC9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4.2.13</w:t>
      </w:r>
      <w:r>
        <w:rPr>
          <w:rFonts w:hint="default" w:ascii="仿宋" w:hAnsi="仿宋" w:eastAsia="仿宋" w:cs="仿宋"/>
          <w:color w:val="auto"/>
          <w:sz w:val="28"/>
          <w:highlight w:val="none"/>
          <w:lang w:val="en-US" w:eastAsia="zh-CN"/>
        </w:rPr>
        <w:t>乙方必须对操作员等乙方人员进行安全教育，操作员必须持证上岗并坚守岗位，特殊情况需离开工地的，须经甲方项目部批准后方能离开。</w:t>
      </w:r>
    </w:p>
    <w:p w14:paraId="0B7D42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4.2.14</w:t>
      </w:r>
      <w:r>
        <w:rPr>
          <w:rFonts w:hint="default" w:ascii="仿宋" w:hAnsi="仿宋" w:eastAsia="仿宋" w:cs="仿宋"/>
          <w:color w:val="auto"/>
          <w:sz w:val="28"/>
          <w:highlight w:val="none"/>
          <w:lang w:val="en-US" w:eastAsia="zh-CN"/>
        </w:rPr>
        <w:t>乙方人员进场时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r>
        <w:rPr>
          <w:rFonts w:hint="eastAsia" w:ascii="仿宋" w:hAnsi="仿宋" w:eastAsia="仿宋" w:cs="仿宋"/>
          <w:color w:val="auto"/>
          <w:sz w:val="28"/>
          <w:highlight w:val="none"/>
          <w:lang w:val="en-US" w:eastAsia="zh-CN"/>
        </w:rPr>
        <w:t>。</w:t>
      </w:r>
    </w:p>
    <w:p w14:paraId="19897C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4.2.15</w:t>
      </w:r>
      <w:r>
        <w:rPr>
          <w:rFonts w:hint="default" w:ascii="仿宋" w:hAnsi="仿宋" w:eastAsia="仿宋" w:cs="仿宋"/>
          <w:color w:val="auto"/>
          <w:sz w:val="28"/>
          <w:highlight w:val="none"/>
          <w:lang w:val="en-US" w:eastAsia="zh-CN"/>
        </w:rPr>
        <w:t>乙方须如实主动申报及发放工人工资，甲方有权核对，如发现乙方弄虚作假，甲方暂停支付乙方合同款。</w:t>
      </w:r>
    </w:p>
    <w:p w14:paraId="01B339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4.2.16</w:t>
      </w:r>
      <w:r>
        <w:rPr>
          <w:rFonts w:hint="default" w:ascii="仿宋" w:hAnsi="仿宋" w:eastAsia="仿宋" w:cs="仿宋"/>
          <w:color w:val="auto"/>
          <w:sz w:val="28"/>
          <w:highlight w:val="none"/>
          <w:lang w:val="en-US" w:eastAsia="zh-CN"/>
        </w:rPr>
        <w:t>乙方人员(包括乙方家属、朋友等人员)在本项目地点发生的所有安全事故均与甲方无关，甲方不承担任何责任和费用，一切责任和费用由乙方承担。</w:t>
      </w:r>
    </w:p>
    <w:p w14:paraId="2872B6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4.2.17</w:t>
      </w:r>
      <w:r>
        <w:rPr>
          <w:rFonts w:hint="default" w:ascii="仿宋" w:hAnsi="仿宋" w:eastAsia="仿宋" w:cs="仿宋"/>
          <w:color w:val="auto"/>
          <w:sz w:val="28"/>
          <w:highlight w:val="none"/>
          <w:lang w:val="en-US" w:eastAsia="zh-CN"/>
        </w:rPr>
        <w:t>本合同履行过程中，乙方设备的维护、保养及年检等由乙方自行负责，须按政府主管部门的要求及规定对设备进行年检，相关费用已含于合同单价中。乙方设备在租赁期间因年检过期、无牌、无证驾驶、环境污染等行为遭到包括交通、环保等政府主管部门的处罚均由乙方自行负责。</w:t>
      </w:r>
    </w:p>
    <w:p w14:paraId="0CBE0B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4.2.18</w:t>
      </w:r>
      <w:r>
        <w:rPr>
          <w:rFonts w:hint="default" w:ascii="仿宋" w:hAnsi="仿宋" w:eastAsia="仿宋" w:cs="仿宋"/>
          <w:color w:val="auto"/>
          <w:sz w:val="28"/>
          <w:highlight w:val="none"/>
          <w:lang w:val="en-US" w:eastAsia="zh-CN"/>
        </w:rPr>
        <w:t>乙方进入本项目现场的工作人员年龄必须在18至55周岁之间(政府部门有更严格要求的，从其要求)。乙方及其人员的社会保险费、人身意外伤害保险费及乙方对本项目成果承担质量保修工作的有关费用等已包含在本合同价格中，甲方无需另行支付费用给乙方。</w:t>
      </w:r>
    </w:p>
    <w:p w14:paraId="336737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4.2.19</w:t>
      </w:r>
      <w:r>
        <w:rPr>
          <w:rFonts w:hint="default" w:ascii="仿宋" w:hAnsi="仿宋" w:eastAsia="仿宋" w:cs="仿宋"/>
          <w:color w:val="auto"/>
          <w:sz w:val="28"/>
          <w:highlight w:val="none"/>
          <w:lang w:val="en-US" w:eastAsia="zh-CN"/>
        </w:rPr>
        <w:t>乙方每天施工过程中须做到工完场清，乙方造成的垃圾由乙方负责清理外运至甲方指定地点，相关费用已含于合同单价中，甲方无需另行计费给乙方。</w:t>
      </w:r>
    </w:p>
    <w:p w14:paraId="2B6EA4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4.2.20</w:t>
      </w:r>
      <w:r>
        <w:rPr>
          <w:rFonts w:hint="default" w:ascii="仿宋" w:hAnsi="仿宋" w:eastAsia="仿宋" w:cs="仿宋"/>
          <w:color w:val="auto"/>
          <w:sz w:val="28"/>
          <w:highlight w:val="none"/>
          <w:lang w:val="en-US" w:eastAsia="zh-CN"/>
        </w:rPr>
        <w:t>乙方须严格遵守《建设工程安全生产管理条例》(有更新版本则按最新版本执行)及有关文件安全管理规定，组织安排工人施工，消除安全患。乙方保证甲方不承担任何因乙方原因导致的人身伤亡或财产损失或赔偿责任，保障甲方不承担任何因乙方及其人员引起的诉讼、控告、索赔责任及发生的相关费用，否则甲方的全部损失由乙方赔偿。</w:t>
      </w:r>
    </w:p>
    <w:p w14:paraId="4B1BFB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4.2.21</w:t>
      </w:r>
      <w:r>
        <w:rPr>
          <w:rFonts w:hint="default" w:ascii="仿宋" w:hAnsi="仿宋" w:eastAsia="仿宋" w:cs="仿宋"/>
          <w:color w:val="auto"/>
          <w:sz w:val="28"/>
          <w:highlight w:val="none"/>
          <w:lang w:val="en-US" w:eastAsia="zh-CN"/>
        </w:rPr>
        <w:t>如本项目因乙方原因出现损失、损害或损坏，乙方须立即修复、补救及更换或维修任何受破坏或损坏之部位，同时按甲方要求清理及弃置任何残骸。</w:t>
      </w:r>
    </w:p>
    <w:p w14:paraId="3CBAB8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4.2.22</w:t>
      </w:r>
      <w:r>
        <w:rPr>
          <w:rFonts w:hint="default" w:ascii="仿宋" w:hAnsi="仿宋" w:eastAsia="仿宋" w:cs="仿宋"/>
          <w:color w:val="auto"/>
          <w:sz w:val="28"/>
          <w:highlight w:val="none"/>
          <w:lang w:val="en-US" w:eastAsia="zh-CN"/>
        </w:rPr>
        <w:t>乙方须对本</w:t>
      </w:r>
      <w:r>
        <w:rPr>
          <w:rFonts w:hint="eastAsia" w:ascii="仿宋" w:hAnsi="仿宋" w:eastAsia="仿宋" w:cs="仿宋"/>
          <w:color w:val="auto"/>
          <w:sz w:val="28"/>
          <w:highlight w:val="none"/>
          <w:lang w:val="en-US" w:eastAsia="zh-CN"/>
        </w:rPr>
        <w:t>项目</w:t>
      </w:r>
      <w:r>
        <w:rPr>
          <w:rFonts w:hint="default" w:ascii="仿宋" w:hAnsi="仿宋" w:eastAsia="仿宋" w:cs="仿宋"/>
          <w:color w:val="auto"/>
          <w:sz w:val="28"/>
          <w:highlight w:val="none"/>
          <w:lang w:val="en-US" w:eastAsia="zh-CN"/>
        </w:rPr>
        <w:t>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3950D2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4.2.23合同所述的执行标准如互相矛盾，或与本合同未写入的其他强制性规范、标准有矛盾时，乙方按要求标准高的执行。</w:t>
      </w:r>
    </w:p>
    <w:p w14:paraId="53157A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r>
        <w:rPr>
          <w:rFonts w:hint="eastAsia" w:ascii="仿宋" w:hAnsi="仿宋" w:eastAsia="仿宋" w:cs="仿宋"/>
          <w:color w:val="auto"/>
          <w:sz w:val="28"/>
          <w:highlight w:val="none"/>
          <w:lang w:val="en-US" w:eastAsia="zh-CN"/>
        </w:rPr>
        <w:t>4.2.24乙方车辆出大门上路必须进行冲洗，由此引起的费用、责任均由乙方承担。</w:t>
      </w:r>
      <w:bookmarkStart w:id="80" w:name="_Toc20045"/>
      <w:bookmarkStart w:id="81" w:name="_Toc20498"/>
      <w:bookmarkStart w:id="82" w:name="_Toc26760"/>
      <w:bookmarkStart w:id="83" w:name="_Toc18049"/>
      <w:bookmarkStart w:id="84" w:name="_Toc226"/>
      <w:bookmarkStart w:id="85" w:name="_Toc14543"/>
    </w:p>
    <w:p w14:paraId="60E5B843">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bookmarkStart w:id="86" w:name="_Toc14555"/>
    </w:p>
    <w:p w14:paraId="0113EBA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72549731">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 w:hAnsi="仿宋" w:eastAsia="仿宋" w:cs="仿宋"/>
          <w:b w:val="0"/>
          <w:bCs w:val="0"/>
          <w:color w:val="auto"/>
          <w:sz w:val="28"/>
          <w:highlight w:val="none"/>
          <w:u w:val="none"/>
          <w:lang w:val="en-US" w:eastAsia="zh-CN"/>
        </w:rPr>
      </w:pPr>
      <w:r>
        <w:rPr>
          <w:rFonts w:hint="eastAsia" w:ascii="仿宋_GB2312" w:hAnsi="仿宋_GB2312" w:eastAsia="仿宋_GB2312" w:cs="仿宋_GB2312"/>
          <w:b/>
          <w:bCs/>
          <w:i w:val="0"/>
          <w:iCs w:val="0"/>
          <w:color w:val="auto"/>
          <w:kern w:val="0"/>
          <w:sz w:val="32"/>
          <w:szCs w:val="32"/>
          <w:highlight w:val="none"/>
          <w:shd w:val="clear" w:fill="auto"/>
          <w:lang w:val="en-US" w:eastAsia="zh-CN" w:bidi="ar-SA"/>
        </w:rPr>
        <w:t xml:space="preserve">第三部分 </w:t>
      </w:r>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合同通用条款</w:t>
      </w:r>
      <w:bookmarkEnd w:id="80"/>
      <w:bookmarkEnd w:id="81"/>
      <w:bookmarkEnd w:id="82"/>
      <w:bookmarkEnd w:id="83"/>
      <w:bookmarkEnd w:id="84"/>
      <w:bookmarkEnd w:id="85"/>
      <w:bookmarkEnd w:id="86"/>
    </w:p>
    <w:p w14:paraId="4BE57C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highlight w:val="none"/>
          <w:lang w:val="en-US" w:eastAsia="zh-CN"/>
        </w:rPr>
      </w:pPr>
      <w:bookmarkStart w:id="87" w:name="_Toc31271"/>
      <w:bookmarkStart w:id="88" w:name="_Toc15658"/>
      <w:bookmarkStart w:id="89" w:name="_Toc23626"/>
      <w:bookmarkStart w:id="90" w:name="_Toc19921"/>
      <w:bookmarkStart w:id="91" w:name="_Toc27528"/>
      <w:bookmarkStart w:id="92" w:name="_Toc20715"/>
      <w:bookmarkStart w:id="93" w:name="_Toc32013"/>
      <w:bookmarkStart w:id="94" w:name="_Toc30064"/>
      <w:bookmarkStart w:id="95" w:name="_Toc3127"/>
      <w:r>
        <w:rPr>
          <w:rFonts w:hint="eastAsia" w:ascii="仿宋" w:hAnsi="仿宋" w:eastAsia="仿宋" w:cs="仿宋"/>
          <w:b/>
          <w:bCs/>
          <w:color w:val="auto"/>
          <w:sz w:val="28"/>
          <w:highlight w:val="none"/>
          <w:lang w:val="en-US" w:eastAsia="zh-CN"/>
        </w:rPr>
        <w:t>第一章、对账</w:t>
      </w:r>
      <w:bookmarkEnd w:id="87"/>
      <w:bookmarkEnd w:id="88"/>
      <w:bookmarkEnd w:id="89"/>
      <w:bookmarkEnd w:id="90"/>
      <w:bookmarkEnd w:id="91"/>
      <w:r>
        <w:rPr>
          <w:rFonts w:hint="eastAsia" w:ascii="仿宋" w:hAnsi="仿宋" w:eastAsia="仿宋" w:cs="仿宋"/>
          <w:b/>
          <w:bCs/>
          <w:color w:val="auto"/>
          <w:sz w:val="28"/>
          <w:highlight w:val="none"/>
          <w:lang w:val="en-US" w:eastAsia="zh-CN"/>
        </w:rPr>
        <w:t>及发票要求</w:t>
      </w:r>
      <w:bookmarkEnd w:id="92"/>
      <w:bookmarkEnd w:id="93"/>
    </w:p>
    <w:p w14:paraId="2626E6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乙方对账及请款资料：甲方下料订单(即甲方发出的《物料申购单》,格式详见附件)、乙方对账单原件(结算单)、本合同复印件(含调价函)、材料签收单原件（绿联，格式详见附件）、乙方送货单原件(发货单)、材料收货水印照片、材料款申报确认表原件、付款台账汇总表原件、供应商月度对账单原件(格式详见附件)、结清承诺书原件、发票（双方对账一致后2个日历天内，乙方交齐给甲方项目部对账人员）。</w:t>
      </w:r>
    </w:p>
    <w:p w14:paraId="5380B8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1.1.1对账资料具体要求：</w:t>
      </w:r>
    </w:p>
    <w:p w14:paraId="44F778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①乙方对账单（结算单）：该单据须乙方盖章及乙方人员签名和日期，经甲方人员（甲方合同执行联系人、甲方仓管员）核对无误后签名和日期，原则上款项内容处填写的对账日期应与签注的日期一致。</w:t>
      </w:r>
    </w:p>
    <w:p w14:paraId="76B0F1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本合同复印件（含调价函、混凝土、砂浆材料须提供合同约定的施工当期“信息价”复印件）：合同复印件以签章完毕的为准，包括本合同及附属补充协议；调价函及调税率函以适用的为准，过期或者不适用的不附，以加盖甲乙双方公章的为准，不调价/不调税则不提供；合同约定的施工当期“信息价”复印件（须加盖乙方公章）。</w:t>
      </w:r>
    </w:p>
    <w:p w14:paraId="524700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材料签收单：须注明材料所用项目、地块、第几期，并如实的正确填写日期、乙方全称、材料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划的内容旁须有甲方合同执行联系人、甲方仓管员共同签名确认，否则无效。关于甲乙双方人员（甲方合同执行联系人、甲方产品签收人、乙方送货员、乙方合同授权代表）的签名确认，甲方如有规定则按相关规定办理。甲方付款的前提条件之一是收齐了符合本合同约定的材料签收单原件（即一式三联均由甲方收齐），否则甲方有权不付款。</w:t>
      </w:r>
    </w:p>
    <w:p w14:paraId="2F8C5C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④乙方送货单（发货单）：此单据须盖乙方成品出货专用章及甲乙双方人员（甲方合同执行联系人、甲方仓管员、乙方送货员、乙方合同授权代表）签字，混凝土、砂浆材料合同须具体按甲方《</w:t>
      </w:r>
      <w:r>
        <w:rPr>
          <w:rFonts w:hint="eastAsia" w:ascii="仿宋" w:hAnsi="仿宋" w:eastAsia="仿宋" w:cs="仿宋"/>
          <w:color w:val="auto"/>
          <w:sz w:val="28"/>
          <w:highlight w:val="none"/>
          <w:lang w:val="en-US" w:eastAsia="zh-CN"/>
        </w:rPr>
        <w:fldChar w:fldCharType="begin"/>
      </w:r>
      <w:r>
        <w:rPr>
          <w:rFonts w:hint="eastAsia" w:ascii="仿宋" w:hAnsi="仿宋" w:eastAsia="仿宋" w:cs="仿宋"/>
          <w:color w:val="auto"/>
          <w:sz w:val="28"/>
          <w:highlight w:val="none"/>
          <w:lang w:val="en-US" w:eastAsia="zh-CN"/>
        </w:rPr>
        <w:instrText xml:space="preserve"> HYPERLINK "javascript:openFullWindowForXtable('DocDsp.jsp?id=111204&amp;meetingid=0&amp;votingId=0&amp;versionId=123347&amp;imagefileId=138428&amp;from=&amp;userCategory=0&amp;isFromAccessory=true');" </w:instrText>
      </w:r>
      <w:r>
        <w:rPr>
          <w:rFonts w:hint="eastAsia" w:ascii="仿宋" w:hAnsi="仿宋" w:eastAsia="仿宋" w:cs="仿宋"/>
          <w:color w:val="auto"/>
          <w:sz w:val="28"/>
          <w:highlight w:val="none"/>
          <w:lang w:val="en-US" w:eastAsia="zh-CN"/>
        </w:rPr>
        <w:fldChar w:fldCharType="separate"/>
      </w:r>
      <w:r>
        <w:rPr>
          <w:rFonts w:hint="eastAsia" w:ascii="仿宋" w:hAnsi="仿宋" w:eastAsia="仿宋" w:cs="仿宋"/>
          <w:color w:val="auto"/>
          <w:sz w:val="28"/>
          <w:highlight w:val="none"/>
          <w:lang w:val="en-US" w:eastAsia="zh-CN"/>
        </w:rPr>
        <w:t>商品混凝土、砂浆验收管理制度</w:t>
      </w:r>
      <w:r>
        <w:rPr>
          <w:rFonts w:hint="eastAsia" w:ascii="仿宋" w:hAnsi="仿宋" w:eastAsia="仿宋" w:cs="仿宋"/>
          <w:color w:val="auto"/>
          <w:sz w:val="28"/>
          <w:highlight w:val="none"/>
          <w:lang w:val="en-US" w:eastAsia="zh-CN"/>
        </w:rPr>
        <w:fldChar w:fldCharType="end"/>
      </w:r>
      <w:r>
        <w:rPr>
          <w:rFonts w:hint="eastAsia" w:ascii="仿宋" w:hAnsi="仿宋" w:eastAsia="仿宋" w:cs="仿宋"/>
          <w:color w:val="auto"/>
          <w:sz w:val="28"/>
          <w:highlight w:val="none"/>
          <w:lang w:val="en-US" w:eastAsia="zh-CN"/>
        </w:rPr>
        <w:t>》规定的验收组人员执行。</w:t>
      </w:r>
    </w:p>
    <w:p w14:paraId="105E0E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材料收货水印照片：含甲乙双方参加产品签收人员留影，产品卸货前后对比照，产品实物规格、品牌等参数照，车辆、车牌信息照，卸货现场工程背景照，所有照片均须有水印备注，水印须有项目地址定位和拍照时间、日期。</w:t>
      </w:r>
    </w:p>
    <w:p w14:paraId="09C33B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⑥材料款申报审批表：格式详见附件。</w:t>
      </w:r>
    </w:p>
    <w:p w14:paraId="1F15AE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⑦款项支付台账：格式详见附件。</w:t>
      </w:r>
    </w:p>
    <w:p w14:paraId="734CD2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⑧结清承诺书：格式详见附件。</w:t>
      </w:r>
    </w:p>
    <w:p w14:paraId="5B0308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⑨供应商月度对账单：格式详见附件。</w:t>
      </w:r>
    </w:p>
    <w:p w14:paraId="722546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⑩物料申购单：格式详见附件。</w:t>
      </w:r>
    </w:p>
    <w:p w14:paraId="0B1381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发票要求：甲乙双方对账完成后，甲方项目部通知乙方开票，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如甲方因特殊原因未收发票却已付款，但乙方逾期提供发票的，每逾期1个日历天按合同暂定总价的5%向甲方承担违约金；如乙方经甲方书面催告后、超过5个日历天仍不提供的，乙方另按合同暂定总价的30%向甲方承担违约金。</w:t>
      </w:r>
      <w:r>
        <w:rPr>
          <w:rFonts w:hint="eastAsia" w:ascii="仿宋" w:hAnsi="仿宋" w:eastAsia="仿宋" w:cs="仿宋"/>
          <w:color w:val="auto"/>
          <w:sz w:val="28"/>
          <w:highlight w:val="none"/>
          <w:lang w:val="en-US" w:eastAsia="zh-CN"/>
        </w:rPr>
        <w:tab/>
      </w:r>
    </w:p>
    <w:p w14:paraId="51EFAA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1.3乙方收款账户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本合同通用条款第1.2条</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w:t>
      </w:r>
      <w:r>
        <w:rPr>
          <w:rFonts w:hint="eastAsia" w:ascii="仿宋" w:hAnsi="仿宋" w:eastAsia="仿宋" w:cs="仿宋"/>
          <w:color w:val="auto"/>
          <w:sz w:val="28"/>
          <w:highlight w:val="none"/>
          <w:lang w:val="en-US" w:eastAsia="zh-CN"/>
        </w:rPr>
        <w:t>方全部承担。</w:t>
      </w:r>
    </w:p>
    <w:p w14:paraId="014703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1.4乙方必须按税法规定的四流合一执行合同，即合同流、货物流、发票流、资金流一致，否则视为乙方违约，且由乙方承担所有责任及损失，直至满足四流合一，甲方方才付款。</w:t>
      </w:r>
    </w:p>
    <w:p w14:paraId="5FF88C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1.5乙方每次向甲方请款时，应按甲方要求注明该次请款所含的每个组团、每个地块、每栋楼具体金额，否则甲方有权不付款且不违约。</w:t>
      </w:r>
    </w:p>
    <w:p w14:paraId="2B058A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1.6乙方报送甲方的送货单、对账单等单据中，表述的各种违背本合同约定的内容均无效，乙方承诺均按本合同执行。</w:t>
      </w:r>
    </w:p>
    <w:p w14:paraId="6D3A11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1.7如甲乙双方对付款金额/结算金额产生争议，甲方有权暂缓付款且不违约，甲方无需向乙方支付违约金或利息，直至双方达成一致意见，方可按甲方相应流程办理付款手续。</w:t>
      </w:r>
    </w:p>
    <w:p w14:paraId="2C2C1C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1.8甲方支付完任一批次货款或双方完成本项目货款结算或合同款支付完毕后，视为乙方关于除保修金外的合同款收付事宜的全部权利全部消灭，乙方不得基于合同款收付事宜向甲方提出任何权利主张或追索其他任何费用。</w:t>
      </w:r>
    </w:p>
    <w:p w14:paraId="250341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1.9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7F2CF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 xml:space="preserve">1.10乙方每次收取合同款时，当期乙方如有未付清给甲方的款项（如：罚款、违约金、代支付款、赔偿款、押金等），乙方须一次性付清后，甲方方才支付当期合同款，否则甲方付款周期顺延且属乙方违约，直至乙方付清为止。 </w:t>
      </w:r>
      <w:r>
        <w:rPr>
          <w:rFonts w:hint="eastAsia" w:ascii="仿宋" w:hAnsi="仿宋" w:eastAsia="仿宋" w:cs="仿宋"/>
          <w:b w:val="0"/>
          <w:bCs w:val="0"/>
          <w:color w:val="auto"/>
          <w:sz w:val="28"/>
          <w:szCs w:val="28"/>
          <w:highlight w:val="none"/>
          <w:u w:val="none"/>
          <w:lang w:val="en-US" w:eastAsia="zh-CN"/>
        </w:rPr>
        <w:t xml:space="preserve">        </w:t>
      </w:r>
    </w:p>
    <w:p w14:paraId="654E31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auto"/>
          <w:sz w:val="28"/>
          <w:highlight w:val="none"/>
          <w:lang w:val="en-US" w:eastAsia="zh-CN"/>
        </w:rPr>
      </w:pPr>
      <w:bookmarkStart w:id="96" w:name="_Toc6682"/>
      <w:bookmarkStart w:id="97" w:name="_Toc14452"/>
      <w:bookmarkStart w:id="98" w:name="_Toc25684"/>
      <w:bookmarkStart w:id="99" w:name="_Toc338"/>
      <w:bookmarkStart w:id="100" w:name="_Toc1237"/>
      <w:r>
        <w:rPr>
          <w:rFonts w:hint="eastAsia" w:ascii="仿宋" w:hAnsi="仿宋" w:eastAsia="仿宋" w:cs="仿宋"/>
          <w:b/>
          <w:bCs/>
          <w:color w:val="auto"/>
          <w:sz w:val="28"/>
          <w:highlight w:val="none"/>
          <w:lang w:val="en-US" w:eastAsia="zh-CN"/>
        </w:rPr>
        <w:t>第二章、</w:t>
      </w:r>
      <w:bookmarkEnd w:id="96"/>
      <w:bookmarkEnd w:id="97"/>
      <w:bookmarkEnd w:id="98"/>
      <w:r>
        <w:rPr>
          <w:rFonts w:hint="eastAsia" w:ascii="仿宋" w:hAnsi="仿宋" w:eastAsia="仿宋" w:cs="仿宋"/>
          <w:b/>
          <w:bCs/>
          <w:color w:val="auto"/>
          <w:sz w:val="28"/>
          <w:highlight w:val="none"/>
          <w:lang w:val="en-US" w:eastAsia="zh-CN"/>
        </w:rPr>
        <w:t>收货、验收流程及标准</w:t>
      </w:r>
      <w:bookmarkEnd w:id="99"/>
      <w:bookmarkEnd w:id="100"/>
    </w:p>
    <w:p w14:paraId="243579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乙方签订本合同后5日内须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3833B0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2.2乙方运输材料、机具、设备时，须提前报备给甲方项目部安全员，选择适</w:t>
      </w:r>
      <w:r>
        <w:rPr>
          <w:rFonts w:hint="eastAsia" w:ascii="仿宋" w:hAnsi="仿宋" w:eastAsia="仿宋" w:cs="仿宋"/>
          <w:b w:val="0"/>
          <w:bCs w:val="0"/>
          <w:i w:val="0"/>
          <w:iCs w:val="0"/>
          <w:color w:val="auto"/>
          <w:sz w:val="28"/>
          <w:szCs w:val="28"/>
          <w:highlight w:val="none"/>
          <w:lang w:val="en-US" w:eastAsia="zh-CN"/>
        </w:rPr>
        <w:t>合</w:t>
      </w:r>
      <w:r>
        <w:rPr>
          <w:rFonts w:hint="eastAsia" w:ascii="仿宋" w:hAnsi="仿宋" w:eastAsia="仿宋" w:cs="仿宋"/>
          <w:color w:val="auto"/>
          <w:sz w:val="28"/>
          <w:highlight w:val="none"/>
          <w:lang w:val="en-US" w:eastAsia="zh-CN"/>
        </w:rPr>
        <w:t>的路线准时抵达，避免现场拥堵，运输车辆总重不得超过现场道路限载，并须服从甲方项目人员指挥，装卸时做到安全作业。</w:t>
      </w:r>
    </w:p>
    <w:p w14:paraId="752882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2.3施工周转材料和小型机具，进场前应报甲方项目部进行检查，做好特殊标记，并由备案人员进行清点后方可使用，无特殊标记的周转材料不得进场，私自进场的不得外运。</w:t>
      </w:r>
    </w:p>
    <w:p w14:paraId="193D0B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2.4乙方送货前须提前向甲方项目部告知送货司机的姓名、联系电话、车辆规格、车牌号，乙方送货单须盖乙方成品出货专用章。</w:t>
      </w:r>
    </w:p>
    <w:p w14:paraId="3562C6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2.5每批产品进场时，乙方提供该批产品的《产品出厂合格证》《原材料检验报告》《出厂质量证明书》及政府主管部门要求的检验检测证明等相关资料给甲方，经甲方验收组工作人员核对该批产品的品牌、规格等各项参数合格后方可过磅。</w:t>
      </w:r>
    </w:p>
    <w:p w14:paraId="199533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2.6甲方项目施工员在产品进场时，有权对品牌、规格、型号、质量等进行全检并拍照留存。</w:t>
      </w:r>
    </w:p>
    <w:p w14:paraId="51CD85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2.7产品如与合同约定不符（如产品的规格、型号、质量等），甲方按合同要求直接拒收、退场并作好记录备查，甲方不折价签收不符合合同要求的产品，乙方无条件更换至符合合同要求为止且货期不顺延，乙方就此向甲方承担所有补救费用及一万元/次的违约金，甲方有权在与乙方相关的合同款中自行扣取违约金。乙方不更换或更换三次仍不合格的，甲方有权单方终止合同，乙方自甲方要求之日起三个日历天内退还全部已收款给甲方，同时按合同暂定总价的20%支付违约金并赔偿甲方损失。</w:t>
      </w:r>
    </w:p>
    <w:p w14:paraId="758237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2.8乙方使用于本工程的所有材料及机械设备必须符合现行国家及项目当地的相关规定，同时按甲方《分包单位材料管理制度》执行。 </w:t>
      </w:r>
    </w:p>
    <w:p w14:paraId="4D5268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2.9乙方必须以甲方验收合格为标准，无条件接受重新送货、返工、整改，工期不得顺延。 </w:t>
      </w:r>
    </w:p>
    <w:p w14:paraId="25A502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2.10乙方每批送货数量少于送货单所写数量或有破损的，甲方按缺少或破损数量的三倍扣减乙方费用，甲方的损失由乙方全部承担。产品如与合同约定不符或验收不合格，乙方自甲方要求之日起两个</w:t>
      </w:r>
      <w:r>
        <w:rPr>
          <w:rFonts w:hint="eastAsia" w:ascii="仿宋" w:hAnsi="仿宋" w:eastAsia="仿宋" w:cs="仿宋"/>
          <w:b w:val="0"/>
          <w:bCs w:val="0"/>
          <w:color w:val="auto"/>
          <w:sz w:val="28"/>
          <w:highlight w:val="none"/>
          <w:u w:val="none"/>
          <w:lang w:eastAsia="zh-CN"/>
        </w:rPr>
        <w:t>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w:t>
      </w:r>
      <w:r>
        <w:rPr>
          <w:rFonts w:hint="eastAsia" w:ascii="仿宋" w:hAnsi="仿宋" w:eastAsia="仿宋" w:cs="仿宋"/>
          <w:color w:val="auto"/>
          <w:sz w:val="28"/>
          <w:highlight w:val="none"/>
          <w:lang w:val="en-US" w:eastAsia="zh-CN"/>
        </w:rPr>
        <w:t>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遇到有破损，甲方也可以拒收。）</w:t>
      </w:r>
    </w:p>
    <w:p w14:paraId="266D50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2.11产品在甲方交货地点的过磅单，乙方搅拌车的驾驶员须签名确认，否则甲方不予支付相关费用。</w:t>
      </w:r>
    </w:p>
    <w:p w14:paraId="408628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2.12产品送至交货地点后，现场表观验收结果合格为形式检验，其质量均以当地住建局认可的有资质相关检测中心检测结果为准。甲方有权要求对产品送至第三方单位（须具备相应专业资质）鉴定、检测。如鉴定结果不合格，乙方除承担鉴定、检测费用外，同时承担因不合格导致的其它一切损失及费用；鉴定结果合格的，则由甲方承担鉴定、检测费。</w:t>
      </w:r>
    </w:p>
    <w:p w14:paraId="26F59D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2.13甲方收货后，若甲方对产品数量、质量等级等再次复查的，乙方须无条件配合，且复查结果可作为结算依据，复查程序等按甲方要求执行。乙方须派指定人员参与甲方对产品验收。</w:t>
      </w:r>
    </w:p>
    <w:p w14:paraId="6A8B91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2.14产品数量结算依据为甲方指定的本合同甲方执行联系人和验收组人员共同签名的签收单及甲方认可的相关资料。</w:t>
      </w:r>
    </w:p>
    <w:p w14:paraId="731E0A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2.15乙方履约过程中，报送甲方项目部签名的台班记录单、送货单、对账单等单据中，各种违背本合同约定的文字表述内容均无效，乙方承诺仍按本合同执行，但如单据约定的乙方赔偿和违约责任高于本合同约定的，则适用更高的标准。</w:t>
      </w:r>
    </w:p>
    <w:p w14:paraId="3DEEE2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2.16由甲方项目技术负责人及甲方仓管员对进场产品组织验收，如甲方栋号施工员不能第一时间进行验收，由甲方项目技术负责人及甲方仓管员组织保安组长共同进行验收并签名，栋号施工员在产品进场12小时内进行复验，验收完成后在材料签收单签名。</w:t>
      </w:r>
    </w:p>
    <w:p w14:paraId="403909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2.17甲方仓管员按甲方规定开具材料签收单，一式三联，白联由甲方项目部留底，红联交至甲方财务部，绿联交乙方用于请款。</w:t>
      </w:r>
    </w:p>
    <w:p w14:paraId="422775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pPr>
      <w:r>
        <w:rPr>
          <w:rFonts w:hint="eastAsia" w:ascii="仿宋" w:hAnsi="仿宋" w:eastAsia="仿宋" w:cs="仿宋"/>
          <w:color w:val="auto"/>
          <w:sz w:val="28"/>
          <w:highlight w:val="none"/>
          <w:lang w:val="en-US" w:eastAsia="zh-CN"/>
        </w:rPr>
        <w:t>2.18所有票据、资料必须经办人亲自签名，严禁他人代签名，一旦发现则</w:t>
      </w:r>
      <w:r>
        <w:rPr>
          <w:rFonts w:hint="eastAsia" w:ascii="仿宋" w:hAnsi="仿宋" w:eastAsia="仿宋" w:cs="仿宋"/>
          <w:b w:val="0"/>
          <w:bCs w:val="0"/>
          <w:color w:val="auto"/>
          <w:sz w:val="28"/>
          <w:highlight w:val="none"/>
          <w:u w:val="none"/>
          <w:lang w:val="en-US" w:eastAsia="zh-CN"/>
        </w:rPr>
        <w:t>乙方向甲方承担违约金（违约金额等于代签票据所列材料金额的三倍但最少不低于二千元/次），甲方有权在任意应付乙方的合同款中自行扣取违约金。</w:t>
      </w:r>
    </w:p>
    <w:bookmarkEnd w:id="76"/>
    <w:bookmarkEnd w:id="77"/>
    <w:p w14:paraId="31D90A6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jc w:val="left"/>
        <w:textAlignment w:val="auto"/>
        <w:outlineLvl w:val="1"/>
        <w:rPr>
          <w:rFonts w:hint="eastAsia" w:ascii="仿宋" w:hAnsi="仿宋" w:eastAsia="仿宋" w:cs="仿宋"/>
          <w:b/>
          <w:bCs/>
          <w:color w:val="auto"/>
          <w:sz w:val="28"/>
          <w:highlight w:val="none"/>
          <w:lang w:val="en-US" w:eastAsia="zh-CN"/>
        </w:rPr>
      </w:pPr>
      <w:bookmarkStart w:id="101" w:name="_Toc9141"/>
      <w:bookmarkStart w:id="102" w:name="_Toc13048"/>
      <w:r>
        <w:rPr>
          <w:rFonts w:hint="eastAsia" w:ascii="仿宋" w:hAnsi="仿宋" w:eastAsia="仿宋" w:cs="仿宋"/>
          <w:b/>
          <w:bCs/>
          <w:color w:val="auto"/>
          <w:sz w:val="28"/>
          <w:highlight w:val="none"/>
          <w:lang w:val="en-US" w:eastAsia="zh-CN"/>
        </w:rPr>
        <w:t>保修</w:t>
      </w:r>
      <w:bookmarkEnd w:id="94"/>
      <w:bookmarkEnd w:id="95"/>
      <w:bookmarkEnd w:id="101"/>
      <w:bookmarkEnd w:id="102"/>
    </w:p>
    <w:p w14:paraId="04B772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u w:val="single"/>
          <w:lang w:val="en-US" w:eastAsia="zh-CN"/>
        </w:rPr>
        <w:t xml:space="preserve"> 50 </w:t>
      </w:r>
      <w:r>
        <w:rPr>
          <w:rFonts w:hint="eastAsia" w:ascii="仿宋" w:hAnsi="仿宋" w:eastAsia="仿宋" w:cs="仿宋"/>
          <w:color w:val="auto"/>
          <w:sz w:val="28"/>
          <w:highlight w:val="none"/>
          <w:lang w:eastAsia="zh-CN"/>
        </w:rPr>
        <w:t>年免费保修(国家或甲方与本项目建设单位另有更</w:t>
      </w:r>
      <w:r>
        <w:rPr>
          <w:rFonts w:hint="eastAsia" w:ascii="仿宋" w:hAnsi="仿宋" w:eastAsia="仿宋" w:cs="仿宋"/>
          <w:color w:val="auto"/>
          <w:sz w:val="28"/>
          <w:highlight w:val="none"/>
          <w:lang w:val="en-US" w:eastAsia="zh-CN"/>
        </w:rPr>
        <w:t>长保修期限规定的，从其规定)，保修期自产品经甲方验收合格并移交建设单位之日起计。保修期内，如产品出现质量缺陷或问题，乙方履行保修义务且经甲方验收合格后，保修期自甲方对保修工作验收合格之日起重新计算。</w:t>
      </w:r>
    </w:p>
    <w:p w14:paraId="0F0893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乙方按法律、法规和国家有关规定对产品在保修期内承担质量保修责任，本合同有更长期限约定或更高保修要求的，按本合同执行。保修期内，如产品或部件不能使用需维修或更换，则该产品或部件保修期自修复或更换之日起重新计算。 </w:t>
      </w:r>
    </w:p>
    <w:p w14:paraId="7E4379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103" w:name="_Toc23822"/>
      <w:bookmarkStart w:id="104" w:name="_Toc12767"/>
      <w:r>
        <w:rPr>
          <w:rFonts w:hint="eastAsia" w:ascii="仿宋" w:hAnsi="仿宋" w:eastAsia="仿宋" w:cs="仿宋"/>
          <w:color w:val="auto"/>
          <w:sz w:val="28"/>
          <w:highlight w:val="none"/>
          <w:lang w:val="en-US" w:eastAsia="zh-CN"/>
        </w:rPr>
        <w:t>3.3保修期内，若产品出现质量问题，乙方在收到甲方或使用单位通知后24小时内必须到达现场进行处理或更换。如甲乙双方共同确认非乙方原因导致问题发生，乙方仍应提供售后服务，相关费用经双方商定后由甲方承担。如乙方未准时到达现场，甲方可自行处理，乙方同时承担违约责任。甲方自行处理所耗费用另加50%由乙方收到甲方通知之日起10个日历天内支付，因此造成的损失由乙方负责全额赔偿。乙方未在24小时内到达现场的，出现的质量问题一律视为乙方原因导致。保修期内，由乙方原因造成的缺陷、问题和事故，乙方须负责维修并承担所产生的全部费用，如乙方不维修也不承担费用，甲方有权追索乙方承担违约责任及赔偿所有损失的责任，乙方维修并承担相应费用后，不免除乙方对甲方/第三方的损失赔偿责任。</w:t>
      </w:r>
    </w:p>
    <w:p w14:paraId="28974B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18C680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3.5保修期届满后第一周内，甲乙双方对产品进行全面检查。乙方自费负责对检查中发现的问题予以及时处理和解决。</w:t>
      </w:r>
    </w:p>
    <w:p w14:paraId="6B7EA2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如产品在保修期满后发现乙方原因导致的质量问题或缺陷，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w:t>
      </w:r>
    </w:p>
    <w:p w14:paraId="2C6021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3.7甲方或使用单位在产品使用过程中遇到的问题，乙方须随时提供电话答疑（答疑负责人及其电话在质量保修书里注明）。凡与产品相关联的一切问题（如操作、产品的保养及维护等）都属于答疑范围，所需费用已包含在合同单价中，不另计费。</w:t>
      </w:r>
    </w:p>
    <w:p w14:paraId="08C30B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3.8乙方根据甲方需要提供现场临时指导和培训，费用已包含在合同价中，不另计费。</w:t>
      </w:r>
    </w:p>
    <w:bookmarkEnd w:id="103"/>
    <w:bookmarkEnd w:id="104"/>
    <w:p w14:paraId="277E24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outlineLvl w:val="1"/>
        <w:rPr>
          <w:rFonts w:hint="eastAsia" w:ascii="仿宋" w:hAnsi="仿宋" w:eastAsia="仿宋" w:cs="仿宋"/>
          <w:b/>
          <w:bCs/>
          <w:color w:val="auto"/>
          <w:sz w:val="28"/>
          <w:szCs w:val="28"/>
          <w:highlight w:val="none"/>
          <w:lang w:val="en-US" w:eastAsia="zh-CN"/>
        </w:rPr>
      </w:pPr>
      <w:bookmarkStart w:id="105" w:name="_Toc4332"/>
      <w:bookmarkStart w:id="106" w:name="_Toc20567"/>
      <w:bookmarkStart w:id="107" w:name="_Toc6546"/>
      <w:bookmarkStart w:id="108" w:name="_Toc29740"/>
      <w:bookmarkStart w:id="109" w:name="_Toc2768"/>
      <w:bookmarkStart w:id="110" w:name="_Toc28370"/>
      <w:r>
        <w:rPr>
          <w:rFonts w:hint="eastAsia" w:ascii="仿宋" w:hAnsi="仿宋" w:eastAsia="仿宋" w:cs="仿宋"/>
          <w:b/>
          <w:bCs/>
          <w:color w:val="auto"/>
          <w:sz w:val="28"/>
          <w:szCs w:val="28"/>
          <w:highlight w:val="none"/>
          <w:lang w:val="en-US" w:eastAsia="zh-CN"/>
        </w:rPr>
        <w:t>第四章、违约责任</w:t>
      </w:r>
      <w:bookmarkEnd w:id="105"/>
      <w:bookmarkEnd w:id="106"/>
    </w:p>
    <w:p w14:paraId="0AC232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乙方逾期交齐任意一批合格产品（含随品、配件、产品说明书、操作手册、质量证明资料等）给甲方或泵送设备逾期到达施工现场的，每逾期一个日历天（不可抗力因素除外），乙方向甲方承担10000元违约金；逾期两个日历天及以上的，属乙方严重违约，甲方有权不通知乙方即另行向他人购销该批产品，同时甲方有权单方解除合同，乙方还应赔偿甲方因此遭受的损失。</w:t>
      </w:r>
    </w:p>
    <w:p w14:paraId="527C52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4.2</w:t>
      </w:r>
      <w:r>
        <w:rPr>
          <w:rFonts w:hint="eastAsia" w:ascii="仿宋" w:hAnsi="仿宋" w:eastAsia="仿宋" w:cs="仿宋"/>
          <w:color w:val="auto"/>
          <w:sz w:val="28"/>
          <w:highlight w:val="none"/>
          <w:u w:val="none"/>
          <w:lang w:val="en-US" w:eastAsia="zh-CN"/>
        </w:rPr>
        <w:t>乙方产品出现质量问题或缺陷的，除按本合同约定进行更换、维修外，每出现一次，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w:t>
      </w:r>
      <w:r>
        <w:rPr>
          <w:rFonts w:hint="eastAsia" w:ascii="仿宋" w:hAnsi="仿宋" w:eastAsia="仿宋" w:cs="仿宋"/>
          <w:color w:val="auto"/>
          <w:sz w:val="28"/>
          <w:highlight w:val="none"/>
          <w:u w:val="none" w:color="auto"/>
          <w:lang w:val="en-US" w:eastAsia="zh-CN"/>
        </w:rPr>
        <w:t>等于该车次产品总价的10%违约金</w:t>
      </w:r>
      <w:r>
        <w:rPr>
          <w:rFonts w:hint="eastAsia" w:ascii="仿宋" w:hAnsi="仿宋" w:eastAsia="仿宋" w:cs="仿宋"/>
          <w:color w:val="auto"/>
          <w:sz w:val="28"/>
          <w:highlight w:val="none"/>
          <w:u w:val="none"/>
          <w:lang w:val="en-US" w:eastAsia="zh-CN"/>
        </w:rPr>
        <w:t>，且甲方有权退货、解除合同，产生的全部责任和经济损失由乙方承担；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1C9E31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69F059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4.4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0D54FD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4.5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7F0447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4.6乙方违反本合同任何约定均属违约，乙方除按相应条款承担包括但不限于以上所述的违约责任外，甲方可随时单方解除合同，</w:t>
      </w:r>
      <w:r>
        <w:rPr>
          <w:rFonts w:hint="eastAsia" w:ascii="仿宋" w:hAnsi="仿宋" w:eastAsia="仿宋" w:cs="仿宋"/>
          <w:color w:val="auto"/>
          <w:sz w:val="28"/>
          <w:highlight w:val="none"/>
          <w:u w:val="none" w:color="auto"/>
          <w:lang w:val="en-US" w:eastAsia="zh-CN"/>
        </w:rPr>
        <w:t>同时乙方赔偿甲方因此遭受的直接损失。</w:t>
      </w:r>
    </w:p>
    <w:p w14:paraId="6D7FB3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4.7乙方违反本合同约定给甲方造成损失的，除按本合同约定承担违约责任外，甲方有权直接从与乙方相关的合同款中直接扣除乙方应承担的违约金、罚款等费用，如相关合同款及乙方支付的违约金、罚款不足补偿甲方损失，乙方在甲方通知之日起七个日历天内补齐给甲方，且甲方向乙方追偿责任所产生的律师费、诉讼费、鉴定费、财产保全费及相关担保费由乙方全额承担。</w:t>
      </w:r>
    </w:p>
    <w:p w14:paraId="704A58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070F89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4.9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61103D8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4.10</w:t>
      </w:r>
      <w:r>
        <w:rPr>
          <w:rFonts w:hint="eastAsia" w:ascii="仿宋" w:hAnsi="仿宋" w:eastAsia="仿宋" w:cs="仿宋"/>
          <w:color w:val="auto"/>
          <w:sz w:val="28"/>
          <w:szCs w:val="28"/>
          <w:highlight w:val="none"/>
          <w:lang w:val="en-US" w:eastAsia="zh-CN"/>
        </w:rPr>
        <w:t>本合同履行过程中，因乙方原因造成产品质量、安全文明措施等无法满足甲方、政府主管部门及规范要求的，乙方须提供不属于其责任的证明并得到甲方的书面认可，否则乙方违约并承担5000元以上/次的违约金，全部责任、费用和损失由乙方承担。如果乙方导致本项目停工，乙方支付不低于伍万元/次的违约金支给甲方，同时甲方有权单方解除合同，产生的全部损失由乙方承担。</w:t>
      </w:r>
    </w:p>
    <w:p w14:paraId="0975CE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t>4.11</w:t>
      </w:r>
      <w:r>
        <w:rPr>
          <w:rFonts w:hint="eastAsia" w:ascii="仿宋" w:hAnsi="仿宋" w:eastAsia="仿宋" w:cs="仿宋"/>
          <w:color w:val="auto"/>
          <w:sz w:val="28"/>
          <w:szCs w:val="28"/>
          <w:highlight w:val="none"/>
          <w:lang w:val="en-US" w:eastAsia="zh-CN"/>
        </w:rPr>
        <w:t>乙方原因导致甲方或本项目被相关部门处罚、停工、扣分的，甲方有权就：被停工的计收乙方违约金伍万元/次，被扣分的计收违约金壹万元/分及贰万元/次，因此产生的全部损失及费用由乙方赔偿甲方。</w:t>
      </w:r>
    </w:p>
    <w:p w14:paraId="273F14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w:t>
      </w:r>
      <w:r>
        <w:rPr>
          <w:rFonts w:hint="default" w:ascii="仿宋" w:hAnsi="仿宋" w:eastAsia="仿宋" w:cs="仿宋"/>
          <w:b w:val="0"/>
          <w:bCs w:val="0"/>
          <w:color w:val="auto"/>
          <w:sz w:val="28"/>
          <w:highlight w:val="none"/>
          <w:u w:val="none"/>
          <w:lang w:val="en-US" w:eastAsia="zh-CN"/>
        </w:rPr>
        <w:t>乙方未及时发放工人工资或及时支付货款，每发生一次劳资纠纷或货款纠纷事件导致影响甲方或本项目的，乙方向甲方支付违约金叁万元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若因乙方拖欠工人工资或货款，导致媒体曝光或政府部门介入，乙方另向甲方支付违约金不少于</w:t>
      </w:r>
      <w:r>
        <w:rPr>
          <w:rFonts w:hint="eastAsia" w:ascii="仿宋" w:hAnsi="仿宋" w:eastAsia="仿宋" w:cs="仿宋"/>
          <w:b w:val="0"/>
          <w:bCs w:val="0"/>
          <w:color w:val="auto"/>
          <w:sz w:val="28"/>
          <w:highlight w:val="none"/>
          <w:u w:val="none"/>
          <w:lang w:val="en-US" w:eastAsia="zh-CN"/>
        </w:rPr>
        <w:t>伍万</w:t>
      </w:r>
      <w:r>
        <w:rPr>
          <w:rFonts w:hint="default" w:ascii="仿宋" w:hAnsi="仿宋" w:eastAsia="仿宋" w:cs="仿宋"/>
          <w:b w:val="0"/>
          <w:bCs w:val="0"/>
          <w:color w:val="auto"/>
          <w:sz w:val="28"/>
          <w:highlight w:val="none"/>
          <w:u w:val="none"/>
          <w:lang w:val="en-US" w:eastAsia="zh-CN"/>
        </w:rPr>
        <w:t>元/次。</w:t>
      </w:r>
    </w:p>
    <w:p w14:paraId="040312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t>4.13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承担伍万</w:t>
      </w:r>
      <w:r>
        <w:rPr>
          <w:rFonts w:hint="default" w:ascii="仿宋" w:hAnsi="仿宋" w:eastAsia="仿宋" w:cs="仿宋"/>
          <w:b w:val="0"/>
          <w:bCs w:val="0"/>
          <w:color w:val="auto"/>
          <w:sz w:val="28"/>
          <w:highlight w:val="none"/>
          <w:u w:val="none"/>
          <w:lang w:val="en-US" w:eastAsia="zh-CN"/>
        </w:rPr>
        <w:t>元违约金。</w:t>
      </w:r>
    </w:p>
    <w:p w14:paraId="7CD138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4.14乙方原因造成工程质量达不到本合同约定的质量标准或出现影响使用功能和工程结构安全，即使通过技术整改措施仍然无法达到设计要求等永久质量问题的，无论是否在保修期内，乙方须无条件重新供货并负责修复至合格为止，同时赔偿甲方因此遭受的损失。若该永久质量问题无法满足设计及合同约定质量标准，但甲方和本项目建设单位接受现状质量的，乙方仍承担违约责任，自愿向甲方承担金额等于不合格部位造价100%以上的违约金，同时再承担5000元以上/次的违约金。</w:t>
      </w:r>
    </w:p>
    <w:p w14:paraId="72B597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4.15对乙方不按合同约定时间向甲方申报其工人工资资料等行为，甲方有权对乙方收取违约金，每逾期一天的违约金不少于伍佰元/人(按乙方在本项目现场工作人员数量计)。</w:t>
      </w:r>
    </w:p>
    <w:p w14:paraId="58573D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bookmarkStart w:id="111" w:name="_Toc2303"/>
      <w:bookmarkStart w:id="112" w:name="_Toc11763"/>
      <w:bookmarkStart w:id="113" w:name="_Toc26196"/>
      <w:r>
        <w:rPr>
          <w:rFonts w:hint="eastAsia" w:ascii="仿宋" w:hAnsi="仿宋" w:eastAsia="仿宋" w:cs="仿宋"/>
          <w:color w:val="auto"/>
          <w:sz w:val="28"/>
          <w:szCs w:val="28"/>
          <w:highlight w:val="none"/>
          <w:lang w:val="en-US" w:eastAsia="zh-CN"/>
        </w:rPr>
        <w:t>4.16</w:t>
      </w:r>
      <w:r>
        <w:rPr>
          <w:rFonts w:hint="default" w:ascii="仿宋" w:hAnsi="仿宋" w:eastAsia="仿宋" w:cs="仿宋"/>
          <w:color w:val="auto"/>
          <w:sz w:val="28"/>
          <w:szCs w:val="28"/>
          <w:highlight w:val="none"/>
          <w:lang w:val="en-US" w:eastAsia="zh-CN"/>
        </w:rPr>
        <w:t>乙方人员须接受甲方及工地管理人员的合理指挥，主动与施工单位做好配合。乙方须严格遵守甲方项目规章制度及工地安全生产要求，按照本项目安全施工规范进行作业。乙方在施工作业期间对设备和乙方人员的安全负全责，并保证设备周围人员的安全，操作员须严格按照设备操作规程操作不得违规，否则由此引发的一切安全事故及全部费用均由乙方负责。</w:t>
      </w:r>
    </w:p>
    <w:p w14:paraId="60AB2E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4.17</w:t>
      </w:r>
      <w:r>
        <w:rPr>
          <w:rFonts w:hint="default" w:ascii="仿宋" w:hAnsi="仿宋" w:eastAsia="仿宋" w:cs="仿宋"/>
          <w:color w:val="auto"/>
          <w:sz w:val="28"/>
          <w:szCs w:val="28"/>
          <w:highlight w:val="none"/>
          <w:lang w:val="en-US" w:eastAsia="zh-CN"/>
        </w:rPr>
        <w:t>乙方设备应外观整洁、技术性能良好、运转正常，满足施工需要，设备零配件必须符合使用要求。乙方须对设备定期检查排除安全隐患以保证施工安</w:t>
      </w:r>
      <w:r>
        <w:rPr>
          <w:rFonts w:hint="default" w:ascii="仿宋" w:hAnsi="仿宋" w:eastAsia="仿宋" w:cs="仿宋"/>
          <w:b w:val="0"/>
          <w:bCs w:val="0"/>
          <w:color w:val="auto"/>
          <w:sz w:val="28"/>
          <w:szCs w:val="28"/>
          <w:highlight w:val="none"/>
          <w:lang w:val="en-US" w:eastAsia="zh-CN"/>
        </w:rPr>
        <w:t>全性。设备须为乙方自有的合法设备。</w:t>
      </w:r>
    </w:p>
    <w:p w14:paraId="7FA05D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4.18乙方须有本项目所在地政府主管部门认可的相应专业资质和承担合同义务、责任所需的经济实力并须提供相关资质资料给甲方。如因乙方资质等问题导致甲方被相关部门处罚的，因此产生的全部损失及费用由乙方承担。合同有效期内，乙方须确保自身持续具备履行合同义务的合法资质资格（尤其须符合政府主管部门的要求），否则甲方有权：①自乙方不具备合法资质、资格之日起，乙方向甲方支付违约金人民币伍佰元/天，直至乙方恢复相关资质、资格；②甲方单方解除合同并收回所有已付款项。</w:t>
      </w:r>
    </w:p>
    <w:p w14:paraId="7B6E4B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color w:val="auto"/>
          <w:sz w:val="28"/>
          <w:szCs w:val="28"/>
          <w:highlight w:val="none"/>
          <w:lang w:val="en-US" w:eastAsia="zh-CN"/>
        </w:rPr>
        <w:t>4.19合同履行期间，乙方必须服从甲方正常工作安排，否则乙方向甲方承担违约责任。乙方承诺，确保本项目施工顺利进行，不以任何理由停止供货，否则属乙方违约，乙方自愿承担不小于伍万元/次违约金给甲方。</w:t>
      </w:r>
    </w:p>
    <w:p w14:paraId="636697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4.20</w:t>
      </w:r>
      <w:r>
        <w:rPr>
          <w:rFonts w:hint="default" w:ascii="仿宋" w:hAnsi="仿宋" w:eastAsia="仿宋" w:cs="仿宋"/>
          <w:color w:val="auto"/>
          <w:sz w:val="28"/>
          <w:szCs w:val="28"/>
          <w:highlight w:val="none"/>
          <w:lang w:val="en-US" w:eastAsia="zh-CN"/>
        </w:rPr>
        <w:t>若乙方发生2次不能及时提供</w:t>
      </w:r>
      <w:r>
        <w:rPr>
          <w:rFonts w:hint="eastAsia" w:ascii="仿宋" w:hAnsi="仿宋" w:eastAsia="仿宋" w:cs="仿宋"/>
          <w:color w:val="auto"/>
          <w:sz w:val="28"/>
          <w:szCs w:val="28"/>
          <w:highlight w:val="none"/>
          <w:lang w:val="en-US" w:eastAsia="zh-CN"/>
        </w:rPr>
        <w:t>泵送</w:t>
      </w:r>
      <w:r>
        <w:rPr>
          <w:rFonts w:hint="default" w:ascii="仿宋" w:hAnsi="仿宋" w:eastAsia="仿宋" w:cs="仿宋"/>
          <w:color w:val="auto"/>
          <w:sz w:val="28"/>
          <w:szCs w:val="28"/>
          <w:highlight w:val="none"/>
          <w:lang w:val="en-US" w:eastAsia="zh-CN"/>
        </w:rPr>
        <w:t>设备的情况，则甲方有权单方解除合同，且一切损失由乙方自行承担。</w:t>
      </w:r>
    </w:p>
    <w:p w14:paraId="404606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4.21</w:t>
      </w:r>
      <w:r>
        <w:rPr>
          <w:rFonts w:hint="default" w:ascii="仿宋" w:hAnsi="仿宋" w:eastAsia="仿宋" w:cs="仿宋"/>
          <w:color w:val="auto"/>
          <w:sz w:val="28"/>
          <w:szCs w:val="28"/>
          <w:highlight w:val="none"/>
          <w:lang w:val="en-US" w:eastAsia="zh-CN"/>
        </w:rPr>
        <w:t>乙方必须为其设备及人员购买社会保险及人身意外伤害保险，有关费用已包含在合同</w:t>
      </w:r>
      <w:r>
        <w:rPr>
          <w:rFonts w:hint="eastAsia" w:ascii="仿宋" w:hAnsi="仿宋" w:eastAsia="仿宋" w:cs="仿宋"/>
          <w:color w:val="auto"/>
          <w:sz w:val="28"/>
          <w:szCs w:val="28"/>
          <w:highlight w:val="none"/>
          <w:lang w:val="en-US" w:eastAsia="zh-CN"/>
        </w:rPr>
        <w:t>单</w:t>
      </w:r>
      <w:r>
        <w:rPr>
          <w:rFonts w:hint="default" w:ascii="仿宋" w:hAnsi="仿宋" w:eastAsia="仿宋" w:cs="仿宋"/>
          <w:color w:val="auto"/>
          <w:sz w:val="28"/>
          <w:szCs w:val="28"/>
          <w:highlight w:val="none"/>
          <w:lang w:val="en-US" w:eastAsia="zh-CN"/>
        </w:rPr>
        <w:t>价中，甲方无需另行支付费用给乙方。因各种原因导致乙方需要延长保险期所需增加的保险费由乙方自行承担，其费用已包含在合同</w:t>
      </w:r>
      <w:r>
        <w:rPr>
          <w:rFonts w:hint="eastAsia" w:ascii="仿宋" w:hAnsi="仿宋" w:eastAsia="仿宋" w:cs="仿宋"/>
          <w:color w:val="auto"/>
          <w:sz w:val="28"/>
          <w:szCs w:val="28"/>
          <w:highlight w:val="none"/>
          <w:lang w:val="en-US" w:eastAsia="zh-CN"/>
        </w:rPr>
        <w:t>单</w:t>
      </w:r>
      <w:r>
        <w:rPr>
          <w:rFonts w:hint="default" w:ascii="仿宋" w:hAnsi="仿宋" w:eastAsia="仿宋" w:cs="仿宋"/>
          <w:color w:val="auto"/>
          <w:sz w:val="28"/>
          <w:szCs w:val="28"/>
          <w:highlight w:val="none"/>
          <w:lang w:val="en-US" w:eastAsia="zh-CN"/>
        </w:rPr>
        <w:t>价内，凡在合同履行期间由乙方原因导致的一切安全及质量事故，属乙方责任，所有损失及费用由乙方承担。</w:t>
      </w:r>
    </w:p>
    <w:p w14:paraId="18E7B3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4.22</w:t>
      </w:r>
      <w:r>
        <w:rPr>
          <w:rFonts w:hint="default" w:ascii="仿宋" w:hAnsi="仿宋" w:eastAsia="仿宋" w:cs="仿宋"/>
          <w:color w:val="auto"/>
          <w:sz w:val="28"/>
          <w:szCs w:val="28"/>
          <w:highlight w:val="none"/>
          <w:lang w:val="en-US" w:eastAsia="zh-CN"/>
        </w:rPr>
        <w:t>无论乙方有无按照本合同约定办理相关保险事宜，乙方人员或因乙方原因导致在本项目范围内发生的伤亡事故，均由乙方承担责任和费用。</w:t>
      </w:r>
    </w:p>
    <w:p w14:paraId="160231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4.23如乙方的产品、服务不满足甲方或本项目进度要求，甲方有权单方安排第三方单独或与乙方共同完成本项目的产品供货工作。</w:t>
      </w:r>
    </w:p>
    <w:p w14:paraId="5E9C6A5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szCs w:val="28"/>
          <w:highlight w:val="none"/>
        </w:rPr>
      </w:pPr>
      <w:bookmarkStart w:id="114" w:name="_Toc12434"/>
      <w:r>
        <w:rPr>
          <w:rFonts w:hint="eastAsia" w:ascii="仿宋" w:hAnsi="仿宋" w:eastAsia="仿宋" w:cs="仿宋"/>
          <w:b/>
          <w:bCs/>
          <w:color w:val="auto"/>
          <w:sz w:val="28"/>
          <w:szCs w:val="28"/>
          <w:highlight w:val="none"/>
          <w:lang w:eastAsia="zh-CN"/>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eastAsia="zh-CN"/>
        </w:rPr>
        <w:t>章、廉洁条款</w:t>
      </w:r>
      <w:bookmarkEnd w:id="107"/>
      <w:bookmarkEnd w:id="108"/>
      <w:bookmarkEnd w:id="109"/>
      <w:bookmarkEnd w:id="110"/>
      <w:bookmarkEnd w:id="111"/>
      <w:bookmarkEnd w:id="112"/>
      <w:bookmarkEnd w:id="113"/>
      <w:bookmarkEnd w:id="114"/>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p>
    <w:p w14:paraId="72F769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乙方在与甲方合作期间（包括本合同招采、签约、履约期间），不得向甲方职员提供请吃、送礼、旅游、色情服务、行贿、回扣或其他好处，如有违反，乙方每次向甲方支付人民币十万元作为违约金（甲方可从任意一笔合同款中扣款），造成甲方经济或其他损失的，乙方全额赔偿，且甲方有权单方解除本合同。</w:t>
      </w:r>
    </w:p>
    <w:p w14:paraId="508F4F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16F9EC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5.3如甲方发现乙方可能存在违反廉洁条款的行为时，甲方有权暂扣违约金/争议材料款/处罚款等对应等额的材料款，直至调查完毕后根据调查结果再作处理，甲方暂不付款的行为不视为甲方违约。</w:t>
      </w:r>
    </w:p>
    <w:p w14:paraId="08F5DDD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szCs w:val="28"/>
          <w:highlight w:val="none"/>
          <w:lang w:val="en-US" w:eastAsia="zh-CN"/>
        </w:rPr>
      </w:pPr>
      <w:bookmarkStart w:id="115" w:name="_Toc100"/>
      <w:bookmarkStart w:id="116" w:name="_Toc27905"/>
      <w:bookmarkStart w:id="117" w:name="_Toc6091"/>
      <w:r>
        <w:rPr>
          <w:rFonts w:hint="eastAsia" w:ascii="仿宋" w:hAnsi="仿宋" w:eastAsia="仿宋" w:cs="仿宋"/>
          <w:b/>
          <w:bCs/>
          <w:color w:val="auto"/>
          <w:sz w:val="28"/>
          <w:szCs w:val="28"/>
          <w:highlight w:val="none"/>
          <w:lang w:val="en-US" w:eastAsia="zh-CN"/>
        </w:rPr>
        <w:t>第六章、甲乙双方联系人权限</w:t>
      </w:r>
      <w:bookmarkEnd w:id="115"/>
      <w:bookmarkEnd w:id="116"/>
      <w:bookmarkEnd w:id="117"/>
    </w:p>
    <w:p w14:paraId="6A9C57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甲方对乙方发出的业务通知等文件，须经甲方项目负责人及执行联系人签名并加盖甲方项目章（样式详见附件）方为有效，否则为无效文件，仅盖章或者签名的文件亦无效。甲方项目负责人、合同执行联系人变更的，甲方将以书面形式通知乙方。</w:t>
      </w:r>
    </w:p>
    <w:p w14:paraId="084095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甲方用于本项目的项目章，仅供甲方项目部与乙方联系工作和确认施工技术、资料之用</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该项目章用于以下情形时无效：</w:t>
      </w:r>
    </w:p>
    <w:p w14:paraId="0D75C2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①签订合同；</w:t>
      </w:r>
    </w:p>
    <w:p w14:paraId="019EB4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②任何类型的欠条或收据；</w:t>
      </w:r>
    </w:p>
    <w:p w14:paraId="080C6D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③任何形式的经济结算凭证；</w:t>
      </w:r>
    </w:p>
    <w:p w14:paraId="3E4817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④为他人或他单位提供任何形式的担保；</w:t>
      </w:r>
    </w:p>
    <w:p w14:paraId="5F1D76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⑤确认任何形式的包含权利义务及责任承担的文件。</w:t>
      </w:r>
    </w:p>
    <w:p w14:paraId="308D58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6.2乙方授权代表以乙方的名义处理与本合同相关的一切事务，乙方对其行为均认可并承担一切责任。乙方如需更换授权代表，应提前3个日历天以书面形式通知甲方。</w:t>
      </w:r>
    </w:p>
    <w:p w14:paraId="348C9BA8">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lang w:val="en-US" w:eastAsia="zh-CN"/>
        </w:rPr>
        <w:t>6.3</w:t>
      </w:r>
      <w:r>
        <w:rPr>
          <w:rFonts w:hint="eastAsia" w:ascii="仿宋" w:hAnsi="仿宋" w:eastAsia="仿宋" w:cs="仿宋"/>
          <w:color w:val="auto"/>
          <w:sz w:val="28"/>
          <w:highlight w:val="none"/>
          <w:shd w:val="clear" w:color="auto" w:fill="auto"/>
          <w:lang w:val="en-US" w:eastAsia="zh-CN"/>
        </w:rPr>
        <w:t>乙方每批产品安排指定的业务员跟单，与甲方对接验收、核量及售后等相关事宜。</w:t>
      </w:r>
    </w:p>
    <w:p w14:paraId="307DC38A">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w:t>
      </w:r>
      <w:r>
        <w:rPr>
          <w:rFonts w:hint="eastAsia" w:ascii="仿宋" w:hAnsi="仿宋" w:eastAsia="仿宋" w:cs="仿宋"/>
          <w:color w:val="auto"/>
          <w:sz w:val="28"/>
          <w:szCs w:val="28"/>
          <w:highlight w:val="none"/>
          <w:lang w:eastAsia="zh-CN"/>
        </w:rPr>
        <w:t>除甲方项目部负责人外，甲方项目部其他任何人对涉及费用的所有文件、资料无权进行确定、批准。甲方的项目部负责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项目部负责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56A868D9">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118" w:name="_Toc30612"/>
      <w:bookmarkStart w:id="119" w:name="_Toc2216"/>
      <w:bookmarkStart w:id="120" w:name="_Toc8151"/>
      <w:bookmarkStart w:id="121" w:name="_Toc32691"/>
      <w:bookmarkStart w:id="122" w:name="_Toc23058"/>
      <w:bookmarkStart w:id="123" w:name="_Toc20238"/>
      <w:r>
        <w:rPr>
          <w:rFonts w:hint="eastAsia" w:ascii="仿宋" w:hAnsi="仿宋" w:eastAsia="仿宋" w:cs="仿宋"/>
          <w:b/>
          <w:bCs/>
          <w:color w:val="auto"/>
          <w:sz w:val="28"/>
          <w:szCs w:val="28"/>
          <w:highlight w:val="none"/>
          <w:lang w:val="en-US" w:eastAsia="zh-CN"/>
        </w:rPr>
        <w:t>第七章、其他</w:t>
      </w:r>
      <w:bookmarkEnd w:id="118"/>
      <w:bookmarkEnd w:id="119"/>
      <w:bookmarkEnd w:id="120"/>
      <w:bookmarkEnd w:id="121"/>
      <w:bookmarkEnd w:id="122"/>
      <w:bookmarkEnd w:id="123"/>
    </w:p>
    <w:p w14:paraId="367B0B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7.1合同单价及合同条款已考虑突发疫情等流行疾病影响因素，乙方不以疫情防控为由要求甲方对合同单价、合同结算办法及工期等合同条款进行调整，防疫措施的一切费用已包含在合同单价内，不另计费。</w:t>
      </w:r>
    </w:p>
    <w:p w14:paraId="702FF9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7.2乙方人员在本合同履行期间所发生的所有安全事故，均由乙方承担所发生的全部费用及损失，对甲方造成损失的由乙方赔偿。</w:t>
      </w:r>
    </w:p>
    <w:p w14:paraId="0CE398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甲、乙双方对产品质量有争议的，由产品使用地点、国家规定的质量检测机构鉴定，所需费用及因此造成的损失由责任方承担。如双方均有责任，由双方根据各自责任分别承担。不可抗力的情形按国家相应规定执行。</w:t>
      </w:r>
    </w:p>
    <w:p w14:paraId="09B6F2E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7.4甲方因参与本合同履行而发出、或与乙方达成合意所形成的一切相关文件，均须同时具备甲方公章及法定代表人（或授权代表人）签名，否则不对甲方产生约束力，除非事后获得甲方另行追认。</w:t>
      </w:r>
    </w:p>
    <w:p w14:paraId="043132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7.5本合同各条款相互矛盾、表达含糊的，按最有利于甲方的条款执行。</w:t>
      </w:r>
    </w:p>
    <w:p w14:paraId="3F67BB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7.6专利技术及特殊工艺 </w:t>
      </w:r>
    </w:p>
    <w:p w14:paraId="6F157A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7.6.1乙方须保障甲方在使用其提供的产品、服务不受到第三方关于侵权的指控。如果出现此类情况，由乙方与第三方交涉并承担一切费用和责任，如造成甲方损失的，乙方向甲方赔偿。 </w:t>
      </w:r>
    </w:p>
    <w:p w14:paraId="104766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7.6.2乙方擅自使用他人专利技术，侵犯他人专利权的，乙方依法承担相应责任。</w:t>
      </w:r>
    </w:p>
    <w:p w14:paraId="33ED5D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本合同履行过程中，如乙方自身主体被工商登记主管部门注销，甲方有权不履行合同付款义务且属乙方责任，一切损失由乙方承担，甲方无须承担任何违约责任和费用。</w:t>
      </w:r>
    </w:p>
    <w:p w14:paraId="20B501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50A329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2FD6DB5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7.10</w:t>
      </w:r>
      <w:r>
        <w:rPr>
          <w:rFonts w:hint="eastAsia" w:ascii="仿宋" w:hAnsi="仿宋" w:eastAsia="仿宋" w:cs="仿宋"/>
          <w:b w:val="0"/>
          <w:bCs w:val="0"/>
          <w:color w:val="auto"/>
          <w:kern w:val="2"/>
          <w:sz w:val="28"/>
          <w:szCs w:val="24"/>
          <w:highlight w:val="none"/>
          <w:lang w:val="en-US" w:eastAsia="zh-CN" w:bidi="ar-SA"/>
        </w:rPr>
        <w:t>乙方与第三方发生的任何经济往来、债务纠纷均与甲方无关。乙方须保证所供应产品无权属上的瑕疵和知识产权的争议，若因此对甲方造成损失，则由乙方全责赔偿。</w:t>
      </w:r>
    </w:p>
    <w:p w14:paraId="7EAB41AC">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lang w:val="en-US" w:eastAsia="zh-CN"/>
        </w:rPr>
        <w:t>7.11</w:t>
      </w:r>
      <w:r>
        <w:rPr>
          <w:rFonts w:hint="eastAsia" w:ascii="仿宋" w:hAnsi="仿宋" w:eastAsia="仿宋" w:cs="仿宋"/>
          <w:b w:val="0"/>
          <w:bCs w:val="0"/>
          <w:color w:val="auto"/>
          <w:kern w:val="2"/>
          <w:sz w:val="28"/>
          <w:szCs w:val="24"/>
          <w:highlight w:val="none"/>
          <w:lang w:val="en-US" w:eastAsia="zh-CN" w:bidi="ar-SA"/>
        </w:rPr>
        <w:t>乙方与第三人签订的劳动、租赁、买卖等一切合同，与甲方无关。乙方在履行本合同期间发生的与第三方一切合同债务，由乙方负全责处理并承担责任。</w:t>
      </w:r>
    </w:p>
    <w:p w14:paraId="03A4BAE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7.12本合同执行期间，甲方制度文件如有更新，按甲方最新版要求执行，最终解释权归甲方所有。</w:t>
      </w:r>
    </w:p>
    <w:p w14:paraId="2B4389B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7.13以下文件均为合同有效组成部分，各文件互相解释，互为说明。当前后合同文件、资料等出现不一致或矛盾时，以下排列顺序为合同文件的优先解释顺序；同一顺序文件以最新（近）生效的优先：</w:t>
      </w:r>
    </w:p>
    <w:p w14:paraId="7BB4D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①合同履行过程中，双方法人代表或授权人签字并加盖公章的本合同补充协议；</w:t>
      </w:r>
    </w:p>
    <w:p w14:paraId="21975D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②本合同第一部分协议书；</w:t>
      </w:r>
    </w:p>
    <w:p w14:paraId="6ECC52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③本合同第二部分合同专用条款；</w:t>
      </w:r>
    </w:p>
    <w:p w14:paraId="271C54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④本合同第三部分合同通用条款；</w:t>
      </w:r>
    </w:p>
    <w:p w14:paraId="4B05A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⑤经甲方确认的方案及相关设计变更；</w:t>
      </w:r>
    </w:p>
    <w:p w14:paraId="0EBB7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⑥本合同对应的招采文件（含相关答疑、补充通知等）；</w:t>
      </w:r>
    </w:p>
    <w:p w14:paraId="5EBD2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⑦乙方发出的、经甲方确认的本合同对应的投标文件及相关澄清文件；</w:t>
      </w:r>
    </w:p>
    <w:p w14:paraId="69035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⑧本项目所在地现行的法律、法规、标准、规范。</w:t>
      </w:r>
    </w:p>
    <w:p w14:paraId="02AFE1F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7.14本合同正文为清洁打印文本，如双方对此合同有任何修改及补充均应另行签订补充协议。合同正文中任何非打印的文字或者图形，除非经双方确认同意，否则不产生约束力。</w:t>
      </w:r>
    </w:p>
    <w:p w14:paraId="175DA8B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7.15甲乙双方均确认已经审阅并理解本合同全部条款，且已经就条款相关的任何疑问得到满意的解释，并确认本合同全部条款为双方本着诚信互利的原则友好协商一致的结果，不属于任何一方的格式条款。</w:t>
      </w:r>
    </w:p>
    <w:p w14:paraId="4808A97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7.16本合同一式三份，甲方执二份，乙方执一份，均具同等效力。</w:t>
      </w:r>
    </w:p>
    <w:p w14:paraId="3A4E42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7.17本合同自甲乙双方签字、加盖公章（或合同章）之日起生效，双方履行完合同义务、责任之日终止。</w:t>
      </w:r>
    </w:p>
    <w:p w14:paraId="0AD351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eastAsia="zh-CN"/>
        </w:rPr>
        <w:t>以下无正文</w:t>
      </w:r>
      <w:r>
        <w:rPr>
          <w:rFonts w:hint="eastAsia" w:ascii="仿宋" w:hAnsi="仿宋" w:eastAsia="仿宋" w:cs="仿宋"/>
          <w:color w:val="auto"/>
          <w:sz w:val="28"/>
          <w:szCs w:val="28"/>
          <w:highlight w:val="none"/>
          <w:lang w:eastAsia="zh-CN"/>
        </w:rPr>
        <w:t>）</w:t>
      </w:r>
    </w:p>
    <w:p w14:paraId="35440CEF">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24" w:name="_Toc2416"/>
      <w:bookmarkStart w:id="125" w:name="_Toc20558"/>
      <w:bookmarkStart w:id="126" w:name="_Toc4409"/>
      <w:bookmarkStart w:id="127" w:name="_Toc26915"/>
      <w:bookmarkStart w:id="128" w:name="_Toc32583"/>
      <w:bookmarkStart w:id="129" w:name="_Toc21822"/>
      <w:bookmarkStart w:id="130" w:name="_Toc21875"/>
      <w:r>
        <w:rPr>
          <w:rFonts w:hint="eastAsia" w:ascii="仿宋" w:hAnsi="仿宋" w:eastAsia="仿宋" w:cs="仿宋"/>
          <w:color w:val="auto"/>
          <w:kern w:val="2"/>
          <w:sz w:val="28"/>
          <w:szCs w:val="28"/>
          <w:highlight w:val="none"/>
          <w:lang w:val="en-US" w:eastAsia="zh-CN" w:bidi="ar-SA"/>
        </w:rPr>
        <w:t>附件一：</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r>
        <w:rPr>
          <w:rFonts w:hint="eastAsia" w:ascii="仿宋" w:hAnsi="仿宋" w:eastAsia="仿宋" w:cs="仿宋"/>
          <w:color w:val="auto"/>
          <w:sz w:val="28"/>
          <w:highlight w:val="none"/>
          <w:u w:val="none"/>
          <w:shd w:val="clear" w:color="auto" w:fill="auto"/>
          <w:lang w:val="en-US" w:eastAsia="zh-CN"/>
        </w:rPr>
        <w:t>；</w:t>
      </w:r>
      <w:bookmarkEnd w:id="124"/>
      <w:bookmarkEnd w:id="125"/>
      <w:bookmarkEnd w:id="126"/>
      <w:bookmarkEnd w:id="127"/>
      <w:bookmarkEnd w:id="128"/>
    </w:p>
    <w:p w14:paraId="4629D115">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31" w:name="_Toc12376"/>
      <w:bookmarkStart w:id="132" w:name="_Toc5192"/>
      <w:bookmarkStart w:id="133" w:name="_Toc29838"/>
      <w:bookmarkStart w:id="134" w:name="_Toc2409"/>
      <w:bookmarkStart w:id="135" w:name="_Toc25969"/>
      <w:r>
        <w:rPr>
          <w:rFonts w:hint="eastAsia" w:ascii="仿宋" w:hAnsi="仿宋" w:eastAsia="仿宋" w:cs="仿宋"/>
          <w:color w:val="auto"/>
          <w:kern w:val="2"/>
          <w:sz w:val="28"/>
          <w:szCs w:val="28"/>
          <w:highlight w:val="none"/>
          <w:lang w:val="en-US" w:eastAsia="zh-CN" w:bidi="ar-SA"/>
        </w:rPr>
        <w:t>附件二：《延迟付款声明函》格式</w:t>
      </w:r>
      <w:bookmarkEnd w:id="129"/>
      <w:bookmarkEnd w:id="130"/>
      <w:r>
        <w:rPr>
          <w:rFonts w:hint="eastAsia" w:ascii="仿宋" w:hAnsi="仿宋" w:eastAsia="仿宋" w:cs="仿宋"/>
          <w:color w:val="auto"/>
          <w:kern w:val="2"/>
          <w:sz w:val="28"/>
          <w:szCs w:val="28"/>
          <w:highlight w:val="none"/>
          <w:lang w:val="en-US" w:eastAsia="zh-CN" w:bidi="ar-SA"/>
        </w:rPr>
        <w:t>；</w:t>
      </w:r>
      <w:bookmarkEnd w:id="131"/>
      <w:bookmarkEnd w:id="132"/>
      <w:bookmarkEnd w:id="133"/>
      <w:bookmarkEnd w:id="134"/>
      <w:bookmarkEnd w:id="135"/>
    </w:p>
    <w:p w14:paraId="72D6311B">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36" w:name="_Toc27779"/>
      <w:bookmarkStart w:id="137" w:name="_Toc30834"/>
      <w:bookmarkStart w:id="138" w:name="_Toc26342"/>
      <w:bookmarkStart w:id="139" w:name="_Toc8930"/>
      <w:bookmarkStart w:id="140" w:name="_Toc7653"/>
      <w:bookmarkStart w:id="141" w:name="_Toc846"/>
      <w:bookmarkStart w:id="142" w:name="_Toc18716"/>
      <w:r>
        <w:rPr>
          <w:rFonts w:hint="eastAsia" w:ascii="仿宋" w:hAnsi="仿宋" w:eastAsia="仿宋" w:cs="仿宋"/>
          <w:color w:val="auto"/>
          <w:kern w:val="2"/>
          <w:sz w:val="28"/>
          <w:szCs w:val="28"/>
          <w:highlight w:val="none"/>
          <w:lang w:val="en-US" w:eastAsia="zh-CN" w:bidi="ar-SA"/>
        </w:rPr>
        <w:t>附件三：《材料款申报审批表》格式；</w:t>
      </w:r>
      <w:bookmarkEnd w:id="136"/>
      <w:bookmarkEnd w:id="137"/>
      <w:bookmarkEnd w:id="138"/>
      <w:bookmarkEnd w:id="139"/>
      <w:bookmarkEnd w:id="140"/>
      <w:r>
        <w:rPr>
          <w:rFonts w:hint="eastAsia" w:ascii="仿宋" w:hAnsi="仿宋" w:eastAsia="仿宋" w:cs="仿宋"/>
          <w:color w:val="auto"/>
          <w:kern w:val="2"/>
          <w:sz w:val="28"/>
          <w:szCs w:val="28"/>
          <w:highlight w:val="none"/>
          <w:lang w:val="en-US" w:eastAsia="zh-CN" w:bidi="ar-SA"/>
        </w:rPr>
        <w:t xml:space="preserve">      </w:t>
      </w:r>
    </w:p>
    <w:p w14:paraId="13E079B1">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43" w:name="_Toc27429"/>
      <w:bookmarkStart w:id="144" w:name="_Toc5013"/>
      <w:bookmarkStart w:id="145" w:name="_Toc25266"/>
      <w:bookmarkStart w:id="146" w:name="_Toc26375"/>
      <w:bookmarkStart w:id="147" w:name="_Toc16672"/>
      <w:r>
        <w:rPr>
          <w:rFonts w:hint="eastAsia" w:ascii="仿宋" w:hAnsi="仿宋" w:eastAsia="仿宋" w:cs="仿宋"/>
          <w:color w:val="auto"/>
          <w:kern w:val="2"/>
          <w:sz w:val="28"/>
          <w:szCs w:val="28"/>
          <w:highlight w:val="none"/>
          <w:lang w:val="en-US" w:eastAsia="zh-CN" w:bidi="ar-SA"/>
        </w:rPr>
        <w:t>附件四：《款项支付台账》格式</w:t>
      </w:r>
      <w:bookmarkEnd w:id="141"/>
      <w:bookmarkEnd w:id="142"/>
      <w:bookmarkStart w:id="148" w:name="_Toc10096"/>
      <w:bookmarkStart w:id="149" w:name="_Toc19217"/>
      <w:r>
        <w:rPr>
          <w:rFonts w:hint="eastAsia" w:ascii="仿宋" w:hAnsi="仿宋" w:eastAsia="仿宋" w:cs="仿宋"/>
          <w:color w:val="auto"/>
          <w:kern w:val="2"/>
          <w:sz w:val="28"/>
          <w:szCs w:val="28"/>
          <w:highlight w:val="none"/>
          <w:lang w:val="en-US" w:eastAsia="zh-CN" w:bidi="ar-SA"/>
        </w:rPr>
        <w:t>；</w:t>
      </w:r>
      <w:bookmarkEnd w:id="143"/>
      <w:bookmarkEnd w:id="144"/>
      <w:bookmarkEnd w:id="145"/>
      <w:bookmarkEnd w:id="146"/>
      <w:bookmarkEnd w:id="147"/>
    </w:p>
    <w:p w14:paraId="6F9DFBB2">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50" w:name="_Toc14369"/>
      <w:bookmarkStart w:id="151" w:name="_Toc2042"/>
      <w:bookmarkStart w:id="152" w:name="_Toc12833"/>
      <w:bookmarkStart w:id="153" w:name="_Toc7099"/>
      <w:bookmarkStart w:id="154" w:name="_Toc19788"/>
      <w:r>
        <w:rPr>
          <w:rFonts w:hint="eastAsia" w:ascii="仿宋" w:hAnsi="仿宋" w:eastAsia="仿宋" w:cs="仿宋"/>
          <w:color w:val="auto"/>
          <w:kern w:val="2"/>
          <w:sz w:val="28"/>
          <w:szCs w:val="28"/>
          <w:highlight w:val="none"/>
          <w:lang w:val="en-US" w:eastAsia="zh-CN" w:bidi="ar-SA"/>
        </w:rPr>
        <w:t>附件五：《结清承诺书》格式</w:t>
      </w:r>
      <w:bookmarkEnd w:id="148"/>
      <w:bookmarkEnd w:id="149"/>
      <w:r>
        <w:rPr>
          <w:rFonts w:hint="eastAsia" w:ascii="仿宋" w:hAnsi="仿宋" w:eastAsia="仿宋" w:cs="仿宋"/>
          <w:color w:val="auto"/>
          <w:kern w:val="2"/>
          <w:sz w:val="28"/>
          <w:szCs w:val="28"/>
          <w:highlight w:val="none"/>
          <w:lang w:val="en-US" w:eastAsia="zh-CN" w:bidi="ar-SA"/>
        </w:rPr>
        <w:t>；</w:t>
      </w:r>
      <w:bookmarkEnd w:id="150"/>
      <w:bookmarkEnd w:id="151"/>
      <w:bookmarkEnd w:id="152"/>
      <w:bookmarkEnd w:id="153"/>
      <w:bookmarkEnd w:id="154"/>
    </w:p>
    <w:p w14:paraId="24C0EC03">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55" w:name="_Toc3265"/>
      <w:bookmarkStart w:id="156" w:name="_Toc26422"/>
      <w:bookmarkStart w:id="157" w:name="_Toc6160"/>
      <w:bookmarkStart w:id="158" w:name="_Toc9332"/>
      <w:bookmarkStart w:id="159" w:name="_Toc16934"/>
      <w:r>
        <w:rPr>
          <w:rFonts w:hint="eastAsia" w:ascii="仿宋" w:hAnsi="仿宋" w:eastAsia="仿宋" w:cs="仿宋"/>
          <w:color w:val="auto"/>
          <w:kern w:val="2"/>
          <w:sz w:val="28"/>
          <w:szCs w:val="28"/>
          <w:highlight w:val="none"/>
          <w:lang w:val="en-US" w:eastAsia="zh-CN" w:bidi="ar-SA"/>
        </w:rPr>
        <w:t>附件六：《关于混凝土材料、结构的抗裂措施等说明》；</w:t>
      </w:r>
      <w:bookmarkEnd w:id="155"/>
      <w:bookmarkEnd w:id="156"/>
      <w:bookmarkEnd w:id="157"/>
      <w:bookmarkEnd w:id="158"/>
      <w:bookmarkEnd w:id="159"/>
    </w:p>
    <w:p w14:paraId="359D894D">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60" w:name="_Toc2007"/>
      <w:bookmarkStart w:id="161" w:name="_Toc15873"/>
      <w:bookmarkStart w:id="162" w:name="_Toc14932"/>
      <w:bookmarkStart w:id="163" w:name="_Toc32375"/>
      <w:bookmarkStart w:id="164" w:name="_Toc5832"/>
      <w:r>
        <w:rPr>
          <w:rFonts w:hint="eastAsia" w:ascii="仿宋" w:hAnsi="仿宋" w:eastAsia="仿宋" w:cs="仿宋"/>
          <w:color w:val="auto"/>
          <w:kern w:val="2"/>
          <w:sz w:val="28"/>
          <w:szCs w:val="28"/>
          <w:highlight w:val="none"/>
          <w:lang w:val="en-US" w:eastAsia="zh-CN" w:bidi="ar-SA"/>
        </w:rPr>
        <w:t>附件七：《供应商月度对账单》格式；</w:t>
      </w:r>
      <w:bookmarkEnd w:id="160"/>
      <w:bookmarkEnd w:id="161"/>
      <w:bookmarkEnd w:id="162"/>
      <w:bookmarkEnd w:id="163"/>
      <w:bookmarkEnd w:id="164"/>
    </w:p>
    <w:p w14:paraId="5B178F8B">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65" w:name="_Toc17502"/>
      <w:bookmarkStart w:id="166" w:name="_Toc1955"/>
      <w:bookmarkStart w:id="167" w:name="_Toc2557"/>
      <w:bookmarkStart w:id="168" w:name="_Toc29633"/>
      <w:bookmarkStart w:id="169" w:name="_Toc15879"/>
      <w:r>
        <w:rPr>
          <w:rFonts w:hint="eastAsia" w:ascii="仿宋" w:hAnsi="仿宋" w:eastAsia="仿宋" w:cs="仿宋"/>
          <w:color w:val="auto"/>
          <w:kern w:val="2"/>
          <w:sz w:val="28"/>
          <w:szCs w:val="28"/>
          <w:highlight w:val="none"/>
          <w:lang w:val="en-US" w:eastAsia="zh-CN" w:bidi="ar-SA"/>
        </w:rPr>
        <w:t>附件八：《物料申购单》格式；</w:t>
      </w:r>
      <w:bookmarkEnd w:id="165"/>
      <w:bookmarkEnd w:id="166"/>
      <w:bookmarkEnd w:id="167"/>
      <w:bookmarkEnd w:id="168"/>
      <w:bookmarkEnd w:id="169"/>
    </w:p>
    <w:p w14:paraId="43750F8F">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70" w:name="_Toc3102"/>
      <w:bookmarkStart w:id="171" w:name="_Toc19915"/>
      <w:bookmarkStart w:id="172" w:name="_Toc29541"/>
      <w:bookmarkStart w:id="173" w:name="_Toc4096"/>
      <w:bookmarkStart w:id="174" w:name="_Toc17124"/>
      <w:r>
        <w:rPr>
          <w:rFonts w:hint="eastAsia" w:ascii="仿宋" w:hAnsi="仿宋" w:eastAsia="仿宋" w:cs="仿宋"/>
          <w:color w:val="auto"/>
          <w:kern w:val="2"/>
          <w:sz w:val="28"/>
          <w:szCs w:val="28"/>
          <w:highlight w:val="none"/>
          <w:lang w:val="en-US" w:eastAsia="zh-CN" w:bidi="ar-SA"/>
        </w:rPr>
        <w:t>附件九：《报价清单》</w:t>
      </w:r>
      <w:bookmarkEnd w:id="170"/>
      <w:bookmarkEnd w:id="171"/>
      <w:bookmarkEnd w:id="172"/>
      <w:bookmarkEnd w:id="173"/>
      <w:bookmarkEnd w:id="174"/>
      <w:r>
        <w:rPr>
          <w:rFonts w:hint="eastAsia" w:ascii="仿宋" w:hAnsi="仿宋" w:eastAsia="仿宋" w:cs="仿宋"/>
          <w:color w:val="auto"/>
          <w:kern w:val="2"/>
          <w:sz w:val="28"/>
          <w:szCs w:val="28"/>
          <w:highlight w:val="none"/>
          <w:lang w:val="en-US" w:eastAsia="zh-CN" w:bidi="ar-SA"/>
        </w:rPr>
        <w:t>；</w:t>
      </w:r>
    </w:p>
    <w:p w14:paraId="46E43539">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附件十：《材料签收单》格式；</w:t>
      </w:r>
    </w:p>
    <w:p w14:paraId="2C04CB17">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附件十一：乙方资质文件复印件。</w:t>
      </w:r>
    </w:p>
    <w:p w14:paraId="60D29C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bookmarkStart w:id="175" w:name="_Toc11233"/>
      <w:bookmarkStart w:id="176" w:name="_Toc19000"/>
    </w:p>
    <w:p w14:paraId="51BF18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600CA9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37F3F6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6D794D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649FBA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8"/>
          <w:szCs w:val="44"/>
          <w:highlight w:val="none"/>
          <w:lang w:val="en-US" w:eastAsia="zh-CN"/>
        </w:rPr>
        <w:t>附件一</w:t>
      </w:r>
      <w:bookmarkEnd w:id="175"/>
      <w:bookmarkEnd w:id="176"/>
    </w:p>
    <w:p w14:paraId="665D8C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42E005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17678B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4F604C03">
      <w:pPr>
        <w:keepNext w:val="0"/>
        <w:keepLines w:val="0"/>
        <w:pageBreakBefore w:val="0"/>
        <w:shd w:val="clear" w:color="auto" w:fill="auto"/>
        <w:overflowPunct/>
        <w:topLinePunct w:val="0"/>
        <w:bidi w:val="0"/>
        <w:snapToGrid w:val="0"/>
        <w:spacing w:line="360" w:lineRule="auto"/>
        <w:ind w:firstLineChars="0"/>
        <w:jc w:val="center"/>
        <w:outlineLvl w:val="0"/>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（甲方另行提供）</w:t>
      </w:r>
    </w:p>
    <w:p w14:paraId="201279E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bCs/>
          <w:color w:val="auto"/>
          <w:sz w:val="48"/>
          <w:szCs w:val="44"/>
          <w:highlight w:val="none"/>
          <w:lang w:val="en-US" w:eastAsia="zh-CN"/>
        </w:rPr>
      </w:pPr>
    </w:p>
    <w:p w14:paraId="074AE56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bCs/>
          <w:color w:val="auto"/>
          <w:sz w:val="48"/>
          <w:szCs w:val="44"/>
          <w:highlight w:val="none"/>
          <w:lang w:val="en-US" w:eastAsia="zh-CN"/>
        </w:rPr>
      </w:pPr>
    </w:p>
    <w:p w14:paraId="7BD1AC4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bCs/>
          <w:color w:val="auto"/>
          <w:sz w:val="48"/>
          <w:szCs w:val="44"/>
          <w:highlight w:val="none"/>
          <w:lang w:val="en-US" w:eastAsia="zh-CN"/>
        </w:rPr>
      </w:pPr>
    </w:p>
    <w:p w14:paraId="3B95ED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bCs/>
          <w:color w:val="auto"/>
          <w:sz w:val="48"/>
          <w:szCs w:val="44"/>
          <w:highlight w:val="none"/>
          <w:lang w:val="en-US" w:eastAsia="zh-CN"/>
        </w:rPr>
      </w:pPr>
    </w:p>
    <w:p w14:paraId="419AA13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bCs/>
          <w:color w:val="auto"/>
          <w:sz w:val="48"/>
          <w:szCs w:val="44"/>
          <w:highlight w:val="none"/>
          <w:lang w:val="en-US" w:eastAsia="zh-CN"/>
        </w:rPr>
      </w:pPr>
    </w:p>
    <w:p w14:paraId="612FA6A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bCs/>
          <w:color w:val="auto"/>
          <w:sz w:val="48"/>
          <w:szCs w:val="44"/>
          <w:highlight w:val="none"/>
          <w:lang w:val="en-US" w:eastAsia="zh-CN"/>
        </w:rPr>
      </w:pPr>
    </w:p>
    <w:p w14:paraId="30D6A04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bCs/>
          <w:color w:val="auto"/>
          <w:sz w:val="48"/>
          <w:szCs w:val="44"/>
          <w:highlight w:val="none"/>
          <w:lang w:val="en-US" w:eastAsia="zh-CN"/>
        </w:rPr>
      </w:pPr>
    </w:p>
    <w:p w14:paraId="6DD0D93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bCs/>
          <w:color w:val="auto"/>
          <w:sz w:val="48"/>
          <w:szCs w:val="44"/>
          <w:highlight w:val="none"/>
          <w:lang w:val="en-US" w:eastAsia="zh-CN"/>
        </w:rPr>
      </w:pPr>
    </w:p>
    <w:p w14:paraId="0F17C58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8"/>
          <w:szCs w:val="44"/>
          <w:highlight w:val="none"/>
          <w:lang w:val="en-US" w:eastAsia="zh-CN"/>
        </w:rPr>
      </w:pPr>
    </w:p>
    <w:p w14:paraId="3DD401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B3AA9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20C87B4">
      <w:pPr>
        <w:bidi w:val="0"/>
        <w:rPr>
          <w:rFonts w:hint="eastAsia" w:ascii="仿宋" w:hAnsi="仿宋" w:eastAsia="仿宋" w:cs="仿宋"/>
          <w:color w:val="auto"/>
          <w:kern w:val="2"/>
          <w:sz w:val="21"/>
          <w:szCs w:val="24"/>
          <w:highlight w:val="none"/>
          <w:lang w:val="en-US" w:eastAsia="zh-CN" w:bidi="ar-SA"/>
        </w:rPr>
      </w:pPr>
    </w:p>
    <w:p w14:paraId="3E3B1C6F">
      <w:pPr>
        <w:bidi w:val="0"/>
        <w:rPr>
          <w:rFonts w:hint="eastAsia" w:ascii="仿宋" w:hAnsi="仿宋" w:eastAsia="仿宋" w:cs="仿宋"/>
          <w:color w:val="auto"/>
          <w:highlight w:val="none"/>
          <w:lang w:val="en-US" w:eastAsia="zh-CN"/>
        </w:rPr>
      </w:pPr>
    </w:p>
    <w:p w14:paraId="2179EB7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3F42EF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56309BA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0CA2308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186CDE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5D0B72B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000852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548DDAE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27231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延 迟 付 款 声 明 函</w:t>
      </w:r>
    </w:p>
    <w:p w14:paraId="76904D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79FADA9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5620FFD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按照贵我双方合同约定的时限与贵司完成对账并确定相应金额,属我司责任，与贵司无关。我司自愿接受按照合同约定延期支付该款项，我司承担因此导致的所有责任和损失。</w:t>
      </w:r>
    </w:p>
    <w:p w14:paraId="38C72B5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1F3DC5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color w:val="auto"/>
          <w:highlight w:val="none"/>
          <w:lang w:val="en-US" w:eastAsia="zh-CN"/>
        </w:rPr>
      </w:pPr>
    </w:p>
    <w:p w14:paraId="4DE5358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46355A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2F8A73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highlight w:val="none"/>
          <w:lang w:val="en-US" w:eastAsia="zh-CN"/>
        </w:rPr>
      </w:pPr>
    </w:p>
    <w:p w14:paraId="1BDC33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15DA9B3A">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6735A65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（加盖公章及法定代表人或授权代表签字）     </w:t>
      </w:r>
    </w:p>
    <w:p w14:paraId="1B7192C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31D6F1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5EEF64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8F1C3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F27292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0F7D53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41E594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577E4A7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15E776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267CA2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CE0B413">
      <w:pPr>
        <w:keepNext/>
        <w:keepLines/>
        <w:widowControl w:val="0"/>
        <w:spacing w:before="120"/>
        <w:jc w:val="right"/>
        <w:outlineLvl w:val="0"/>
        <w:rPr>
          <w:rFonts w:hint="eastAsia" w:ascii="仿宋" w:hAnsi="仿宋" w:eastAsia="仿宋" w:cs="仿宋"/>
          <w:color w:val="auto"/>
          <w:highlight w:val="none"/>
        </w:rPr>
      </w:pPr>
      <w:bookmarkStart w:id="177" w:name="_Toc25315"/>
      <w:bookmarkStart w:id="178" w:name="_Toc86334254"/>
      <w:bookmarkStart w:id="179" w:name="_Toc18596"/>
      <w:bookmarkStart w:id="180" w:name="_Toc17143"/>
      <w:bookmarkStart w:id="181" w:name="_Toc10314"/>
      <w:bookmarkStart w:id="182" w:name="_Toc12331"/>
      <w:bookmarkStart w:id="183" w:name="_Toc29995"/>
      <w:bookmarkStart w:id="184" w:name="_Toc25054"/>
      <w:r>
        <w:rPr>
          <w:rFonts w:hint="eastAsia" w:ascii="仿宋" w:hAnsi="仿宋" w:eastAsia="仿宋" w:cs="仿宋"/>
          <w:b/>
          <w:bCs/>
          <w:color w:val="auto"/>
          <w:kern w:val="2"/>
          <w:sz w:val="44"/>
          <w:szCs w:val="48"/>
          <w:highlight w:val="none"/>
          <w:lang w:val="en-US" w:eastAsia="zh-CN" w:bidi="ar-SA"/>
        </w:rPr>
        <w:t>附件三</w:t>
      </w:r>
      <w:bookmarkEnd w:id="177"/>
      <w:bookmarkEnd w:id="178"/>
      <w:bookmarkEnd w:id="179"/>
      <w:bookmarkEnd w:id="180"/>
      <w:bookmarkEnd w:id="181"/>
      <w:bookmarkEnd w:id="182"/>
      <w:bookmarkEnd w:id="183"/>
      <w:bookmarkEnd w:id="184"/>
    </w:p>
    <w:p w14:paraId="193A4393">
      <w:pPr>
        <w:tabs>
          <w:tab w:val="left" w:pos="720"/>
        </w:tabs>
        <w:adjustRightInd w:val="0"/>
        <w:snapToGrid w:val="0"/>
        <w:spacing w:line="360" w:lineRule="auto"/>
        <w:ind w:left="482" w:hanging="663" w:hangingChars="150"/>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材料款申报</w:t>
      </w:r>
      <w:r>
        <w:rPr>
          <w:rFonts w:hint="eastAsia" w:ascii="仿宋" w:hAnsi="仿宋" w:eastAsia="仿宋" w:cs="仿宋"/>
          <w:b/>
          <w:bCs w:val="0"/>
          <w:color w:val="auto"/>
          <w:sz w:val="44"/>
          <w:szCs w:val="44"/>
          <w:highlight w:val="none"/>
          <w:lang w:val="en-US" w:eastAsia="zh-CN"/>
        </w:rPr>
        <w:t>审批</w:t>
      </w:r>
      <w:r>
        <w:rPr>
          <w:rFonts w:hint="eastAsia" w:ascii="仿宋" w:hAnsi="仿宋" w:eastAsia="仿宋" w:cs="仿宋"/>
          <w:b/>
          <w:bCs w:val="0"/>
          <w:color w:val="auto"/>
          <w:sz w:val="44"/>
          <w:szCs w:val="44"/>
          <w:highlight w:val="none"/>
        </w:rPr>
        <w:t>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3297"/>
        <w:gridCol w:w="1267"/>
        <w:gridCol w:w="3318"/>
      </w:tblGrid>
      <w:tr w14:paraId="798B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F6A3A9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工程名称</w:t>
            </w:r>
          </w:p>
        </w:tc>
        <w:tc>
          <w:tcPr>
            <w:tcW w:w="3402" w:type="dxa"/>
            <w:noWrap w:val="0"/>
            <w:vAlign w:val="top"/>
          </w:tcPr>
          <w:p w14:paraId="4DC8A8E8">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168DB8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合同名称</w:t>
            </w:r>
          </w:p>
        </w:tc>
        <w:tc>
          <w:tcPr>
            <w:tcW w:w="3423" w:type="dxa"/>
            <w:noWrap w:val="0"/>
            <w:vAlign w:val="top"/>
          </w:tcPr>
          <w:p w14:paraId="745E1E1E">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086A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22EB10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供货单位</w:t>
            </w:r>
          </w:p>
        </w:tc>
        <w:tc>
          <w:tcPr>
            <w:tcW w:w="3402" w:type="dxa"/>
            <w:noWrap w:val="0"/>
            <w:vAlign w:val="top"/>
          </w:tcPr>
          <w:p w14:paraId="225279E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3EA429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合同编号</w:t>
            </w:r>
          </w:p>
        </w:tc>
        <w:tc>
          <w:tcPr>
            <w:tcW w:w="3423" w:type="dxa"/>
            <w:noWrap w:val="0"/>
            <w:vAlign w:val="top"/>
          </w:tcPr>
          <w:p w14:paraId="4DC5441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7181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377" w:type="dxa"/>
            <w:gridSpan w:val="4"/>
            <w:noWrap w:val="0"/>
            <w:vAlign w:val="top"/>
          </w:tcPr>
          <w:p w14:paraId="7A1C2734">
            <w:pPr>
              <w:tabs>
                <w:tab w:val="left" w:pos="720"/>
              </w:tabs>
              <w:adjustRightInd w:val="0"/>
              <w:snapToGrid w:val="0"/>
              <w:spacing w:line="360" w:lineRule="auto"/>
              <w:ind w:firstLine="120" w:firstLineChars="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材料申报内容：</w:t>
            </w:r>
          </w:p>
          <w:p w14:paraId="4A76575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1375864A">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637CFA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BF1BCA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供货单位（章）：</w:t>
            </w:r>
          </w:p>
          <w:p w14:paraId="690836A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供货单位负责人：</w:t>
            </w:r>
          </w:p>
        </w:tc>
      </w:tr>
      <w:tr w14:paraId="49D2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377" w:type="dxa"/>
            <w:gridSpan w:val="4"/>
            <w:noWrap w:val="0"/>
            <w:vAlign w:val="top"/>
          </w:tcPr>
          <w:p w14:paraId="28D13CC4">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仓管员①/经办人审核意见：</w:t>
            </w:r>
          </w:p>
          <w:p w14:paraId="3386D221">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p>
          <w:p w14:paraId="007F044E">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472D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377" w:type="dxa"/>
            <w:gridSpan w:val="4"/>
            <w:noWrap w:val="0"/>
            <w:vAlign w:val="top"/>
          </w:tcPr>
          <w:p w14:paraId="241CD40F">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仓管员②审核意见：</w:t>
            </w:r>
          </w:p>
          <w:p w14:paraId="33524E2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20B7CE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 </w:t>
            </w:r>
          </w:p>
        </w:tc>
      </w:tr>
      <w:tr w14:paraId="20A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9377" w:type="dxa"/>
            <w:gridSpan w:val="4"/>
            <w:noWrap w:val="0"/>
            <w:vAlign w:val="top"/>
          </w:tcPr>
          <w:p w14:paraId="6963B06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项目成本管理员审核意见：</w:t>
            </w:r>
          </w:p>
          <w:p w14:paraId="12B81FA2">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52A02D80">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46A2A3A">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1B7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377" w:type="dxa"/>
            <w:gridSpan w:val="4"/>
            <w:noWrap w:val="0"/>
            <w:vAlign w:val="top"/>
          </w:tcPr>
          <w:p w14:paraId="08ECB61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项目经理审核意见：</w:t>
            </w:r>
          </w:p>
          <w:p w14:paraId="652723E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E5A5FD6">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4FECF33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bl>
    <w:p w14:paraId="309D2216">
      <w:pPr>
        <w:tabs>
          <w:tab w:val="left" w:pos="720"/>
        </w:tabs>
        <w:adjustRightInd w:val="0"/>
        <w:snapToGrid w:val="0"/>
        <w:spacing w:line="360" w:lineRule="auto"/>
        <w:ind w:left="-630" w:leftChars="-300" w:right="-630" w:rightChars="-300" w:firstLine="540" w:firstLineChars="300"/>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填表要求：1、此表由</w:t>
      </w:r>
      <w:r>
        <w:rPr>
          <w:rFonts w:hint="eastAsia" w:ascii="仿宋" w:hAnsi="仿宋" w:eastAsia="仿宋" w:cs="仿宋"/>
          <w:b w:val="0"/>
          <w:bCs/>
          <w:color w:val="auto"/>
          <w:sz w:val="18"/>
          <w:szCs w:val="18"/>
          <w:highlight w:val="none"/>
          <w:lang w:val="en-US" w:eastAsia="zh-CN"/>
        </w:rPr>
        <w:t>乙方</w:t>
      </w:r>
      <w:r>
        <w:rPr>
          <w:rFonts w:hint="eastAsia" w:ascii="仿宋" w:hAnsi="仿宋" w:eastAsia="仿宋" w:cs="仿宋"/>
          <w:b w:val="0"/>
          <w:bCs/>
          <w:color w:val="auto"/>
          <w:sz w:val="18"/>
          <w:szCs w:val="18"/>
          <w:highlight w:val="none"/>
        </w:rPr>
        <w:t>发起，如实填写，不允许涂改，如有涂改或虚报，此表无效。</w:t>
      </w:r>
    </w:p>
    <w:p w14:paraId="3BAEBD22">
      <w:pPr>
        <w:numPr>
          <w:ilvl w:val="0"/>
          <w:numId w:val="2"/>
        </w:numPr>
        <w:tabs>
          <w:tab w:val="left" w:pos="720"/>
        </w:tabs>
        <w:adjustRightInd w:val="0"/>
        <w:snapToGrid w:val="0"/>
        <w:spacing w:line="360" w:lineRule="auto"/>
        <w:ind w:left="-315" w:leftChars="-150" w:right="-630" w:rightChars="-300" w:firstLine="1170" w:firstLineChars="650"/>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此确认表作为向公司申报款项支付审批单的附件。</w:t>
      </w:r>
    </w:p>
    <w:p w14:paraId="553AB617">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27D62FAF">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7A6069BC">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6614B83C">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6265DCA4">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57473033">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1"/>
        <w:gridCol w:w="1318"/>
        <w:gridCol w:w="991"/>
        <w:gridCol w:w="991"/>
        <w:gridCol w:w="1395"/>
        <w:gridCol w:w="1792"/>
        <w:gridCol w:w="991"/>
        <w:gridCol w:w="1019"/>
      </w:tblGrid>
      <w:tr w14:paraId="46EF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31ABCD3A">
            <w:pPr>
              <w:keepNext w:val="0"/>
              <w:keepLines w:val="0"/>
              <w:widowControl/>
              <w:suppressLineNumbers w:val="0"/>
              <w:jc w:val="right"/>
              <w:textAlignment w:val="center"/>
              <w:rPr>
                <w:rFonts w:hint="eastAsia"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7325ADA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29F1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FB45F5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7E8C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05B009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4BA9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ACBB4F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176D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4D6AA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247DE0D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收/付款日期</w:t>
            </w:r>
          </w:p>
          <w:p w14:paraId="4D710FB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p w14:paraId="015417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15BF1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92AF9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BD6D4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C3403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4B65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955D4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付款内容</w:t>
            </w:r>
          </w:p>
        </w:tc>
      </w:tr>
      <w:tr w14:paraId="6616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9AD97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1E29EC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9A9D21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6DAD310">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B63CF2F">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DA84BF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F1EE09">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014998C">
            <w:pPr>
              <w:jc w:val="center"/>
              <w:rPr>
                <w:rFonts w:hint="eastAsia" w:ascii="仿宋" w:hAnsi="仿宋" w:eastAsia="仿宋" w:cs="仿宋"/>
                <w:i w:val="0"/>
                <w:iCs w:val="0"/>
                <w:color w:val="auto"/>
                <w:sz w:val="22"/>
                <w:szCs w:val="22"/>
                <w:highlight w:val="none"/>
                <w:u w:val="none"/>
              </w:rPr>
            </w:pPr>
          </w:p>
        </w:tc>
      </w:tr>
      <w:tr w14:paraId="0854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8FEE43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0E3B6C5">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F6F9B7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1202A8A">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EB5BB64">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09CF0B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59B0186">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4055561">
            <w:pPr>
              <w:jc w:val="center"/>
              <w:rPr>
                <w:rFonts w:hint="eastAsia" w:ascii="仿宋" w:hAnsi="仿宋" w:eastAsia="仿宋" w:cs="仿宋"/>
                <w:i w:val="0"/>
                <w:iCs w:val="0"/>
                <w:color w:val="auto"/>
                <w:sz w:val="22"/>
                <w:szCs w:val="22"/>
                <w:highlight w:val="none"/>
                <w:u w:val="none"/>
              </w:rPr>
            </w:pPr>
          </w:p>
        </w:tc>
      </w:tr>
      <w:tr w14:paraId="6F72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75DD6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19E0DA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CEE13B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1C5D1C6">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3F78229">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41E48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5A0E4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322F4A4">
            <w:pPr>
              <w:jc w:val="center"/>
              <w:rPr>
                <w:rFonts w:hint="eastAsia" w:ascii="仿宋" w:hAnsi="仿宋" w:eastAsia="仿宋" w:cs="仿宋"/>
                <w:i w:val="0"/>
                <w:iCs w:val="0"/>
                <w:color w:val="auto"/>
                <w:sz w:val="22"/>
                <w:szCs w:val="22"/>
                <w:highlight w:val="none"/>
                <w:u w:val="none"/>
              </w:rPr>
            </w:pPr>
          </w:p>
        </w:tc>
      </w:tr>
      <w:tr w14:paraId="2BB0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40A6D8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1BE616C">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63296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B39056">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1210EE1">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9CFE28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90DA95D">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15E4F8E">
            <w:pPr>
              <w:jc w:val="center"/>
              <w:rPr>
                <w:rFonts w:hint="eastAsia" w:ascii="仿宋" w:hAnsi="仿宋" w:eastAsia="仿宋" w:cs="仿宋"/>
                <w:i w:val="0"/>
                <w:iCs w:val="0"/>
                <w:color w:val="auto"/>
                <w:sz w:val="22"/>
                <w:szCs w:val="22"/>
                <w:highlight w:val="none"/>
                <w:u w:val="none"/>
              </w:rPr>
            </w:pPr>
          </w:p>
        </w:tc>
      </w:tr>
      <w:tr w14:paraId="6531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68B517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7BCC39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4DDF3E">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536E6C2">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E0A2CEA">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9637C8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2214AF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B5D4FF7">
            <w:pPr>
              <w:jc w:val="center"/>
              <w:rPr>
                <w:rFonts w:hint="eastAsia" w:ascii="仿宋" w:hAnsi="仿宋" w:eastAsia="仿宋" w:cs="仿宋"/>
                <w:i w:val="0"/>
                <w:iCs w:val="0"/>
                <w:color w:val="auto"/>
                <w:sz w:val="22"/>
                <w:szCs w:val="22"/>
                <w:highlight w:val="none"/>
                <w:u w:val="none"/>
              </w:rPr>
            </w:pPr>
          </w:p>
        </w:tc>
      </w:tr>
      <w:tr w14:paraId="60F1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35A6F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EA8C204">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F0D43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75068CE">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235F19EA">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F259DF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45A2AA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2E64F6E">
            <w:pPr>
              <w:jc w:val="center"/>
              <w:rPr>
                <w:rFonts w:hint="eastAsia" w:ascii="仿宋" w:hAnsi="仿宋" w:eastAsia="仿宋" w:cs="仿宋"/>
                <w:i w:val="0"/>
                <w:iCs w:val="0"/>
                <w:color w:val="auto"/>
                <w:sz w:val="22"/>
                <w:szCs w:val="22"/>
                <w:highlight w:val="none"/>
                <w:u w:val="none"/>
              </w:rPr>
            </w:pPr>
          </w:p>
        </w:tc>
      </w:tr>
      <w:tr w14:paraId="4690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684FE76F">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4A2D0C26">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4DFADE2">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6447588">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7DFC641">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0B76479A">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2CD73262">
            <w:pPr>
              <w:jc w:val="center"/>
              <w:rPr>
                <w:rFonts w:hint="eastAsia" w:ascii="仿宋" w:hAnsi="仿宋" w:eastAsia="仿宋" w:cs="仿宋"/>
                <w:i w:val="0"/>
                <w:iCs w:val="0"/>
                <w:color w:val="auto"/>
                <w:sz w:val="22"/>
                <w:szCs w:val="22"/>
                <w:highlight w:val="none"/>
                <w:u w:val="none"/>
              </w:rPr>
            </w:pPr>
          </w:p>
        </w:tc>
      </w:tr>
      <w:tr w14:paraId="3093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037A409B">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8118F5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41EFC5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EE6BCAE">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FB1952B">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18A9A6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B2A1BBA">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383BC52A">
            <w:pPr>
              <w:jc w:val="center"/>
              <w:rPr>
                <w:rFonts w:hint="eastAsia" w:ascii="仿宋" w:hAnsi="仿宋" w:eastAsia="仿宋" w:cs="仿宋"/>
                <w:i w:val="0"/>
                <w:iCs w:val="0"/>
                <w:color w:val="auto"/>
                <w:sz w:val="22"/>
                <w:szCs w:val="22"/>
                <w:highlight w:val="none"/>
                <w:u w:val="none"/>
              </w:rPr>
            </w:pPr>
          </w:p>
        </w:tc>
      </w:tr>
      <w:tr w14:paraId="5F6E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7F97F686">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A4D2C99">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3AE0BEC">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6EF3F98">
            <w:pP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462F545">
            <w:pP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D4F688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3A059DC9">
            <w:pP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1DC7394">
            <w:pPr>
              <w:rPr>
                <w:rFonts w:hint="eastAsia" w:ascii="仿宋" w:hAnsi="仿宋" w:eastAsia="仿宋" w:cs="仿宋"/>
                <w:i w:val="0"/>
                <w:iCs w:val="0"/>
                <w:color w:val="auto"/>
                <w:sz w:val="22"/>
                <w:szCs w:val="22"/>
                <w:highlight w:val="none"/>
                <w:u w:val="none"/>
              </w:rPr>
            </w:pPr>
          </w:p>
        </w:tc>
      </w:tr>
      <w:tr w14:paraId="186E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3A295437">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811B1B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63A0E59">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DF19B9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2375500">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34B1AD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3926A3C6">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481DADE1">
            <w:pPr>
              <w:rPr>
                <w:rFonts w:hint="eastAsia" w:ascii="仿宋" w:hAnsi="仿宋" w:eastAsia="仿宋" w:cs="仿宋"/>
                <w:i w:val="0"/>
                <w:iCs w:val="0"/>
                <w:color w:val="auto"/>
                <w:sz w:val="22"/>
                <w:szCs w:val="22"/>
                <w:highlight w:val="none"/>
                <w:u w:val="none"/>
              </w:rPr>
            </w:pPr>
          </w:p>
        </w:tc>
      </w:tr>
      <w:tr w14:paraId="6E8B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6B713172">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6552A03A">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964E66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154D5F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FEB91D9">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AD287E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4C581337">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551F869A">
            <w:pPr>
              <w:rPr>
                <w:rFonts w:hint="eastAsia" w:ascii="仿宋" w:hAnsi="仿宋" w:eastAsia="仿宋" w:cs="仿宋"/>
                <w:i w:val="0"/>
                <w:iCs w:val="0"/>
                <w:color w:val="auto"/>
                <w:sz w:val="22"/>
                <w:szCs w:val="22"/>
                <w:highlight w:val="none"/>
                <w:u w:val="none"/>
              </w:rPr>
            </w:pPr>
          </w:p>
        </w:tc>
      </w:tr>
      <w:tr w14:paraId="1265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46342130">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5DC27F0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0EFC84">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1555221">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0A909B9">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B731B5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6E3177D8">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5B3A0E7">
            <w:pPr>
              <w:rPr>
                <w:rFonts w:hint="eastAsia" w:ascii="仿宋" w:hAnsi="仿宋" w:eastAsia="仿宋" w:cs="仿宋"/>
                <w:i w:val="0"/>
                <w:iCs w:val="0"/>
                <w:color w:val="auto"/>
                <w:sz w:val="22"/>
                <w:szCs w:val="22"/>
                <w:highlight w:val="none"/>
                <w:u w:val="none"/>
              </w:rPr>
            </w:pPr>
          </w:p>
        </w:tc>
      </w:tr>
    </w:tbl>
    <w:p w14:paraId="5359D812">
      <w:pPr>
        <w:pStyle w:val="8"/>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4617C732">
      <w:pPr>
        <w:jc w:val="right"/>
        <w:rPr>
          <w:rFonts w:hint="eastAsia" w:ascii="仿宋" w:hAnsi="仿宋" w:eastAsia="仿宋" w:cs="仿宋"/>
          <w:b/>
          <w:bCs/>
          <w:color w:val="auto"/>
          <w:sz w:val="44"/>
          <w:szCs w:val="44"/>
          <w:highlight w:val="none"/>
          <w:lang w:val="en-US" w:eastAsia="zh-CN"/>
        </w:rPr>
      </w:pPr>
    </w:p>
    <w:p w14:paraId="7272CD92">
      <w:pPr>
        <w:jc w:val="right"/>
        <w:rPr>
          <w:rFonts w:hint="eastAsia" w:ascii="仿宋" w:hAnsi="仿宋" w:eastAsia="仿宋" w:cs="仿宋"/>
          <w:b/>
          <w:bCs/>
          <w:color w:val="auto"/>
          <w:sz w:val="44"/>
          <w:szCs w:val="44"/>
          <w:highlight w:val="none"/>
          <w:lang w:val="en-US" w:eastAsia="zh-CN"/>
        </w:rPr>
      </w:pPr>
    </w:p>
    <w:p w14:paraId="16369A98">
      <w:pPr>
        <w:jc w:val="right"/>
        <w:rPr>
          <w:rFonts w:hint="eastAsia" w:ascii="仿宋" w:hAnsi="仿宋" w:eastAsia="仿宋" w:cs="仿宋"/>
          <w:b/>
          <w:bCs/>
          <w:color w:val="auto"/>
          <w:sz w:val="44"/>
          <w:szCs w:val="44"/>
          <w:highlight w:val="none"/>
          <w:lang w:val="en-US" w:eastAsia="zh-CN"/>
        </w:rPr>
      </w:pPr>
    </w:p>
    <w:p w14:paraId="41818E6F">
      <w:pPr>
        <w:jc w:val="both"/>
        <w:rPr>
          <w:rFonts w:hint="eastAsia" w:ascii="仿宋" w:hAnsi="仿宋" w:eastAsia="仿宋" w:cs="仿宋"/>
          <w:b/>
          <w:bCs/>
          <w:color w:val="auto"/>
          <w:sz w:val="44"/>
          <w:szCs w:val="44"/>
          <w:highlight w:val="none"/>
          <w:lang w:val="en-US" w:eastAsia="zh-CN"/>
        </w:rPr>
      </w:pPr>
    </w:p>
    <w:p w14:paraId="227FE55E">
      <w:pPr>
        <w:jc w:val="both"/>
        <w:outlineLvl w:val="9"/>
        <w:rPr>
          <w:rFonts w:hint="eastAsia" w:ascii="仿宋" w:hAnsi="仿宋" w:eastAsia="仿宋" w:cs="仿宋"/>
          <w:b/>
          <w:bCs/>
          <w:color w:val="auto"/>
          <w:sz w:val="44"/>
          <w:szCs w:val="44"/>
          <w:highlight w:val="none"/>
          <w:lang w:val="en-US" w:eastAsia="zh-CN"/>
        </w:rPr>
      </w:pPr>
      <w:bookmarkStart w:id="185" w:name="_Toc16723"/>
      <w:bookmarkStart w:id="186" w:name="_Toc19067"/>
      <w:bookmarkStart w:id="187" w:name="_Toc13551"/>
      <w:bookmarkStart w:id="188" w:name="_Toc18939"/>
    </w:p>
    <w:p w14:paraId="053C0F69">
      <w:pPr>
        <w:jc w:val="both"/>
        <w:outlineLvl w:val="9"/>
        <w:rPr>
          <w:rFonts w:hint="eastAsia" w:ascii="仿宋" w:hAnsi="仿宋" w:eastAsia="仿宋" w:cs="仿宋"/>
          <w:b/>
          <w:bCs/>
          <w:color w:val="auto"/>
          <w:sz w:val="44"/>
          <w:szCs w:val="44"/>
          <w:highlight w:val="none"/>
          <w:lang w:val="en-US" w:eastAsia="zh-CN"/>
        </w:rPr>
      </w:pPr>
    </w:p>
    <w:p w14:paraId="0D7A9DEA">
      <w:pPr>
        <w:jc w:val="both"/>
        <w:outlineLvl w:val="9"/>
        <w:rPr>
          <w:rFonts w:hint="eastAsia" w:ascii="仿宋" w:hAnsi="仿宋" w:eastAsia="仿宋" w:cs="仿宋"/>
          <w:b/>
          <w:bCs/>
          <w:color w:val="auto"/>
          <w:sz w:val="44"/>
          <w:szCs w:val="44"/>
          <w:highlight w:val="none"/>
          <w:lang w:val="en-US" w:eastAsia="zh-CN"/>
        </w:rPr>
      </w:pPr>
    </w:p>
    <w:p w14:paraId="54C100C8">
      <w:pPr>
        <w:jc w:val="both"/>
        <w:outlineLvl w:val="9"/>
        <w:rPr>
          <w:rFonts w:hint="eastAsia" w:ascii="仿宋" w:hAnsi="仿宋" w:eastAsia="仿宋" w:cs="仿宋"/>
          <w:b/>
          <w:bCs/>
          <w:color w:val="auto"/>
          <w:sz w:val="44"/>
          <w:szCs w:val="44"/>
          <w:highlight w:val="none"/>
          <w:lang w:val="en-US" w:eastAsia="zh-CN"/>
        </w:rPr>
      </w:pPr>
    </w:p>
    <w:p w14:paraId="4D64159F">
      <w:pPr>
        <w:jc w:val="right"/>
        <w:outlineLvl w:val="0"/>
        <w:rPr>
          <w:rFonts w:hint="eastAsia" w:ascii="仿宋" w:hAnsi="仿宋" w:eastAsia="仿宋" w:cs="仿宋"/>
          <w:b/>
          <w:bCs/>
          <w:color w:val="auto"/>
          <w:sz w:val="44"/>
          <w:szCs w:val="44"/>
          <w:highlight w:val="none"/>
          <w:lang w:val="en-US" w:eastAsia="zh-CN"/>
        </w:rPr>
      </w:pPr>
      <w:bookmarkStart w:id="189" w:name="_Toc857"/>
      <w:bookmarkStart w:id="190" w:name="_Toc20620"/>
      <w:bookmarkStart w:id="191" w:name="_Toc31175"/>
      <w:r>
        <w:rPr>
          <w:rFonts w:hint="eastAsia" w:ascii="仿宋" w:hAnsi="仿宋" w:eastAsia="仿宋" w:cs="仿宋"/>
          <w:b/>
          <w:bCs/>
          <w:color w:val="auto"/>
          <w:sz w:val="44"/>
          <w:szCs w:val="44"/>
          <w:highlight w:val="none"/>
          <w:lang w:val="en-US" w:eastAsia="zh-CN"/>
        </w:rPr>
        <w:t>附件五</w:t>
      </w:r>
      <w:bookmarkEnd w:id="185"/>
      <w:bookmarkEnd w:id="186"/>
      <w:bookmarkEnd w:id="187"/>
      <w:bookmarkEnd w:id="188"/>
      <w:bookmarkEnd w:id="189"/>
      <w:bookmarkEnd w:id="190"/>
      <w:bookmarkEnd w:id="191"/>
    </w:p>
    <w:p w14:paraId="1D9BBEC0">
      <w:pPr>
        <w:jc w:val="center"/>
        <w:outlineLvl w:val="0"/>
        <w:rPr>
          <w:rFonts w:hint="eastAsia" w:ascii="仿宋" w:hAnsi="仿宋" w:eastAsia="仿宋" w:cs="仿宋"/>
          <w:b/>
          <w:bCs/>
          <w:color w:val="auto"/>
          <w:sz w:val="44"/>
          <w:szCs w:val="44"/>
          <w:highlight w:val="none"/>
        </w:rPr>
      </w:pPr>
      <w:bookmarkStart w:id="192" w:name="_Toc14992"/>
      <w:bookmarkStart w:id="193" w:name="_Toc32756"/>
      <w:bookmarkStart w:id="194" w:name="_Toc17114"/>
      <w:bookmarkStart w:id="195" w:name="_Toc24167"/>
      <w:bookmarkStart w:id="196" w:name="_Toc3797"/>
      <w:bookmarkStart w:id="197" w:name="_Toc6050"/>
      <w:bookmarkStart w:id="198" w:name="_Toc14544"/>
      <w:r>
        <w:rPr>
          <w:rFonts w:hint="eastAsia" w:ascii="仿宋" w:hAnsi="仿宋" w:eastAsia="仿宋" w:cs="仿宋"/>
          <w:b/>
          <w:bCs/>
          <w:color w:val="auto"/>
          <w:sz w:val="44"/>
          <w:szCs w:val="44"/>
          <w:highlight w:val="none"/>
        </w:rPr>
        <w:t>结清承诺书</w:t>
      </w:r>
      <w:bookmarkEnd w:id="192"/>
      <w:bookmarkEnd w:id="193"/>
      <w:bookmarkEnd w:id="194"/>
      <w:bookmarkEnd w:id="195"/>
      <w:bookmarkEnd w:id="196"/>
      <w:bookmarkEnd w:id="197"/>
      <w:bookmarkEnd w:id="198"/>
    </w:p>
    <w:p w14:paraId="2E575947">
      <w:pPr>
        <w:rPr>
          <w:rFonts w:hint="eastAsia" w:ascii="仿宋" w:hAnsi="仿宋" w:eastAsia="仿宋" w:cs="仿宋"/>
          <w:color w:val="auto"/>
          <w:kern w:val="0"/>
          <w:sz w:val="28"/>
          <w:szCs w:val="28"/>
          <w:highlight w:val="none"/>
        </w:rPr>
      </w:pPr>
    </w:p>
    <w:p w14:paraId="23BB16D2">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致：</w:t>
      </w:r>
      <w:r>
        <w:rPr>
          <w:rFonts w:hint="eastAsia" w:ascii="仿宋" w:hAnsi="仿宋" w:eastAsia="仿宋" w:cs="仿宋"/>
          <w:color w:val="auto"/>
          <w:kern w:val="0"/>
          <w:sz w:val="28"/>
          <w:szCs w:val="28"/>
          <w:highlight w:val="none"/>
        </w:rPr>
        <w:t>东莞市中泰建安工程有限公司</w:t>
      </w:r>
    </w:p>
    <w:p w14:paraId="0F1A3FB3">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感谢</w:t>
      </w:r>
      <w:r>
        <w:rPr>
          <w:rFonts w:hint="eastAsia" w:ascii="仿宋" w:hAnsi="仿宋" w:eastAsia="仿宋" w:cs="仿宋"/>
          <w:color w:val="auto"/>
          <w:sz w:val="28"/>
          <w:szCs w:val="28"/>
          <w:highlight w:val="none"/>
        </w:rPr>
        <w:t>贵司选择我司作为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u w:val="single"/>
          <w:lang w:val="en-US" w:eastAsia="zh-CN"/>
        </w:rPr>
        <w:t xml:space="preserve">          （材料名称）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履约</w:t>
      </w:r>
      <w:r>
        <w:rPr>
          <w:rFonts w:hint="eastAsia" w:ascii="仿宋" w:hAnsi="仿宋" w:eastAsia="仿宋" w:cs="仿宋"/>
          <w:color w:val="auto"/>
          <w:sz w:val="28"/>
          <w:szCs w:val="28"/>
          <w:highlight w:val="none"/>
        </w:rPr>
        <w:t>期间的</w:t>
      </w:r>
      <w:r>
        <w:rPr>
          <w:rFonts w:hint="eastAsia" w:ascii="仿宋" w:hAnsi="仿宋" w:eastAsia="仿宋" w:cs="仿宋"/>
          <w:color w:val="auto"/>
          <w:sz w:val="28"/>
          <w:szCs w:val="28"/>
          <w:highlight w:val="none"/>
          <w:lang w:val="en-US" w:eastAsia="zh-CN"/>
        </w:rPr>
        <w:t>合同款</w:t>
      </w:r>
      <w:r>
        <w:rPr>
          <w:rFonts w:hint="eastAsia" w:ascii="仿宋" w:hAnsi="仿宋" w:eastAsia="仿宋" w:cs="仿宋"/>
          <w:color w:val="auto"/>
          <w:sz w:val="28"/>
          <w:szCs w:val="28"/>
          <w:highlight w:val="none"/>
        </w:rPr>
        <w:t>合计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元，其中我司已收款项</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待</w:t>
      </w:r>
      <w:r>
        <w:rPr>
          <w:rFonts w:hint="eastAsia" w:ascii="仿宋" w:hAnsi="仿宋" w:eastAsia="仿宋" w:cs="仿宋"/>
          <w:color w:val="auto"/>
          <w:sz w:val="28"/>
          <w:szCs w:val="28"/>
          <w:highlight w:val="none"/>
        </w:rPr>
        <w:t>收款项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尾款</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77D74AA1">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现我</w:t>
      </w:r>
      <w:r>
        <w:rPr>
          <w:rFonts w:hint="eastAsia" w:ascii="仿宋" w:hAnsi="仿宋" w:eastAsia="仿宋" w:cs="仿宋"/>
          <w:color w:val="auto"/>
          <w:sz w:val="28"/>
          <w:szCs w:val="28"/>
          <w:highlight w:val="none"/>
          <w:lang w:eastAsia="zh-CN"/>
        </w:rPr>
        <w:t>司在此确认并</w:t>
      </w:r>
      <w:r>
        <w:rPr>
          <w:rFonts w:hint="eastAsia" w:ascii="仿宋" w:hAnsi="仿宋" w:eastAsia="仿宋" w:cs="仿宋"/>
          <w:color w:val="auto"/>
          <w:sz w:val="28"/>
          <w:szCs w:val="28"/>
          <w:highlight w:val="none"/>
        </w:rPr>
        <w:t>郑重承诺：</w:t>
      </w:r>
      <w:r>
        <w:rPr>
          <w:rFonts w:hint="eastAsia" w:ascii="仿宋" w:hAnsi="仿宋" w:eastAsia="仿宋" w:cs="仿宋"/>
          <w:bCs/>
          <w:color w:val="auto"/>
          <w:kern w:val="0"/>
          <w:sz w:val="28"/>
          <w:szCs w:val="28"/>
          <w:highlight w:val="none"/>
        </w:rPr>
        <w:t>收到贵</w:t>
      </w:r>
      <w:r>
        <w:rPr>
          <w:rFonts w:hint="eastAsia" w:ascii="仿宋" w:hAnsi="仿宋" w:eastAsia="仿宋" w:cs="仿宋"/>
          <w:color w:val="auto"/>
          <w:sz w:val="28"/>
          <w:szCs w:val="28"/>
          <w:highlight w:val="none"/>
          <w:lang w:eastAsia="zh-CN"/>
        </w:rPr>
        <w:t>司支付的</w:t>
      </w:r>
      <w:r>
        <w:rPr>
          <w:rFonts w:hint="eastAsia" w:ascii="仿宋" w:hAnsi="仿宋" w:eastAsia="仿宋" w:cs="仿宋"/>
          <w:color w:val="auto"/>
          <w:sz w:val="28"/>
          <w:szCs w:val="28"/>
          <w:highlight w:val="none"/>
          <w:lang w:val="en-US" w:eastAsia="zh-CN"/>
        </w:rPr>
        <w:t>上述</w:t>
      </w:r>
      <w:r>
        <w:rPr>
          <w:rFonts w:hint="eastAsia" w:ascii="仿宋" w:hAnsi="仿宋" w:eastAsia="仿宋" w:cs="仿宋"/>
          <w:color w:val="auto"/>
          <w:sz w:val="28"/>
          <w:szCs w:val="28"/>
          <w:highlight w:val="none"/>
          <w:lang w:eastAsia="zh-CN"/>
        </w:rPr>
        <w:t>尾款</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元后，该项目的</w:t>
      </w:r>
      <w:r>
        <w:rPr>
          <w:rFonts w:hint="eastAsia" w:ascii="仿宋" w:hAnsi="仿宋" w:eastAsia="仿宋" w:cs="仿宋"/>
          <w:color w:val="auto"/>
          <w:sz w:val="28"/>
          <w:szCs w:val="28"/>
          <w:highlight w:val="none"/>
          <w:u w:val="single"/>
          <w:lang w:eastAsia="zh-CN"/>
        </w:rPr>
        <w:t>（材料名称）</w:t>
      </w:r>
      <w:r>
        <w:rPr>
          <w:rFonts w:hint="eastAsia" w:ascii="仿宋" w:hAnsi="仿宋" w:eastAsia="仿宋" w:cs="仿宋"/>
          <w:color w:val="auto"/>
          <w:sz w:val="28"/>
          <w:szCs w:val="28"/>
          <w:highlight w:val="none"/>
          <w:lang w:val="en-US" w:eastAsia="zh-CN"/>
        </w:rPr>
        <w:t>所涉及的材料</w:t>
      </w:r>
      <w:r>
        <w:rPr>
          <w:rFonts w:hint="eastAsia" w:ascii="仿宋" w:hAnsi="仿宋" w:eastAsia="仿宋" w:cs="仿宋"/>
          <w:color w:val="auto"/>
          <w:sz w:val="28"/>
          <w:szCs w:val="28"/>
          <w:highlight w:val="none"/>
          <w:lang w:eastAsia="zh-CN"/>
        </w:rPr>
        <w:t>费用</w:t>
      </w:r>
      <w:r>
        <w:rPr>
          <w:rFonts w:hint="eastAsia" w:ascii="仿宋" w:hAnsi="仿宋" w:eastAsia="仿宋" w:cs="仿宋"/>
          <w:color w:val="auto"/>
          <w:sz w:val="28"/>
          <w:szCs w:val="28"/>
          <w:highlight w:val="none"/>
          <w:lang w:val="en-US" w:eastAsia="zh-CN"/>
        </w:rPr>
        <w:t>等合同款</w:t>
      </w:r>
      <w:r>
        <w:rPr>
          <w:rFonts w:hint="eastAsia" w:ascii="仿宋" w:hAnsi="仿宋" w:eastAsia="仿宋" w:cs="仿宋"/>
          <w:color w:val="auto"/>
          <w:sz w:val="28"/>
          <w:szCs w:val="28"/>
          <w:highlight w:val="none"/>
          <w:lang w:eastAsia="zh-CN"/>
        </w:rPr>
        <w:t>已全部结清，我司</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lang w:eastAsia="zh-CN"/>
        </w:rPr>
        <w:t>合同中的所有权利</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lang w:eastAsia="zh-CN"/>
        </w:rPr>
        <w:t>全部消灭。我司</w:t>
      </w:r>
      <w:r>
        <w:rPr>
          <w:rFonts w:hint="eastAsia" w:ascii="仿宋" w:hAnsi="仿宋" w:eastAsia="仿宋" w:cs="仿宋"/>
          <w:color w:val="auto"/>
          <w:sz w:val="28"/>
          <w:szCs w:val="28"/>
          <w:highlight w:val="none"/>
          <w:lang w:val="en-US" w:eastAsia="zh-CN"/>
        </w:rPr>
        <w:t>将不</w:t>
      </w:r>
      <w:r>
        <w:rPr>
          <w:rFonts w:hint="eastAsia" w:ascii="仿宋" w:hAnsi="仿宋" w:eastAsia="仿宋" w:cs="仿宋"/>
          <w:color w:val="auto"/>
          <w:sz w:val="28"/>
          <w:szCs w:val="28"/>
          <w:highlight w:val="none"/>
          <w:lang w:eastAsia="zh-CN"/>
        </w:rPr>
        <w:t>以任何理由、任何方式就该项目的合作向贵司主张任何权利和费用。</w:t>
      </w:r>
    </w:p>
    <w:p w14:paraId="1ABB2B58">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w:t>
      </w:r>
      <w:r>
        <w:rPr>
          <w:rFonts w:hint="eastAsia" w:ascii="仿宋" w:hAnsi="仿宋" w:eastAsia="仿宋" w:cs="仿宋"/>
          <w:color w:val="auto"/>
          <w:sz w:val="28"/>
          <w:szCs w:val="28"/>
          <w:highlight w:val="none"/>
          <w:lang w:val="en-US" w:eastAsia="zh-CN"/>
        </w:rPr>
        <w:t>承诺</w:t>
      </w:r>
      <w:r>
        <w:rPr>
          <w:rFonts w:hint="eastAsia" w:ascii="仿宋" w:hAnsi="仿宋" w:eastAsia="仿宋" w:cs="仿宋"/>
          <w:color w:val="auto"/>
          <w:sz w:val="28"/>
          <w:szCs w:val="28"/>
          <w:highlight w:val="none"/>
        </w:rPr>
        <w:t>！</w:t>
      </w:r>
    </w:p>
    <w:p w14:paraId="2A26EB01">
      <w:pPr>
        <w:ind w:firstLine="560" w:firstLineChars="200"/>
        <w:rPr>
          <w:rFonts w:hint="eastAsia" w:ascii="仿宋" w:hAnsi="仿宋" w:eastAsia="仿宋" w:cs="仿宋"/>
          <w:color w:val="auto"/>
          <w:sz w:val="28"/>
          <w:szCs w:val="28"/>
          <w:highlight w:val="none"/>
        </w:rPr>
      </w:pPr>
    </w:p>
    <w:p w14:paraId="22908393">
      <w:pPr>
        <w:ind w:firstLine="560" w:firstLineChars="200"/>
        <w:rPr>
          <w:rFonts w:hint="eastAsia" w:ascii="仿宋" w:hAnsi="仿宋" w:eastAsia="仿宋" w:cs="仿宋"/>
          <w:color w:val="auto"/>
          <w:sz w:val="28"/>
          <w:szCs w:val="28"/>
          <w:highlight w:val="none"/>
        </w:rPr>
      </w:pPr>
    </w:p>
    <w:p w14:paraId="6B98AEA7">
      <w:pPr>
        <w:ind w:firstLine="4480" w:firstLineChars="1600"/>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（盖章）：</w:t>
      </w:r>
    </w:p>
    <w:p w14:paraId="144985DE">
      <w:pPr>
        <w:ind w:firstLine="5600" w:firstLineChars="2000"/>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日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期：</w:t>
      </w:r>
    </w:p>
    <w:p w14:paraId="069B90DB">
      <w:pPr>
        <w:ind w:firstLine="5600" w:firstLineChars="2000"/>
        <w:jc w:val="left"/>
        <w:rPr>
          <w:rFonts w:hint="eastAsia" w:ascii="仿宋" w:hAnsi="仿宋" w:eastAsia="仿宋" w:cs="仿宋"/>
          <w:bCs/>
          <w:color w:val="auto"/>
          <w:kern w:val="0"/>
          <w:sz w:val="28"/>
          <w:szCs w:val="28"/>
          <w:highlight w:val="none"/>
        </w:rPr>
      </w:pPr>
    </w:p>
    <w:p w14:paraId="250D10DE">
      <w:pPr>
        <w:jc w:val="left"/>
        <w:rPr>
          <w:rFonts w:hint="eastAsia" w:ascii="仿宋" w:hAnsi="仿宋" w:eastAsia="仿宋" w:cs="仿宋"/>
          <w:bCs/>
          <w:color w:val="auto"/>
          <w:kern w:val="0"/>
          <w:sz w:val="24"/>
          <w:szCs w:val="24"/>
          <w:highlight w:val="none"/>
          <w:u w:val="dash"/>
          <w:lang w:val="en-US" w:eastAsia="zh-CN"/>
        </w:rPr>
      </w:pPr>
      <w:r>
        <w:rPr>
          <w:rFonts w:hint="eastAsia" w:ascii="仿宋" w:hAnsi="仿宋" w:eastAsia="仿宋" w:cs="仿宋"/>
          <w:bCs/>
          <w:color w:val="auto"/>
          <w:kern w:val="0"/>
          <w:sz w:val="24"/>
          <w:szCs w:val="24"/>
          <w:highlight w:val="none"/>
          <w:u w:val="dash"/>
          <w:lang w:val="en-US" w:eastAsia="zh-CN"/>
        </w:rPr>
        <w:t xml:space="preserve">                                                                                  </w:t>
      </w:r>
    </w:p>
    <w:p w14:paraId="7E22235E">
      <w:p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使用说明：</w:t>
      </w:r>
    </w:p>
    <w:p w14:paraId="203277CE">
      <w:pPr>
        <w:numPr>
          <w:ilvl w:val="0"/>
          <w:numId w:val="0"/>
        </w:num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1、本费用结清声明仅适用于“材料类”的购销合同。</w:t>
      </w:r>
    </w:p>
    <w:p w14:paraId="03763235">
      <w:pPr>
        <w:numPr>
          <w:ilvl w:val="0"/>
          <w:numId w:val="0"/>
        </w:numPr>
        <w:ind w:leftChars="0"/>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2、承诺方须在“中泰建安”支付该合同最后一笔款前完成本文件签章，原件给“中泰建安”作为支付最后一笔款的附件。</w:t>
      </w:r>
    </w:p>
    <w:p w14:paraId="082F1BDB">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4EADE1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6CB4AFE7">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226A53B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6DDAA97">
      <w:pPr>
        <w:jc w:val="right"/>
        <w:outlineLvl w:val="0"/>
        <w:rPr>
          <w:rFonts w:hint="eastAsia" w:ascii="仿宋" w:hAnsi="仿宋" w:eastAsia="仿宋" w:cs="仿宋"/>
          <w:b/>
          <w:bCs/>
          <w:color w:val="auto"/>
          <w:sz w:val="44"/>
          <w:szCs w:val="44"/>
          <w:highlight w:val="none"/>
          <w:lang w:val="en-US" w:eastAsia="zh-CN"/>
        </w:rPr>
      </w:pPr>
      <w:bookmarkStart w:id="199" w:name="_Toc17650"/>
      <w:bookmarkStart w:id="200" w:name="_Toc19580"/>
      <w:bookmarkStart w:id="201" w:name="_Toc13340"/>
      <w:bookmarkStart w:id="202" w:name="_Toc22809"/>
      <w:bookmarkStart w:id="203" w:name="_Toc27755"/>
    </w:p>
    <w:p w14:paraId="7B2DA988">
      <w:pPr>
        <w:jc w:val="right"/>
        <w:outlineLvl w:val="0"/>
        <w:rPr>
          <w:rFonts w:hint="eastAsia" w:ascii="仿宋" w:hAnsi="仿宋" w:eastAsia="仿宋" w:cs="仿宋"/>
          <w:b/>
          <w:bCs/>
          <w:color w:val="auto"/>
          <w:sz w:val="44"/>
          <w:szCs w:val="44"/>
          <w:highlight w:val="none"/>
          <w:lang w:val="en-US" w:eastAsia="zh-CN"/>
        </w:rPr>
      </w:pPr>
    </w:p>
    <w:p w14:paraId="169D2C2B">
      <w:pPr>
        <w:jc w:val="right"/>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附件六</w:t>
      </w:r>
      <w:bookmarkEnd w:id="199"/>
      <w:bookmarkEnd w:id="200"/>
      <w:bookmarkEnd w:id="201"/>
      <w:bookmarkEnd w:id="202"/>
      <w:bookmarkEnd w:id="203"/>
    </w:p>
    <w:p w14:paraId="13218B89">
      <w:pPr>
        <w:jc w:val="right"/>
        <w:outlineLvl w:val="9"/>
        <w:rPr>
          <w:color w:val="auto"/>
          <w:highlight w:val="none"/>
        </w:rPr>
      </w:pPr>
    </w:p>
    <w:p w14:paraId="0C1E45DF">
      <w:pPr>
        <w:jc w:val="right"/>
        <w:outlineLvl w:val="9"/>
        <w:rPr>
          <w:color w:val="auto"/>
          <w:highlight w:val="none"/>
        </w:rPr>
      </w:pPr>
      <w:r>
        <w:rPr>
          <w:color w:val="auto"/>
          <w:highlight w:val="none"/>
        </w:rPr>
        <w:drawing>
          <wp:inline distT="0" distB="0" distL="114300" distR="114300">
            <wp:extent cx="5825490" cy="5674995"/>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rcRect b="-1338"/>
                    <a:stretch>
                      <a:fillRect/>
                    </a:stretch>
                  </pic:blipFill>
                  <pic:spPr>
                    <a:xfrm>
                      <a:off x="0" y="0"/>
                      <a:ext cx="5825490" cy="5674995"/>
                    </a:xfrm>
                    <a:prstGeom prst="rect">
                      <a:avLst/>
                    </a:prstGeom>
                    <a:noFill/>
                    <a:ln>
                      <a:noFill/>
                    </a:ln>
                  </pic:spPr>
                </pic:pic>
              </a:graphicData>
            </a:graphic>
          </wp:inline>
        </w:drawing>
      </w:r>
    </w:p>
    <w:p w14:paraId="1580FFB5">
      <w:pPr>
        <w:jc w:val="right"/>
        <w:outlineLvl w:val="9"/>
        <w:rPr>
          <w:color w:val="auto"/>
          <w:highlight w:val="none"/>
        </w:rPr>
      </w:pPr>
    </w:p>
    <w:p w14:paraId="02912091">
      <w:pPr>
        <w:jc w:val="right"/>
        <w:outlineLvl w:val="9"/>
        <w:rPr>
          <w:color w:val="auto"/>
          <w:highlight w:val="none"/>
        </w:rPr>
      </w:pPr>
    </w:p>
    <w:p w14:paraId="66BEC6FE">
      <w:pPr>
        <w:jc w:val="right"/>
        <w:outlineLvl w:val="9"/>
        <w:rPr>
          <w:color w:val="auto"/>
          <w:highlight w:val="none"/>
        </w:rPr>
      </w:pPr>
    </w:p>
    <w:p w14:paraId="27E63052">
      <w:pPr>
        <w:jc w:val="right"/>
        <w:outlineLvl w:val="9"/>
        <w:rPr>
          <w:color w:val="auto"/>
          <w:highlight w:val="none"/>
        </w:rPr>
      </w:pPr>
    </w:p>
    <w:p w14:paraId="7D6701B5">
      <w:pPr>
        <w:jc w:val="right"/>
        <w:outlineLvl w:val="9"/>
        <w:rPr>
          <w:color w:val="auto"/>
          <w:highlight w:val="none"/>
        </w:rPr>
      </w:pPr>
    </w:p>
    <w:p w14:paraId="094F7EF0">
      <w:pPr>
        <w:jc w:val="right"/>
        <w:outlineLvl w:val="9"/>
        <w:rPr>
          <w:color w:val="auto"/>
          <w:highlight w:val="none"/>
        </w:rPr>
      </w:pPr>
    </w:p>
    <w:p w14:paraId="308CFB48">
      <w:pPr>
        <w:jc w:val="right"/>
        <w:outlineLvl w:val="9"/>
        <w:rPr>
          <w:color w:val="auto"/>
          <w:highlight w:val="none"/>
        </w:rPr>
      </w:pPr>
    </w:p>
    <w:p w14:paraId="4BBFC273">
      <w:pPr>
        <w:jc w:val="right"/>
        <w:outlineLvl w:val="9"/>
        <w:rPr>
          <w:color w:val="auto"/>
          <w:highlight w:val="none"/>
        </w:rPr>
      </w:pPr>
    </w:p>
    <w:p w14:paraId="3F34467A">
      <w:pPr>
        <w:jc w:val="right"/>
        <w:outlineLvl w:val="9"/>
        <w:rPr>
          <w:color w:val="auto"/>
          <w:highlight w:val="none"/>
        </w:rPr>
      </w:pPr>
    </w:p>
    <w:p w14:paraId="4EE65A15">
      <w:pPr>
        <w:jc w:val="right"/>
        <w:outlineLvl w:val="9"/>
        <w:rPr>
          <w:color w:val="auto"/>
          <w:highlight w:val="none"/>
        </w:rPr>
      </w:pPr>
    </w:p>
    <w:p w14:paraId="064954DF">
      <w:pPr>
        <w:jc w:val="right"/>
        <w:outlineLvl w:val="9"/>
        <w:rPr>
          <w:color w:val="auto"/>
          <w:highlight w:val="none"/>
        </w:rPr>
      </w:pPr>
    </w:p>
    <w:p w14:paraId="2CB15158">
      <w:pPr>
        <w:spacing w:before="63" w:line="219" w:lineRule="auto"/>
        <w:jc w:val="both"/>
        <w:rPr>
          <w:rFonts w:hint="eastAsia" w:ascii="仿宋" w:hAnsi="仿宋" w:eastAsia="仿宋" w:cs="仿宋"/>
          <w:color w:val="auto"/>
          <w:spacing w:val="-13"/>
          <w:sz w:val="44"/>
          <w:szCs w:val="44"/>
          <w:highlight w:val="none"/>
        </w:rPr>
      </w:pPr>
    </w:p>
    <w:p w14:paraId="304BC931">
      <w:pPr>
        <w:spacing w:before="63" w:line="219" w:lineRule="auto"/>
        <w:jc w:val="both"/>
        <w:rPr>
          <w:rFonts w:hint="eastAsia" w:ascii="仿宋" w:hAnsi="仿宋" w:eastAsia="仿宋" w:cs="仿宋"/>
          <w:color w:val="auto"/>
          <w:spacing w:val="-13"/>
          <w:sz w:val="44"/>
          <w:szCs w:val="44"/>
          <w:highlight w:val="none"/>
        </w:rPr>
      </w:pPr>
    </w:p>
    <w:p w14:paraId="7F56367E">
      <w:pPr>
        <w:spacing w:before="63" w:line="219" w:lineRule="auto"/>
        <w:jc w:val="right"/>
        <w:outlineLvl w:val="0"/>
        <w:rPr>
          <w:rFonts w:hint="eastAsia" w:ascii="仿宋" w:hAnsi="仿宋" w:eastAsia="仿宋" w:cs="仿宋"/>
          <w:b/>
          <w:bCs/>
          <w:color w:val="auto"/>
          <w:sz w:val="44"/>
          <w:szCs w:val="44"/>
          <w:highlight w:val="none"/>
        </w:rPr>
      </w:pPr>
      <w:bookmarkStart w:id="204" w:name="_Toc531"/>
      <w:bookmarkStart w:id="205" w:name="_Toc7365"/>
      <w:bookmarkStart w:id="206" w:name="_Toc11863"/>
      <w:bookmarkStart w:id="207" w:name="_Toc17240"/>
      <w:bookmarkStart w:id="208" w:name="_Toc8036"/>
      <w:r>
        <w:rPr>
          <w:rFonts w:hint="eastAsia" w:ascii="仿宋" w:hAnsi="仿宋" w:eastAsia="仿宋" w:cs="仿宋"/>
          <w:b/>
          <w:bCs/>
          <w:color w:val="auto"/>
          <w:spacing w:val="-13"/>
          <w:sz w:val="44"/>
          <w:szCs w:val="44"/>
          <w:highlight w:val="none"/>
        </w:rPr>
        <w:t>附件</w:t>
      </w:r>
      <w:r>
        <w:rPr>
          <w:rFonts w:hint="eastAsia" w:ascii="仿宋" w:hAnsi="仿宋" w:eastAsia="仿宋" w:cs="仿宋"/>
          <w:b/>
          <w:bCs/>
          <w:color w:val="auto"/>
          <w:spacing w:val="-13"/>
          <w:sz w:val="44"/>
          <w:szCs w:val="44"/>
          <w:highlight w:val="none"/>
          <w:lang w:val="en-US" w:eastAsia="zh-CN"/>
        </w:rPr>
        <w:t>七</w:t>
      </w:r>
      <w:bookmarkEnd w:id="204"/>
      <w:bookmarkEnd w:id="205"/>
      <w:bookmarkEnd w:id="206"/>
      <w:bookmarkEnd w:id="207"/>
      <w:bookmarkEnd w:id="208"/>
    </w:p>
    <w:p w14:paraId="6F120776">
      <w:pPr>
        <w:pStyle w:val="3"/>
        <w:tabs>
          <w:tab w:val="left" w:pos="5740"/>
        </w:tabs>
        <w:spacing w:before="111" w:line="184" w:lineRule="auto"/>
        <w:ind w:left="0"/>
        <w:jc w:val="center"/>
        <w:outlineLvl w:val="0"/>
        <w:rPr>
          <w:rFonts w:hint="eastAsia" w:ascii="宋体" w:hAnsi="宋体" w:eastAsia="宋体" w:cs="宋体"/>
          <w:b/>
          <w:bCs/>
          <w:color w:val="auto"/>
          <w:sz w:val="44"/>
          <w:szCs w:val="40"/>
          <w:highlight w:val="none"/>
          <w:lang w:val="en-US" w:eastAsia="zh-CN"/>
        </w:rPr>
      </w:pPr>
      <w:bookmarkStart w:id="209" w:name="_Toc21370"/>
      <w:bookmarkStart w:id="210" w:name="_Toc6884"/>
      <w:bookmarkStart w:id="211" w:name="_Toc22816"/>
      <w:bookmarkStart w:id="212" w:name="_Toc1085"/>
      <w:bookmarkStart w:id="213" w:name="_Toc16828"/>
      <w:r>
        <w:rPr>
          <w:rFonts w:hint="eastAsia" w:ascii="宋体" w:hAnsi="宋体" w:eastAsia="宋体" w:cs="宋体"/>
          <w:b/>
          <w:bCs/>
          <w:color w:val="auto"/>
          <w:sz w:val="32"/>
          <w:szCs w:val="32"/>
          <w:highlight w:val="none"/>
          <w:lang w:val="en-US" w:eastAsia="zh-CN"/>
        </w:rPr>
        <w:t>xxx</w:t>
      </w:r>
      <w:r>
        <w:rPr>
          <w:rFonts w:hint="eastAsia" w:ascii="宋体" w:hAnsi="宋体" w:eastAsia="宋体" w:cs="宋体"/>
          <w:b/>
          <w:bCs/>
          <w:color w:val="auto"/>
          <w:sz w:val="32"/>
          <w:szCs w:val="32"/>
          <w:highlight w:val="none"/>
        </w:rPr>
        <w:t>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209"/>
      <w:bookmarkEnd w:id="210"/>
      <w:bookmarkEnd w:id="211"/>
      <w:bookmarkEnd w:id="212"/>
      <w:bookmarkEnd w:id="213"/>
    </w:p>
    <w:p w14:paraId="1C4ED749">
      <w:pPr>
        <w:rPr>
          <w:rFonts w:hint="default"/>
          <w:color w:val="auto"/>
          <w:highlight w:val="none"/>
          <w:lang w:val="en-US" w:eastAsia="zh-CN"/>
        </w:rPr>
      </w:pPr>
    </w:p>
    <w:p w14:paraId="4748A5BA">
      <w:pPr>
        <w:pStyle w:val="3"/>
        <w:spacing w:before="0" w:line="309" w:lineRule="exact"/>
        <w:ind w:left="0"/>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0E3F191B">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535"/>
        <w:gridCol w:w="578"/>
        <w:gridCol w:w="556"/>
        <w:gridCol w:w="502"/>
        <w:gridCol w:w="524"/>
        <w:gridCol w:w="600"/>
        <w:gridCol w:w="567"/>
        <w:gridCol w:w="556"/>
        <w:gridCol w:w="910"/>
        <w:gridCol w:w="940"/>
        <w:gridCol w:w="1772"/>
        <w:gridCol w:w="927"/>
      </w:tblGrid>
      <w:tr w14:paraId="19188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09C40C31">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535" w:type="dxa"/>
            <w:noWrap w:val="0"/>
            <w:vAlign w:val="center"/>
          </w:tcPr>
          <w:p w14:paraId="22B4EC50">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578" w:type="dxa"/>
            <w:noWrap w:val="0"/>
            <w:vAlign w:val="center"/>
          </w:tcPr>
          <w:p w14:paraId="609F7D97">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556" w:type="dxa"/>
            <w:noWrap w:val="0"/>
            <w:vAlign w:val="center"/>
          </w:tcPr>
          <w:p w14:paraId="259E894B">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502" w:type="dxa"/>
            <w:noWrap w:val="0"/>
            <w:vAlign w:val="center"/>
          </w:tcPr>
          <w:p w14:paraId="34D65F90">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524" w:type="dxa"/>
            <w:noWrap w:val="0"/>
            <w:vAlign w:val="center"/>
          </w:tcPr>
          <w:p w14:paraId="4CC51150">
            <w:pPr>
              <w:spacing w:before="0" w:line="190" w:lineRule="auto"/>
              <w:ind w:firstLine="0" w:firstLineChars="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600" w:type="dxa"/>
            <w:noWrap w:val="0"/>
            <w:vAlign w:val="center"/>
          </w:tcPr>
          <w:p w14:paraId="50DD4E5E">
            <w:pPr>
              <w:spacing w:before="0"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567" w:type="dxa"/>
            <w:noWrap w:val="0"/>
            <w:vAlign w:val="center"/>
          </w:tcPr>
          <w:p w14:paraId="795404B8">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556" w:type="dxa"/>
            <w:noWrap w:val="0"/>
            <w:vAlign w:val="center"/>
          </w:tcPr>
          <w:p w14:paraId="52CE3F57">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0" w:type="dxa"/>
            <w:noWrap w:val="0"/>
            <w:vAlign w:val="center"/>
          </w:tcPr>
          <w:p w14:paraId="098CE355">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940" w:type="dxa"/>
            <w:noWrap w:val="0"/>
            <w:vAlign w:val="center"/>
          </w:tcPr>
          <w:p w14:paraId="4C08EECE">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772" w:type="dxa"/>
            <w:noWrap w:val="0"/>
            <w:vAlign w:val="center"/>
          </w:tcPr>
          <w:p w14:paraId="2DF695F3">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927" w:type="dxa"/>
            <w:noWrap w:val="0"/>
            <w:vAlign w:val="center"/>
          </w:tcPr>
          <w:p w14:paraId="16DFB379">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35E1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53DF29F5">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535" w:type="dxa"/>
            <w:noWrap w:val="0"/>
            <w:vAlign w:val="center"/>
          </w:tcPr>
          <w:p w14:paraId="6B60ABAB">
            <w:pPr>
              <w:pStyle w:val="15"/>
              <w:jc w:val="center"/>
              <w:rPr>
                <w:color w:val="auto"/>
                <w:highlight w:val="none"/>
              </w:rPr>
            </w:pPr>
          </w:p>
        </w:tc>
        <w:tc>
          <w:tcPr>
            <w:tcW w:w="578" w:type="dxa"/>
            <w:noWrap w:val="0"/>
            <w:vAlign w:val="center"/>
          </w:tcPr>
          <w:p w14:paraId="322BA347">
            <w:pPr>
              <w:pStyle w:val="15"/>
              <w:jc w:val="center"/>
              <w:rPr>
                <w:color w:val="auto"/>
                <w:highlight w:val="none"/>
              </w:rPr>
            </w:pPr>
          </w:p>
        </w:tc>
        <w:tc>
          <w:tcPr>
            <w:tcW w:w="556" w:type="dxa"/>
            <w:noWrap w:val="0"/>
            <w:vAlign w:val="center"/>
          </w:tcPr>
          <w:p w14:paraId="0F736773">
            <w:pPr>
              <w:pStyle w:val="15"/>
              <w:jc w:val="center"/>
              <w:rPr>
                <w:color w:val="auto"/>
                <w:highlight w:val="none"/>
              </w:rPr>
            </w:pPr>
          </w:p>
        </w:tc>
        <w:tc>
          <w:tcPr>
            <w:tcW w:w="502" w:type="dxa"/>
            <w:noWrap w:val="0"/>
            <w:vAlign w:val="center"/>
          </w:tcPr>
          <w:p w14:paraId="0150634F">
            <w:pPr>
              <w:pStyle w:val="15"/>
              <w:jc w:val="center"/>
              <w:rPr>
                <w:color w:val="auto"/>
                <w:highlight w:val="none"/>
              </w:rPr>
            </w:pPr>
          </w:p>
        </w:tc>
        <w:tc>
          <w:tcPr>
            <w:tcW w:w="524" w:type="dxa"/>
            <w:noWrap w:val="0"/>
            <w:vAlign w:val="center"/>
          </w:tcPr>
          <w:p w14:paraId="7C04F1FF">
            <w:pPr>
              <w:pStyle w:val="15"/>
              <w:jc w:val="center"/>
              <w:rPr>
                <w:color w:val="auto"/>
                <w:highlight w:val="none"/>
              </w:rPr>
            </w:pPr>
          </w:p>
        </w:tc>
        <w:tc>
          <w:tcPr>
            <w:tcW w:w="600" w:type="dxa"/>
            <w:noWrap w:val="0"/>
            <w:vAlign w:val="center"/>
          </w:tcPr>
          <w:p w14:paraId="4497A1D9">
            <w:pPr>
              <w:pStyle w:val="15"/>
              <w:jc w:val="center"/>
              <w:rPr>
                <w:color w:val="auto"/>
                <w:highlight w:val="none"/>
              </w:rPr>
            </w:pPr>
          </w:p>
        </w:tc>
        <w:tc>
          <w:tcPr>
            <w:tcW w:w="567" w:type="dxa"/>
            <w:noWrap w:val="0"/>
            <w:vAlign w:val="center"/>
          </w:tcPr>
          <w:p w14:paraId="75711C41">
            <w:pPr>
              <w:pStyle w:val="15"/>
              <w:jc w:val="center"/>
              <w:rPr>
                <w:color w:val="auto"/>
                <w:highlight w:val="none"/>
              </w:rPr>
            </w:pPr>
          </w:p>
        </w:tc>
        <w:tc>
          <w:tcPr>
            <w:tcW w:w="556" w:type="dxa"/>
            <w:noWrap w:val="0"/>
            <w:vAlign w:val="center"/>
          </w:tcPr>
          <w:p w14:paraId="57BA46A5">
            <w:pPr>
              <w:pStyle w:val="15"/>
              <w:jc w:val="center"/>
              <w:rPr>
                <w:color w:val="auto"/>
                <w:highlight w:val="none"/>
              </w:rPr>
            </w:pPr>
          </w:p>
        </w:tc>
        <w:tc>
          <w:tcPr>
            <w:tcW w:w="910" w:type="dxa"/>
            <w:noWrap w:val="0"/>
            <w:vAlign w:val="center"/>
          </w:tcPr>
          <w:p w14:paraId="1B639CD7">
            <w:pPr>
              <w:pStyle w:val="15"/>
              <w:jc w:val="center"/>
              <w:rPr>
                <w:color w:val="auto"/>
                <w:highlight w:val="none"/>
              </w:rPr>
            </w:pPr>
          </w:p>
        </w:tc>
        <w:tc>
          <w:tcPr>
            <w:tcW w:w="940" w:type="dxa"/>
            <w:noWrap w:val="0"/>
            <w:vAlign w:val="center"/>
          </w:tcPr>
          <w:p w14:paraId="33E2AF12">
            <w:pPr>
              <w:pStyle w:val="15"/>
              <w:jc w:val="center"/>
              <w:rPr>
                <w:color w:val="auto"/>
                <w:highlight w:val="none"/>
              </w:rPr>
            </w:pPr>
          </w:p>
        </w:tc>
        <w:tc>
          <w:tcPr>
            <w:tcW w:w="1772" w:type="dxa"/>
            <w:noWrap w:val="0"/>
            <w:vAlign w:val="center"/>
          </w:tcPr>
          <w:p w14:paraId="30ADE786">
            <w:pPr>
              <w:pStyle w:val="15"/>
              <w:jc w:val="center"/>
              <w:rPr>
                <w:color w:val="auto"/>
                <w:highlight w:val="none"/>
              </w:rPr>
            </w:pPr>
          </w:p>
        </w:tc>
        <w:tc>
          <w:tcPr>
            <w:tcW w:w="927" w:type="dxa"/>
            <w:noWrap w:val="0"/>
            <w:vAlign w:val="center"/>
          </w:tcPr>
          <w:p w14:paraId="3EE0776E">
            <w:pPr>
              <w:pStyle w:val="15"/>
              <w:jc w:val="center"/>
              <w:rPr>
                <w:color w:val="auto"/>
                <w:highlight w:val="none"/>
              </w:rPr>
            </w:pPr>
          </w:p>
        </w:tc>
      </w:tr>
      <w:tr w14:paraId="2BC9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27601A3">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535" w:type="dxa"/>
            <w:noWrap w:val="0"/>
            <w:vAlign w:val="center"/>
          </w:tcPr>
          <w:p w14:paraId="55940EB4">
            <w:pPr>
              <w:pStyle w:val="15"/>
              <w:jc w:val="center"/>
              <w:rPr>
                <w:color w:val="auto"/>
                <w:highlight w:val="none"/>
              </w:rPr>
            </w:pPr>
          </w:p>
        </w:tc>
        <w:tc>
          <w:tcPr>
            <w:tcW w:w="578" w:type="dxa"/>
            <w:noWrap w:val="0"/>
            <w:vAlign w:val="center"/>
          </w:tcPr>
          <w:p w14:paraId="0090D15F">
            <w:pPr>
              <w:pStyle w:val="15"/>
              <w:jc w:val="center"/>
              <w:rPr>
                <w:color w:val="auto"/>
                <w:highlight w:val="none"/>
              </w:rPr>
            </w:pPr>
          </w:p>
        </w:tc>
        <w:tc>
          <w:tcPr>
            <w:tcW w:w="556" w:type="dxa"/>
            <w:noWrap w:val="0"/>
            <w:vAlign w:val="center"/>
          </w:tcPr>
          <w:p w14:paraId="613617EE">
            <w:pPr>
              <w:pStyle w:val="15"/>
              <w:jc w:val="center"/>
              <w:rPr>
                <w:color w:val="auto"/>
                <w:highlight w:val="none"/>
              </w:rPr>
            </w:pPr>
          </w:p>
        </w:tc>
        <w:tc>
          <w:tcPr>
            <w:tcW w:w="502" w:type="dxa"/>
            <w:noWrap w:val="0"/>
            <w:vAlign w:val="center"/>
          </w:tcPr>
          <w:p w14:paraId="2E26DDB1">
            <w:pPr>
              <w:pStyle w:val="15"/>
              <w:jc w:val="center"/>
              <w:rPr>
                <w:color w:val="auto"/>
                <w:highlight w:val="none"/>
              </w:rPr>
            </w:pPr>
          </w:p>
        </w:tc>
        <w:tc>
          <w:tcPr>
            <w:tcW w:w="524" w:type="dxa"/>
            <w:noWrap w:val="0"/>
            <w:vAlign w:val="center"/>
          </w:tcPr>
          <w:p w14:paraId="610327D3">
            <w:pPr>
              <w:pStyle w:val="15"/>
              <w:jc w:val="center"/>
              <w:rPr>
                <w:color w:val="auto"/>
                <w:highlight w:val="none"/>
              </w:rPr>
            </w:pPr>
          </w:p>
        </w:tc>
        <w:tc>
          <w:tcPr>
            <w:tcW w:w="600" w:type="dxa"/>
            <w:noWrap w:val="0"/>
            <w:vAlign w:val="center"/>
          </w:tcPr>
          <w:p w14:paraId="703549D8">
            <w:pPr>
              <w:pStyle w:val="15"/>
              <w:jc w:val="center"/>
              <w:rPr>
                <w:color w:val="auto"/>
                <w:highlight w:val="none"/>
              </w:rPr>
            </w:pPr>
          </w:p>
        </w:tc>
        <w:tc>
          <w:tcPr>
            <w:tcW w:w="567" w:type="dxa"/>
            <w:noWrap w:val="0"/>
            <w:vAlign w:val="center"/>
          </w:tcPr>
          <w:p w14:paraId="66DC0A1E">
            <w:pPr>
              <w:pStyle w:val="15"/>
              <w:jc w:val="center"/>
              <w:rPr>
                <w:color w:val="auto"/>
                <w:highlight w:val="none"/>
              </w:rPr>
            </w:pPr>
          </w:p>
        </w:tc>
        <w:tc>
          <w:tcPr>
            <w:tcW w:w="556" w:type="dxa"/>
            <w:noWrap w:val="0"/>
            <w:vAlign w:val="center"/>
          </w:tcPr>
          <w:p w14:paraId="7DD74CA3">
            <w:pPr>
              <w:pStyle w:val="15"/>
              <w:jc w:val="center"/>
              <w:rPr>
                <w:color w:val="auto"/>
                <w:highlight w:val="none"/>
              </w:rPr>
            </w:pPr>
          </w:p>
        </w:tc>
        <w:tc>
          <w:tcPr>
            <w:tcW w:w="910" w:type="dxa"/>
            <w:noWrap w:val="0"/>
            <w:vAlign w:val="center"/>
          </w:tcPr>
          <w:p w14:paraId="3D4483A0">
            <w:pPr>
              <w:pStyle w:val="15"/>
              <w:jc w:val="center"/>
              <w:rPr>
                <w:color w:val="auto"/>
                <w:highlight w:val="none"/>
              </w:rPr>
            </w:pPr>
          </w:p>
        </w:tc>
        <w:tc>
          <w:tcPr>
            <w:tcW w:w="940" w:type="dxa"/>
            <w:noWrap w:val="0"/>
            <w:vAlign w:val="center"/>
          </w:tcPr>
          <w:p w14:paraId="6AADE851">
            <w:pPr>
              <w:pStyle w:val="15"/>
              <w:jc w:val="center"/>
              <w:rPr>
                <w:color w:val="auto"/>
                <w:highlight w:val="none"/>
              </w:rPr>
            </w:pPr>
          </w:p>
        </w:tc>
        <w:tc>
          <w:tcPr>
            <w:tcW w:w="1772" w:type="dxa"/>
            <w:noWrap w:val="0"/>
            <w:vAlign w:val="center"/>
          </w:tcPr>
          <w:p w14:paraId="2D79689E">
            <w:pPr>
              <w:pStyle w:val="15"/>
              <w:jc w:val="center"/>
              <w:rPr>
                <w:color w:val="auto"/>
                <w:highlight w:val="none"/>
              </w:rPr>
            </w:pPr>
          </w:p>
        </w:tc>
        <w:tc>
          <w:tcPr>
            <w:tcW w:w="927" w:type="dxa"/>
            <w:noWrap w:val="0"/>
            <w:vAlign w:val="center"/>
          </w:tcPr>
          <w:p w14:paraId="43A2EC0A">
            <w:pPr>
              <w:pStyle w:val="15"/>
              <w:jc w:val="center"/>
              <w:rPr>
                <w:color w:val="auto"/>
                <w:highlight w:val="none"/>
              </w:rPr>
            </w:pPr>
          </w:p>
        </w:tc>
      </w:tr>
      <w:tr w14:paraId="0183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43D3196D">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535" w:type="dxa"/>
            <w:noWrap w:val="0"/>
            <w:vAlign w:val="center"/>
          </w:tcPr>
          <w:p w14:paraId="02DE73E3">
            <w:pPr>
              <w:pStyle w:val="15"/>
              <w:jc w:val="center"/>
              <w:rPr>
                <w:color w:val="auto"/>
                <w:highlight w:val="none"/>
              </w:rPr>
            </w:pPr>
          </w:p>
        </w:tc>
        <w:tc>
          <w:tcPr>
            <w:tcW w:w="578" w:type="dxa"/>
            <w:noWrap w:val="0"/>
            <w:vAlign w:val="center"/>
          </w:tcPr>
          <w:p w14:paraId="58AD78B3">
            <w:pPr>
              <w:pStyle w:val="15"/>
              <w:jc w:val="center"/>
              <w:rPr>
                <w:color w:val="auto"/>
                <w:highlight w:val="none"/>
              </w:rPr>
            </w:pPr>
          </w:p>
        </w:tc>
        <w:tc>
          <w:tcPr>
            <w:tcW w:w="556" w:type="dxa"/>
            <w:noWrap w:val="0"/>
            <w:vAlign w:val="center"/>
          </w:tcPr>
          <w:p w14:paraId="3D6D268D">
            <w:pPr>
              <w:pStyle w:val="15"/>
              <w:jc w:val="center"/>
              <w:rPr>
                <w:color w:val="auto"/>
                <w:highlight w:val="none"/>
              </w:rPr>
            </w:pPr>
          </w:p>
        </w:tc>
        <w:tc>
          <w:tcPr>
            <w:tcW w:w="502" w:type="dxa"/>
            <w:noWrap w:val="0"/>
            <w:vAlign w:val="center"/>
          </w:tcPr>
          <w:p w14:paraId="2524FCD3">
            <w:pPr>
              <w:pStyle w:val="15"/>
              <w:jc w:val="center"/>
              <w:rPr>
                <w:color w:val="auto"/>
                <w:highlight w:val="none"/>
              </w:rPr>
            </w:pPr>
          </w:p>
        </w:tc>
        <w:tc>
          <w:tcPr>
            <w:tcW w:w="524" w:type="dxa"/>
            <w:noWrap w:val="0"/>
            <w:vAlign w:val="center"/>
          </w:tcPr>
          <w:p w14:paraId="3830CB2B">
            <w:pPr>
              <w:pStyle w:val="15"/>
              <w:jc w:val="center"/>
              <w:rPr>
                <w:color w:val="auto"/>
                <w:highlight w:val="none"/>
              </w:rPr>
            </w:pPr>
          </w:p>
        </w:tc>
        <w:tc>
          <w:tcPr>
            <w:tcW w:w="600" w:type="dxa"/>
            <w:noWrap w:val="0"/>
            <w:vAlign w:val="center"/>
          </w:tcPr>
          <w:p w14:paraId="76609E74">
            <w:pPr>
              <w:pStyle w:val="15"/>
              <w:jc w:val="center"/>
              <w:rPr>
                <w:color w:val="auto"/>
                <w:highlight w:val="none"/>
              </w:rPr>
            </w:pPr>
          </w:p>
        </w:tc>
        <w:tc>
          <w:tcPr>
            <w:tcW w:w="567" w:type="dxa"/>
            <w:noWrap w:val="0"/>
            <w:vAlign w:val="center"/>
          </w:tcPr>
          <w:p w14:paraId="720A6BE5">
            <w:pPr>
              <w:pStyle w:val="15"/>
              <w:jc w:val="center"/>
              <w:rPr>
                <w:color w:val="auto"/>
                <w:highlight w:val="none"/>
              </w:rPr>
            </w:pPr>
          </w:p>
        </w:tc>
        <w:tc>
          <w:tcPr>
            <w:tcW w:w="556" w:type="dxa"/>
            <w:noWrap w:val="0"/>
            <w:vAlign w:val="center"/>
          </w:tcPr>
          <w:p w14:paraId="585DA7C4">
            <w:pPr>
              <w:pStyle w:val="15"/>
              <w:jc w:val="center"/>
              <w:rPr>
                <w:color w:val="auto"/>
                <w:highlight w:val="none"/>
              </w:rPr>
            </w:pPr>
          </w:p>
        </w:tc>
        <w:tc>
          <w:tcPr>
            <w:tcW w:w="910" w:type="dxa"/>
            <w:noWrap w:val="0"/>
            <w:vAlign w:val="center"/>
          </w:tcPr>
          <w:p w14:paraId="69500092">
            <w:pPr>
              <w:pStyle w:val="15"/>
              <w:jc w:val="center"/>
              <w:rPr>
                <w:color w:val="auto"/>
                <w:highlight w:val="none"/>
              </w:rPr>
            </w:pPr>
          </w:p>
        </w:tc>
        <w:tc>
          <w:tcPr>
            <w:tcW w:w="940" w:type="dxa"/>
            <w:noWrap w:val="0"/>
            <w:vAlign w:val="center"/>
          </w:tcPr>
          <w:p w14:paraId="442A201B">
            <w:pPr>
              <w:pStyle w:val="15"/>
              <w:jc w:val="center"/>
              <w:rPr>
                <w:color w:val="auto"/>
                <w:highlight w:val="none"/>
              </w:rPr>
            </w:pPr>
          </w:p>
        </w:tc>
        <w:tc>
          <w:tcPr>
            <w:tcW w:w="1772" w:type="dxa"/>
            <w:noWrap w:val="0"/>
            <w:vAlign w:val="center"/>
          </w:tcPr>
          <w:p w14:paraId="45224E49">
            <w:pPr>
              <w:pStyle w:val="15"/>
              <w:jc w:val="center"/>
              <w:rPr>
                <w:color w:val="auto"/>
                <w:highlight w:val="none"/>
              </w:rPr>
            </w:pPr>
          </w:p>
        </w:tc>
        <w:tc>
          <w:tcPr>
            <w:tcW w:w="927" w:type="dxa"/>
            <w:noWrap w:val="0"/>
            <w:vAlign w:val="center"/>
          </w:tcPr>
          <w:p w14:paraId="70679B4F">
            <w:pPr>
              <w:pStyle w:val="15"/>
              <w:jc w:val="center"/>
              <w:rPr>
                <w:color w:val="auto"/>
                <w:highlight w:val="none"/>
              </w:rPr>
            </w:pPr>
          </w:p>
        </w:tc>
      </w:tr>
      <w:tr w14:paraId="32C46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749EB99B">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535" w:type="dxa"/>
            <w:noWrap w:val="0"/>
            <w:vAlign w:val="center"/>
          </w:tcPr>
          <w:p w14:paraId="7C1DA075">
            <w:pPr>
              <w:pStyle w:val="15"/>
              <w:jc w:val="center"/>
              <w:rPr>
                <w:color w:val="auto"/>
                <w:highlight w:val="none"/>
              </w:rPr>
            </w:pPr>
          </w:p>
        </w:tc>
        <w:tc>
          <w:tcPr>
            <w:tcW w:w="578" w:type="dxa"/>
            <w:noWrap w:val="0"/>
            <w:vAlign w:val="center"/>
          </w:tcPr>
          <w:p w14:paraId="2CCCAC05">
            <w:pPr>
              <w:pStyle w:val="15"/>
              <w:jc w:val="center"/>
              <w:rPr>
                <w:color w:val="auto"/>
                <w:highlight w:val="none"/>
              </w:rPr>
            </w:pPr>
          </w:p>
        </w:tc>
        <w:tc>
          <w:tcPr>
            <w:tcW w:w="556" w:type="dxa"/>
            <w:noWrap w:val="0"/>
            <w:vAlign w:val="center"/>
          </w:tcPr>
          <w:p w14:paraId="4B4605EE">
            <w:pPr>
              <w:pStyle w:val="15"/>
              <w:jc w:val="center"/>
              <w:rPr>
                <w:color w:val="auto"/>
                <w:highlight w:val="none"/>
              </w:rPr>
            </w:pPr>
          </w:p>
        </w:tc>
        <w:tc>
          <w:tcPr>
            <w:tcW w:w="502" w:type="dxa"/>
            <w:noWrap w:val="0"/>
            <w:vAlign w:val="center"/>
          </w:tcPr>
          <w:p w14:paraId="2993B703">
            <w:pPr>
              <w:pStyle w:val="15"/>
              <w:jc w:val="center"/>
              <w:rPr>
                <w:color w:val="auto"/>
                <w:highlight w:val="none"/>
              </w:rPr>
            </w:pPr>
          </w:p>
        </w:tc>
        <w:tc>
          <w:tcPr>
            <w:tcW w:w="524" w:type="dxa"/>
            <w:noWrap w:val="0"/>
            <w:vAlign w:val="center"/>
          </w:tcPr>
          <w:p w14:paraId="459B8843">
            <w:pPr>
              <w:pStyle w:val="15"/>
              <w:jc w:val="center"/>
              <w:rPr>
                <w:color w:val="auto"/>
                <w:highlight w:val="none"/>
              </w:rPr>
            </w:pPr>
          </w:p>
        </w:tc>
        <w:tc>
          <w:tcPr>
            <w:tcW w:w="600" w:type="dxa"/>
            <w:noWrap w:val="0"/>
            <w:vAlign w:val="center"/>
          </w:tcPr>
          <w:p w14:paraId="015BB14F">
            <w:pPr>
              <w:pStyle w:val="15"/>
              <w:jc w:val="center"/>
              <w:rPr>
                <w:color w:val="auto"/>
                <w:highlight w:val="none"/>
              </w:rPr>
            </w:pPr>
          </w:p>
        </w:tc>
        <w:tc>
          <w:tcPr>
            <w:tcW w:w="567" w:type="dxa"/>
            <w:noWrap w:val="0"/>
            <w:vAlign w:val="center"/>
          </w:tcPr>
          <w:p w14:paraId="312C077E">
            <w:pPr>
              <w:pStyle w:val="15"/>
              <w:jc w:val="center"/>
              <w:rPr>
                <w:color w:val="auto"/>
                <w:highlight w:val="none"/>
              </w:rPr>
            </w:pPr>
          </w:p>
        </w:tc>
        <w:tc>
          <w:tcPr>
            <w:tcW w:w="556" w:type="dxa"/>
            <w:noWrap w:val="0"/>
            <w:vAlign w:val="center"/>
          </w:tcPr>
          <w:p w14:paraId="41F55D6D">
            <w:pPr>
              <w:pStyle w:val="15"/>
              <w:jc w:val="center"/>
              <w:rPr>
                <w:color w:val="auto"/>
                <w:highlight w:val="none"/>
              </w:rPr>
            </w:pPr>
          </w:p>
        </w:tc>
        <w:tc>
          <w:tcPr>
            <w:tcW w:w="910" w:type="dxa"/>
            <w:noWrap w:val="0"/>
            <w:vAlign w:val="center"/>
          </w:tcPr>
          <w:p w14:paraId="5DF13BEA">
            <w:pPr>
              <w:pStyle w:val="15"/>
              <w:jc w:val="center"/>
              <w:rPr>
                <w:color w:val="auto"/>
                <w:highlight w:val="none"/>
              </w:rPr>
            </w:pPr>
          </w:p>
        </w:tc>
        <w:tc>
          <w:tcPr>
            <w:tcW w:w="940" w:type="dxa"/>
            <w:noWrap w:val="0"/>
            <w:vAlign w:val="center"/>
          </w:tcPr>
          <w:p w14:paraId="49BA9F37">
            <w:pPr>
              <w:pStyle w:val="15"/>
              <w:jc w:val="center"/>
              <w:rPr>
                <w:color w:val="auto"/>
                <w:highlight w:val="none"/>
              </w:rPr>
            </w:pPr>
          </w:p>
        </w:tc>
        <w:tc>
          <w:tcPr>
            <w:tcW w:w="1772" w:type="dxa"/>
            <w:noWrap w:val="0"/>
            <w:vAlign w:val="center"/>
          </w:tcPr>
          <w:p w14:paraId="37A0571B">
            <w:pPr>
              <w:pStyle w:val="15"/>
              <w:jc w:val="center"/>
              <w:rPr>
                <w:color w:val="auto"/>
                <w:highlight w:val="none"/>
              </w:rPr>
            </w:pPr>
          </w:p>
        </w:tc>
        <w:tc>
          <w:tcPr>
            <w:tcW w:w="927" w:type="dxa"/>
            <w:noWrap w:val="0"/>
            <w:vAlign w:val="center"/>
          </w:tcPr>
          <w:p w14:paraId="44F65EC1">
            <w:pPr>
              <w:pStyle w:val="15"/>
              <w:jc w:val="center"/>
              <w:rPr>
                <w:color w:val="auto"/>
                <w:highlight w:val="none"/>
              </w:rPr>
            </w:pPr>
          </w:p>
        </w:tc>
      </w:tr>
      <w:tr w14:paraId="5A0B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CD7DD30">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535" w:type="dxa"/>
            <w:noWrap w:val="0"/>
            <w:vAlign w:val="center"/>
          </w:tcPr>
          <w:p w14:paraId="391406CD">
            <w:pPr>
              <w:pStyle w:val="15"/>
              <w:jc w:val="center"/>
              <w:rPr>
                <w:color w:val="auto"/>
                <w:highlight w:val="none"/>
              </w:rPr>
            </w:pPr>
          </w:p>
        </w:tc>
        <w:tc>
          <w:tcPr>
            <w:tcW w:w="578" w:type="dxa"/>
            <w:noWrap w:val="0"/>
            <w:vAlign w:val="center"/>
          </w:tcPr>
          <w:p w14:paraId="0B726E81">
            <w:pPr>
              <w:pStyle w:val="15"/>
              <w:jc w:val="center"/>
              <w:rPr>
                <w:color w:val="auto"/>
                <w:highlight w:val="none"/>
              </w:rPr>
            </w:pPr>
          </w:p>
        </w:tc>
        <w:tc>
          <w:tcPr>
            <w:tcW w:w="556" w:type="dxa"/>
            <w:noWrap w:val="0"/>
            <w:vAlign w:val="center"/>
          </w:tcPr>
          <w:p w14:paraId="56509936">
            <w:pPr>
              <w:pStyle w:val="15"/>
              <w:jc w:val="center"/>
              <w:rPr>
                <w:color w:val="auto"/>
                <w:highlight w:val="none"/>
              </w:rPr>
            </w:pPr>
          </w:p>
        </w:tc>
        <w:tc>
          <w:tcPr>
            <w:tcW w:w="502" w:type="dxa"/>
            <w:noWrap w:val="0"/>
            <w:vAlign w:val="center"/>
          </w:tcPr>
          <w:p w14:paraId="2F4E1DB7">
            <w:pPr>
              <w:pStyle w:val="15"/>
              <w:jc w:val="center"/>
              <w:rPr>
                <w:color w:val="auto"/>
                <w:highlight w:val="none"/>
              </w:rPr>
            </w:pPr>
          </w:p>
        </w:tc>
        <w:tc>
          <w:tcPr>
            <w:tcW w:w="524" w:type="dxa"/>
            <w:noWrap w:val="0"/>
            <w:vAlign w:val="center"/>
          </w:tcPr>
          <w:p w14:paraId="30060D56">
            <w:pPr>
              <w:pStyle w:val="15"/>
              <w:jc w:val="center"/>
              <w:rPr>
                <w:color w:val="auto"/>
                <w:highlight w:val="none"/>
              </w:rPr>
            </w:pPr>
          </w:p>
        </w:tc>
        <w:tc>
          <w:tcPr>
            <w:tcW w:w="600" w:type="dxa"/>
            <w:noWrap w:val="0"/>
            <w:vAlign w:val="center"/>
          </w:tcPr>
          <w:p w14:paraId="1FAD018E">
            <w:pPr>
              <w:pStyle w:val="15"/>
              <w:jc w:val="center"/>
              <w:rPr>
                <w:color w:val="auto"/>
                <w:highlight w:val="none"/>
              </w:rPr>
            </w:pPr>
          </w:p>
        </w:tc>
        <w:tc>
          <w:tcPr>
            <w:tcW w:w="567" w:type="dxa"/>
            <w:noWrap w:val="0"/>
            <w:vAlign w:val="center"/>
          </w:tcPr>
          <w:p w14:paraId="6C29365B">
            <w:pPr>
              <w:pStyle w:val="15"/>
              <w:jc w:val="center"/>
              <w:rPr>
                <w:color w:val="auto"/>
                <w:highlight w:val="none"/>
              </w:rPr>
            </w:pPr>
          </w:p>
        </w:tc>
        <w:tc>
          <w:tcPr>
            <w:tcW w:w="556" w:type="dxa"/>
            <w:noWrap w:val="0"/>
            <w:vAlign w:val="center"/>
          </w:tcPr>
          <w:p w14:paraId="26F2C3FE">
            <w:pPr>
              <w:pStyle w:val="15"/>
              <w:jc w:val="center"/>
              <w:rPr>
                <w:color w:val="auto"/>
                <w:highlight w:val="none"/>
              </w:rPr>
            </w:pPr>
          </w:p>
        </w:tc>
        <w:tc>
          <w:tcPr>
            <w:tcW w:w="910" w:type="dxa"/>
            <w:noWrap w:val="0"/>
            <w:vAlign w:val="center"/>
          </w:tcPr>
          <w:p w14:paraId="1CD0C5BC">
            <w:pPr>
              <w:pStyle w:val="15"/>
              <w:jc w:val="center"/>
              <w:rPr>
                <w:color w:val="auto"/>
                <w:highlight w:val="none"/>
              </w:rPr>
            </w:pPr>
          </w:p>
        </w:tc>
        <w:tc>
          <w:tcPr>
            <w:tcW w:w="940" w:type="dxa"/>
            <w:noWrap w:val="0"/>
            <w:vAlign w:val="center"/>
          </w:tcPr>
          <w:p w14:paraId="39F14FEC">
            <w:pPr>
              <w:pStyle w:val="15"/>
              <w:jc w:val="center"/>
              <w:rPr>
                <w:color w:val="auto"/>
                <w:highlight w:val="none"/>
              </w:rPr>
            </w:pPr>
          </w:p>
        </w:tc>
        <w:tc>
          <w:tcPr>
            <w:tcW w:w="1772" w:type="dxa"/>
            <w:noWrap w:val="0"/>
            <w:vAlign w:val="center"/>
          </w:tcPr>
          <w:p w14:paraId="618185B1">
            <w:pPr>
              <w:pStyle w:val="15"/>
              <w:jc w:val="center"/>
              <w:rPr>
                <w:color w:val="auto"/>
                <w:highlight w:val="none"/>
              </w:rPr>
            </w:pPr>
          </w:p>
        </w:tc>
        <w:tc>
          <w:tcPr>
            <w:tcW w:w="927" w:type="dxa"/>
            <w:noWrap w:val="0"/>
            <w:vAlign w:val="center"/>
          </w:tcPr>
          <w:p w14:paraId="293E6422">
            <w:pPr>
              <w:pStyle w:val="15"/>
              <w:jc w:val="center"/>
              <w:rPr>
                <w:color w:val="auto"/>
                <w:highlight w:val="none"/>
              </w:rPr>
            </w:pPr>
          </w:p>
        </w:tc>
      </w:tr>
      <w:tr w14:paraId="33EBA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0BF4AB41">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535" w:type="dxa"/>
            <w:noWrap w:val="0"/>
            <w:vAlign w:val="center"/>
          </w:tcPr>
          <w:p w14:paraId="70C92BC5">
            <w:pPr>
              <w:pStyle w:val="15"/>
              <w:jc w:val="center"/>
              <w:rPr>
                <w:color w:val="auto"/>
                <w:highlight w:val="none"/>
              </w:rPr>
            </w:pPr>
          </w:p>
        </w:tc>
        <w:tc>
          <w:tcPr>
            <w:tcW w:w="578" w:type="dxa"/>
            <w:noWrap w:val="0"/>
            <w:vAlign w:val="center"/>
          </w:tcPr>
          <w:p w14:paraId="15D4203D">
            <w:pPr>
              <w:pStyle w:val="15"/>
              <w:jc w:val="center"/>
              <w:rPr>
                <w:color w:val="auto"/>
                <w:highlight w:val="none"/>
              </w:rPr>
            </w:pPr>
          </w:p>
        </w:tc>
        <w:tc>
          <w:tcPr>
            <w:tcW w:w="556" w:type="dxa"/>
            <w:noWrap w:val="0"/>
            <w:vAlign w:val="center"/>
          </w:tcPr>
          <w:p w14:paraId="155D67FC">
            <w:pPr>
              <w:pStyle w:val="15"/>
              <w:jc w:val="center"/>
              <w:rPr>
                <w:color w:val="auto"/>
                <w:highlight w:val="none"/>
              </w:rPr>
            </w:pPr>
          </w:p>
        </w:tc>
        <w:tc>
          <w:tcPr>
            <w:tcW w:w="502" w:type="dxa"/>
            <w:noWrap w:val="0"/>
            <w:vAlign w:val="center"/>
          </w:tcPr>
          <w:p w14:paraId="23B24536">
            <w:pPr>
              <w:pStyle w:val="15"/>
              <w:jc w:val="center"/>
              <w:rPr>
                <w:color w:val="auto"/>
                <w:highlight w:val="none"/>
              </w:rPr>
            </w:pPr>
          </w:p>
        </w:tc>
        <w:tc>
          <w:tcPr>
            <w:tcW w:w="524" w:type="dxa"/>
            <w:noWrap w:val="0"/>
            <w:vAlign w:val="center"/>
          </w:tcPr>
          <w:p w14:paraId="3C47042F">
            <w:pPr>
              <w:pStyle w:val="15"/>
              <w:jc w:val="center"/>
              <w:rPr>
                <w:color w:val="auto"/>
                <w:highlight w:val="none"/>
              </w:rPr>
            </w:pPr>
          </w:p>
        </w:tc>
        <w:tc>
          <w:tcPr>
            <w:tcW w:w="600" w:type="dxa"/>
            <w:noWrap w:val="0"/>
            <w:vAlign w:val="center"/>
          </w:tcPr>
          <w:p w14:paraId="0C831290">
            <w:pPr>
              <w:pStyle w:val="15"/>
              <w:jc w:val="center"/>
              <w:rPr>
                <w:color w:val="auto"/>
                <w:highlight w:val="none"/>
              </w:rPr>
            </w:pPr>
          </w:p>
        </w:tc>
        <w:tc>
          <w:tcPr>
            <w:tcW w:w="567" w:type="dxa"/>
            <w:noWrap w:val="0"/>
            <w:vAlign w:val="center"/>
          </w:tcPr>
          <w:p w14:paraId="52078594">
            <w:pPr>
              <w:pStyle w:val="15"/>
              <w:jc w:val="center"/>
              <w:rPr>
                <w:color w:val="auto"/>
                <w:highlight w:val="none"/>
              </w:rPr>
            </w:pPr>
          </w:p>
        </w:tc>
        <w:tc>
          <w:tcPr>
            <w:tcW w:w="556" w:type="dxa"/>
            <w:noWrap w:val="0"/>
            <w:vAlign w:val="center"/>
          </w:tcPr>
          <w:p w14:paraId="12335BA8">
            <w:pPr>
              <w:pStyle w:val="15"/>
              <w:jc w:val="center"/>
              <w:rPr>
                <w:color w:val="auto"/>
                <w:highlight w:val="none"/>
              </w:rPr>
            </w:pPr>
          </w:p>
        </w:tc>
        <w:tc>
          <w:tcPr>
            <w:tcW w:w="910" w:type="dxa"/>
            <w:noWrap w:val="0"/>
            <w:vAlign w:val="center"/>
          </w:tcPr>
          <w:p w14:paraId="1A2ED415">
            <w:pPr>
              <w:pStyle w:val="15"/>
              <w:jc w:val="center"/>
              <w:rPr>
                <w:color w:val="auto"/>
                <w:highlight w:val="none"/>
              </w:rPr>
            </w:pPr>
          </w:p>
        </w:tc>
        <w:tc>
          <w:tcPr>
            <w:tcW w:w="940" w:type="dxa"/>
            <w:noWrap w:val="0"/>
            <w:vAlign w:val="center"/>
          </w:tcPr>
          <w:p w14:paraId="7115491F">
            <w:pPr>
              <w:pStyle w:val="15"/>
              <w:jc w:val="center"/>
              <w:rPr>
                <w:color w:val="auto"/>
                <w:highlight w:val="none"/>
              </w:rPr>
            </w:pPr>
          </w:p>
        </w:tc>
        <w:tc>
          <w:tcPr>
            <w:tcW w:w="1772" w:type="dxa"/>
            <w:noWrap w:val="0"/>
            <w:vAlign w:val="center"/>
          </w:tcPr>
          <w:p w14:paraId="01D55F91">
            <w:pPr>
              <w:pStyle w:val="15"/>
              <w:jc w:val="center"/>
              <w:rPr>
                <w:color w:val="auto"/>
                <w:highlight w:val="none"/>
              </w:rPr>
            </w:pPr>
          </w:p>
        </w:tc>
        <w:tc>
          <w:tcPr>
            <w:tcW w:w="927" w:type="dxa"/>
            <w:noWrap w:val="0"/>
            <w:vAlign w:val="center"/>
          </w:tcPr>
          <w:p w14:paraId="5C08CBB3">
            <w:pPr>
              <w:pStyle w:val="15"/>
              <w:jc w:val="center"/>
              <w:rPr>
                <w:color w:val="auto"/>
                <w:highlight w:val="none"/>
              </w:rPr>
            </w:pPr>
          </w:p>
        </w:tc>
      </w:tr>
      <w:tr w14:paraId="7447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5B172909">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535" w:type="dxa"/>
            <w:noWrap w:val="0"/>
            <w:vAlign w:val="center"/>
          </w:tcPr>
          <w:p w14:paraId="0FC6F4A2">
            <w:pPr>
              <w:pStyle w:val="15"/>
              <w:jc w:val="center"/>
              <w:rPr>
                <w:color w:val="auto"/>
                <w:highlight w:val="none"/>
              </w:rPr>
            </w:pPr>
          </w:p>
        </w:tc>
        <w:tc>
          <w:tcPr>
            <w:tcW w:w="578" w:type="dxa"/>
            <w:noWrap w:val="0"/>
            <w:vAlign w:val="center"/>
          </w:tcPr>
          <w:p w14:paraId="27CCF6C6">
            <w:pPr>
              <w:pStyle w:val="15"/>
              <w:jc w:val="center"/>
              <w:rPr>
                <w:color w:val="auto"/>
                <w:highlight w:val="none"/>
              </w:rPr>
            </w:pPr>
          </w:p>
        </w:tc>
        <w:tc>
          <w:tcPr>
            <w:tcW w:w="556" w:type="dxa"/>
            <w:noWrap w:val="0"/>
            <w:vAlign w:val="center"/>
          </w:tcPr>
          <w:p w14:paraId="5D69515E">
            <w:pPr>
              <w:pStyle w:val="15"/>
              <w:jc w:val="center"/>
              <w:rPr>
                <w:color w:val="auto"/>
                <w:highlight w:val="none"/>
              </w:rPr>
            </w:pPr>
          </w:p>
        </w:tc>
        <w:tc>
          <w:tcPr>
            <w:tcW w:w="502" w:type="dxa"/>
            <w:noWrap w:val="0"/>
            <w:vAlign w:val="center"/>
          </w:tcPr>
          <w:p w14:paraId="4FC1B4CB">
            <w:pPr>
              <w:pStyle w:val="15"/>
              <w:jc w:val="center"/>
              <w:rPr>
                <w:color w:val="auto"/>
                <w:highlight w:val="none"/>
              </w:rPr>
            </w:pPr>
          </w:p>
        </w:tc>
        <w:tc>
          <w:tcPr>
            <w:tcW w:w="524" w:type="dxa"/>
            <w:noWrap w:val="0"/>
            <w:vAlign w:val="center"/>
          </w:tcPr>
          <w:p w14:paraId="7BF97FCC">
            <w:pPr>
              <w:pStyle w:val="15"/>
              <w:jc w:val="center"/>
              <w:rPr>
                <w:color w:val="auto"/>
                <w:highlight w:val="none"/>
              </w:rPr>
            </w:pPr>
          </w:p>
        </w:tc>
        <w:tc>
          <w:tcPr>
            <w:tcW w:w="600" w:type="dxa"/>
            <w:noWrap w:val="0"/>
            <w:vAlign w:val="center"/>
          </w:tcPr>
          <w:p w14:paraId="3A3B9B8B">
            <w:pPr>
              <w:pStyle w:val="15"/>
              <w:jc w:val="center"/>
              <w:rPr>
                <w:color w:val="auto"/>
                <w:highlight w:val="none"/>
              </w:rPr>
            </w:pPr>
          </w:p>
        </w:tc>
        <w:tc>
          <w:tcPr>
            <w:tcW w:w="567" w:type="dxa"/>
            <w:noWrap w:val="0"/>
            <w:vAlign w:val="center"/>
          </w:tcPr>
          <w:p w14:paraId="4FFF8962">
            <w:pPr>
              <w:pStyle w:val="15"/>
              <w:jc w:val="center"/>
              <w:rPr>
                <w:color w:val="auto"/>
                <w:highlight w:val="none"/>
              </w:rPr>
            </w:pPr>
          </w:p>
        </w:tc>
        <w:tc>
          <w:tcPr>
            <w:tcW w:w="556" w:type="dxa"/>
            <w:noWrap w:val="0"/>
            <w:vAlign w:val="center"/>
          </w:tcPr>
          <w:p w14:paraId="48C1B748">
            <w:pPr>
              <w:pStyle w:val="15"/>
              <w:jc w:val="center"/>
              <w:rPr>
                <w:color w:val="auto"/>
                <w:highlight w:val="none"/>
              </w:rPr>
            </w:pPr>
          </w:p>
        </w:tc>
        <w:tc>
          <w:tcPr>
            <w:tcW w:w="910" w:type="dxa"/>
            <w:noWrap w:val="0"/>
            <w:vAlign w:val="center"/>
          </w:tcPr>
          <w:p w14:paraId="6042B1E7">
            <w:pPr>
              <w:pStyle w:val="15"/>
              <w:jc w:val="center"/>
              <w:rPr>
                <w:color w:val="auto"/>
                <w:highlight w:val="none"/>
              </w:rPr>
            </w:pPr>
          </w:p>
        </w:tc>
        <w:tc>
          <w:tcPr>
            <w:tcW w:w="940" w:type="dxa"/>
            <w:noWrap w:val="0"/>
            <w:vAlign w:val="center"/>
          </w:tcPr>
          <w:p w14:paraId="3AFE4F7C">
            <w:pPr>
              <w:pStyle w:val="15"/>
              <w:jc w:val="center"/>
              <w:rPr>
                <w:color w:val="auto"/>
                <w:highlight w:val="none"/>
              </w:rPr>
            </w:pPr>
          </w:p>
        </w:tc>
        <w:tc>
          <w:tcPr>
            <w:tcW w:w="1772" w:type="dxa"/>
            <w:noWrap w:val="0"/>
            <w:vAlign w:val="center"/>
          </w:tcPr>
          <w:p w14:paraId="5FAFDE19">
            <w:pPr>
              <w:pStyle w:val="15"/>
              <w:jc w:val="center"/>
              <w:rPr>
                <w:color w:val="auto"/>
                <w:highlight w:val="none"/>
              </w:rPr>
            </w:pPr>
          </w:p>
        </w:tc>
        <w:tc>
          <w:tcPr>
            <w:tcW w:w="927" w:type="dxa"/>
            <w:noWrap w:val="0"/>
            <w:vAlign w:val="center"/>
          </w:tcPr>
          <w:p w14:paraId="36F7CEB0">
            <w:pPr>
              <w:pStyle w:val="15"/>
              <w:jc w:val="center"/>
              <w:rPr>
                <w:color w:val="auto"/>
                <w:highlight w:val="none"/>
              </w:rPr>
            </w:pPr>
          </w:p>
        </w:tc>
      </w:tr>
      <w:tr w14:paraId="3A8F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663605DA">
            <w:pPr>
              <w:spacing w:before="0" w:line="99" w:lineRule="exact"/>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535" w:type="dxa"/>
            <w:noWrap w:val="0"/>
            <w:vAlign w:val="center"/>
          </w:tcPr>
          <w:p w14:paraId="5E49BF54">
            <w:pPr>
              <w:pStyle w:val="15"/>
              <w:jc w:val="center"/>
              <w:rPr>
                <w:color w:val="auto"/>
                <w:highlight w:val="none"/>
              </w:rPr>
            </w:pPr>
          </w:p>
        </w:tc>
        <w:tc>
          <w:tcPr>
            <w:tcW w:w="578" w:type="dxa"/>
            <w:noWrap w:val="0"/>
            <w:vAlign w:val="center"/>
          </w:tcPr>
          <w:p w14:paraId="335E4AF8">
            <w:pPr>
              <w:pStyle w:val="15"/>
              <w:jc w:val="center"/>
              <w:rPr>
                <w:color w:val="auto"/>
                <w:highlight w:val="none"/>
              </w:rPr>
            </w:pPr>
          </w:p>
        </w:tc>
        <w:tc>
          <w:tcPr>
            <w:tcW w:w="556" w:type="dxa"/>
            <w:noWrap w:val="0"/>
            <w:vAlign w:val="center"/>
          </w:tcPr>
          <w:p w14:paraId="1A874360">
            <w:pPr>
              <w:pStyle w:val="15"/>
              <w:jc w:val="center"/>
              <w:rPr>
                <w:color w:val="auto"/>
                <w:highlight w:val="none"/>
              </w:rPr>
            </w:pPr>
          </w:p>
        </w:tc>
        <w:tc>
          <w:tcPr>
            <w:tcW w:w="502" w:type="dxa"/>
            <w:noWrap w:val="0"/>
            <w:vAlign w:val="center"/>
          </w:tcPr>
          <w:p w14:paraId="454318C4">
            <w:pPr>
              <w:pStyle w:val="15"/>
              <w:jc w:val="center"/>
              <w:rPr>
                <w:color w:val="auto"/>
                <w:highlight w:val="none"/>
              </w:rPr>
            </w:pPr>
          </w:p>
        </w:tc>
        <w:tc>
          <w:tcPr>
            <w:tcW w:w="524" w:type="dxa"/>
            <w:noWrap w:val="0"/>
            <w:vAlign w:val="center"/>
          </w:tcPr>
          <w:p w14:paraId="522C3C99">
            <w:pPr>
              <w:pStyle w:val="15"/>
              <w:jc w:val="center"/>
              <w:rPr>
                <w:color w:val="auto"/>
                <w:highlight w:val="none"/>
              </w:rPr>
            </w:pPr>
          </w:p>
        </w:tc>
        <w:tc>
          <w:tcPr>
            <w:tcW w:w="600" w:type="dxa"/>
            <w:noWrap w:val="0"/>
            <w:vAlign w:val="center"/>
          </w:tcPr>
          <w:p w14:paraId="4C8331EE">
            <w:pPr>
              <w:pStyle w:val="15"/>
              <w:jc w:val="center"/>
              <w:rPr>
                <w:color w:val="auto"/>
                <w:highlight w:val="none"/>
              </w:rPr>
            </w:pPr>
          </w:p>
        </w:tc>
        <w:tc>
          <w:tcPr>
            <w:tcW w:w="567" w:type="dxa"/>
            <w:noWrap w:val="0"/>
            <w:vAlign w:val="center"/>
          </w:tcPr>
          <w:p w14:paraId="70CD6E8D">
            <w:pPr>
              <w:pStyle w:val="15"/>
              <w:jc w:val="center"/>
              <w:rPr>
                <w:color w:val="auto"/>
                <w:highlight w:val="none"/>
              </w:rPr>
            </w:pPr>
          </w:p>
        </w:tc>
        <w:tc>
          <w:tcPr>
            <w:tcW w:w="556" w:type="dxa"/>
            <w:noWrap w:val="0"/>
            <w:vAlign w:val="center"/>
          </w:tcPr>
          <w:p w14:paraId="6046AE4F">
            <w:pPr>
              <w:pStyle w:val="15"/>
              <w:jc w:val="center"/>
              <w:rPr>
                <w:color w:val="auto"/>
                <w:highlight w:val="none"/>
              </w:rPr>
            </w:pPr>
          </w:p>
        </w:tc>
        <w:tc>
          <w:tcPr>
            <w:tcW w:w="910" w:type="dxa"/>
            <w:noWrap w:val="0"/>
            <w:vAlign w:val="center"/>
          </w:tcPr>
          <w:p w14:paraId="221F4B84">
            <w:pPr>
              <w:pStyle w:val="15"/>
              <w:jc w:val="center"/>
              <w:rPr>
                <w:color w:val="auto"/>
                <w:highlight w:val="none"/>
              </w:rPr>
            </w:pPr>
          </w:p>
        </w:tc>
        <w:tc>
          <w:tcPr>
            <w:tcW w:w="940" w:type="dxa"/>
            <w:noWrap w:val="0"/>
            <w:vAlign w:val="center"/>
          </w:tcPr>
          <w:p w14:paraId="1A4AD60E">
            <w:pPr>
              <w:pStyle w:val="15"/>
              <w:jc w:val="center"/>
              <w:rPr>
                <w:color w:val="auto"/>
                <w:highlight w:val="none"/>
              </w:rPr>
            </w:pPr>
          </w:p>
        </w:tc>
        <w:tc>
          <w:tcPr>
            <w:tcW w:w="1772" w:type="dxa"/>
            <w:noWrap w:val="0"/>
            <w:vAlign w:val="center"/>
          </w:tcPr>
          <w:p w14:paraId="11E440F4">
            <w:pPr>
              <w:pStyle w:val="15"/>
              <w:jc w:val="center"/>
              <w:rPr>
                <w:color w:val="auto"/>
                <w:highlight w:val="none"/>
              </w:rPr>
            </w:pPr>
          </w:p>
        </w:tc>
        <w:tc>
          <w:tcPr>
            <w:tcW w:w="927" w:type="dxa"/>
            <w:noWrap w:val="0"/>
            <w:vAlign w:val="center"/>
          </w:tcPr>
          <w:p w14:paraId="463F5053">
            <w:pPr>
              <w:pStyle w:val="15"/>
              <w:jc w:val="center"/>
              <w:rPr>
                <w:color w:val="auto"/>
                <w:highlight w:val="none"/>
              </w:rPr>
            </w:pPr>
          </w:p>
        </w:tc>
      </w:tr>
      <w:tr w14:paraId="4622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49FAC87">
            <w:pPr>
              <w:pStyle w:val="15"/>
              <w:jc w:val="center"/>
              <w:rPr>
                <w:color w:val="auto"/>
                <w:highlight w:val="none"/>
              </w:rPr>
            </w:pPr>
          </w:p>
        </w:tc>
        <w:tc>
          <w:tcPr>
            <w:tcW w:w="535" w:type="dxa"/>
            <w:noWrap w:val="0"/>
            <w:vAlign w:val="center"/>
          </w:tcPr>
          <w:p w14:paraId="460B0CA4">
            <w:pPr>
              <w:pStyle w:val="15"/>
              <w:jc w:val="center"/>
              <w:rPr>
                <w:color w:val="auto"/>
                <w:highlight w:val="none"/>
              </w:rPr>
            </w:pPr>
          </w:p>
        </w:tc>
        <w:tc>
          <w:tcPr>
            <w:tcW w:w="578" w:type="dxa"/>
            <w:noWrap w:val="0"/>
            <w:vAlign w:val="center"/>
          </w:tcPr>
          <w:p w14:paraId="0AABD40B">
            <w:pPr>
              <w:pStyle w:val="15"/>
              <w:jc w:val="center"/>
              <w:rPr>
                <w:color w:val="auto"/>
                <w:highlight w:val="none"/>
              </w:rPr>
            </w:pPr>
          </w:p>
        </w:tc>
        <w:tc>
          <w:tcPr>
            <w:tcW w:w="556" w:type="dxa"/>
            <w:noWrap w:val="0"/>
            <w:vAlign w:val="center"/>
          </w:tcPr>
          <w:p w14:paraId="59102E7F">
            <w:pPr>
              <w:pStyle w:val="15"/>
              <w:jc w:val="center"/>
              <w:rPr>
                <w:color w:val="auto"/>
                <w:highlight w:val="none"/>
              </w:rPr>
            </w:pPr>
          </w:p>
        </w:tc>
        <w:tc>
          <w:tcPr>
            <w:tcW w:w="502" w:type="dxa"/>
            <w:noWrap w:val="0"/>
            <w:vAlign w:val="center"/>
          </w:tcPr>
          <w:p w14:paraId="0D11FD1A">
            <w:pPr>
              <w:pStyle w:val="15"/>
              <w:jc w:val="center"/>
              <w:rPr>
                <w:color w:val="auto"/>
                <w:highlight w:val="none"/>
              </w:rPr>
            </w:pPr>
          </w:p>
        </w:tc>
        <w:tc>
          <w:tcPr>
            <w:tcW w:w="524" w:type="dxa"/>
            <w:noWrap w:val="0"/>
            <w:vAlign w:val="center"/>
          </w:tcPr>
          <w:p w14:paraId="2E093A4C">
            <w:pPr>
              <w:pStyle w:val="15"/>
              <w:jc w:val="center"/>
              <w:rPr>
                <w:color w:val="auto"/>
                <w:highlight w:val="none"/>
              </w:rPr>
            </w:pPr>
          </w:p>
        </w:tc>
        <w:tc>
          <w:tcPr>
            <w:tcW w:w="600" w:type="dxa"/>
            <w:noWrap w:val="0"/>
            <w:vAlign w:val="center"/>
          </w:tcPr>
          <w:p w14:paraId="70890B36">
            <w:pPr>
              <w:pStyle w:val="15"/>
              <w:jc w:val="center"/>
              <w:rPr>
                <w:color w:val="auto"/>
                <w:highlight w:val="none"/>
              </w:rPr>
            </w:pPr>
          </w:p>
        </w:tc>
        <w:tc>
          <w:tcPr>
            <w:tcW w:w="567" w:type="dxa"/>
            <w:noWrap w:val="0"/>
            <w:vAlign w:val="center"/>
          </w:tcPr>
          <w:p w14:paraId="474ECB52">
            <w:pPr>
              <w:pStyle w:val="15"/>
              <w:jc w:val="center"/>
              <w:rPr>
                <w:color w:val="auto"/>
                <w:highlight w:val="none"/>
              </w:rPr>
            </w:pPr>
          </w:p>
        </w:tc>
        <w:tc>
          <w:tcPr>
            <w:tcW w:w="556" w:type="dxa"/>
            <w:noWrap w:val="0"/>
            <w:vAlign w:val="center"/>
          </w:tcPr>
          <w:p w14:paraId="61F18A7C">
            <w:pPr>
              <w:pStyle w:val="15"/>
              <w:jc w:val="center"/>
              <w:rPr>
                <w:color w:val="auto"/>
                <w:highlight w:val="none"/>
              </w:rPr>
            </w:pPr>
          </w:p>
        </w:tc>
        <w:tc>
          <w:tcPr>
            <w:tcW w:w="910" w:type="dxa"/>
            <w:noWrap w:val="0"/>
            <w:vAlign w:val="center"/>
          </w:tcPr>
          <w:p w14:paraId="33F9FAFB">
            <w:pPr>
              <w:pStyle w:val="15"/>
              <w:jc w:val="center"/>
              <w:rPr>
                <w:color w:val="auto"/>
                <w:highlight w:val="none"/>
              </w:rPr>
            </w:pPr>
          </w:p>
        </w:tc>
        <w:tc>
          <w:tcPr>
            <w:tcW w:w="940" w:type="dxa"/>
            <w:noWrap w:val="0"/>
            <w:vAlign w:val="center"/>
          </w:tcPr>
          <w:p w14:paraId="0FBA4F35">
            <w:pPr>
              <w:pStyle w:val="15"/>
              <w:jc w:val="center"/>
              <w:rPr>
                <w:color w:val="auto"/>
                <w:highlight w:val="none"/>
              </w:rPr>
            </w:pPr>
          </w:p>
        </w:tc>
        <w:tc>
          <w:tcPr>
            <w:tcW w:w="1772" w:type="dxa"/>
            <w:noWrap w:val="0"/>
            <w:vAlign w:val="center"/>
          </w:tcPr>
          <w:p w14:paraId="2FDC39F8">
            <w:pPr>
              <w:pStyle w:val="15"/>
              <w:jc w:val="center"/>
              <w:rPr>
                <w:color w:val="auto"/>
                <w:highlight w:val="none"/>
              </w:rPr>
            </w:pPr>
          </w:p>
        </w:tc>
        <w:tc>
          <w:tcPr>
            <w:tcW w:w="927" w:type="dxa"/>
            <w:noWrap w:val="0"/>
            <w:vAlign w:val="center"/>
          </w:tcPr>
          <w:p w14:paraId="64AE177E">
            <w:pPr>
              <w:pStyle w:val="15"/>
              <w:jc w:val="center"/>
              <w:rPr>
                <w:color w:val="auto"/>
                <w:highlight w:val="none"/>
              </w:rPr>
            </w:pPr>
          </w:p>
        </w:tc>
      </w:tr>
      <w:tr w14:paraId="47BA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56C4ABB4">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535" w:type="dxa"/>
            <w:noWrap w:val="0"/>
            <w:vAlign w:val="center"/>
          </w:tcPr>
          <w:p w14:paraId="0B28B37A">
            <w:pPr>
              <w:pStyle w:val="15"/>
              <w:jc w:val="center"/>
              <w:rPr>
                <w:color w:val="auto"/>
                <w:highlight w:val="none"/>
              </w:rPr>
            </w:pPr>
          </w:p>
        </w:tc>
        <w:tc>
          <w:tcPr>
            <w:tcW w:w="578" w:type="dxa"/>
            <w:noWrap w:val="0"/>
            <w:vAlign w:val="center"/>
          </w:tcPr>
          <w:p w14:paraId="678A8F64">
            <w:pPr>
              <w:pStyle w:val="15"/>
              <w:jc w:val="center"/>
              <w:rPr>
                <w:color w:val="auto"/>
                <w:highlight w:val="none"/>
              </w:rPr>
            </w:pPr>
          </w:p>
        </w:tc>
        <w:tc>
          <w:tcPr>
            <w:tcW w:w="556" w:type="dxa"/>
            <w:noWrap w:val="0"/>
            <w:vAlign w:val="center"/>
          </w:tcPr>
          <w:p w14:paraId="78CAE652">
            <w:pPr>
              <w:pStyle w:val="15"/>
              <w:jc w:val="center"/>
              <w:rPr>
                <w:color w:val="auto"/>
                <w:highlight w:val="none"/>
              </w:rPr>
            </w:pPr>
          </w:p>
        </w:tc>
        <w:tc>
          <w:tcPr>
            <w:tcW w:w="502" w:type="dxa"/>
            <w:noWrap w:val="0"/>
            <w:vAlign w:val="center"/>
          </w:tcPr>
          <w:p w14:paraId="3E9D6F80">
            <w:pPr>
              <w:pStyle w:val="15"/>
              <w:jc w:val="center"/>
              <w:rPr>
                <w:color w:val="auto"/>
                <w:highlight w:val="none"/>
              </w:rPr>
            </w:pPr>
          </w:p>
        </w:tc>
        <w:tc>
          <w:tcPr>
            <w:tcW w:w="524" w:type="dxa"/>
            <w:noWrap w:val="0"/>
            <w:vAlign w:val="center"/>
          </w:tcPr>
          <w:p w14:paraId="20AE9C13">
            <w:pPr>
              <w:pStyle w:val="15"/>
              <w:jc w:val="center"/>
              <w:rPr>
                <w:color w:val="auto"/>
                <w:highlight w:val="none"/>
              </w:rPr>
            </w:pPr>
          </w:p>
        </w:tc>
        <w:tc>
          <w:tcPr>
            <w:tcW w:w="600" w:type="dxa"/>
            <w:noWrap w:val="0"/>
            <w:vAlign w:val="center"/>
          </w:tcPr>
          <w:p w14:paraId="3FEB0DB3">
            <w:pPr>
              <w:pStyle w:val="15"/>
              <w:jc w:val="center"/>
              <w:rPr>
                <w:color w:val="auto"/>
                <w:highlight w:val="none"/>
              </w:rPr>
            </w:pPr>
          </w:p>
        </w:tc>
        <w:tc>
          <w:tcPr>
            <w:tcW w:w="567" w:type="dxa"/>
            <w:noWrap w:val="0"/>
            <w:vAlign w:val="center"/>
          </w:tcPr>
          <w:p w14:paraId="642E3FCB">
            <w:pPr>
              <w:pStyle w:val="15"/>
              <w:jc w:val="center"/>
              <w:rPr>
                <w:color w:val="auto"/>
                <w:highlight w:val="none"/>
              </w:rPr>
            </w:pPr>
          </w:p>
        </w:tc>
        <w:tc>
          <w:tcPr>
            <w:tcW w:w="556" w:type="dxa"/>
            <w:noWrap w:val="0"/>
            <w:vAlign w:val="center"/>
          </w:tcPr>
          <w:p w14:paraId="7840C885">
            <w:pPr>
              <w:pStyle w:val="15"/>
              <w:jc w:val="center"/>
              <w:rPr>
                <w:color w:val="auto"/>
                <w:highlight w:val="none"/>
              </w:rPr>
            </w:pPr>
          </w:p>
        </w:tc>
        <w:tc>
          <w:tcPr>
            <w:tcW w:w="910" w:type="dxa"/>
            <w:noWrap w:val="0"/>
            <w:vAlign w:val="center"/>
          </w:tcPr>
          <w:p w14:paraId="201B082B">
            <w:pPr>
              <w:pStyle w:val="15"/>
              <w:jc w:val="center"/>
              <w:rPr>
                <w:color w:val="auto"/>
                <w:highlight w:val="none"/>
              </w:rPr>
            </w:pPr>
          </w:p>
        </w:tc>
        <w:tc>
          <w:tcPr>
            <w:tcW w:w="940" w:type="dxa"/>
            <w:noWrap w:val="0"/>
            <w:vAlign w:val="center"/>
          </w:tcPr>
          <w:p w14:paraId="24506553">
            <w:pPr>
              <w:pStyle w:val="15"/>
              <w:jc w:val="center"/>
              <w:rPr>
                <w:color w:val="auto"/>
                <w:highlight w:val="none"/>
              </w:rPr>
            </w:pPr>
          </w:p>
        </w:tc>
        <w:tc>
          <w:tcPr>
            <w:tcW w:w="1772" w:type="dxa"/>
            <w:noWrap w:val="0"/>
            <w:vAlign w:val="center"/>
          </w:tcPr>
          <w:p w14:paraId="5E8F98FC">
            <w:pPr>
              <w:pStyle w:val="15"/>
              <w:jc w:val="center"/>
              <w:rPr>
                <w:color w:val="auto"/>
                <w:highlight w:val="none"/>
              </w:rPr>
            </w:pPr>
          </w:p>
        </w:tc>
        <w:tc>
          <w:tcPr>
            <w:tcW w:w="927" w:type="dxa"/>
            <w:noWrap w:val="0"/>
            <w:vAlign w:val="center"/>
          </w:tcPr>
          <w:p w14:paraId="60C0BC1A">
            <w:pPr>
              <w:pStyle w:val="15"/>
              <w:jc w:val="center"/>
              <w:rPr>
                <w:color w:val="auto"/>
                <w:highlight w:val="none"/>
              </w:rPr>
            </w:pPr>
          </w:p>
        </w:tc>
      </w:tr>
    </w:tbl>
    <w:p w14:paraId="23034447">
      <w:pPr>
        <w:pStyle w:val="3"/>
        <w:spacing w:before="0" w:line="240" w:lineRule="auto"/>
        <w:ind w:left="0"/>
        <w:rPr>
          <w:rFonts w:hint="default" w:ascii="宋体" w:hAnsi="宋体" w:eastAsia="宋体" w:cs="宋体"/>
          <w:color w:val="auto"/>
          <w:spacing w:val="8"/>
          <w:position w:val="10"/>
          <w:sz w:val="24"/>
          <w:szCs w:val="24"/>
          <w:highlight w:val="none"/>
          <w:lang w:val="en-US" w:eastAsia="zh-CN"/>
        </w:rPr>
      </w:pPr>
      <w:r>
        <w:rPr>
          <w:rFonts w:hint="eastAsia" w:ascii="宋体" w:hAnsi="宋体" w:eastAsia="宋体" w:cs="宋体"/>
          <w:color w:val="auto"/>
          <w:spacing w:val="3"/>
          <w:position w:val="29"/>
          <w:sz w:val="24"/>
          <w:szCs w:val="24"/>
          <w:highlight w:val="none"/>
        </w:rPr>
        <w:t>说明：供应商根据对账需求可增加表头内容，不得删减表头内</w:t>
      </w:r>
      <w:r>
        <w:rPr>
          <w:rFonts w:hint="eastAsia" w:ascii="宋体" w:hAnsi="宋体" w:eastAsia="宋体" w:cs="宋体"/>
          <w:color w:val="auto"/>
          <w:spacing w:val="2"/>
          <w:position w:val="29"/>
          <w:sz w:val="24"/>
          <w:szCs w:val="24"/>
          <w:highlight w:val="none"/>
        </w:rPr>
        <w:t>容。</w:t>
      </w:r>
    </w:p>
    <w:p w14:paraId="3BF9D0E6">
      <w:pPr>
        <w:pStyle w:val="8"/>
        <w:ind w:left="0" w:leftChars="0" w:firstLine="0" w:firstLineChars="0"/>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7A163289">
      <w:pPr>
        <w:pStyle w:val="8"/>
        <w:ind w:firstLine="0" w:firstLineChars="0"/>
        <w:rPr>
          <w:rFonts w:hint="eastAsia" w:hAnsi="宋体" w:cs="宋体"/>
          <w:color w:val="auto"/>
          <w:spacing w:val="8"/>
          <w:position w:val="-1"/>
          <w:sz w:val="24"/>
          <w:szCs w:val="24"/>
          <w:highlight w:val="none"/>
          <w:lang w:val="en-US" w:eastAsia="zh-CN"/>
        </w:rPr>
      </w:pPr>
      <w:r>
        <w:rPr>
          <w:rFonts w:hint="eastAsia" w:hAnsi="宋体" w:cs="宋体"/>
          <w:color w:val="auto"/>
          <w:spacing w:val="8"/>
          <w:position w:val="-1"/>
          <w:sz w:val="24"/>
          <w:szCs w:val="24"/>
          <w:highlight w:val="none"/>
          <w:lang w:val="en-US" w:eastAsia="zh-CN"/>
        </w:rPr>
        <w:t>日期：                                   日期：</w:t>
      </w:r>
    </w:p>
    <w:p w14:paraId="59E15224">
      <w:pPr>
        <w:pStyle w:val="8"/>
        <w:ind w:firstLine="0" w:firstLineChars="0"/>
        <w:rPr>
          <w:rFonts w:hint="eastAsia" w:hAnsi="宋体" w:cs="宋体"/>
          <w:color w:val="auto"/>
          <w:spacing w:val="8"/>
          <w:position w:val="-1"/>
          <w:sz w:val="24"/>
          <w:szCs w:val="24"/>
          <w:highlight w:val="none"/>
          <w:lang w:val="en-US" w:eastAsia="zh-CN"/>
        </w:rPr>
      </w:pPr>
    </w:p>
    <w:p w14:paraId="2C3506B1">
      <w:pPr>
        <w:pStyle w:val="8"/>
        <w:ind w:firstLine="0" w:firstLineChars="0"/>
        <w:rPr>
          <w:rFonts w:hint="eastAsia" w:hAnsi="宋体" w:cs="宋体"/>
          <w:color w:val="auto"/>
          <w:spacing w:val="8"/>
          <w:position w:val="-1"/>
          <w:sz w:val="24"/>
          <w:szCs w:val="24"/>
          <w:highlight w:val="none"/>
          <w:lang w:val="en-US" w:eastAsia="zh-CN"/>
        </w:rPr>
      </w:pPr>
    </w:p>
    <w:p w14:paraId="27584429">
      <w:pPr>
        <w:pStyle w:val="8"/>
        <w:ind w:firstLine="0" w:firstLineChars="0"/>
        <w:rPr>
          <w:rFonts w:hint="eastAsia" w:hAnsi="宋体" w:cs="宋体"/>
          <w:color w:val="auto"/>
          <w:spacing w:val="8"/>
          <w:position w:val="-1"/>
          <w:sz w:val="24"/>
          <w:szCs w:val="24"/>
          <w:highlight w:val="none"/>
          <w:lang w:val="en-US" w:eastAsia="zh-CN"/>
        </w:rPr>
      </w:pPr>
    </w:p>
    <w:p w14:paraId="3349D5B7">
      <w:pPr>
        <w:pStyle w:val="8"/>
        <w:ind w:firstLine="0" w:firstLineChars="0"/>
        <w:rPr>
          <w:rFonts w:hint="eastAsia" w:hAnsi="宋体" w:cs="宋体"/>
          <w:color w:val="auto"/>
          <w:spacing w:val="8"/>
          <w:position w:val="-1"/>
          <w:sz w:val="24"/>
          <w:szCs w:val="24"/>
          <w:highlight w:val="none"/>
          <w:lang w:val="en-US" w:eastAsia="zh-CN"/>
        </w:rPr>
      </w:pPr>
    </w:p>
    <w:p w14:paraId="486866C0">
      <w:pPr>
        <w:pStyle w:val="8"/>
        <w:ind w:firstLine="0" w:firstLineChars="0"/>
        <w:rPr>
          <w:rFonts w:hint="eastAsia" w:hAnsi="宋体" w:cs="宋体"/>
          <w:color w:val="auto"/>
          <w:spacing w:val="8"/>
          <w:position w:val="-1"/>
          <w:sz w:val="24"/>
          <w:szCs w:val="24"/>
          <w:highlight w:val="none"/>
          <w:lang w:val="en-US" w:eastAsia="zh-CN"/>
        </w:rPr>
      </w:pPr>
    </w:p>
    <w:p w14:paraId="0FAB6514">
      <w:pPr>
        <w:pStyle w:val="8"/>
        <w:ind w:firstLine="0" w:firstLineChars="0"/>
        <w:rPr>
          <w:rFonts w:hint="eastAsia" w:hAnsi="宋体" w:cs="宋体"/>
          <w:color w:val="auto"/>
          <w:spacing w:val="8"/>
          <w:position w:val="-1"/>
          <w:sz w:val="24"/>
          <w:szCs w:val="24"/>
          <w:highlight w:val="none"/>
          <w:lang w:val="en-US" w:eastAsia="zh-CN"/>
        </w:rPr>
      </w:pPr>
    </w:p>
    <w:p w14:paraId="6FE3F28F">
      <w:pPr>
        <w:pStyle w:val="8"/>
        <w:ind w:firstLine="0" w:firstLineChars="0"/>
        <w:rPr>
          <w:rFonts w:hint="eastAsia" w:hAnsi="宋体" w:cs="宋体"/>
          <w:color w:val="auto"/>
          <w:spacing w:val="8"/>
          <w:position w:val="-1"/>
          <w:sz w:val="24"/>
          <w:szCs w:val="24"/>
          <w:highlight w:val="none"/>
          <w:lang w:val="en-US" w:eastAsia="zh-CN"/>
        </w:rPr>
      </w:pPr>
    </w:p>
    <w:p w14:paraId="12148A00">
      <w:pPr>
        <w:pStyle w:val="8"/>
        <w:ind w:firstLine="0" w:firstLineChars="0"/>
        <w:rPr>
          <w:rFonts w:hint="eastAsia" w:hAnsi="宋体" w:cs="宋体"/>
          <w:color w:val="auto"/>
          <w:spacing w:val="8"/>
          <w:position w:val="-1"/>
          <w:sz w:val="24"/>
          <w:szCs w:val="24"/>
          <w:highlight w:val="none"/>
          <w:lang w:val="en-US" w:eastAsia="zh-CN"/>
        </w:rPr>
      </w:pPr>
    </w:p>
    <w:p w14:paraId="07435940">
      <w:pPr>
        <w:pStyle w:val="8"/>
        <w:ind w:firstLine="0" w:firstLineChars="0"/>
        <w:rPr>
          <w:rFonts w:hint="eastAsia" w:hAnsi="宋体" w:cs="宋体"/>
          <w:color w:val="auto"/>
          <w:spacing w:val="8"/>
          <w:position w:val="-1"/>
          <w:sz w:val="24"/>
          <w:szCs w:val="24"/>
          <w:highlight w:val="none"/>
          <w:lang w:val="en-US" w:eastAsia="zh-CN"/>
        </w:rPr>
      </w:pPr>
    </w:p>
    <w:p w14:paraId="17E7A560">
      <w:pPr>
        <w:pStyle w:val="8"/>
        <w:ind w:firstLine="0" w:firstLineChars="0"/>
        <w:rPr>
          <w:rFonts w:hint="eastAsia" w:hAnsi="宋体" w:cs="宋体"/>
          <w:color w:val="auto"/>
          <w:spacing w:val="8"/>
          <w:position w:val="-1"/>
          <w:sz w:val="24"/>
          <w:szCs w:val="24"/>
          <w:highlight w:val="none"/>
          <w:lang w:val="en-US" w:eastAsia="zh-CN"/>
        </w:rPr>
      </w:pPr>
    </w:p>
    <w:p w14:paraId="3224C9A2">
      <w:pPr>
        <w:pStyle w:val="8"/>
        <w:ind w:firstLine="0" w:firstLineChars="0"/>
        <w:rPr>
          <w:rFonts w:hint="eastAsia" w:hAnsi="宋体" w:cs="宋体"/>
          <w:color w:val="auto"/>
          <w:spacing w:val="8"/>
          <w:position w:val="-1"/>
          <w:sz w:val="24"/>
          <w:szCs w:val="24"/>
          <w:highlight w:val="none"/>
          <w:lang w:val="en-US" w:eastAsia="zh-CN"/>
        </w:rPr>
      </w:pPr>
    </w:p>
    <w:p w14:paraId="2A4D2BFA">
      <w:pPr>
        <w:jc w:val="both"/>
        <w:rPr>
          <w:rFonts w:hint="eastAsia" w:ascii="仿宋" w:hAnsi="仿宋" w:eastAsia="仿宋" w:cs="仿宋"/>
          <w:color w:val="auto"/>
          <w:sz w:val="44"/>
          <w:szCs w:val="44"/>
          <w:highlight w:val="none"/>
          <w:lang w:val="en-US" w:eastAsia="zh-CN"/>
        </w:rPr>
      </w:pPr>
    </w:p>
    <w:p w14:paraId="18EE7F08">
      <w:pPr>
        <w:jc w:val="both"/>
        <w:rPr>
          <w:rFonts w:hint="eastAsia" w:ascii="仿宋" w:hAnsi="仿宋" w:eastAsia="仿宋" w:cs="仿宋"/>
          <w:color w:val="auto"/>
          <w:sz w:val="44"/>
          <w:szCs w:val="44"/>
          <w:highlight w:val="none"/>
          <w:lang w:val="en-US" w:eastAsia="zh-CN"/>
        </w:rPr>
      </w:pPr>
    </w:p>
    <w:p w14:paraId="46E69533">
      <w:pPr>
        <w:jc w:val="both"/>
        <w:rPr>
          <w:rFonts w:hint="eastAsia" w:ascii="仿宋" w:hAnsi="仿宋" w:eastAsia="仿宋" w:cs="仿宋"/>
          <w:color w:val="auto"/>
          <w:sz w:val="44"/>
          <w:szCs w:val="44"/>
          <w:highlight w:val="none"/>
          <w:lang w:val="en-US" w:eastAsia="zh-CN"/>
        </w:rPr>
      </w:pPr>
    </w:p>
    <w:p w14:paraId="3E46DA8C">
      <w:pPr>
        <w:jc w:val="right"/>
        <w:rPr>
          <w:rFonts w:hint="eastAsia" w:eastAsia="宋体"/>
          <w:b/>
          <w:bCs/>
          <w:color w:val="auto"/>
          <w:sz w:val="36"/>
          <w:szCs w:val="36"/>
          <w:highlight w:val="none"/>
          <w:lang w:val="en-US" w:eastAsia="zh-CN"/>
        </w:rPr>
      </w:pPr>
      <w:r>
        <w:rPr>
          <w:rFonts w:hint="eastAsia" w:ascii="仿宋" w:hAnsi="仿宋" w:eastAsia="仿宋" w:cs="仿宋"/>
          <w:b/>
          <w:bCs/>
          <w:color w:val="auto"/>
          <w:sz w:val="44"/>
          <w:szCs w:val="44"/>
          <w:highlight w:val="none"/>
          <w:lang w:val="en-US" w:eastAsia="zh-CN"/>
        </w:rPr>
        <w:t>附件八</w:t>
      </w:r>
    </w:p>
    <w:p w14:paraId="4E7E9B91">
      <w:pPr>
        <w:jc w:val="center"/>
        <w:rPr>
          <w:color w:val="auto"/>
          <w:highlight w:val="none"/>
        </w:rPr>
      </w:pPr>
      <w:r>
        <w:rPr>
          <w:color w:val="auto"/>
          <w:sz w:val="44"/>
          <w:highlight w:val="none"/>
        </w:rPr>
        <mc:AlternateContent>
          <mc:Choice Requires="wps">
            <w:drawing>
              <wp:anchor distT="0" distB="0" distL="114300" distR="114300" simplePos="0" relativeHeight="251662336"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13761946">
                            <w:pPr>
                              <w:rPr>
                                <w:b/>
                                <w:bCs/>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2336;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13761946">
                      <w:pPr>
                        <w:rPr>
                          <w:b/>
                          <w:bCs/>
                          <w:sz w:val="30"/>
                          <w:szCs w:val="30"/>
                        </w:rPr>
                      </w:pPr>
                    </w:p>
                  </w:txbxContent>
                </v:textbox>
              </v:shape>
            </w:pict>
          </mc:Fallback>
        </mc:AlternateContent>
      </w:r>
      <w:r>
        <w:rPr>
          <w:rFonts w:hint="eastAsia"/>
          <w:color w:val="auto"/>
          <w:sz w:val="44"/>
          <w:szCs w:val="44"/>
          <w:highlight w:val="none"/>
        </w:rPr>
        <w:drawing>
          <wp:inline distT="0" distB="0" distL="114300" distR="114300">
            <wp:extent cx="5977255" cy="673735"/>
            <wp:effectExtent l="0" t="0" r="4445" b="12065"/>
            <wp:docPr id="3"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LOGO-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977255" cy="673735"/>
                    </a:xfrm>
                    <a:prstGeom prst="rect">
                      <a:avLst/>
                    </a:prstGeom>
                    <a:noFill/>
                    <a:ln>
                      <a:noFill/>
                    </a:ln>
                  </pic:spPr>
                </pic:pic>
              </a:graphicData>
            </a:graphic>
          </wp:inline>
        </w:drawing>
      </w:r>
    </w:p>
    <w:p w14:paraId="2DA19FB2">
      <w:pPr>
        <w:spacing w:line="480" w:lineRule="exact"/>
        <w:jc w:val="center"/>
        <w:rPr>
          <w:color w:val="auto"/>
          <w:sz w:val="36"/>
          <w:szCs w:val="36"/>
          <w:highlight w:val="none"/>
        </w:rPr>
      </w:pPr>
      <w:r>
        <w:rPr>
          <w:rFonts w:hint="eastAsia"/>
          <w:color w:val="auto"/>
          <w:sz w:val="36"/>
          <w:szCs w:val="36"/>
          <w:highlight w:val="none"/>
        </w:rPr>
        <w:t>物 料 申 购 单</w:t>
      </w:r>
    </w:p>
    <w:p w14:paraId="585B18FC">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1365" w:tblpY="308"/>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1632"/>
      </w:tblGrid>
      <w:tr w14:paraId="4C3C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14CD226C">
            <w:pPr>
              <w:jc w:val="center"/>
              <w:rPr>
                <w:rFonts w:eastAsiaTheme="minorEastAsia"/>
                <w:color w:val="auto"/>
                <w:highlight w:val="none"/>
              </w:rPr>
            </w:pPr>
            <w:r>
              <w:rPr>
                <w:rFonts w:hint="eastAsia"/>
                <w:color w:val="auto"/>
                <w:highlight w:val="none"/>
              </w:rPr>
              <w:t>序号</w:t>
            </w:r>
          </w:p>
        </w:tc>
        <w:tc>
          <w:tcPr>
            <w:tcW w:w="2603" w:type="dxa"/>
            <w:vAlign w:val="center"/>
          </w:tcPr>
          <w:p w14:paraId="569D7F41">
            <w:pPr>
              <w:jc w:val="center"/>
              <w:rPr>
                <w:color w:val="auto"/>
                <w:highlight w:val="none"/>
              </w:rPr>
            </w:pPr>
            <w:r>
              <w:rPr>
                <w:rFonts w:hint="eastAsia"/>
                <w:color w:val="auto"/>
                <w:highlight w:val="none"/>
              </w:rPr>
              <w:t>材料名称/规格</w:t>
            </w:r>
          </w:p>
        </w:tc>
        <w:tc>
          <w:tcPr>
            <w:tcW w:w="1560" w:type="dxa"/>
            <w:vAlign w:val="center"/>
          </w:tcPr>
          <w:p w14:paraId="130D2868">
            <w:pPr>
              <w:jc w:val="center"/>
              <w:rPr>
                <w:color w:val="auto"/>
                <w:highlight w:val="none"/>
              </w:rPr>
            </w:pPr>
            <w:r>
              <w:rPr>
                <w:rFonts w:hint="eastAsia"/>
                <w:color w:val="auto"/>
                <w:highlight w:val="none"/>
              </w:rPr>
              <w:t>数量/单位</w:t>
            </w:r>
          </w:p>
        </w:tc>
        <w:tc>
          <w:tcPr>
            <w:tcW w:w="1335" w:type="dxa"/>
            <w:vAlign w:val="center"/>
          </w:tcPr>
          <w:p w14:paraId="1E223E2B">
            <w:pPr>
              <w:jc w:val="center"/>
              <w:rPr>
                <w:color w:val="auto"/>
                <w:highlight w:val="none"/>
              </w:rPr>
            </w:pPr>
            <w:r>
              <w:rPr>
                <w:rFonts w:hint="eastAsia"/>
                <w:color w:val="auto"/>
                <w:highlight w:val="none"/>
              </w:rPr>
              <w:t>到货日期</w:t>
            </w:r>
          </w:p>
        </w:tc>
        <w:tc>
          <w:tcPr>
            <w:tcW w:w="1515" w:type="dxa"/>
            <w:vAlign w:val="center"/>
          </w:tcPr>
          <w:p w14:paraId="3E2FDD8C">
            <w:pPr>
              <w:jc w:val="center"/>
              <w:rPr>
                <w:color w:val="auto"/>
                <w:highlight w:val="none"/>
              </w:rPr>
            </w:pPr>
            <w:r>
              <w:rPr>
                <w:rFonts w:hint="eastAsia"/>
                <w:color w:val="auto"/>
                <w:highlight w:val="none"/>
              </w:rPr>
              <w:t>质量要求</w:t>
            </w:r>
          </w:p>
        </w:tc>
        <w:tc>
          <w:tcPr>
            <w:tcW w:w="1632" w:type="dxa"/>
            <w:vAlign w:val="center"/>
          </w:tcPr>
          <w:p w14:paraId="621B29D4">
            <w:pPr>
              <w:jc w:val="center"/>
              <w:rPr>
                <w:color w:val="auto"/>
                <w:highlight w:val="none"/>
              </w:rPr>
            </w:pPr>
            <w:r>
              <w:rPr>
                <w:rFonts w:hint="eastAsia"/>
                <w:color w:val="auto"/>
                <w:highlight w:val="none"/>
              </w:rPr>
              <w:t>用途等备注</w:t>
            </w:r>
          </w:p>
        </w:tc>
      </w:tr>
      <w:tr w14:paraId="1FD8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C977CE5">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47205C3B">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6896BFB">
            <w:pPr>
              <w:jc w:val="center"/>
              <w:rPr>
                <w:rFonts w:hint="default" w:eastAsia="宋体"/>
                <w:color w:val="auto"/>
                <w:highlight w:val="none"/>
                <w:lang w:val="en-US" w:eastAsia="zh-CN"/>
              </w:rPr>
            </w:pPr>
          </w:p>
        </w:tc>
        <w:tc>
          <w:tcPr>
            <w:tcW w:w="1335" w:type="dxa"/>
            <w:vAlign w:val="center"/>
          </w:tcPr>
          <w:p w14:paraId="647353DD">
            <w:pPr>
              <w:jc w:val="center"/>
              <w:rPr>
                <w:rFonts w:hint="default" w:eastAsia="宋体"/>
                <w:color w:val="auto"/>
                <w:highlight w:val="none"/>
                <w:lang w:val="en-US" w:eastAsia="zh-CN"/>
              </w:rPr>
            </w:pPr>
          </w:p>
        </w:tc>
        <w:tc>
          <w:tcPr>
            <w:tcW w:w="1515" w:type="dxa"/>
            <w:vAlign w:val="center"/>
          </w:tcPr>
          <w:p w14:paraId="6AFDA774">
            <w:pPr>
              <w:jc w:val="center"/>
              <w:rPr>
                <w:rFonts w:hint="default" w:eastAsia="宋体"/>
                <w:color w:val="auto"/>
                <w:highlight w:val="none"/>
                <w:lang w:val="en-US" w:eastAsia="zh-CN"/>
              </w:rPr>
            </w:pPr>
          </w:p>
        </w:tc>
        <w:tc>
          <w:tcPr>
            <w:tcW w:w="1632" w:type="dxa"/>
            <w:vMerge w:val="restart"/>
            <w:vAlign w:val="center"/>
          </w:tcPr>
          <w:p w14:paraId="11D638E7">
            <w:pPr>
              <w:jc w:val="both"/>
              <w:rPr>
                <w:rFonts w:hint="default" w:ascii="Calibri" w:hAnsi="Calibri" w:eastAsia="宋体" w:cs="宋体"/>
                <w:color w:val="auto"/>
                <w:kern w:val="2"/>
                <w:sz w:val="21"/>
                <w:szCs w:val="24"/>
                <w:highlight w:val="none"/>
                <w:lang w:val="en-US" w:eastAsia="zh-CN" w:bidi="ar-SA"/>
              </w:rPr>
            </w:pPr>
          </w:p>
        </w:tc>
      </w:tr>
      <w:tr w14:paraId="5451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3FA0D2F1">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1D34320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2E37F4AE">
            <w:pPr>
              <w:jc w:val="center"/>
              <w:rPr>
                <w:rFonts w:hint="default" w:eastAsia="宋体"/>
                <w:color w:val="auto"/>
                <w:highlight w:val="none"/>
                <w:lang w:val="en-US" w:eastAsia="zh-CN"/>
              </w:rPr>
            </w:pPr>
          </w:p>
        </w:tc>
        <w:tc>
          <w:tcPr>
            <w:tcW w:w="1335" w:type="dxa"/>
            <w:vAlign w:val="center"/>
          </w:tcPr>
          <w:p w14:paraId="36240872">
            <w:pPr>
              <w:jc w:val="center"/>
              <w:rPr>
                <w:rFonts w:hint="default" w:eastAsia="宋体"/>
                <w:color w:val="auto"/>
                <w:highlight w:val="none"/>
                <w:lang w:val="en-US" w:eastAsia="zh-CN"/>
              </w:rPr>
            </w:pPr>
          </w:p>
        </w:tc>
        <w:tc>
          <w:tcPr>
            <w:tcW w:w="1515" w:type="dxa"/>
            <w:vAlign w:val="center"/>
          </w:tcPr>
          <w:p w14:paraId="745E4816">
            <w:pPr>
              <w:jc w:val="center"/>
              <w:rPr>
                <w:rFonts w:hint="eastAsia" w:eastAsia="宋体"/>
                <w:color w:val="auto"/>
                <w:highlight w:val="none"/>
                <w:lang w:eastAsia="zh-CN"/>
              </w:rPr>
            </w:pPr>
          </w:p>
        </w:tc>
        <w:tc>
          <w:tcPr>
            <w:tcW w:w="1632" w:type="dxa"/>
            <w:vMerge w:val="continue"/>
            <w:vAlign w:val="center"/>
          </w:tcPr>
          <w:p w14:paraId="1784D895">
            <w:pPr>
              <w:jc w:val="center"/>
              <w:rPr>
                <w:rFonts w:hint="default" w:ascii="Calibri" w:hAnsi="Calibri" w:eastAsia="宋体" w:cs="宋体"/>
                <w:color w:val="auto"/>
                <w:kern w:val="2"/>
                <w:sz w:val="21"/>
                <w:szCs w:val="24"/>
                <w:highlight w:val="none"/>
                <w:lang w:val="en-US" w:eastAsia="zh-CN" w:bidi="ar-SA"/>
              </w:rPr>
            </w:pPr>
          </w:p>
        </w:tc>
      </w:tr>
      <w:tr w14:paraId="6D63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F7078F1">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41BAED43">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3F56F7F2">
            <w:pPr>
              <w:jc w:val="center"/>
              <w:rPr>
                <w:rFonts w:hint="default" w:eastAsia="宋体"/>
                <w:color w:val="auto"/>
                <w:highlight w:val="none"/>
                <w:lang w:val="en-US" w:eastAsia="zh-CN"/>
              </w:rPr>
            </w:pPr>
          </w:p>
        </w:tc>
        <w:tc>
          <w:tcPr>
            <w:tcW w:w="1335" w:type="dxa"/>
            <w:vAlign w:val="center"/>
          </w:tcPr>
          <w:p w14:paraId="61AB6740">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66097D86">
            <w:pPr>
              <w:jc w:val="center"/>
              <w:rPr>
                <w:rFonts w:hint="eastAsia" w:eastAsia="宋体"/>
                <w:color w:val="auto"/>
                <w:highlight w:val="none"/>
                <w:lang w:val="en-US" w:eastAsia="zh-CN"/>
              </w:rPr>
            </w:pPr>
          </w:p>
        </w:tc>
        <w:tc>
          <w:tcPr>
            <w:tcW w:w="1632" w:type="dxa"/>
            <w:vMerge w:val="continue"/>
            <w:vAlign w:val="center"/>
          </w:tcPr>
          <w:p w14:paraId="4543DDEA">
            <w:pPr>
              <w:jc w:val="center"/>
              <w:rPr>
                <w:rFonts w:hint="default" w:ascii="Calibri" w:hAnsi="Calibri" w:eastAsia="宋体" w:cs="宋体"/>
                <w:color w:val="auto"/>
                <w:kern w:val="2"/>
                <w:sz w:val="21"/>
                <w:szCs w:val="24"/>
                <w:highlight w:val="none"/>
                <w:lang w:val="en-US" w:eastAsia="zh-CN" w:bidi="ar-SA"/>
              </w:rPr>
            </w:pPr>
          </w:p>
        </w:tc>
      </w:tr>
      <w:tr w14:paraId="5858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vAlign w:val="center"/>
          </w:tcPr>
          <w:p w14:paraId="5232D9D5">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78B419A1">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37C6608D">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3898F694">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12C46D7">
            <w:pPr>
              <w:jc w:val="center"/>
              <w:rPr>
                <w:rFonts w:hint="eastAsia" w:eastAsia="宋体"/>
                <w:color w:val="auto"/>
                <w:highlight w:val="none"/>
                <w:lang w:eastAsia="zh-CN"/>
              </w:rPr>
            </w:pPr>
          </w:p>
        </w:tc>
        <w:tc>
          <w:tcPr>
            <w:tcW w:w="1632" w:type="dxa"/>
            <w:vMerge w:val="continue"/>
            <w:vAlign w:val="center"/>
          </w:tcPr>
          <w:p w14:paraId="13773FBA">
            <w:pPr>
              <w:jc w:val="center"/>
              <w:rPr>
                <w:rFonts w:hint="default" w:ascii="Calibri" w:hAnsi="Calibri" w:eastAsia="宋体" w:cs="宋体"/>
                <w:color w:val="auto"/>
                <w:kern w:val="2"/>
                <w:sz w:val="21"/>
                <w:szCs w:val="24"/>
                <w:highlight w:val="none"/>
                <w:lang w:val="en-US" w:eastAsia="zh-CN" w:bidi="ar-SA"/>
              </w:rPr>
            </w:pPr>
          </w:p>
        </w:tc>
      </w:tr>
      <w:tr w14:paraId="61BB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0" w:type="dxa"/>
            <w:vAlign w:val="center"/>
          </w:tcPr>
          <w:p w14:paraId="1A8A7437">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7D2FB629">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769CDC23">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17500E23">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A73A4E2">
            <w:pPr>
              <w:jc w:val="center"/>
              <w:rPr>
                <w:rFonts w:hint="eastAsia" w:ascii="Calibri" w:hAnsi="Calibri" w:eastAsia="宋体" w:cs="宋体"/>
                <w:color w:val="auto"/>
                <w:kern w:val="2"/>
                <w:sz w:val="21"/>
                <w:szCs w:val="24"/>
                <w:highlight w:val="none"/>
                <w:lang w:val="en-US" w:eastAsia="zh-CN" w:bidi="ar-SA"/>
              </w:rPr>
            </w:pPr>
          </w:p>
        </w:tc>
        <w:tc>
          <w:tcPr>
            <w:tcW w:w="1632" w:type="dxa"/>
            <w:vMerge w:val="continue"/>
            <w:vAlign w:val="center"/>
          </w:tcPr>
          <w:p w14:paraId="5991AB11">
            <w:pPr>
              <w:jc w:val="center"/>
              <w:rPr>
                <w:rFonts w:hint="default" w:ascii="Calibri" w:hAnsi="Calibri" w:eastAsia="宋体" w:cs="宋体"/>
                <w:color w:val="auto"/>
                <w:kern w:val="2"/>
                <w:sz w:val="21"/>
                <w:szCs w:val="24"/>
                <w:highlight w:val="none"/>
                <w:lang w:val="en-US" w:eastAsia="zh-CN" w:bidi="ar-SA"/>
              </w:rPr>
            </w:pPr>
          </w:p>
        </w:tc>
      </w:tr>
      <w:tr w14:paraId="1DB9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Align w:val="center"/>
          </w:tcPr>
          <w:p w14:paraId="6CA99202">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2C85FC4B">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19BAE958">
            <w:pPr>
              <w:jc w:val="center"/>
              <w:rPr>
                <w:rFonts w:hint="default" w:eastAsia="宋体"/>
                <w:color w:val="auto"/>
                <w:highlight w:val="none"/>
                <w:lang w:val="en-US" w:eastAsia="zh-CN"/>
              </w:rPr>
            </w:pPr>
          </w:p>
        </w:tc>
        <w:tc>
          <w:tcPr>
            <w:tcW w:w="1335" w:type="dxa"/>
            <w:vAlign w:val="center"/>
          </w:tcPr>
          <w:p w14:paraId="615DDE7D">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559B36E6">
            <w:pPr>
              <w:jc w:val="center"/>
              <w:rPr>
                <w:rFonts w:hint="eastAsia" w:eastAsia="宋体"/>
                <w:color w:val="auto"/>
                <w:highlight w:val="none"/>
                <w:lang w:eastAsia="zh-CN"/>
              </w:rPr>
            </w:pPr>
          </w:p>
        </w:tc>
        <w:tc>
          <w:tcPr>
            <w:tcW w:w="1632" w:type="dxa"/>
            <w:vMerge w:val="continue"/>
            <w:vAlign w:val="center"/>
          </w:tcPr>
          <w:p w14:paraId="698D2E37">
            <w:pPr>
              <w:jc w:val="center"/>
              <w:rPr>
                <w:rFonts w:hint="default" w:eastAsia="宋体"/>
                <w:color w:val="auto"/>
                <w:highlight w:val="none"/>
                <w:lang w:val="en-US" w:eastAsia="zh-CN"/>
              </w:rPr>
            </w:pPr>
          </w:p>
        </w:tc>
      </w:tr>
      <w:tr w14:paraId="2602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4BE1BF3E">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086D1F6C">
            <w:pPr>
              <w:jc w:val="center"/>
              <w:rPr>
                <w:rFonts w:hint="default" w:eastAsia="宋体"/>
                <w:color w:val="auto"/>
                <w:highlight w:val="none"/>
                <w:lang w:val="en-US" w:eastAsia="zh-CN"/>
              </w:rPr>
            </w:pPr>
          </w:p>
        </w:tc>
        <w:tc>
          <w:tcPr>
            <w:tcW w:w="1560" w:type="dxa"/>
            <w:vAlign w:val="center"/>
          </w:tcPr>
          <w:p w14:paraId="3879C9C1">
            <w:pPr>
              <w:jc w:val="center"/>
              <w:rPr>
                <w:rFonts w:hint="default" w:eastAsia="宋体"/>
                <w:color w:val="auto"/>
                <w:highlight w:val="none"/>
                <w:lang w:val="en-US" w:eastAsia="zh-CN"/>
              </w:rPr>
            </w:pPr>
          </w:p>
        </w:tc>
        <w:tc>
          <w:tcPr>
            <w:tcW w:w="1335" w:type="dxa"/>
            <w:vAlign w:val="center"/>
          </w:tcPr>
          <w:p w14:paraId="48B6D3DA">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1DE3FEE6">
            <w:pPr>
              <w:jc w:val="center"/>
              <w:rPr>
                <w:rFonts w:hint="default" w:eastAsia="宋体"/>
                <w:color w:val="auto"/>
                <w:highlight w:val="none"/>
                <w:lang w:val="en-US" w:eastAsia="zh-CN"/>
              </w:rPr>
            </w:pPr>
          </w:p>
        </w:tc>
        <w:tc>
          <w:tcPr>
            <w:tcW w:w="1632" w:type="dxa"/>
            <w:vMerge w:val="continue"/>
            <w:vAlign w:val="center"/>
          </w:tcPr>
          <w:p w14:paraId="2884FFAB">
            <w:pPr>
              <w:jc w:val="center"/>
              <w:rPr>
                <w:rFonts w:hint="eastAsia" w:ascii="Calibri" w:hAnsi="Calibri" w:eastAsia="宋体" w:cs="宋体"/>
                <w:color w:val="auto"/>
                <w:kern w:val="2"/>
                <w:sz w:val="21"/>
                <w:szCs w:val="24"/>
                <w:highlight w:val="none"/>
                <w:lang w:val="en-US" w:eastAsia="zh-CN" w:bidi="ar-SA"/>
              </w:rPr>
            </w:pPr>
          </w:p>
        </w:tc>
      </w:tr>
      <w:tr w14:paraId="0E28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Align w:val="center"/>
          </w:tcPr>
          <w:p w14:paraId="510B72E8">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50EFC7DA">
            <w:pPr>
              <w:jc w:val="center"/>
              <w:rPr>
                <w:rFonts w:hint="eastAsia" w:eastAsia="宋体"/>
                <w:color w:val="auto"/>
                <w:highlight w:val="none"/>
                <w:lang w:val="en-US" w:eastAsia="zh-CN"/>
              </w:rPr>
            </w:pPr>
          </w:p>
        </w:tc>
        <w:tc>
          <w:tcPr>
            <w:tcW w:w="1560" w:type="dxa"/>
            <w:vAlign w:val="center"/>
          </w:tcPr>
          <w:p w14:paraId="13896988">
            <w:pPr>
              <w:jc w:val="center"/>
              <w:rPr>
                <w:rFonts w:hint="default" w:eastAsia="宋体"/>
                <w:color w:val="auto"/>
                <w:highlight w:val="none"/>
                <w:lang w:val="en-US" w:eastAsia="zh-CN"/>
              </w:rPr>
            </w:pPr>
          </w:p>
        </w:tc>
        <w:tc>
          <w:tcPr>
            <w:tcW w:w="1335" w:type="dxa"/>
            <w:vAlign w:val="center"/>
          </w:tcPr>
          <w:p w14:paraId="029408D3">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1E2698F9">
            <w:pPr>
              <w:jc w:val="center"/>
              <w:rPr>
                <w:rFonts w:hint="default" w:eastAsia="宋体"/>
                <w:color w:val="auto"/>
                <w:highlight w:val="none"/>
                <w:lang w:val="en-US" w:eastAsia="zh-CN"/>
              </w:rPr>
            </w:pPr>
          </w:p>
        </w:tc>
        <w:tc>
          <w:tcPr>
            <w:tcW w:w="1632" w:type="dxa"/>
            <w:vMerge w:val="continue"/>
            <w:vAlign w:val="center"/>
          </w:tcPr>
          <w:p w14:paraId="0B4177AB">
            <w:pPr>
              <w:jc w:val="center"/>
              <w:rPr>
                <w:rFonts w:hint="eastAsia" w:ascii="Calibri" w:hAnsi="Calibri" w:eastAsia="宋体" w:cs="宋体"/>
                <w:color w:val="auto"/>
                <w:kern w:val="2"/>
                <w:sz w:val="21"/>
                <w:szCs w:val="24"/>
                <w:highlight w:val="none"/>
                <w:lang w:val="en-US" w:eastAsia="zh-CN" w:bidi="ar-SA"/>
              </w:rPr>
            </w:pPr>
          </w:p>
        </w:tc>
      </w:tr>
      <w:tr w14:paraId="06A4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0" w:type="dxa"/>
            <w:vAlign w:val="center"/>
          </w:tcPr>
          <w:p w14:paraId="5BB826AB">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08B31076">
            <w:pPr>
              <w:jc w:val="center"/>
              <w:rPr>
                <w:rFonts w:hint="eastAsia" w:eastAsia="宋体"/>
                <w:color w:val="auto"/>
                <w:highlight w:val="none"/>
                <w:lang w:val="en-US" w:eastAsia="zh-CN"/>
              </w:rPr>
            </w:pPr>
          </w:p>
        </w:tc>
        <w:tc>
          <w:tcPr>
            <w:tcW w:w="1560" w:type="dxa"/>
            <w:vAlign w:val="center"/>
          </w:tcPr>
          <w:p w14:paraId="79FCE889">
            <w:pPr>
              <w:jc w:val="center"/>
              <w:rPr>
                <w:rFonts w:hint="default" w:eastAsia="宋体"/>
                <w:color w:val="auto"/>
                <w:highlight w:val="none"/>
                <w:lang w:val="en-US" w:eastAsia="zh-CN"/>
              </w:rPr>
            </w:pPr>
          </w:p>
        </w:tc>
        <w:tc>
          <w:tcPr>
            <w:tcW w:w="1335" w:type="dxa"/>
            <w:vAlign w:val="center"/>
          </w:tcPr>
          <w:p w14:paraId="6A23DEBA">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DB6A41">
            <w:pPr>
              <w:jc w:val="center"/>
              <w:rPr>
                <w:rFonts w:hint="default" w:eastAsia="宋体"/>
                <w:color w:val="auto"/>
                <w:highlight w:val="none"/>
                <w:lang w:val="en-US" w:eastAsia="zh-CN"/>
              </w:rPr>
            </w:pPr>
          </w:p>
        </w:tc>
        <w:tc>
          <w:tcPr>
            <w:tcW w:w="1632" w:type="dxa"/>
            <w:vMerge w:val="continue"/>
            <w:vAlign w:val="center"/>
          </w:tcPr>
          <w:p w14:paraId="274A1FC8">
            <w:pPr>
              <w:jc w:val="center"/>
              <w:rPr>
                <w:rFonts w:hint="eastAsia" w:eastAsia="宋体"/>
                <w:color w:val="auto"/>
                <w:highlight w:val="none"/>
                <w:lang w:eastAsia="zh-CN"/>
              </w:rPr>
            </w:pPr>
          </w:p>
        </w:tc>
      </w:tr>
      <w:tr w14:paraId="20D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vAlign w:val="center"/>
          </w:tcPr>
          <w:p w14:paraId="7C739005">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5FE7BDF9">
            <w:pPr>
              <w:jc w:val="center"/>
              <w:rPr>
                <w:rFonts w:hint="eastAsia" w:eastAsia="宋体"/>
                <w:color w:val="auto"/>
                <w:highlight w:val="none"/>
                <w:lang w:val="en-US" w:eastAsia="zh-CN"/>
              </w:rPr>
            </w:pPr>
          </w:p>
        </w:tc>
        <w:tc>
          <w:tcPr>
            <w:tcW w:w="1560" w:type="dxa"/>
            <w:vAlign w:val="center"/>
          </w:tcPr>
          <w:p w14:paraId="7AD2129D">
            <w:pPr>
              <w:jc w:val="center"/>
              <w:rPr>
                <w:rFonts w:hint="default" w:eastAsia="宋体"/>
                <w:color w:val="auto"/>
                <w:highlight w:val="none"/>
                <w:lang w:val="en-US" w:eastAsia="zh-CN"/>
              </w:rPr>
            </w:pPr>
          </w:p>
        </w:tc>
        <w:tc>
          <w:tcPr>
            <w:tcW w:w="1335" w:type="dxa"/>
            <w:vAlign w:val="center"/>
          </w:tcPr>
          <w:p w14:paraId="3CCA80CA">
            <w:pPr>
              <w:jc w:val="center"/>
              <w:rPr>
                <w:rFonts w:hint="default" w:eastAsia="宋体"/>
                <w:color w:val="auto"/>
                <w:highlight w:val="none"/>
                <w:lang w:val="en-US" w:eastAsia="zh-CN"/>
              </w:rPr>
            </w:pPr>
          </w:p>
        </w:tc>
        <w:tc>
          <w:tcPr>
            <w:tcW w:w="1515" w:type="dxa"/>
            <w:vAlign w:val="center"/>
          </w:tcPr>
          <w:p w14:paraId="52F42F2C">
            <w:pPr>
              <w:jc w:val="center"/>
              <w:rPr>
                <w:rFonts w:hint="default" w:eastAsia="宋体"/>
                <w:color w:val="auto"/>
                <w:highlight w:val="none"/>
                <w:lang w:val="en-US" w:eastAsia="zh-CN"/>
              </w:rPr>
            </w:pPr>
          </w:p>
        </w:tc>
        <w:tc>
          <w:tcPr>
            <w:tcW w:w="1632" w:type="dxa"/>
            <w:vMerge w:val="continue"/>
            <w:vAlign w:val="center"/>
          </w:tcPr>
          <w:p w14:paraId="7D83A6DE">
            <w:pPr>
              <w:jc w:val="center"/>
              <w:rPr>
                <w:rFonts w:hint="eastAsia" w:eastAsia="宋体"/>
                <w:color w:val="auto"/>
                <w:highlight w:val="none"/>
                <w:lang w:eastAsia="zh-CN"/>
              </w:rPr>
            </w:pPr>
          </w:p>
        </w:tc>
      </w:tr>
      <w:tr w14:paraId="5FEA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3938C29E">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7655678F">
            <w:pPr>
              <w:jc w:val="center"/>
              <w:rPr>
                <w:rFonts w:hint="eastAsia" w:eastAsia="宋体"/>
                <w:color w:val="auto"/>
                <w:highlight w:val="none"/>
                <w:lang w:val="en-US" w:eastAsia="zh-CN"/>
              </w:rPr>
            </w:pPr>
          </w:p>
        </w:tc>
        <w:tc>
          <w:tcPr>
            <w:tcW w:w="1560" w:type="dxa"/>
            <w:vAlign w:val="center"/>
          </w:tcPr>
          <w:p w14:paraId="039AB9ED">
            <w:pPr>
              <w:jc w:val="center"/>
              <w:rPr>
                <w:rFonts w:hint="default"/>
                <w:color w:val="auto"/>
                <w:highlight w:val="none"/>
                <w:lang w:val="en-US" w:eastAsia="zh-CN"/>
              </w:rPr>
            </w:pPr>
          </w:p>
        </w:tc>
        <w:tc>
          <w:tcPr>
            <w:tcW w:w="1335" w:type="dxa"/>
            <w:vAlign w:val="center"/>
          </w:tcPr>
          <w:p w14:paraId="70883482">
            <w:pPr>
              <w:jc w:val="center"/>
              <w:rPr>
                <w:rFonts w:hint="default"/>
                <w:color w:val="auto"/>
                <w:highlight w:val="none"/>
                <w:lang w:val="en-US" w:eastAsia="zh-CN"/>
              </w:rPr>
            </w:pPr>
          </w:p>
        </w:tc>
        <w:tc>
          <w:tcPr>
            <w:tcW w:w="1515" w:type="dxa"/>
            <w:vAlign w:val="center"/>
          </w:tcPr>
          <w:p w14:paraId="1B77EE67">
            <w:pPr>
              <w:jc w:val="center"/>
              <w:rPr>
                <w:rFonts w:hint="default" w:eastAsia="宋体"/>
                <w:color w:val="auto"/>
                <w:highlight w:val="none"/>
                <w:lang w:val="en-US" w:eastAsia="zh-CN"/>
              </w:rPr>
            </w:pPr>
          </w:p>
        </w:tc>
        <w:tc>
          <w:tcPr>
            <w:tcW w:w="1632" w:type="dxa"/>
            <w:vMerge w:val="continue"/>
            <w:vAlign w:val="center"/>
          </w:tcPr>
          <w:p w14:paraId="51723FD5">
            <w:pPr>
              <w:jc w:val="center"/>
              <w:rPr>
                <w:rFonts w:hint="eastAsia" w:eastAsia="宋体"/>
                <w:color w:val="auto"/>
                <w:highlight w:val="none"/>
                <w:lang w:eastAsia="zh-CN"/>
              </w:rPr>
            </w:pPr>
          </w:p>
        </w:tc>
      </w:tr>
      <w:tr w14:paraId="1405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0FECF2D5">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490231D">
            <w:pPr>
              <w:jc w:val="center"/>
              <w:rPr>
                <w:rFonts w:hint="eastAsia" w:eastAsia="宋体"/>
                <w:color w:val="auto"/>
                <w:highlight w:val="none"/>
                <w:lang w:val="en-US" w:eastAsia="zh-CN"/>
              </w:rPr>
            </w:pPr>
          </w:p>
        </w:tc>
        <w:tc>
          <w:tcPr>
            <w:tcW w:w="1560" w:type="dxa"/>
            <w:vAlign w:val="center"/>
          </w:tcPr>
          <w:p w14:paraId="4507DD8F">
            <w:pPr>
              <w:jc w:val="center"/>
              <w:rPr>
                <w:rFonts w:hint="default"/>
                <w:color w:val="auto"/>
                <w:highlight w:val="none"/>
                <w:lang w:val="en-US" w:eastAsia="zh-CN"/>
              </w:rPr>
            </w:pPr>
          </w:p>
        </w:tc>
        <w:tc>
          <w:tcPr>
            <w:tcW w:w="1335" w:type="dxa"/>
            <w:vAlign w:val="center"/>
          </w:tcPr>
          <w:p w14:paraId="50D3F266">
            <w:pPr>
              <w:jc w:val="center"/>
              <w:rPr>
                <w:rFonts w:hint="default"/>
                <w:color w:val="auto"/>
                <w:highlight w:val="none"/>
                <w:lang w:val="en-US" w:eastAsia="zh-CN"/>
              </w:rPr>
            </w:pPr>
          </w:p>
        </w:tc>
        <w:tc>
          <w:tcPr>
            <w:tcW w:w="1515" w:type="dxa"/>
            <w:vAlign w:val="center"/>
          </w:tcPr>
          <w:p w14:paraId="55FBEFEC">
            <w:pPr>
              <w:jc w:val="center"/>
              <w:rPr>
                <w:rFonts w:hint="default" w:eastAsia="宋体"/>
                <w:color w:val="auto"/>
                <w:highlight w:val="none"/>
                <w:lang w:val="en-US" w:eastAsia="zh-CN"/>
              </w:rPr>
            </w:pPr>
          </w:p>
        </w:tc>
        <w:tc>
          <w:tcPr>
            <w:tcW w:w="1632" w:type="dxa"/>
            <w:vMerge w:val="continue"/>
            <w:vAlign w:val="center"/>
          </w:tcPr>
          <w:p w14:paraId="15253F55">
            <w:pPr>
              <w:jc w:val="center"/>
              <w:rPr>
                <w:rFonts w:hint="eastAsia" w:eastAsia="宋体"/>
                <w:color w:val="auto"/>
                <w:highlight w:val="none"/>
                <w:lang w:eastAsia="zh-CN"/>
              </w:rPr>
            </w:pPr>
          </w:p>
        </w:tc>
      </w:tr>
      <w:tr w14:paraId="6BFF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3022DDD8">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2E0DB219">
            <w:pPr>
              <w:tabs>
                <w:tab w:val="left" w:pos="631"/>
              </w:tabs>
              <w:jc w:val="left"/>
              <w:rPr>
                <w:rFonts w:hint="eastAsia" w:eastAsia="宋体"/>
                <w:color w:val="auto"/>
                <w:highlight w:val="none"/>
                <w:lang w:val="en-US" w:eastAsia="zh-CN"/>
              </w:rPr>
            </w:pPr>
          </w:p>
        </w:tc>
        <w:tc>
          <w:tcPr>
            <w:tcW w:w="1560" w:type="dxa"/>
            <w:vAlign w:val="center"/>
          </w:tcPr>
          <w:p w14:paraId="3F26E678">
            <w:pPr>
              <w:jc w:val="center"/>
              <w:rPr>
                <w:rFonts w:hint="default"/>
                <w:color w:val="auto"/>
                <w:highlight w:val="none"/>
                <w:lang w:val="en-US" w:eastAsia="zh-CN"/>
              </w:rPr>
            </w:pPr>
          </w:p>
        </w:tc>
        <w:tc>
          <w:tcPr>
            <w:tcW w:w="1335" w:type="dxa"/>
            <w:vAlign w:val="center"/>
          </w:tcPr>
          <w:p w14:paraId="357615E9">
            <w:pPr>
              <w:jc w:val="center"/>
              <w:rPr>
                <w:rFonts w:hint="default"/>
                <w:color w:val="auto"/>
                <w:highlight w:val="none"/>
                <w:lang w:val="en-US" w:eastAsia="zh-CN"/>
              </w:rPr>
            </w:pPr>
          </w:p>
        </w:tc>
        <w:tc>
          <w:tcPr>
            <w:tcW w:w="1515" w:type="dxa"/>
            <w:vAlign w:val="center"/>
          </w:tcPr>
          <w:p w14:paraId="7441C55A">
            <w:pPr>
              <w:jc w:val="center"/>
              <w:rPr>
                <w:rFonts w:hint="default" w:eastAsia="宋体"/>
                <w:color w:val="auto"/>
                <w:highlight w:val="none"/>
                <w:lang w:val="en-US" w:eastAsia="zh-CN"/>
              </w:rPr>
            </w:pPr>
          </w:p>
        </w:tc>
        <w:tc>
          <w:tcPr>
            <w:tcW w:w="1632" w:type="dxa"/>
            <w:vMerge w:val="continue"/>
            <w:vAlign w:val="center"/>
          </w:tcPr>
          <w:p w14:paraId="3C0DB340">
            <w:pPr>
              <w:jc w:val="center"/>
              <w:rPr>
                <w:rFonts w:hint="eastAsia" w:eastAsia="宋体"/>
                <w:color w:val="auto"/>
                <w:highlight w:val="none"/>
                <w:lang w:eastAsia="zh-CN"/>
              </w:rPr>
            </w:pPr>
          </w:p>
        </w:tc>
      </w:tr>
      <w:tr w14:paraId="157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2A30D0A1">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0C6A235F">
            <w:pPr>
              <w:jc w:val="center"/>
              <w:rPr>
                <w:rFonts w:hint="eastAsia" w:eastAsia="宋体"/>
                <w:color w:val="auto"/>
                <w:highlight w:val="none"/>
                <w:lang w:val="en-US" w:eastAsia="zh-CN"/>
              </w:rPr>
            </w:pPr>
          </w:p>
        </w:tc>
        <w:tc>
          <w:tcPr>
            <w:tcW w:w="1560" w:type="dxa"/>
            <w:vAlign w:val="center"/>
          </w:tcPr>
          <w:p w14:paraId="431BD02D">
            <w:pPr>
              <w:jc w:val="center"/>
              <w:rPr>
                <w:rFonts w:hint="default"/>
                <w:color w:val="auto"/>
                <w:highlight w:val="none"/>
                <w:lang w:val="en-US" w:eastAsia="zh-CN"/>
              </w:rPr>
            </w:pPr>
          </w:p>
        </w:tc>
        <w:tc>
          <w:tcPr>
            <w:tcW w:w="1335" w:type="dxa"/>
            <w:vAlign w:val="center"/>
          </w:tcPr>
          <w:p w14:paraId="66DEA902">
            <w:pPr>
              <w:jc w:val="center"/>
              <w:rPr>
                <w:rFonts w:hint="default"/>
                <w:color w:val="auto"/>
                <w:highlight w:val="none"/>
                <w:lang w:val="en-US" w:eastAsia="zh-CN"/>
              </w:rPr>
            </w:pPr>
          </w:p>
        </w:tc>
        <w:tc>
          <w:tcPr>
            <w:tcW w:w="1515" w:type="dxa"/>
            <w:vAlign w:val="center"/>
          </w:tcPr>
          <w:p w14:paraId="19DADE4C">
            <w:pPr>
              <w:jc w:val="center"/>
              <w:rPr>
                <w:rFonts w:hint="default" w:eastAsia="宋体"/>
                <w:color w:val="auto"/>
                <w:highlight w:val="none"/>
                <w:lang w:val="en-US" w:eastAsia="zh-CN"/>
              </w:rPr>
            </w:pPr>
          </w:p>
        </w:tc>
        <w:tc>
          <w:tcPr>
            <w:tcW w:w="1632" w:type="dxa"/>
            <w:vMerge w:val="continue"/>
            <w:vAlign w:val="center"/>
          </w:tcPr>
          <w:p w14:paraId="3E37775A">
            <w:pPr>
              <w:jc w:val="center"/>
              <w:rPr>
                <w:rFonts w:hint="default" w:eastAsia="宋体"/>
                <w:color w:val="auto"/>
                <w:highlight w:val="none"/>
                <w:lang w:val="en-US" w:eastAsia="zh-CN"/>
              </w:rPr>
            </w:pPr>
          </w:p>
        </w:tc>
      </w:tr>
      <w:tr w14:paraId="5C4E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58397738">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68770394">
            <w:pPr>
              <w:jc w:val="center"/>
              <w:rPr>
                <w:rFonts w:hint="eastAsia" w:eastAsia="宋体"/>
                <w:color w:val="auto"/>
                <w:highlight w:val="none"/>
                <w:lang w:val="en-US" w:eastAsia="zh-CN"/>
              </w:rPr>
            </w:pPr>
          </w:p>
        </w:tc>
        <w:tc>
          <w:tcPr>
            <w:tcW w:w="1560" w:type="dxa"/>
            <w:vAlign w:val="center"/>
          </w:tcPr>
          <w:p w14:paraId="0F694FD7">
            <w:pPr>
              <w:jc w:val="center"/>
              <w:rPr>
                <w:rFonts w:hint="default"/>
                <w:color w:val="auto"/>
                <w:highlight w:val="none"/>
                <w:lang w:val="en-US" w:eastAsia="zh-CN"/>
              </w:rPr>
            </w:pPr>
          </w:p>
        </w:tc>
        <w:tc>
          <w:tcPr>
            <w:tcW w:w="1335" w:type="dxa"/>
            <w:vAlign w:val="center"/>
          </w:tcPr>
          <w:p w14:paraId="552C11D6">
            <w:pPr>
              <w:jc w:val="center"/>
              <w:rPr>
                <w:rFonts w:hint="default"/>
                <w:color w:val="auto"/>
                <w:highlight w:val="none"/>
                <w:lang w:val="en-US" w:eastAsia="zh-CN"/>
              </w:rPr>
            </w:pPr>
          </w:p>
        </w:tc>
        <w:tc>
          <w:tcPr>
            <w:tcW w:w="1515" w:type="dxa"/>
            <w:vAlign w:val="center"/>
          </w:tcPr>
          <w:p w14:paraId="247F9AD6">
            <w:pPr>
              <w:jc w:val="center"/>
              <w:rPr>
                <w:rFonts w:hint="default" w:eastAsia="宋体"/>
                <w:color w:val="auto"/>
                <w:highlight w:val="none"/>
                <w:lang w:val="en-US" w:eastAsia="zh-CN"/>
              </w:rPr>
            </w:pPr>
          </w:p>
        </w:tc>
        <w:tc>
          <w:tcPr>
            <w:tcW w:w="1632" w:type="dxa"/>
            <w:vMerge w:val="continue"/>
            <w:vAlign w:val="center"/>
          </w:tcPr>
          <w:p w14:paraId="612C2301">
            <w:pPr>
              <w:jc w:val="center"/>
              <w:rPr>
                <w:rFonts w:hint="eastAsia" w:eastAsia="宋体"/>
                <w:color w:val="auto"/>
                <w:highlight w:val="none"/>
                <w:lang w:val="en-US" w:eastAsia="zh-CN"/>
              </w:rPr>
            </w:pPr>
          </w:p>
        </w:tc>
      </w:tr>
      <w:tr w14:paraId="28B4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0" w:type="dxa"/>
            <w:vAlign w:val="center"/>
          </w:tcPr>
          <w:p w14:paraId="3943C169">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27832D57">
            <w:pPr>
              <w:jc w:val="center"/>
              <w:rPr>
                <w:rFonts w:hint="eastAsia" w:eastAsia="宋体"/>
                <w:color w:val="auto"/>
                <w:highlight w:val="none"/>
                <w:lang w:val="en-US" w:eastAsia="zh-CN"/>
              </w:rPr>
            </w:pPr>
          </w:p>
        </w:tc>
        <w:tc>
          <w:tcPr>
            <w:tcW w:w="1560" w:type="dxa"/>
            <w:vAlign w:val="center"/>
          </w:tcPr>
          <w:p w14:paraId="42362888">
            <w:pPr>
              <w:jc w:val="center"/>
              <w:rPr>
                <w:rFonts w:hint="default"/>
                <w:color w:val="auto"/>
                <w:highlight w:val="none"/>
                <w:lang w:val="en-US" w:eastAsia="zh-CN"/>
              </w:rPr>
            </w:pPr>
          </w:p>
        </w:tc>
        <w:tc>
          <w:tcPr>
            <w:tcW w:w="1335" w:type="dxa"/>
            <w:vAlign w:val="center"/>
          </w:tcPr>
          <w:p w14:paraId="620931D7">
            <w:pPr>
              <w:jc w:val="center"/>
              <w:rPr>
                <w:rFonts w:hint="default"/>
                <w:color w:val="auto"/>
                <w:highlight w:val="none"/>
                <w:lang w:val="en-US" w:eastAsia="zh-CN"/>
              </w:rPr>
            </w:pPr>
          </w:p>
        </w:tc>
        <w:tc>
          <w:tcPr>
            <w:tcW w:w="1515" w:type="dxa"/>
            <w:vAlign w:val="center"/>
          </w:tcPr>
          <w:p w14:paraId="6A2C10B0">
            <w:pPr>
              <w:jc w:val="center"/>
              <w:rPr>
                <w:rFonts w:hint="default" w:eastAsia="宋体"/>
                <w:color w:val="auto"/>
                <w:highlight w:val="none"/>
                <w:lang w:val="en-US" w:eastAsia="zh-CN"/>
              </w:rPr>
            </w:pPr>
          </w:p>
        </w:tc>
        <w:tc>
          <w:tcPr>
            <w:tcW w:w="1632" w:type="dxa"/>
            <w:vMerge w:val="continue"/>
            <w:vAlign w:val="center"/>
          </w:tcPr>
          <w:p w14:paraId="5F6FB9DD">
            <w:pPr>
              <w:jc w:val="center"/>
              <w:rPr>
                <w:rFonts w:hint="eastAsia" w:eastAsia="宋体"/>
                <w:color w:val="auto"/>
                <w:highlight w:val="none"/>
                <w:lang w:eastAsia="zh-CN"/>
              </w:rPr>
            </w:pPr>
          </w:p>
        </w:tc>
      </w:tr>
    </w:tbl>
    <w:p w14:paraId="0700BEC2">
      <w:pPr>
        <w:jc w:val="left"/>
        <w:rPr>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3EC0C3F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1312;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3EC0C3F8">
                      <w:pPr>
                        <w:jc w:val="center"/>
                        <w:rPr>
                          <w:rFonts w:eastAsiaTheme="minorEastAsia"/>
                          <w:szCs w:val="21"/>
                        </w:rPr>
                      </w:pPr>
                      <w:r>
                        <w:rPr>
                          <w:rFonts w:hint="eastAsia"/>
                          <w:szCs w:val="21"/>
                        </w:rPr>
                        <w:t>一 存根（白）二 财务（红）三 顾客（绿）</w:t>
                      </w:r>
                    </w:p>
                  </w:txbxContent>
                </v:textbox>
              </v:shape>
            </w:pict>
          </mc:Fallback>
        </mc:AlternateContent>
      </w:r>
    </w:p>
    <w:p w14:paraId="166D87E4">
      <w:pPr>
        <w:tabs>
          <w:tab w:val="right" w:pos="15138"/>
        </w:tabs>
        <w:jc w:val="left"/>
        <w:rPr>
          <w:rFonts w:ascii="宋体" w:hAnsi="宋体"/>
          <w:color w:val="auto"/>
          <w:highlight w:val="none"/>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仓管员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使用人</w:t>
      </w:r>
      <w:r>
        <w:rPr>
          <w:rFonts w:hint="eastAsia" w:ascii="宋体" w:hAnsi="宋体"/>
          <w:color w:val="auto"/>
          <w:highlight w:val="none"/>
        </w:rPr>
        <w:t xml:space="preserve">） </w:t>
      </w:r>
    </w:p>
    <w:p w14:paraId="0A46F108">
      <w:pPr>
        <w:jc w:val="both"/>
        <w:outlineLvl w:val="9"/>
        <w:rPr>
          <w:rFonts w:hint="default"/>
          <w:color w:val="auto"/>
          <w:highlight w:val="none"/>
          <w:lang w:val="en-US" w:eastAsia="zh-CN"/>
        </w:rPr>
      </w:pPr>
    </w:p>
    <w:p w14:paraId="707DF982">
      <w:pPr>
        <w:jc w:val="both"/>
        <w:outlineLvl w:val="9"/>
        <w:rPr>
          <w:rFonts w:hint="default"/>
          <w:color w:val="auto"/>
          <w:highlight w:val="none"/>
          <w:lang w:val="en-US" w:eastAsia="zh-CN"/>
        </w:rPr>
      </w:pPr>
    </w:p>
    <w:p w14:paraId="29E0438B">
      <w:pPr>
        <w:jc w:val="both"/>
        <w:outlineLvl w:val="9"/>
        <w:rPr>
          <w:rFonts w:hint="default"/>
          <w:color w:val="auto"/>
          <w:highlight w:val="none"/>
          <w:lang w:val="en-US" w:eastAsia="zh-CN"/>
        </w:rPr>
      </w:pPr>
    </w:p>
    <w:p w14:paraId="765317D2">
      <w:pPr>
        <w:jc w:val="both"/>
        <w:outlineLvl w:val="9"/>
        <w:rPr>
          <w:rFonts w:hint="default"/>
          <w:color w:val="auto"/>
          <w:highlight w:val="none"/>
          <w:lang w:val="en-US" w:eastAsia="zh-CN"/>
        </w:rPr>
      </w:pPr>
    </w:p>
    <w:p w14:paraId="0CBC4FE7">
      <w:pPr>
        <w:jc w:val="both"/>
        <w:outlineLvl w:val="9"/>
        <w:rPr>
          <w:rFonts w:hint="default"/>
          <w:b/>
          <w:bCs/>
          <w:color w:val="auto"/>
          <w:highlight w:val="none"/>
          <w:lang w:val="en-US" w:eastAsia="zh-CN"/>
        </w:rPr>
      </w:pPr>
    </w:p>
    <w:p w14:paraId="56FAB9EA">
      <w:pPr>
        <w:jc w:val="right"/>
        <w:outlineLvl w:val="0"/>
        <w:rPr>
          <w:rFonts w:hint="eastAsia" w:ascii="仿宋" w:hAnsi="仿宋" w:eastAsia="仿宋" w:cs="仿宋"/>
          <w:b/>
          <w:bCs/>
          <w:color w:val="auto"/>
          <w:sz w:val="44"/>
          <w:szCs w:val="44"/>
          <w:highlight w:val="none"/>
          <w:lang w:val="en-US" w:eastAsia="zh-CN"/>
        </w:rPr>
      </w:pPr>
      <w:bookmarkStart w:id="214" w:name="_Toc10932"/>
      <w:bookmarkStart w:id="215" w:name="_Toc20228"/>
      <w:bookmarkStart w:id="216" w:name="_Toc7456"/>
      <w:bookmarkStart w:id="217" w:name="_Toc28162"/>
      <w:bookmarkStart w:id="218" w:name="_Toc2368"/>
      <w:r>
        <w:rPr>
          <w:rFonts w:hint="eastAsia" w:ascii="仿宋" w:hAnsi="仿宋" w:eastAsia="仿宋" w:cs="仿宋"/>
          <w:b/>
          <w:bCs/>
          <w:color w:val="auto"/>
          <w:sz w:val="44"/>
          <w:szCs w:val="44"/>
          <w:highlight w:val="none"/>
          <w:lang w:val="en-US" w:eastAsia="zh-CN"/>
        </w:rPr>
        <w:t>附件九</w:t>
      </w:r>
      <w:bookmarkEnd w:id="214"/>
      <w:bookmarkEnd w:id="215"/>
      <w:bookmarkEnd w:id="216"/>
      <w:bookmarkEnd w:id="217"/>
      <w:bookmarkEnd w:id="218"/>
    </w:p>
    <w:p w14:paraId="03593972">
      <w:pPr>
        <w:jc w:val="both"/>
        <w:outlineLvl w:val="9"/>
        <w:rPr>
          <w:rFonts w:hint="default"/>
          <w:color w:val="auto"/>
          <w:highlight w:val="none"/>
          <w:lang w:val="en-US" w:eastAsia="zh-CN"/>
        </w:rPr>
      </w:pPr>
    </w:p>
    <w:p w14:paraId="747103FC">
      <w:pPr>
        <w:jc w:val="both"/>
        <w:outlineLvl w:val="9"/>
        <w:rPr>
          <w:rFonts w:hint="default"/>
          <w:color w:val="auto"/>
          <w:highlight w:val="none"/>
          <w:lang w:val="en-US" w:eastAsia="zh-CN"/>
        </w:rPr>
      </w:pPr>
    </w:p>
    <w:p w14:paraId="3F89261C">
      <w:pPr>
        <w:jc w:val="both"/>
        <w:outlineLvl w:val="9"/>
        <w:rPr>
          <w:rFonts w:hint="default"/>
          <w:color w:val="auto"/>
          <w:highlight w:val="none"/>
          <w:lang w:val="en-US" w:eastAsia="zh-CN"/>
        </w:rPr>
        <w:sectPr>
          <w:footerReference r:id="rId6" w:type="default"/>
          <w:pgSz w:w="11906" w:h="16838"/>
          <w:pgMar w:top="964" w:right="1312" w:bottom="964" w:left="155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r>
        <w:rPr>
          <w:rFonts w:hint="eastAsia"/>
          <w:color w:val="auto"/>
          <w:highlight w:val="none"/>
          <w:lang w:val="en-US" w:eastAsia="zh-CN"/>
        </w:rPr>
        <w:t>（报价清单另附）</w:t>
      </w:r>
    </w:p>
    <w:p w14:paraId="7722C0AD">
      <w:pPr>
        <w:jc w:val="right"/>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附件十</w:t>
      </w:r>
    </w:p>
    <w:p w14:paraId="74D7A89F">
      <w:pPr>
        <w:spacing w:before="25"/>
        <w:jc w:val="center"/>
        <w:rPr>
          <w:rFonts w:hint="default" w:eastAsia="宋体"/>
          <w:sz w:val="48"/>
          <w:szCs w:val="48"/>
          <w:lang w:val="en-US" w:eastAsia="zh-CN"/>
        </w:rPr>
      </w:pPr>
      <w:r>
        <w:rPr>
          <w:rFonts w:hint="eastAsia" w:eastAsia="宋体"/>
          <w:sz w:val="48"/>
          <w:szCs w:val="48"/>
          <w:lang w:val="en-US" w:eastAsia="zh-CN"/>
        </w:rPr>
        <w:t>东莞市中泰建安工程有限公司</w:t>
      </w:r>
    </w:p>
    <w:p w14:paraId="60E4E571">
      <w:pPr>
        <w:jc w:val="both"/>
        <w:rPr>
          <w:rFonts w:hint="eastAsia" w:ascii="宋体" w:hAnsi="宋体" w:eastAsia="宋体" w:cs="宋体"/>
          <w:spacing w:val="-7"/>
          <w:sz w:val="36"/>
          <w:szCs w:val="36"/>
          <w:lang w:val="en-US" w:eastAsia="zh-CN"/>
        </w:rPr>
      </w:pPr>
      <w:r>
        <w:rPr>
          <w:rFonts w:hint="eastAsia" w:eastAsia="宋体"/>
          <w:lang w:val="en-US" w:eastAsia="zh-CN"/>
        </w:rPr>
        <w:t xml:space="preserve">                                                                                                                                     </w:t>
      </w:r>
      <w:r>
        <w:rPr>
          <w:rFonts w:hint="eastAsia" w:eastAsia="宋体"/>
          <w:position w:val="-21"/>
          <w:sz w:val="32"/>
          <w:szCs w:val="32"/>
          <w:lang w:val="en-US" w:eastAsia="zh-CN"/>
        </w:rPr>
        <w:t xml:space="preserve"> 受控                                       </w:t>
      </w:r>
    </w:p>
    <w:p w14:paraId="25264AA5">
      <w:pPr>
        <w:pStyle w:val="3"/>
        <w:keepNext w:val="0"/>
        <w:keepLines w:val="0"/>
        <w:pageBreakBefore w:val="0"/>
        <w:widowControl/>
        <w:kinsoku w:val="0"/>
        <w:wordWrap/>
        <w:overflowPunct/>
        <w:topLinePunct w:val="0"/>
        <w:autoSpaceDE w:val="0"/>
        <w:autoSpaceDN w:val="0"/>
        <w:bidi w:val="0"/>
        <w:adjustRightInd w:val="0"/>
        <w:snapToGrid w:val="0"/>
        <w:spacing w:before="194" w:line="240" w:lineRule="auto"/>
        <w:ind w:left="6612"/>
        <w:textAlignment w:val="baseline"/>
        <w:outlineLvl w:val="0"/>
        <w:rPr>
          <w:rFonts w:hint="eastAsia" w:ascii="宋体" w:hAnsi="宋体" w:eastAsia="宋体" w:cs="宋体"/>
          <w:spacing w:val="-7"/>
          <w:sz w:val="36"/>
          <w:szCs w:val="36"/>
          <w:lang w:val="en-US" w:eastAsia="zh-CN"/>
        </w:rPr>
      </w:pPr>
      <w:r>
        <w:rPr>
          <w:rFonts w:hint="eastAsia" w:ascii="宋体" w:hAnsi="宋体" w:eastAsia="宋体" w:cs="宋体"/>
          <w:spacing w:val="-7"/>
          <w:sz w:val="36"/>
          <w:szCs w:val="36"/>
          <w:lang w:val="en-US" w:eastAsia="zh-CN"/>
        </w:rPr>
        <w:t xml:space="preserve">                                 </w:t>
      </w:r>
      <w:r>
        <w:rPr>
          <w:rFonts w:hint="eastAsia" w:cs="宋体"/>
          <w:spacing w:val="-7"/>
          <w:sz w:val="36"/>
          <w:szCs w:val="36"/>
          <w:lang w:val="en-US" w:eastAsia="zh-CN"/>
        </w:rPr>
        <w:t xml:space="preserve">  </w:t>
      </w:r>
      <w:r>
        <w:rPr>
          <w:rFonts w:hint="eastAsia" w:ascii="宋体" w:hAnsi="宋体" w:eastAsia="宋体" w:cs="宋体"/>
          <w:spacing w:val="-7"/>
          <w:sz w:val="36"/>
          <w:szCs w:val="36"/>
          <w:lang w:val="en-US" w:eastAsia="zh-CN"/>
        </w:rPr>
        <w:t xml:space="preserve"> No. </w:t>
      </w:r>
    </w:p>
    <w:p w14:paraId="3592B424">
      <w:pPr>
        <w:pStyle w:val="3"/>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sz w:val="36"/>
          <w:szCs w:val="36"/>
        </w:rPr>
      </w:pPr>
      <w:r>
        <mc:AlternateContent>
          <mc:Choice Requires="wps">
            <w:drawing>
              <wp:anchor distT="0" distB="0" distL="114300" distR="114300" simplePos="0" relativeHeight="251663360" behindDoc="0" locked="0" layoutInCell="1" allowOverlap="1">
                <wp:simplePos x="0" y="0"/>
                <wp:positionH relativeFrom="column">
                  <wp:posOffset>9380220</wp:posOffset>
                </wp:positionH>
                <wp:positionV relativeFrom="paragraph">
                  <wp:posOffset>495935</wp:posOffset>
                </wp:positionV>
                <wp:extent cx="225425" cy="34023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25425" cy="3402330"/>
                        </a:xfrm>
                        <a:prstGeom prst="rect">
                          <a:avLst/>
                        </a:prstGeom>
                        <a:noFill/>
                        <a:ln>
                          <a:noFill/>
                        </a:ln>
                      </wps:spPr>
                      <wps:txbx>
                        <w:txbxContent>
                          <w:p w14:paraId="3EE7CAF2">
                            <w:pPr>
                              <w:pStyle w:val="3"/>
                              <w:spacing w:before="20" w:line="209" w:lineRule="auto"/>
                              <w:ind w:left="20"/>
                              <w:rPr>
                                <w:sz w:val="21"/>
                                <w:szCs w:val="21"/>
                              </w:rPr>
                            </w:pPr>
                            <w:r>
                              <w:rPr>
                                <w:spacing w:val="35"/>
                                <w:sz w:val="21"/>
                                <w:szCs w:val="21"/>
                              </w:rPr>
                              <w:t>一存根（白）二</w:t>
                            </w:r>
                            <w:r>
                              <w:rPr>
                                <w:spacing w:val="63"/>
                                <w:sz w:val="21"/>
                                <w:szCs w:val="21"/>
                              </w:rPr>
                              <w:t xml:space="preserve"> </w:t>
                            </w:r>
                            <w:r>
                              <w:rPr>
                                <w:spacing w:val="35"/>
                                <w:sz w:val="21"/>
                                <w:szCs w:val="21"/>
                              </w:rPr>
                              <w:t>财务（红）三</w:t>
                            </w:r>
                            <w:r>
                              <w:rPr>
                                <w:spacing w:val="62"/>
                                <w:sz w:val="21"/>
                                <w:szCs w:val="21"/>
                              </w:rPr>
                              <w:t xml:space="preserve"> </w:t>
                            </w:r>
                            <w:r>
                              <w:rPr>
                                <w:spacing w:val="35"/>
                                <w:sz w:val="21"/>
                                <w:szCs w:val="21"/>
                              </w:rPr>
                              <w:t>顾客（绿）</w:t>
                            </w:r>
                          </w:p>
                        </w:txbxContent>
                      </wps:txbx>
                      <wps:bodyPr vert="eaVert" lIns="0" tIns="0" rIns="0" bIns="0" upright="1"/>
                    </wps:wsp>
                  </a:graphicData>
                </a:graphic>
              </wp:anchor>
            </w:drawing>
          </mc:Choice>
          <mc:Fallback>
            <w:pict>
              <v:shape id="_x0000_s1026" o:spid="_x0000_s1026" o:spt="202" type="#_x0000_t202" style="position:absolute;left:0pt;margin-left:738.6pt;margin-top:39.05pt;height:267.9pt;width:17.75pt;z-index:251663360;mso-width-relative:page;mso-height-relative:page;" filled="f" stroked="f" coordsize="21600,21600" o:gfxdata="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X1dGPZAAAADAEAAA8AAAAAAAAAAQAgAAAAIgAAAGRycy9kb3du&#10;cmV2LnhtbFBLAQIUABQAAAAIAIdO4kC8ALcVxQEAAIADAAAOAAAAAAAAAAEAIAAAACgBAABkcnMv&#10;ZTJvRG9jLnhtbFBLBQYAAAAABgAGAFkBAABfBQAAAAA=&#10;">
                <v:fill on="f" focussize="0,0"/>
                <v:stroke on="f"/>
                <v:imagedata o:title=""/>
                <o:lock v:ext="edit" aspectratio="f"/>
                <v:textbox inset="0mm,0mm,0mm,0mm" style="layout-flow:vertical-ideographic;">
                  <w:txbxContent>
                    <w:p w14:paraId="3EE7CAF2">
                      <w:pPr>
                        <w:pStyle w:val="3"/>
                        <w:spacing w:before="20" w:line="209" w:lineRule="auto"/>
                        <w:ind w:left="20"/>
                        <w:rPr>
                          <w:sz w:val="21"/>
                          <w:szCs w:val="21"/>
                        </w:rPr>
                      </w:pPr>
                      <w:r>
                        <w:rPr>
                          <w:spacing w:val="35"/>
                          <w:sz w:val="21"/>
                          <w:szCs w:val="21"/>
                        </w:rPr>
                        <w:t>一存根（白）二</w:t>
                      </w:r>
                      <w:r>
                        <w:rPr>
                          <w:spacing w:val="63"/>
                          <w:sz w:val="21"/>
                          <w:szCs w:val="21"/>
                        </w:rPr>
                        <w:t xml:space="preserve"> </w:t>
                      </w:r>
                      <w:r>
                        <w:rPr>
                          <w:spacing w:val="35"/>
                          <w:sz w:val="21"/>
                          <w:szCs w:val="21"/>
                        </w:rPr>
                        <w:t>财务（红）三</w:t>
                      </w:r>
                      <w:r>
                        <w:rPr>
                          <w:spacing w:val="62"/>
                          <w:sz w:val="21"/>
                          <w:szCs w:val="21"/>
                        </w:rPr>
                        <w:t xml:space="preserve"> </w:t>
                      </w:r>
                      <w:r>
                        <w:rPr>
                          <w:spacing w:val="35"/>
                          <w:sz w:val="21"/>
                          <w:szCs w:val="21"/>
                        </w:rPr>
                        <w:t>顾客（绿）</w:t>
                      </w:r>
                    </w:p>
                  </w:txbxContent>
                </v:textbox>
              </v:shape>
            </w:pict>
          </mc:Fallback>
        </mc:AlternateContent>
      </w:r>
      <w:r>
        <w:rPr>
          <w:rFonts w:hint="eastAsia" w:cs="宋体"/>
          <w:spacing w:val="-7"/>
          <w:sz w:val="36"/>
          <w:szCs w:val="36"/>
          <w:lang w:val="en-US" w:eastAsia="zh-CN"/>
        </w:rPr>
        <w:t xml:space="preserve">材 料 </w:t>
      </w:r>
      <w:r>
        <w:rPr>
          <w:rFonts w:hint="eastAsia" w:ascii="宋体" w:hAnsi="宋体" w:eastAsia="宋体" w:cs="宋体"/>
          <w:spacing w:val="-7"/>
          <w:sz w:val="36"/>
          <w:szCs w:val="36"/>
        </w:rPr>
        <w:t>签</w:t>
      </w:r>
      <w:r>
        <w:rPr>
          <w:rFonts w:hint="eastAsia" w:ascii="宋体" w:hAnsi="宋体" w:eastAsia="宋体" w:cs="宋体"/>
          <w:spacing w:val="82"/>
          <w:sz w:val="36"/>
          <w:szCs w:val="36"/>
        </w:rPr>
        <w:t xml:space="preserve"> </w:t>
      </w:r>
      <w:r>
        <w:rPr>
          <w:rFonts w:hint="eastAsia" w:ascii="宋体" w:hAnsi="宋体" w:eastAsia="宋体" w:cs="宋体"/>
          <w:spacing w:val="-7"/>
          <w:sz w:val="36"/>
          <w:szCs w:val="36"/>
        </w:rPr>
        <w:t>收</w:t>
      </w:r>
      <w:r>
        <w:rPr>
          <w:rFonts w:hint="eastAsia" w:ascii="宋体" w:hAnsi="宋体" w:eastAsia="宋体" w:cs="宋体"/>
          <w:spacing w:val="53"/>
          <w:sz w:val="36"/>
          <w:szCs w:val="36"/>
        </w:rPr>
        <w:t xml:space="preserve"> </w:t>
      </w:r>
      <w:r>
        <w:rPr>
          <w:rFonts w:hint="eastAsia" w:ascii="宋体" w:hAnsi="宋体" w:eastAsia="宋体" w:cs="宋体"/>
          <w:spacing w:val="-7"/>
          <w:sz w:val="36"/>
          <w:szCs w:val="36"/>
        </w:rPr>
        <w:t>单</w:t>
      </w:r>
    </w:p>
    <w:p w14:paraId="583F536A">
      <w:pPr>
        <w:pStyle w:val="3"/>
        <w:keepNext w:val="0"/>
        <w:keepLines w:val="0"/>
        <w:pageBreakBefore w:val="0"/>
        <w:widowControl/>
        <w:kinsoku w:val="0"/>
        <w:wordWrap/>
        <w:overflowPunct/>
        <w:topLinePunct w:val="0"/>
        <w:autoSpaceDE w:val="0"/>
        <w:autoSpaceDN w:val="0"/>
        <w:bidi w:val="0"/>
        <w:adjustRightInd w:val="0"/>
        <w:snapToGrid w:val="0"/>
        <w:spacing w:before="7" w:line="360" w:lineRule="auto"/>
        <w:ind w:left="251"/>
        <w:textAlignment w:val="baseline"/>
        <w:rPr>
          <w:rFonts w:hint="eastAsia" w:ascii="宋体" w:hAnsi="宋体" w:eastAsia="宋体" w:cs="宋体"/>
        </w:rPr>
      </w:pPr>
      <w:r>
        <w:rPr>
          <w:rFonts w:hint="eastAsia" w:ascii="宋体" w:hAnsi="宋体" w:eastAsia="宋体" w:cs="宋体"/>
          <w:spacing w:val="1"/>
          <w:lang w:val="en-US" w:eastAsia="zh-CN"/>
        </w:rPr>
        <w:t>RM-17-A</w:t>
      </w:r>
      <w:r>
        <w:rPr>
          <w:rFonts w:hint="eastAsia" w:ascii="宋体" w:hAnsi="宋体" w:eastAsia="宋体" w:cs="宋体"/>
          <w:spacing w:val="1"/>
        </w:rPr>
        <w:t xml:space="preserve">                         </w:t>
      </w:r>
      <w:r>
        <w:rPr>
          <w:rFonts w:hint="eastAsia" w:ascii="宋体" w:hAnsi="宋体" w:eastAsia="宋体" w:cs="宋体"/>
        </w:rPr>
        <w:t xml:space="preserve">              </w:t>
      </w:r>
      <w:r>
        <w:rPr>
          <w:rFonts w:hint="eastAsia" w:cs="宋体"/>
          <w:lang w:val="en-US" w:eastAsia="zh-CN"/>
        </w:rPr>
        <w:t xml:space="preserve">    20  年    月   日</w:t>
      </w:r>
      <w:r>
        <w:rPr>
          <w:rFonts w:hint="eastAsia" w:ascii="宋体" w:hAnsi="宋体" w:eastAsia="宋体" w:cs="宋体"/>
        </w:rPr>
        <w:t xml:space="preserve">                              </w:t>
      </w:r>
    </w:p>
    <w:tbl>
      <w:tblPr>
        <w:tblStyle w:val="14"/>
        <w:tblW w:w="145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0"/>
        <w:gridCol w:w="2457"/>
        <w:gridCol w:w="1987"/>
        <w:gridCol w:w="1787"/>
        <w:gridCol w:w="1312"/>
        <w:gridCol w:w="2907"/>
      </w:tblGrid>
      <w:tr w14:paraId="4D790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258AC8D8">
            <w:pPr>
              <w:spacing w:before="263" w:line="220" w:lineRule="auto"/>
              <w:jc w:val="center"/>
              <w:rPr>
                <w:rFonts w:hint="eastAsia" w:ascii="宋体" w:hAnsi="宋体" w:eastAsia="宋体" w:cs="宋体"/>
                <w:sz w:val="24"/>
                <w:szCs w:val="24"/>
              </w:rPr>
            </w:pPr>
            <w:r>
              <w:rPr>
                <w:rFonts w:hint="eastAsia" w:ascii="宋体" w:hAnsi="宋体" w:eastAsia="宋体" w:cs="宋体"/>
                <w:spacing w:val="7"/>
                <w:sz w:val="24"/>
                <w:szCs w:val="24"/>
              </w:rPr>
              <w:t>工</w:t>
            </w:r>
            <w:r>
              <w:rPr>
                <w:rFonts w:hint="eastAsia" w:ascii="宋体" w:hAnsi="宋体" w:eastAsia="宋体" w:cs="宋体"/>
                <w:spacing w:val="7"/>
                <w:sz w:val="24"/>
                <w:szCs w:val="24"/>
                <w:lang w:val="en-US" w:eastAsia="zh-CN"/>
              </w:rPr>
              <w:t>地</w:t>
            </w:r>
            <w:r>
              <w:rPr>
                <w:rFonts w:hint="eastAsia" w:ascii="宋体" w:hAnsi="宋体" w:eastAsia="宋体" w:cs="宋体"/>
                <w:spacing w:val="7"/>
                <w:sz w:val="24"/>
                <w:szCs w:val="24"/>
              </w:rPr>
              <w:t>名称</w:t>
            </w:r>
          </w:p>
        </w:tc>
        <w:tc>
          <w:tcPr>
            <w:tcW w:w="2457" w:type="dxa"/>
            <w:vAlign w:val="top"/>
          </w:tcPr>
          <w:p w14:paraId="3E6B5ED1">
            <w:pPr>
              <w:spacing w:before="262" w:line="219" w:lineRule="auto"/>
              <w:jc w:val="center"/>
              <w:rPr>
                <w:rFonts w:hint="eastAsia" w:ascii="宋体" w:hAnsi="宋体" w:eastAsia="宋体" w:cs="宋体"/>
                <w:sz w:val="24"/>
                <w:szCs w:val="24"/>
              </w:rPr>
            </w:pPr>
            <w:r>
              <w:rPr>
                <w:rFonts w:hint="eastAsia" w:ascii="宋体" w:hAnsi="宋体" w:eastAsia="宋体" w:cs="宋体"/>
                <w:spacing w:val="7"/>
                <w:sz w:val="24"/>
                <w:szCs w:val="24"/>
              </w:rPr>
              <w:t>材料名称</w:t>
            </w:r>
          </w:p>
        </w:tc>
        <w:tc>
          <w:tcPr>
            <w:tcW w:w="1987" w:type="dxa"/>
            <w:vAlign w:val="top"/>
          </w:tcPr>
          <w:p w14:paraId="1F0BD76D">
            <w:pPr>
              <w:spacing w:before="263" w:line="220" w:lineRule="auto"/>
              <w:jc w:val="center"/>
              <w:rPr>
                <w:rFonts w:hint="eastAsia" w:ascii="宋体" w:hAnsi="宋体" w:eastAsia="宋体" w:cs="宋体"/>
                <w:sz w:val="24"/>
                <w:szCs w:val="24"/>
              </w:rPr>
            </w:pPr>
            <w:r>
              <w:rPr>
                <w:rFonts w:hint="eastAsia" w:ascii="宋体" w:hAnsi="宋体" w:eastAsia="宋体" w:cs="宋体"/>
                <w:spacing w:val="1"/>
                <w:sz w:val="24"/>
                <w:szCs w:val="24"/>
              </w:rPr>
              <w:t>单位</w:t>
            </w:r>
          </w:p>
        </w:tc>
        <w:tc>
          <w:tcPr>
            <w:tcW w:w="1787" w:type="dxa"/>
            <w:vAlign w:val="top"/>
          </w:tcPr>
          <w:p w14:paraId="50DE7F92">
            <w:pPr>
              <w:spacing w:before="263" w:line="219" w:lineRule="auto"/>
              <w:jc w:val="center"/>
              <w:rPr>
                <w:rFonts w:hint="eastAsia" w:ascii="宋体" w:hAnsi="宋体" w:eastAsia="宋体" w:cs="宋体"/>
                <w:sz w:val="24"/>
                <w:szCs w:val="24"/>
              </w:rPr>
            </w:pPr>
            <w:r>
              <w:rPr>
                <w:rFonts w:hint="eastAsia" w:ascii="宋体" w:hAnsi="宋体" w:eastAsia="宋体" w:cs="宋体"/>
                <w:spacing w:val="1"/>
                <w:sz w:val="24"/>
                <w:szCs w:val="24"/>
              </w:rPr>
              <w:t>数量</w:t>
            </w:r>
          </w:p>
        </w:tc>
        <w:tc>
          <w:tcPr>
            <w:tcW w:w="1312" w:type="dxa"/>
            <w:vAlign w:val="top"/>
          </w:tcPr>
          <w:p w14:paraId="753A5D4A">
            <w:pPr>
              <w:spacing w:before="263" w:line="218" w:lineRule="auto"/>
              <w:ind w:left="413"/>
              <w:rPr>
                <w:rFonts w:hint="eastAsia" w:ascii="宋体" w:hAnsi="宋体" w:eastAsia="宋体" w:cs="宋体"/>
                <w:sz w:val="24"/>
                <w:szCs w:val="24"/>
              </w:rPr>
            </w:pPr>
            <w:r>
              <w:rPr>
                <w:rFonts w:hint="eastAsia" w:ascii="宋体" w:hAnsi="宋体" w:eastAsia="宋体" w:cs="宋体"/>
                <w:spacing w:val="1"/>
                <w:sz w:val="24"/>
                <w:szCs w:val="24"/>
              </w:rPr>
              <w:t>单价</w:t>
            </w:r>
          </w:p>
        </w:tc>
        <w:tc>
          <w:tcPr>
            <w:tcW w:w="2907" w:type="dxa"/>
            <w:vAlign w:val="top"/>
          </w:tcPr>
          <w:p w14:paraId="48A6922A">
            <w:pPr>
              <w:spacing w:before="262" w:line="221" w:lineRule="auto"/>
              <w:ind w:left="1209"/>
              <w:rPr>
                <w:rFonts w:hint="eastAsia" w:ascii="宋体" w:hAnsi="宋体" w:eastAsia="宋体" w:cs="宋体"/>
                <w:sz w:val="24"/>
                <w:szCs w:val="24"/>
              </w:rPr>
            </w:pPr>
            <w:r>
              <w:rPr>
                <w:rFonts w:hint="eastAsia" w:ascii="宋体" w:hAnsi="宋体" w:eastAsia="宋体" w:cs="宋体"/>
                <w:spacing w:val="1"/>
                <w:sz w:val="24"/>
                <w:szCs w:val="24"/>
              </w:rPr>
              <w:t>备注</w:t>
            </w:r>
          </w:p>
        </w:tc>
      </w:tr>
      <w:tr w14:paraId="77099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186E839C">
            <w:pPr>
              <w:pStyle w:val="15"/>
              <w:rPr>
                <w:rFonts w:hint="eastAsia" w:ascii="宋体" w:hAnsi="宋体" w:eastAsia="宋体" w:cs="宋体"/>
              </w:rPr>
            </w:pPr>
          </w:p>
        </w:tc>
        <w:tc>
          <w:tcPr>
            <w:tcW w:w="2457" w:type="dxa"/>
            <w:vAlign w:val="top"/>
          </w:tcPr>
          <w:p w14:paraId="5B6110C0">
            <w:pPr>
              <w:pStyle w:val="15"/>
              <w:rPr>
                <w:rFonts w:hint="eastAsia" w:ascii="宋体" w:hAnsi="宋体" w:eastAsia="宋体" w:cs="宋体"/>
              </w:rPr>
            </w:pPr>
          </w:p>
        </w:tc>
        <w:tc>
          <w:tcPr>
            <w:tcW w:w="1987" w:type="dxa"/>
            <w:vAlign w:val="top"/>
          </w:tcPr>
          <w:p w14:paraId="21268D1C">
            <w:pPr>
              <w:pStyle w:val="15"/>
              <w:rPr>
                <w:rFonts w:hint="eastAsia" w:ascii="宋体" w:hAnsi="宋体" w:eastAsia="宋体" w:cs="宋体"/>
              </w:rPr>
            </w:pPr>
          </w:p>
        </w:tc>
        <w:tc>
          <w:tcPr>
            <w:tcW w:w="1787" w:type="dxa"/>
            <w:vAlign w:val="top"/>
          </w:tcPr>
          <w:p w14:paraId="073F06B1">
            <w:pPr>
              <w:pStyle w:val="15"/>
              <w:rPr>
                <w:rFonts w:hint="eastAsia" w:ascii="宋体" w:hAnsi="宋体" w:eastAsia="宋体" w:cs="宋体"/>
              </w:rPr>
            </w:pPr>
          </w:p>
        </w:tc>
        <w:tc>
          <w:tcPr>
            <w:tcW w:w="1312" w:type="dxa"/>
            <w:vAlign w:val="top"/>
          </w:tcPr>
          <w:p w14:paraId="25FC6D7B">
            <w:pPr>
              <w:pStyle w:val="15"/>
              <w:rPr>
                <w:rFonts w:hint="eastAsia" w:ascii="宋体" w:hAnsi="宋体" w:eastAsia="宋体" w:cs="宋体"/>
              </w:rPr>
            </w:pPr>
          </w:p>
        </w:tc>
        <w:tc>
          <w:tcPr>
            <w:tcW w:w="2907" w:type="dxa"/>
            <w:vAlign w:val="top"/>
          </w:tcPr>
          <w:p w14:paraId="1003775D">
            <w:pPr>
              <w:pStyle w:val="15"/>
              <w:rPr>
                <w:rFonts w:hint="eastAsia" w:ascii="宋体" w:hAnsi="宋体" w:eastAsia="宋体" w:cs="宋体"/>
              </w:rPr>
            </w:pPr>
          </w:p>
        </w:tc>
      </w:tr>
      <w:tr w14:paraId="6FF7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34C860D9">
            <w:pPr>
              <w:pStyle w:val="15"/>
              <w:rPr>
                <w:rFonts w:hint="eastAsia" w:ascii="宋体" w:hAnsi="宋体" w:eastAsia="宋体" w:cs="宋体"/>
              </w:rPr>
            </w:pPr>
          </w:p>
        </w:tc>
        <w:tc>
          <w:tcPr>
            <w:tcW w:w="2457" w:type="dxa"/>
            <w:vAlign w:val="top"/>
          </w:tcPr>
          <w:p w14:paraId="668B6B6B">
            <w:pPr>
              <w:pStyle w:val="15"/>
              <w:rPr>
                <w:rFonts w:hint="eastAsia" w:ascii="宋体" w:hAnsi="宋体" w:eastAsia="宋体" w:cs="宋体"/>
              </w:rPr>
            </w:pPr>
          </w:p>
        </w:tc>
        <w:tc>
          <w:tcPr>
            <w:tcW w:w="1987" w:type="dxa"/>
            <w:vAlign w:val="top"/>
          </w:tcPr>
          <w:p w14:paraId="320FFF19">
            <w:pPr>
              <w:pStyle w:val="15"/>
              <w:rPr>
                <w:rFonts w:hint="eastAsia" w:ascii="宋体" w:hAnsi="宋体" w:eastAsia="宋体" w:cs="宋体"/>
              </w:rPr>
            </w:pPr>
          </w:p>
        </w:tc>
        <w:tc>
          <w:tcPr>
            <w:tcW w:w="1787" w:type="dxa"/>
            <w:vAlign w:val="top"/>
          </w:tcPr>
          <w:p w14:paraId="08EFC9AA">
            <w:pPr>
              <w:pStyle w:val="15"/>
              <w:rPr>
                <w:rFonts w:hint="eastAsia" w:ascii="宋体" w:hAnsi="宋体" w:eastAsia="宋体" w:cs="宋体"/>
              </w:rPr>
            </w:pPr>
          </w:p>
        </w:tc>
        <w:tc>
          <w:tcPr>
            <w:tcW w:w="1312" w:type="dxa"/>
            <w:vAlign w:val="top"/>
          </w:tcPr>
          <w:p w14:paraId="6C573CF2">
            <w:pPr>
              <w:pStyle w:val="15"/>
              <w:rPr>
                <w:rFonts w:hint="eastAsia" w:ascii="宋体" w:hAnsi="宋体" w:eastAsia="宋体" w:cs="宋体"/>
              </w:rPr>
            </w:pPr>
          </w:p>
        </w:tc>
        <w:tc>
          <w:tcPr>
            <w:tcW w:w="2907" w:type="dxa"/>
            <w:vAlign w:val="top"/>
          </w:tcPr>
          <w:p w14:paraId="18430BD2">
            <w:pPr>
              <w:pStyle w:val="15"/>
              <w:rPr>
                <w:rFonts w:hint="eastAsia" w:ascii="宋体" w:hAnsi="宋体" w:eastAsia="宋体" w:cs="宋体"/>
              </w:rPr>
            </w:pPr>
          </w:p>
        </w:tc>
      </w:tr>
      <w:tr w14:paraId="7879C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1CDF9171">
            <w:pPr>
              <w:pStyle w:val="15"/>
              <w:rPr>
                <w:rFonts w:hint="eastAsia" w:ascii="宋体" w:hAnsi="宋体" w:eastAsia="宋体" w:cs="宋体"/>
              </w:rPr>
            </w:pPr>
          </w:p>
        </w:tc>
        <w:tc>
          <w:tcPr>
            <w:tcW w:w="2457" w:type="dxa"/>
            <w:vAlign w:val="top"/>
          </w:tcPr>
          <w:p w14:paraId="4D857851">
            <w:pPr>
              <w:pStyle w:val="15"/>
              <w:rPr>
                <w:rFonts w:hint="eastAsia" w:ascii="宋体" w:hAnsi="宋体" w:eastAsia="宋体" w:cs="宋体"/>
              </w:rPr>
            </w:pPr>
          </w:p>
        </w:tc>
        <w:tc>
          <w:tcPr>
            <w:tcW w:w="1987" w:type="dxa"/>
            <w:vAlign w:val="top"/>
          </w:tcPr>
          <w:p w14:paraId="0B4B5831">
            <w:pPr>
              <w:pStyle w:val="15"/>
              <w:rPr>
                <w:rFonts w:hint="eastAsia" w:ascii="宋体" w:hAnsi="宋体" w:eastAsia="宋体" w:cs="宋体"/>
              </w:rPr>
            </w:pPr>
          </w:p>
        </w:tc>
        <w:tc>
          <w:tcPr>
            <w:tcW w:w="1787" w:type="dxa"/>
            <w:vAlign w:val="top"/>
          </w:tcPr>
          <w:p w14:paraId="19212FA4">
            <w:pPr>
              <w:pStyle w:val="15"/>
              <w:rPr>
                <w:rFonts w:hint="eastAsia" w:ascii="宋体" w:hAnsi="宋体" w:eastAsia="宋体" w:cs="宋体"/>
              </w:rPr>
            </w:pPr>
          </w:p>
        </w:tc>
        <w:tc>
          <w:tcPr>
            <w:tcW w:w="1312" w:type="dxa"/>
            <w:vAlign w:val="top"/>
          </w:tcPr>
          <w:p w14:paraId="64C0542D">
            <w:pPr>
              <w:pStyle w:val="15"/>
              <w:rPr>
                <w:rFonts w:hint="eastAsia" w:ascii="宋体" w:hAnsi="宋体" w:eastAsia="宋体" w:cs="宋体"/>
              </w:rPr>
            </w:pPr>
          </w:p>
        </w:tc>
        <w:tc>
          <w:tcPr>
            <w:tcW w:w="2907" w:type="dxa"/>
            <w:vAlign w:val="top"/>
          </w:tcPr>
          <w:p w14:paraId="36A0683D">
            <w:pPr>
              <w:pStyle w:val="15"/>
              <w:rPr>
                <w:rFonts w:hint="eastAsia" w:ascii="宋体" w:hAnsi="宋体" w:eastAsia="宋体" w:cs="宋体"/>
              </w:rPr>
            </w:pPr>
          </w:p>
        </w:tc>
      </w:tr>
      <w:tr w14:paraId="4D4A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4D1FDD0B">
            <w:pPr>
              <w:pStyle w:val="15"/>
              <w:rPr>
                <w:rFonts w:hint="eastAsia" w:ascii="宋体" w:hAnsi="宋体" w:eastAsia="宋体" w:cs="宋体"/>
              </w:rPr>
            </w:pPr>
          </w:p>
        </w:tc>
        <w:tc>
          <w:tcPr>
            <w:tcW w:w="2457" w:type="dxa"/>
            <w:vAlign w:val="top"/>
          </w:tcPr>
          <w:p w14:paraId="298AD86E">
            <w:pPr>
              <w:pStyle w:val="15"/>
              <w:rPr>
                <w:rFonts w:hint="eastAsia" w:ascii="宋体" w:hAnsi="宋体" w:eastAsia="宋体" w:cs="宋体"/>
              </w:rPr>
            </w:pPr>
          </w:p>
        </w:tc>
        <w:tc>
          <w:tcPr>
            <w:tcW w:w="1987" w:type="dxa"/>
            <w:vAlign w:val="top"/>
          </w:tcPr>
          <w:p w14:paraId="7E1665C8">
            <w:pPr>
              <w:pStyle w:val="15"/>
              <w:rPr>
                <w:rFonts w:hint="eastAsia" w:ascii="宋体" w:hAnsi="宋体" w:eastAsia="宋体" w:cs="宋体"/>
              </w:rPr>
            </w:pPr>
          </w:p>
        </w:tc>
        <w:tc>
          <w:tcPr>
            <w:tcW w:w="1787" w:type="dxa"/>
            <w:vAlign w:val="top"/>
          </w:tcPr>
          <w:p w14:paraId="45B0A3EA">
            <w:pPr>
              <w:pStyle w:val="15"/>
              <w:rPr>
                <w:rFonts w:hint="eastAsia" w:ascii="宋体" w:hAnsi="宋体" w:eastAsia="宋体" w:cs="宋体"/>
              </w:rPr>
            </w:pPr>
          </w:p>
        </w:tc>
        <w:tc>
          <w:tcPr>
            <w:tcW w:w="1312" w:type="dxa"/>
            <w:vAlign w:val="top"/>
          </w:tcPr>
          <w:p w14:paraId="3DACF82A">
            <w:pPr>
              <w:pStyle w:val="15"/>
              <w:rPr>
                <w:rFonts w:hint="eastAsia" w:ascii="宋体" w:hAnsi="宋体" w:eastAsia="宋体" w:cs="宋体"/>
              </w:rPr>
            </w:pPr>
          </w:p>
        </w:tc>
        <w:tc>
          <w:tcPr>
            <w:tcW w:w="2907" w:type="dxa"/>
            <w:vAlign w:val="top"/>
          </w:tcPr>
          <w:p w14:paraId="211A1C72">
            <w:pPr>
              <w:pStyle w:val="15"/>
              <w:rPr>
                <w:rFonts w:hint="eastAsia" w:ascii="宋体" w:hAnsi="宋体" w:eastAsia="宋体" w:cs="宋体"/>
              </w:rPr>
            </w:pPr>
          </w:p>
        </w:tc>
      </w:tr>
    </w:tbl>
    <w:p w14:paraId="309AD23C">
      <w:pPr>
        <w:spacing w:line="371" w:lineRule="auto"/>
        <w:rPr>
          <w:rFonts w:hint="eastAsia" w:ascii="宋体" w:hAnsi="宋体" w:eastAsia="宋体" w:cs="宋体"/>
          <w:sz w:val="21"/>
        </w:rPr>
      </w:pPr>
    </w:p>
    <w:p w14:paraId="01DB1BF4">
      <w:pPr>
        <w:pStyle w:val="3"/>
        <w:spacing w:before="79" w:line="184" w:lineRule="auto"/>
        <w:ind w:left="87"/>
        <w:rPr>
          <w:rFonts w:hint="eastAsia" w:ascii="宋体" w:hAnsi="宋体" w:eastAsia="宋体" w:cs="宋体"/>
          <w:spacing w:val="9"/>
          <w:lang w:eastAsia="zh-CN"/>
        </w:rPr>
      </w:pPr>
      <w:r>
        <w:rPr>
          <w:rFonts w:hint="eastAsia" w:ascii="宋体" w:hAnsi="宋体" w:eastAsia="宋体" w:cs="宋体"/>
          <w:spacing w:val="9"/>
        </w:rPr>
        <w:t>工地负责人：</w:t>
      </w:r>
      <w:r>
        <w:rPr>
          <w:rFonts w:hint="eastAsia" w:ascii="宋体" w:hAnsi="宋体" w:eastAsia="宋体" w:cs="宋体"/>
        </w:rPr>
        <w:t xml:space="preserve">                            </w:t>
      </w:r>
      <w:r>
        <w:rPr>
          <w:rFonts w:hint="eastAsia" w:ascii="宋体" w:hAnsi="宋体" w:eastAsia="宋体" w:cs="宋体"/>
          <w:spacing w:val="9"/>
        </w:rPr>
        <w:t>签收人：</w:t>
      </w:r>
      <w:r>
        <w:rPr>
          <w:rFonts w:hint="eastAsia" w:ascii="宋体" w:hAnsi="宋体" w:eastAsia="宋体" w:cs="宋体"/>
          <w:spacing w:val="2"/>
        </w:rPr>
        <w:t xml:space="preserve">                       </w:t>
      </w:r>
      <w:r>
        <w:rPr>
          <w:rFonts w:hint="eastAsia" w:ascii="宋体" w:hAnsi="宋体" w:eastAsia="宋体" w:cs="宋体"/>
          <w:spacing w:val="1"/>
        </w:rPr>
        <w:t xml:space="preserve">    </w:t>
      </w:r>
      <w:r>
        <w:rPr>
          <w:rFonts w:hint="eastAsia" w:ascii="宋体" w:hAnsi="宋体" w:eastAsia="宋体" w:cs="宋体"/>
          <w:spacing w:val="9"/>
        </w:rPr>
        <w:t>送货单位及经</w:t>
      </w:r>
      <w:r>
        <w:rPr>
          <w:rFonts w:hint="eastAsia" w:ascii="宋体" w:hAnsi="宋体" w:eastAsia="宋体" w:cs="宋体"/>
          <w:spacing w:val="9"/>
          <w:lang w:val="en-US" w:eastAsia="zh-CN"/>
        </w:rPr>
        <w:t>手</w:t>
      </w:r>
      <w:r>
        <w:rPr>
          <w:rFonts w:hint="eastAsia" w:ascii="宋体" w:hAnsi="宋体" w:eastAsia="宋体" w:cs="宋体"/>
          <w:spacing w:val="9"/>
        </w:rPr>
        <w:t>人</w:t>
      </w:r>
      <w:r>
        <w:rPr>
          <w:rFonts w:hint="eastAsia" w:ascii="宋体" w:hAnsi="宋体" w:eastAsia="宋体" w:cs="宋体"/>
          <w:spacing w:val="9"/>
          <w:lang w:eastAsia="zh-CN"/>
        </w:rPr>
        <w:t>：</w:t>
      </w:r>
    </w:p>
    <w:p w14:paraId="00442600">
      <w:pPr>
        <w:rPr>
          <w:rFonts w:hint="default"/>
          <w:lang w:val="en-US" w:eastAsia="zh-CN"/>
        </w:rPr>
      </w:pPr>
    </w:p>
    <w:sectPr>
      <w:footerReference r:id="rId7" w:type="default"/>
      <w:pgSz w:w="16838" w:h="11906" w:orient="landscape"/>
      <w:pgMar w:top="1134" w:right="964" w:bottom="1134" w:left="96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3EE2">
    <w:pPr>
      <w:pStyle w:val="4"/>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6BAE">
    <w:pPr>
      <w:pStyle w:val="4"/>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CCB0">
    <w:pPr>
      <w:pStyle w:val="4"/>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7536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77536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E9980">
    <w:pPr>
      <w:pStyle w:val="4"/>
      <w:jc w:val="center"/>
      <w:rPr>
        <w:rFonts w:hint="default"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240D">
    <w:pPr>
      <w:pStyle w:val="5"/>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A6B60"/>
    <w:multiLevelType w:val="singleLevel"/>
    <w:tmpl w:val="CE8A6B60"/>
    <w:lvl w:ilvl="0" w:tentative="0">
      <w:start w:val="3"/>
      <w:numFmt w:val="chineseCounting"/>
      <w:suff w:val="nothing"/>
      <w:lvlText w:val="第%1章、"/>
      <w:lvlJc w:val="left"/>
      <w:rPr>
        <w:rFonts w:hint="eastAsia"/>
      </w:rPr>
    </w:lvl>
  </w:abstractNum>
  <w:abstractNum w:abstractNumId="1">
    <w:nsid w:val="D1A8A8AA"/>
    <w:multiLevelType w:val="singleLevel"/>
    <w:tmpl w:val="D1A8A8A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TFiODhkYmZlNzk3ZjM0OThiZWE0NTIwOGJkZGMifQ=="/>
  </w:docVars>
  <w:rsids>
    <w:rsidRoot w:val="00172A27"/>
    <w:rsid w:val="000E7B1F"/>
    <w:rsid w:val="00133387"/>
    <w:rsid w:val="001D4206"/>
    <w:rsid w:val="0022181C"/>
    <w:rsid w:val="00240114"/>
    <w:rsid w:val="00247343"/>
    <w:rsid w:val="003F23CE"/>
    <w:rsid w:val="00494FFB"/>
    <w:rsid w:val="0055574E"/>
    <w:rsid w:val="005B4241"/>
    <w:rsid w:val="006308AB"/>
    <w:rsid w:val="006911F9"/>
    <w:rsid w:val="00732078"/>
    <w:rsid w:val="00735DDC"/>
    <w:rsid w:val="007E18FF"/>
    <w:rsid w:val="00863B59"/>
    <w:rsid w:val="008878D1"/>
    <w:rsid w:val="00942D05"/>
    <w:rsid w:val="00A7217D"/>
    <w:rsid w:val="00A87DE8"/>
    <w:rsid w:val="00B0507A"/>
    <w:rsid w:val="00BC757B"/>
    <w:rsid w:val="00D72607"/>
    <w:rsid w:val="00DC2680"/>
    <w:rsid w:val="00EE1E45"/>
    <w:rsid w:val="01037573"/>
    <w:rsid w:val="01286562"/>
    <w:rsid w:val="012F2443"/>
    <w:rsid w:val="012F2B13"/>
    <w:rsid w:val="01305439"/>
    <w:rsid w:val="01325A8F"/>
    <w:rsid w:val="01326F3B"/>
    <w:rsid w:val="01351803"/>
    <w:rsid w:val="014B361F"/>
    <w:rsid w:val="0156177E"/>
    <w:rsid w:val="015D207C"/>
    <w:rsid w:val="016814B1"/>
    <w:rsid w:val="01791910"/>
    <w:rsid w:val="017B7436"/>
    <w:rsid w:val="017F50C9"/>
    <w:rsid w:val="019978BC"/>
    <w:rsid w:val="01A71FD9"/>
    <w:rsid w:val="01AD3795"/>
    <w:rsid w:val="0210376E"/>
    <w:rsid w:val="02217FDE"/>
    <w:rsid w:val="02471A55"/>
    <w:rsid w:val="024E06A7"/>
    <w:rsid w:val="02895B83"/>
    <w:rsid w:val="028C20E4"/>
    <w:rsid w:val="0290648C"/>
    <w:rsid w:val="02A52D67"/>
    <w:rsid w:val="03024286"/>
    <w:rsid w:val="03061542"/>
    <w:rsid w:val="031418F0"/>
    <w:rsid w:val="03416159"/>
    <w:rsid w:val="03495361"/>
    <w:rsid w:val="03531ABE"/>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24217C"/>
    <w:rsid w:val="05571F68"/>
    <w:rsid w:val="055E32F7"/>
    <w:rsid w:val="055E648D"/>
    <w:rsid w:val="0563090D"/>
    <w:rsid w:val="05765DA0"/>
    <w:rsid w:val="057A50AF"/>
    <w:rsid w:val="058F1702"/>
    <w:rsid w:val="05B00870"/>
    <w:rsid w:val="05B94582"/>
    <w:rsid w:val="05CF7D50"/>
    <w:rsid w:val="05DC29A4"/>
    <w:rsid w:val="05E7046B"/>
    <w:rsid w:val="06071298"/>
    <w:rsid w:val="062A142B"/>
    <w:rsid w:val="062A31D9"/>
    <w:rsid w:val="06456265"/>
    <w:rsid w:val="064C13A1"/>
    <w:rsid w:val="065F1493"/>
    <w:rsid w:val="066A43D4"/>
    <w:rsid w:val="06732DD2"/>
    <w:rsid w:val="06994288"/>
    <w:rsid w:val="069A3EBB"/>
    <w:rsid w:val="069D0714"/>
    <w:rsid w:val="06B3319E"/>
    <w:rsid w:val="06B524FE"/>
    <w:rsid w:val="06CB49BC"/>
    <w:rsid w:val="06DB3895"/>
    <w:rsid w:val="06DC0977"/>
    <w:rsid w:val="070B4DB8"/>
    <w:rsid w:val="071E2D3E"/>
    <w:rsid w:val="071F6AB6"/>
    <w:rsid w:val="07222102"/>
    <w:rsid w:val="072916E2"/>
    <w:rsid w:val="072F06D6"/>
    <w:rsid w:val="07351E35"/>
    <w:rsid w:val="07402F73"/>
    <w:rsid w:val="074D44A4"/>
    <w:rsid w:val="076444C8"/>
    <w:rsid w:val="077438E7"/>
    <w:rsid w:val="078F7797"/>
    <w:rsid w:val="079B2A89"/>
    <w:rsid w:val="079C1EB4"/>
    <w:rsid w:val="07A72ABD"/>
    <w:rsid w:val="07E838FA"/>
    <w:rsid w:val="08005A40"/>
    <w:rsid w:val="08391A18"/>
    <w:rsid w:val="084762C4"/>
    <w:rsid w:val="08564322"/>
    <w:rsid w:val="085D5AE7"/>
    <w:rsid w:val="087674C3"/>
    <w:rsid w:val="087A1BF2"/>
    <w:rsid w:val="088C6DAF"/>
    <w:rsid w:val="08E04023"/>
    <w:rsid w:val="08EE7CFD"/>
    <w:rsid w:val="08EF01D5"/>
    <w:rsid w:val="08FD1E97"/>
    <w:rsid w:val="094B5940"/>
    <w:rsid w:val="0960032A"/>
    <w:rsid w:val="09615163"/>
    <w:rsid w:val="096D58B6"/>
    <w:rsid w:val="097F1A8E"/>
    <w:rsid w:val="09886B94"/>
    <w:rsid w:val="09A56D66"/>
    <w:rsid w:val="09BA4874"/>
    <w:rsid w:val="09C5399F"/>
    <w:rsid w:val="09D73678"/>
    <w:rsid w:val="09DF42DA"/>
    <w:rsid w:val="09FA34EB"/>
    <w:rsid w:val="0A026946"/>
    <w:rsid w:val="0A122CC5"/>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8B58FD"/>
    <w:rsid w:val="0BC4514F"/>
    <w:rsid w:val="0BCB2D68"/>
    <w:rsid w:val="0BDB744F"/>
    <w:rsid w:val="0BFF07E0"/>
    <w:rsid w:val="0C0128E1"/>
    <w:rsid w:val="0C14470F"/>
    <w:rsid w:val="0C1E558E"/>
    <w:rsid w:val="0C2010AC"/>
    <w:rsid w:val="0C4A2FCD"/>
    <w:rsid w:val="0C62191E"/>
    <w:rsid w:val="0CB3697F"/>
    <w:rsid w:val="0CB90E13"/>
    <w:rsid w:val="0CC25F19"/>
    <w:rsid w:val="0CD2303E"/>
    <w:rsid w:val="0CF2453E"/>
    <w:rsid w:val="0D042E1A"/>
    <w:rsid w:val="0D4913C1"/>
    <w:rsid w:val="0D660F9A"/>
    <w:rsid w:val="0D6945E7"/>
    <w:rsid w:val="0D962F4D"/>
    <w:rsid w:val="0DB05B63"/>
    <w:rsid w:val="0DBC6E0C"/>
    <w:rsid w:val="0DD35A97"/>
    <w:rsid w:val="0DF77E44"/>
    <w:rsid w:val="0E1518A1"/>
    <w:rsid w:val="0E2350DD"/>
    <w:rsid w:val="0E262ED1"/>
    <w:rsid w:val="0E2714DC"/>
    <w:rsid w:val="0E4928DC"/>
    <w:rsid w:val="0E754C08"/>
    <w:rsid w:val="0E84109E"/>
    <w:rsid w:val="0E8B4260"/>
    <w:rsid w:val="0EA64DF5"/>
    <w:rsid w:val="0EBC4BEA"/>
    <w:rsid w:val="0ED85EC8"/>
    <w:rsid w:val="0EDA7072"/>
    <w:rsid w:val="0EDC11FC"/>
    <w:rsid w:val="0EE26D46"/>
    <w:rsid w:val="0EE375D4"/>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A007F3"/>
    <w:rsid w:val="11AD0E6F"/>
    <w:rsid w:val="11AE31E0"/>
    <w:rsid w:val="11AE5258"/>
    <w:rsid w:val="11B147AE"/>
    <w:rsid w:val="11C113C0"/>
    <w:rsid w:val="11C646FD"/>
    <w:rsid w:val="11C9487C"/>
    <w:rsid w:val="11F56D91"/>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2FB6627"/>
    <w:rsid w:val="1308124D"/>
    <w:rsid w:val="130D494D"/>
    <w:rsid w:val="132C0590"/>
    <w:rsid w:val="133236CD"/>
    <w:rsid w:val="13370CE3"/>
    <w:rsid w:val="13386F35"/>
    <w:rsid w:val="13394A5B"/>
    <w:rsid w:val="133B7A1B"/>
    <w:rsid w:val="134A56E4"/>
    <w:rsid w:val="13651CF4"/>
    <w:rsid w:val="13A9398F"/>
    <w:rsid w:val="13B3480E"/>
    <w:rsid w:val="13BD568C"/>
    <w:rsid w:val="13C37A25"/>
    <w:rsid w:val="13E44DAF"/>
    <w:rsid w:val="13FB325E"/>
    <w:rsid w:val="1470712F"/>
    <w:rsid w:val="14AF76CB"/>
    <w:rsid w:val="14B22D17"/>
    <w:rsid w:val="14B35AB2"/>
    <w:rsid w:val="14B7032D"/>
    <w:rsid w:val="14BC1DE8"/>
    <w:rsid w:val="14C10EE2"/>
    <w:rsid w:val="14C201BA"/>
    <w:rsid w:val="14E31122"/>
    <w:rsid w:val="152621F6"/>
    <w:rsid w:val="1529148F"/>
    <w:rsid w:val="1542409B"/>
    <w:rsid w:val="15525C1B"/>
    <w:rsid w:val="155301D7"/>
    <w:rsid w:val="1557566D"/>
    <w:rsid w:val="15610299"/>
    <w:rsid w:val="15671D54"/>
    <w:rsid w:val="15724254"/>
    <w:rsid w:val="158C3568"/>
    <w:rsid w:val="158F270C"/>
    <w:rsid w:val="15984DE1"/>
    <w:rsid w:val="15A102CA"/>
    <w:rsid w:val="15B36931"/>
    <w:rsid w:val="15CF16A7"/>
    <w:rsid w:val="15EB50B1"/>
    <w:rsid w:val="15F26C5C"/>
    <w:rsid w:val="16095447"/>
    <w:rsid w:val="16197E6B"/>
    <w:rsid w:val="16281F12"/>
    <w:rsid w:val="16302145"/>
    <w:rsid w:val="16351E52"/>
    <w:rsid w:val="167043DB"/>
    <w:rsid w:val="16717081"/>
    <w:rsid w:val="167209B0"/>
    <w:rsid w:val="16750D36"/>
    <w:rsid w:val="16B014D8"/>
    <w:rsid w:val="16C17241"/>
    <w:rsid w:val="16ED5EAA"/>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AA33EB"/>
    <w:rsid w:val="1EAE6AE9"/>
    <w:rsid w:val="1EB55AAE"/>
    <w:rsid w:val="1EDE6925"/>
    <w:rsid w:val="1F066139"/>
    <w:rsid w:val="1F130856"/>
    <w:rsid w:val="1F2C36C6"/>
    <w:rsid w:val="1F2E743E"/>
    <w:rsid w:val="1F416D3C"/>
    <w:rsid w:val="1F4534F7"/>
    <w:rsid w:val="1F4E71EE"/>
    <w:rsid w:val="1F576995"/>
    <w:rsid w:val="1F5F550C"/>
    <w:rsid w:val="1F63358C"/>
    <w:rsid w:val="1F6D61B8"/>
    <w:rsid w:val="1F871243"/>
    <w:rsid w:val="1F9F033C"/>
    <w:rsid w:val="1FBD2E59"/>
    <w:rsid w:val="1FBF278C"/>
    <w:rsid w:val="1FD74634"/>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D23A2"/>
    <w:rsid w:val="21CF315A"/>
    <w:rsid w:val="21DE514B"/>
    <w:rsid w:val="21E07116"/>
    <w:rsid w:val="21EF55AB"/>
    <w:rsid w:val="21EF63FF"/>
    <w:rsid w:val="21F20BF7"/>
    <w:rsid w:val="2217065D"/>
    <w:rsid w:val="22293AE7"/>
    <w:rsid w:val="22317971"/>
    <w:rsid w:val="223615FD"/>
    <w:rsid w:val="22481B2B"/>
    <w:rsid w:val="226E1396"/>
    <w:rsid w:val="22793056"/>
    <w:rsid w:val="22832569"/>
    <w:rsid w:val="22835CF3"/>
    <w:rsid w:val="22971AE5"/>
    <w:rsid w:val="22992A4F"/>
    <w:rsid w:val="22B838F8"/>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2599A"/>
    <w:rsid w:val="2387457D"/>
    <w:rsid w:val="23C46955"/>
    <w:rsid w:val="23D20CE0"/>
    <w:rsid w:val="23D24851"/>
    <w:rsid w:val="23D507D0"/>
    <w:rsid w:val="23D83D9E"/>
    <w:rsid w:val="23DC56BB"/>
    <w:rsid w:val="23F5677C"/>
    <w:rsid w:val="23F63C20"/>
    <w:rsid w:val="240115C5"/>
    <w:rsid w:val="24101808"/>
    <w:rsid w:val="241C63FF"/>
    <w:rsid w:val="24226F43"/>
    <w:rsid w:val="24247062"/>
    <w:rsid w:val="2435126F"/>
    <w:rsid w:val="243A6885"/>
    <w:rsid w:val="246B4A33"/>
    <w:rsid w:val="2479115B"/>
    <w:rsid w:val="247B4ED4"/>
    <w:rsid w:val="24853FA4"/>
    <w:rsid w:val="24A2174F"/>
    <w:rsid w:val="24AA1A26"/>
    <w:rsid w:val="24C513B8"/>
    <w:rsid w:val="24F80254"/>
    <w:rsid w:val="25070E5D"/>
    <w:rsid w:val="250A6257"/>
    <w:rsid w:val="250E5D48"/>
    <w:rsid w:val="25165925"/>
    <w:rsid w:val="25294857"/>
    <w:rsid w:val="252F3F10"/>
    <w:rsid w:val="25382DC5"/>
    <w:rsid w:val="253E2E62"/>
    <w:rsid w:val="255614AE"/>
    <w:rsid w:val="255676EF"/>
    <w:rsid w:val="255A71DF"/>
    <w:rsid w:val="255D0A7D"/>
    <w:rsid w:val="25735262"/>
    <w:rsid w:val="25760913"/>
    <w:rsid w:val="259B2F08"/>
    <w:rsid w:val="25AB2680"/>
    <w:rsid w:val="25AC3A6A"/>
    <w:rsid w:val="25CE3E81"/>
    <w:rsid w:val="25D074A1"/>
    <w:rsid w:val="25D1631C"/>
    <w:rsid w:val="25D96C39"/>
    <w:rsid w:val="25ED0053"/>
    <w:rsid w:val="25FA451E"/>
    <w:rsid w:val="262C38E5"/>
    <w:rsid w:val="263F14EC"/>
    <w:rsid w:val="264D0AF2"/>
    <w:rsid w:val="265C5712"/>
    <w:rsid w:val="265D05FD"/>
    <w:rsid w:val="26622EB6"/>
    <w:rsid w:val="268A3AF4"/>
    <w:rsid w:val="26A10E3D"/>
    <w:rsid w:val="26A30712"/>
    <w:rsid w:val="26A51FB7"/>
    <w:rsid w:val="26A56238"/>
    <w:rsid w:val="26BA675A"/>
    <w:rsid w:val="26BE6631"/>
    <w:rsid w:val="26C03C58"/>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4B03BE"/>
    <w:rsid w:val="286D202F"/>
    <w:rsid w:val="28956780"/>
    <w:rsid w:val="28C52BC1"/>
    <w:rsid w:val="28C606E7"/>
    <w:rsid w:val="28CC69C1"/>
    <w:rsid w:val="28E27A7D"/>
    <w:rsid w:val="29085DCB"/>
    <w:rsid w:val="290D6316"/>
    <w:rsid w:val="291807B8"/>
    <w:rsid w:val="29352E3A"/>
    <w:rsid w:val="293F15D2"/>
    <w:rsid w:val="294A756A"/>
    <w:rsid w:val="295B01BA"/>
    <w:rsid w:val="295B1778"/>
    <w:rsid w:val="296E7D76"/>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A91661"/>
    <w:rsid w:val="2ABD3BC6"/>
    <w:rsid w:val="2ACD2201"/>
    <w:rsid w:val="2AE337D3"/>
    <w:rsid w:val="2AE55781"/>
    <w:rsid w:val="2AF7727E"/>
    <w:rsid w:val="2B04158B"/>
    <w:rsid w:val="2B1278E3"/>
    <w:rsid w:val="2B150495"/>
    <w:rsid w:val="2B177920"/>
    <w:rsid w:val="2B312C19"/>
    <w:rsid w:val="2B5A1960"/>
    <w:rsid w:val="2B637489"/>
    <w:rsid w:val="2B6C01DB"/>
    <w:rsid w:val="2B726905"/>
    <w:rsid w:val="2B8209DE"/>
    <w:rsid w:val="2B8D272F"/>
    <w:rsid w:val="2BA72A52"/>
    <w:rsid w:val="2BD27F42"/>
    <w:rsid w:val="2BE94E19"/>
    <w:rsid w:val="2BE96E2D"/>
    <w:rsid w:val="2BFF6DCF"/>
    <w:rsid w:val="2C1A1476"/>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89343E"/>
    <w:rsid w:val="2E9A4AF0"/>
    <w:rsid w:val="2EA75C11"/>
    <w:rsid w:val="2EAE017D"/>
    <w:rsid w:val="2EB01C1E"/>
    <w:rsid w:val="2EB13C87"/>
    <w:rsid w:val="2EC62A0D"/>
    <w:rsid w:val="2EC67693"/>
    <w:rsid w:val="2ECE6063"/>
    <w:rsid w:val="2ED753FC"/>
    <w:rsid w:val="2EE70552"/>
    <w:rsid w:val="2EE8585B"/>
    <w:rsid w:val="2EF064BE"/>
    <w:rsid w:val="2EF20488"/>
    <w:rsid w:val="2F0119DF"/>
    <w:rsid w:val="2F07062F"/>
    <w:rsid w:val="2F2717B8"/>
    <w:rsid w:val="2F3A39D1"/>
    <w:rsid w:val="2F3A3BDD"/>
    <w:rsid w:val="2F452CAE"/>
    <w:rsid w:val="2F5051AF"/>
    <w:rsid w:val="2F5922B5"/>
    <w:rsid w:val="2F6F3887"/>
    <w:rsid w:val="2F8224C5"/>
    <w:rsid w:val="2FA06136"/>
    <w:rsid w:val="2FA32702"/>
    <w:rsid w:val="2FC50467"/>
    <w:rsid w:val="2FC8743B"/>
    <w:rsid w:val="2FCA31B3"/>
    <w:rsid w:val="2FD2131E"/>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9D4EF3"/>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EC580C"/>
    <w:rsid w:val="32F95CB7"/>
    <w:rsid w:val="33010C9A"/>
    <w:rsid w:val="33244988"/>
    <w:rsid w:val="334E5EA9"/>
    <w:rsid w:val="337A64D0"/>
    <w:rsid w:val="33997124"/>
    <w:rsid w:val="33A65CE5"/>
    <w:rsid w:val="33AD7074"/>
    <w:rsid w:val="33B64277"/>
    <w:rsid w:val="33C76378"/>
    <w:rsid w:val="33D17B22"/>
    <w:rsid w:val="33D26ADA"/>
    <w:rsid w:val="33D62126"/>
    <w:rsid w:val="33DE722D"/>
    <w:rsid w:val="33E41C73"/>
    <w:rsid w:val="340C3D9A"/>
    <w:rsid w:val="34190265"/>
    <w:rsid w:val="342A6B27"/>
    <w:rsid w:val="34360E17"/>
    <w:rsid w:val="344D7F0F"/>
    <w:rsid w:val="3469049A"/>
    <w:rsid w:val="346E6B7F"/>
    <w:rsid w:val="34766B9C"/>
    <w:rsid w:val="3495532D"/>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9D02E4"/>
    <w:rsid w:val="35B75970"/>
    <w:rsid w:val="35C8513F"/>
    <w:rsid w:val="35D040D0"/>
    <w:rsid w:val="35D11499"/>
    <w:rsid w:val="35E03756"/>
    <w:rsid w:val="3607320C"/>
    <w:rsid w:val="360E0992"/>
    <w:rsid w:val="361707D4"/>
    <w:rsid w:val="361E1B63"/>
    <w:rsid w:val="36271315"/>
    <w:rsid w:val="36296D8F"/>
    <w:rsid w:val="363726A2"/>
    <w:rsid w:val="36394BEF"/>
    <w:rsid w:val="36454EF4"/>
    <w:rsid w:val="36480ED6"/>
    <w:rsid w:val="3667784E"/>
    <w:rsid w:val="366D5013"/>
    <w:rsid w:val="366E687E"/>
    <w:rsid w:val="368049F0"/>
    <w:rsid w:val="36897924"/>
    <w:rsid w:val="369B1405"/>
    <w:rsid w:val="36C46BAE"/>
    <w:rsid w:val="36C56482"/>
    <w:rsid w:val="36D45D93"/>
    <w:rsid w:val="36F9612C"/>
    <w:rsid w:val="372C02AF"/>
    <w:rsid w:val="373E7446"/>
    <w:rsid w:val="37427DCD"/>
    <w:rsid w:val="374D6BA3"/>
    <w:rsid w:val="376161AB"/>
    <w:rsid w:val="376E062B"/>
    <w:rsid w:val="37700298"/>
    <w:rsid w:val="3793032E"/>
    <w:rsid w:val="37AB17B4"/>
    <w:rsid w:val="37C14E9C"/>
    <w:rsid w:val="37D5597E"/>
    <w:rsid w:val="37FA1CAE"/>
    <w:rsid w:val="38003C16"/>
    <w:rsid w:val="38037262"/>
    <w:rsid w:val="38211DDE"/>
    <w:rsid w:val="382B3A22"/>
    <w:rsid w:val="385B0E4C"/>
    <w:rsid w:val="386717C0"/>
    <w:rsid w:val="38723425"/>
    <w:rsid w:val="38974AF0"/>
    <w:rsid w:val="38C34C43"/>
    <w:rsid w:val="38C95885"/>
    <w:rsid w:val="390019F4"/>
    <w:rsid w:val="391F631E"/>
    <w:rsid w:val="39202096"/>
    <w:rsid w:val="39422DEA"/>
    <w:rsid w:val="395D29A2"/>
    <w:rsid w:val="39CE1AF2"/>
    <w:rsid w:val="39E676B1"/>
    <w:rsid w:val="39F257E0"/>
    <w:rsid w:val="39F33306"/>
    <w:rsid w:val="39F96B6F"/>
    <w:rsid w:val="3A030AC5"/>
    <w:rsid w:val="3A06128C"/>
    <w:rsid w:val="3A3148AB"/>
    <w:rsid w:val="3A476A7B"/>
    <w:rsid w:val="3A542215"/>
    <w:rsid w:val="3A7301ED"/>
    <w:rsid w:val="3AA82343"/>
    <w:rsid w:val="3AAE28F1"/>
    <w:rsid w:val="3AB61C66"/>
    <w:rsid w:val="3AD924FC"/>
    <w:rsid w:val="3ADF1DF8"/>
    <w:rsid w:val="3AE315CD"/>
    <w:rsid w:val="3AEF1D20"/>
    <w:rsid w:val="3B29323F"/>
    <w:rsid w:val="3B2C6AD0"/>
    <w:rsid w:val="3B8033E1"/>
    <w:rsid w:val="3BA269FD"/>
    <w:rsid w:val="3BAB20EB"/>
    <w:rsid w:val="3BB379B1"/>
    <w:rsid w:val="3BBD3BCC"/>
    <w:rsid w:val="3BD11425"/>
    <w:rsid w:val="3BD6013A"/>
    <w:rsid w:val="3BF13876"/>
    <w:rsid w:val="3BFF2436"/>
    <w:rsid w:val="3C08753D"/>
    <w:rsid w:val="3C2C6246"/>
    <w:rsid w:val="3C2D083A"/>
    <w:rsid w:val="3C6A3D54"/>
    <w:rsid w:val="3C9E1C4F"/>
    <w:rsid w:val="3CCF40AD"/>
    <w:rsid w:val="3CE05AB2"/>
    <w:rsid w:val="3D1B504E"/>
    <w:rsid w:val="3D22018A"/>
    <w:rsid w:val="3D295E51"/>
    <w:rsid w:val="3D3B124C"/>
    <w:rsid w:val="3D3B2FFA"/>
    <w:rsid w:val="3D485717"/>
    <w:rsid w:val="3D657A24"/>
    <w:rsid w:val="3D6B7484"/>
    <w:rsid w:val="3D791D75"/>
    <w:rsid w:val="3D7D76FE"/>
    <w:rsid w:val="3D967432"/>
    <w:rsid w:val="3D9738AB"/>
    <w:rsid w:val="3DA17C5A"/>
    <w:rsid w:val="3DA94408"/>
    <w:rsid w:val="3DBD5738"/>
    <w:rsid w:val="3DD82F3F"/>
    <w:rsid w:val="3DE6565C"/>
    <w:rsid w:val="3DE6740A"/>
    <w:rsid w:val="3DE93FE1"/>
    <w:rsid w:val="3DEF2039"/>
    <w:rsid w:val="3E38014F"/>
    <w:rsid w:val="3E483C21"/>
    <w:rsid w:val="3E5C147A"/>
    <w:rsid w:val="3E66477A"/>
    <w:rsid w:val="3E6B5B61"/>
    <w:rsid w:val="3E7F160D"/>
    <w:rsid w:val="3EAA6689"/>
    <w:rsid w:val="3F0E2A92"/>
    <w:rsid w:val="3F0F2990"/>
    <w:rsid w:val="3F253F62"/>
    <w:rsid w:val="3F2921E6"/>
    <w:rsid w:val="3F5356B7"/>
    <w:rsid w:val="3F5F6009"/>
    <w:rsid w:val="3F7857D1"/>
    <w:rsid w:val="3F7D5A4F"/>
    <w:rsid w:val="3F9A21C7"/>
    <w:rsid w:val="3FB13A48"/>
    <w:rsid w:val="3FB172EB"/>
    <w:rsid w:val="3FBF43B6"/>
    <w:rsid w:val="3FCA68B7"/>
    <w:rsid w:val="3FD37E62"/>
    <w:rsid w:val="402D0145"/>
    <w:rsid w:val="403C77B5"/>
    <w:rsid w:val="407D1B7C"/>
    <w:rsid w:val="40884444"/>
    <w:rsid w:val="40A3112D"/>
    <w:rsid w:val="40A35A86"/>
    <w:rsid w:val="40A73B61"/>
    <w:rsid w:val="40BF3F42"/>
    <w:rsid w:val="40D03769"/>
    <w:rsid w:val="40D53EF1"/>
    <w:rsid w:val="40E24001"/>
    <w:rsid w:val="40FB141E"/>
    <w:rsid w:val="411B561D"/>
    <w:rsid w:val="412E12E8"/>
    <w:rsid w:val="4153338C"/>
    <w:rsid w:val="41581D4D"/>
    <w:rsid w:val="41656898"/>
    <w:rsid w:val="418D4040"/>
    <w:rsid w:val="419E7FFC"/>
    <w:rsid w:val="41B86D2C"/>
    <w:rsid w:val="41BC4BC7"/>
    <w:rsid w:val="41D028AB"/>
    <w:rsid w:val="41D94E01"/>
    <w:rsid w:val="41F95D14"/>
    <w:rsid w:val="42072045"/>
    <w:rsid w:val="42295B17"/>
    <w:rsid w:val="42336996"/>
    <w:rsid w:val="4239350C"/>
    <w:rsid w:val="42447849"/>
    <w:rsid w:val="426217EC"/>
    <w:rsid w:val="429D6505"/>
    <w:rsid w:val="42CC4BAF"/>
    <w:rsid w:val="42CE4911"/>
    <w:rsid w:val="42DC527F"/>
    <w:rsid w:val="42E171C0"/>
    <w:rsid w:val="42E2739A"/>
    <w:rsid w:val="42ED4D97"/>
    <w:rsid w:val="42F97BDF"/>
    <w:rsid w:val="432A5FEB"/>
    <w:rsid w:val="43452E25"/>
    <w:rsid w:val="43613324"/>
    <w:rsid w:val="4364553F"/>
    <w:rsid w:val="436E09FD"/>
    <w:rsid w:val="4374370A"/>
    <w:rsid w:val="43853221"/>
    <w:rsid w:val="43C81360"/>
    <w:rsid w:val="43EA254E"/>
    <w:rsid w:val="43F07682"/>
    <w:rsid w:val="43F3462F"/>
    <w:rsid w:val="4416031D"/>
    <w:rsid w:val="44167F08"/>
    <w:rsid w:val="44175E76"/>
    <w:rsid w:val="44231A85"/>
    <w:rsid w:val="442A3DC9"/>
    <w:rsid w:val="443973A6"/>
    <w:rsid w:val="445E6A7B"/>
    <w:rsid w:val="44703ED1"/>
    <w:rsid w:val="447A4D50"/>
    <w:rsid w:val="448230D6"/>
    <w:rsid w:val="449C4CC6"/>
    <w:rsid w:val="449F6565"/>
    <w:rsid w:val="44B601AD"/>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4E9A"/>
    <w:rsid w:val="45795008"/>
    <w:rsid w:val="459E4A6E"/>
    <w:rsid w:val="45AA241A"/>
    <w:rsid w:val="45BE0C6C"/>
    <w:rsid w:val="45C30031"/>
    <w:rsid w:val="46192347"/>
    <w:rsid w:val="464F6181"/>
    <w:rsid w:val="46671304"/>
    <w:rsid w:val="467342B8"/>
    <w:rsid w:val="46963997"/>
    <w:rsid w:val="46B02CAB"/>
    <w:rsid w:val="46D36999"/>
    <w:rsid w:val="46DD3374"/>
    <w:rsid w:val="46E75FA1"/>
    <w:rsid w:val="46EB7C68"/>
    <w:rsid w:val="47095F17"/>
    <w:rsid w:val="470D1EAB"/>
    <w:rsid w:val="472D4172"/>
    <w:rsid w:val="473B735A"/>
    <w:rsid w:val="47484C91"/>
    <w:rsid w:val="4749496A"/>
    <w:rsid w:val="474D04FA"/>
    <w:rsid w:val="475950F1"/>
    <w:rsid w:val="47633879"/>
    <w:rsid w:val="4766336A"/>
    <w:rsid w:val="47677A6F"/>
    <w:rsid w:val="47737D22"/>
    <w:rsid w:val="47942E2B"/>
    <w:rsid w:val="47C50090"/>
    <w:rsid w:val="47CB7671"/>
    <w:rsid w:val="47D41743"/>
    <w:rsid w:val="47E25E36"/>
    <w:rsid w:val="47E40B80"/>
    <w:rsid w:val="47FD07FD"/>
    <w:rsid w:val="48172BDB"/>
    <w:rsid w:val="48223734"/>
    <w:rsid w:val="483B2A48"/>
    <w:rsid w:val="484922A6"/>
    <w:rsid w:val="485960BF"/>
    <w:rsid w:val="486C71BD"/>
    <w:rsid w:val="4873378B"/>
    <w:rsid w:val="488A12DA"/>
    <w:rsid w:val="488E2B78"/>
    <w:rsid w:val="489A151D"/>
    <w:rsid w:val="48B40105"/>
    <w:rsid w:val="48B87BF5"/>
    <w:rsid w:val="48D72771"/>
    <w:rsid w:val="48E56510"/>
    <w:rsid w:val="48FD385A"/>
    <w:rsid w:val="493A4AAE"/>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42484"/>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4A5AF7"/>
    <w:rsid w:val="4C5365B2"/>
    <w:rsid w:val="4C6B78A2"/>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0B07EA"/>
    <w:rsid w:val="4E200716"/>
    <w:rsid w:val="4E30022D"/>
    <w:rsid w:val="4E482208"/>
    <w:rsid w:val="4E4F2DA9"/>
    <w:rsid w:val="4E5401B4"/>
    <w:rsid w:val="4E5B57DC"/>
    <w:rsid w:val="4E676B93"/>
    <w:rsid w:val="4E6D5DEE"/>
    <w:rsid w:val="4E740A62"/>
    <w:rsid w:val="4E766588"/>
    <w:rsid w:val="4EA6788D"/>
    <w:rsid w:val="4EB470B0"/>
    <w:rsid w:val="4EC76DE4"/>
    <w:rsid w:val="4ED90AFF"/>
    <w:rsid w:val="4EFE6975"/>
    <w:rsid w:val="4F1815E2"/>
    <w:rsid w:val="4F183BE6"/>
    <w:rsid w:val="4F336227"/>
    <w:rsid w:val="4F4F73A1"/>
    <w:rsid w:val="4F8E7901"/>
    <w:rsid w:val="4F9B059D"/>
    <w:rsid w:val="4FC9093A"/>
    <w:rsid w:val="4FCE41A2"/>
    <w:rsid w:val="4FD866CB"/>
    <w:rsid w:val="4FDC68BF"/>
    <w:rsid w:val="4FE94B38"/>
    <w:rsid w:val="4FEA5EB5"/>
    <w:rsid w:val="4FEB04D3"/>
    <w:rsid w:val="4FF9121F"/>
    <w:rsid w:val="501740DB"/>
    <w:rsid w:val="505B3C87"/>
    <w:rsid w:val="505D7058"/>
    <w:rsid w:val="507A1C34"/>
    <w:rsid w:val="509C7DFC"/>
    <w:rsid w:val="50B43398"/>
    <w:rsid w:val="50C00528"/>
    <w:rsid w:val="50C11611"/>
    <w:rsid w:val="50C25AB5"/>
    <w:rsid w:val="50C35389"/>
    <w:rsid w:val="50D137D5"/>
    <w:rsid w:val="50F84F5E"/>
    <w:rsid w:val="51112598"/>
    <w:rsid w:val="5120603F"/>
    <w:rsid w:val="51206ED5"/>
    <w:rsid w:val="51302E35"/>
    <w:rsid w:val="51422684"/>
    <w:rsid w:val="514C35D0"/>
    <w:rsid w:val="51667392"/>
    <w:rsid w:val="51825244"/>
    <w:rsid w:val="51B01DB1"/>
    <w:rsid w:val="51BC4CC0"/>
    <w:rsid w:val="51DA6E2E"/>
    <w:rsid w:val="51F872B4"/>
    <w:rsid w:val="51FC0A11"/>
    <w:rsid w:val="521C7446"/>
    <w:rsid w:val="523B33F4"/>
    <w:rsid w:val="52417FCB"/>
    <w:rsid w:val="526606C2"/>
    <w:rsid w:val="528172AA"/>
    <w:rsid w:val="52892C4F"/>
    <w:rsid w:val="529C1904"/>
    <w:rsid w:val="529F12A2"/>
    <w:rsid w:val="52B753C1"/>
    <w:rsid w:val="52D209C6"/>
    <w:rsid w:val="52DB4271"/>
    <w:rsid w:val="530138E1"/>
    <w:rsid w:val="530F0D59"/>
    <w:rsid w:val="531613D5"/>
    <w:rsid w:val="5324020D"/>
    <w:rsid w:val="532A5B93"/>
    <w:rsid w:val="533267F6"/>
    <w:rsid w:val="535B036B"/>
    <w:rsid w:val="535E4700"/>
    <w:rsid w:val="536B2FE6"/>
    <w:rsid w:val="536E3CD2"/>
    <w:rsid w:val="53715737"/>
    <w:rsid w:val="5373753A"/>
    <w:rsid w:val="537D5CC3"/>
    <w:rsid w:val="53987A46"/>
    <w:rsid w:val="53BB4A3D"/>
    <w:rsid w:val="53E24C4B"/>
    <w:rsid w:val="53F37C05"/>
    <w:rsid w:val="540B7EB5"/>
    <w:rsid w:val="540E1011"/>
    <w:rsid w:val="54297BF9"/>
    <w:rsid w:val="5436445F"/>
    <w:rsid w:val="54365B47"/>
    <w:rsid w:val="543F7869"/>
    <w:rsid w:val="544B5DC1"/>
    <w:rsid w:val="545033D7"/>
    <w:rsid w:val="54D20290"/>
    <w:rsid w:val="54D67D81"/>
    <w:rsid w:val="54E2482B"/>
    <w:rsid w:val="54E56216"/>
    <w:rsid w:val="54F47B28"/>
    <w:rsid w:val="550F6DEF"/>
    <w:rsid w:val="553B73E2"/>
    <w:rsid w:val="554051FA"/>
    <w:rsid w:val="55473338"/>
    <w:rsid w:val="55833339"/>
    <w:rsid w:val="559429E6"/>
    <w:rsid w:val="55BC3F54"/>
    <w:rsid w:val="55FC07CB"/>
    <w:rsid w:val="560721BC"/>
    <w:rsid w:val="561E0C30"/>
    <w:rsid w:val="561F12B3"/>
    <w:rsid w:val="562B7C58"/>
    <w:rsid w:val="563D798B"/>
    <w:rsid w:val="56561738"/>
    <w:rsid w:val="56602B8B"/>
    <w:rsid w:val="56617B1E"/>
    <w:rsid w:val="56763E09"/>
    <w:rsid w:val="568071EB"/>
    <w:rsid w:val="568E3A93"/>
    <w:rsid w:val="56B52D87"/>
    <w:rsid w:val="56C1680E"/>
    <w:rsid w:val="56CC00BF"/>
    <w:rsid w:val="56EF6ED8"/>
    <w:rsid w:val="570979E2"/>
    <w:rsid w:val="571C3A45"/>
    <w:rsid w:val="571C57F3"/>
    <w:rsid w:val="571D1826"/>
    <w:rsid w:val="573219E8"/>
    <w:rsid w:val="57362D58"/>
    <w:rsid w:val="573C5E95"/>
    <w:rsid w:val="5743331B"/>
    <w:rsid w:val="57541431"/>
    <w:rsid w:val="575431DF"/>
    <w:rsid w:val="576462DE"/>
    <w:rsid w:val="57737EC4"/>
    <w:rsid w:val="5785783C"/>
    <w:rsid w:val="57947A7F"/>
    <w:rsid w:val="57A86BE1"/>
    <w:rsid w:val="57CB5B25"/>
    <w:rsid w:val="57E44562"/>
    <w:rsid w:val="57EB4490"/>
    <w:rsid w:val="57EC1669"/>
    <w:rsid w:val="580449F9"/>
    <w:rsid w:val="581D0F85"/>
    <w:rsid w:val="582C5F09"/>
    <w:rsid w:val="58311772"/>
    <w:rsid w:val="58337298"/>
    <w:rsid w:val="58873140"/>
    <w:rsid w:val="58935F89"/>
    <w:rsid w:val="589D44DF"/>
    <w:rsid w:val="58A63441"/>
    <w:rsid w:val="58BF28DA"/>
    <w:rsid w:val="58D00AF4"/>
    <w:rsid w:val="58DE1D8C"/>
    <w:rsid w:val="58F06F37"/>
    <w:rsid w:val="58F44C79"/>
    <w:rsid w:val="58F702C5"/>
    <w:rsid w:val="5919648E"/>
    <w:rsid w:val="591A5DA5"/>
    <w:rsid w:val="59337D32"/>
    <w:rsid w:val="598A550B"/>
    <w:rsid w:val="599C09DC"/>
    <w:rsid w:val="599D70BF"/>
    <w:rsid w:val="59BA6FCD"/>
    <w:rsid w:val="59C36C5B"/>
    <w:rsid w:val="59CC3500"/>
    <w:rsid w:val="59D14FBA"/>
    <w:rsid w:val="59EE3017"/>
    <w:rsid w:val="59F1323B"/>
    <w:rsid w:val="5A0D0436"/>
    <w:rsid w:val="5A2C0443"/>
    <w:rsid w:val="5A434692"/>
    <w:rsid w:val="5A5B2AD6"/>
    <w:rsid w:val="5A7B0A82"/>
    <w:rsid w:val="5A86410C"/>
    <w:rsid w:val="5A9B2ED2"/>
    <w:rsid w:val="5AAE0E58"/>
    <w:rsid w:val="5AC32B55"/>
    <w:rsid w:val="5ADF3707"/>
    <w:rsid w:val="5AF56A87"/>
    <w:rsid w:val="5AFE1DDF"/>
    <w:rsid w:val="5B1433B1"/>
    <w:rsid w:val="5B1E5FDD"/>
    <w:rsid w:val="5B264B73"/>
    <w:rsid w:val="5B2A2BD4"/>
    <w:rsid w:val="5B5E462C"/>
    <w:rsid w:val="5B5F1393"/>
    <w:rsid w:val="5B5F2152"/>
    <w:rsid w:val="5B687BD4"/>
    <w:rsid w:val="5B6B6D49"/>
    <w:rsid w:val="5B9535F4"/>
    <w:rsid w:val="5B991B08"/>
    <w:rsid w:val="5B9938B6"/>
    <w:rsid w:val="5BC528FD"/>
    <w:rsid w:val="5BC8419B"/>
    <w:rsid w:val="5BD26DC8"/>
    <w:rsid w:val="5BDE576D"/>
    <w:rsid w:val="5BE910AD"/>
    <w:rsid w:val="5C0B4CB9"/>
    <w:rsid w:val="5C0D0AE7"/>
    <w:rsid w:val="5C2018E1"/>
    <w:rsid w:val="5C2C0286"/>
    <w:rsid w:val="5C2C297C"/>
    <w:rsid w:val="5C2E2250"/>
    <w:rsid w:val="5C753B41"/>
    <w:rsid w:val="5C7D31D8"/>
    <w:rsid w:val="5C870D7B"/>
    <w:rsid w:val="5C9B540C"/>
    <w:rsid w:val="5CC22486"/>
    <w:rsid w:val="5CC76A05"/>
    <w:rsid w:val="5CE05C01"/>
    <w:rsid w:val="5D1C654D"/>
    <w:rsid w:val="5D2015DA"/>
    <w:rsid w:val="5D213B63"/>
    <w:rsid w:val="5D226CFA"/>
    <w:rsid w:val="5D2C2695"/>
    <w:rsid w:val="5D2D69AC"/>
    <w:rsid w:val="5D3F66DF"/>
    <w:rsid w:val="5D912C18"/>
    <w:rsid w:val="5D9702C9"/>
    <w:rsid w:val="5DA85633"/>
    <w:rsid w:val="5DB91FED"/>
    <w:rsid w:val="5DC07B22"/>
    <w:rsid w:val="5DC2175C"/>
    <w:rsid w:val="5DF63972"/>
    <w:rsid w:val="5DFC012C"/>
    <w:rsid w:val="5E080D42"/>
    <w:rsid w:val="5E0A45F7"/>
    <w:rsid w:val="5E2E0A91"/>
    <w:rsid w:val="5E345B18"/>
    <w:rsid w:val="5E36132D"/>
    <w:rsid w:val="5E451AD3"/>
    <w:rsid w:val="5E792572"/>
    <w:rsid w:val="5ED6597D"/>
    <w:rsid w:val="5ED94AAC"/>
    <w:rsid w:val="5EDD61AF"/>
    <w:rsid w:val="5EFC6636"/>
    <w:rsid w:val="5F076D88"/>
    <w:rsid w:val="5F37766E"/>
    <w:rsid w:val="5F5F532C"/>
    <w:rsid w:val="5F6D308F"/>
    <w:rsid w:val="5F7466FE"/>
    <w:rsid w:val="5F7A755A"/>
    <w:rsid w:val="5F863542"/>
    <w:rsid w:val="5FAE4D62"/>
    <w:rsid w:val="5FB20274"/>
    <w:rsid w:val="5FEB709A"/>
    <w:rsid w:val="5FFC7BC4"/>
    <w:rsid w:val="60182CB2"/>
    <w:rsid w:val="60287A9B"/>
    <w:rsid w:val="60326810"/>
    <w:rsid w:val="6042451C"/>
    <w:rsid w:val="60687CFB"/>
    <w:rsid w:val="60725D44"/>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548B3"/>
    <w:rsid w:val="621C5BA9"/>
    <w:rsid w:val="62427522"/>
    <w:rsid w:val="624F23FA"/>
    <w:rsid w:val="62514EEA"/>
    <w:rsid w:val="62736350"/>
    <w:rsid w:val="62763D02"/>
    <w:rsid w:val="628506F0"/>
    <w:rsid w:val="629D5157"/>
    <w:rsid w:val="62CC2BB0"/>
    <w:rsid w:val="62EB3A25"/>
    <w:rsid w:val="63007EF6"/>
    <w:rsid w:val="63185A08"/>
    <w:rsid w:val="6320666B"/>
    <w:rsid w:val="632C5010"/>
    <w:rsid w:val="634B4821"/>
    <w:rsid w:val="636D1FAC"/>
    <w:rsid w:val="63712083"/>
    <w:rsid w:val="63936E3D"/>
    <w:rsid w:val="63BA479C"/>
    <w:rsid w:val="63C139AA"/>
    <w:rsid w:val="63D00091"/>
    <w:rsid w:val="63D368D7"/>
    <w:rsid w:val="63F35B2D"/>
    <w:rsid w:val="640A5918"/>
    <w:rsid w:val="640D6BEF"/>
    <w:rsid w:val="641F3554"/>
    <w:rsid w:val="64233706"/>
    <w:rsid w:val="64265F03"/>
    <w:rsid w:val="6432550D"/>
    <w:rsid w:val="64371EBE"/>
    <w:rsid w:val="64426DE8"/>
    <w:rsid w:val="644F5459"/>
    <w:rsid w:val="645A795A"/>
    <w:rsid w:val="64686B51"/>
    <w:rsid w:val="647C1FC7"/>
    <w:rsid w:val="647D6C6E"/>
    <w:rsid w:val="648A0240"/>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D01C39"/>
    <w:rsid w:val="65F904A0"/>
    <w:rsid w:val="66044E06"/>
    <w:rsid w:val="66197FF3"/>
    <w:rsid w:val="664509E2"/>
    <w:rsid w:val="66496A71"/>
    <w:rsid w:val="66967370"/>
    <w:rsid w:val="66C537B1"/>
    <w:rsid w:val="66E005EB"/>
    <w:rsid w:val="66E16111"/>
    <w:rsid w:val="66E55A02"/>
    <w:rsid w:val="66F37636"/>
    <w:rsid w:val="670A2DA3"/>
    <w:rsid w:val="67472418"/>
    <w:rsid w:val="675B0722"/>
    <w:rsid w:val="6762124F"/>
    <w:rsid w:val="676273A8"/>
    <w:rsid w:val="677A0EB9"/>
    <w:rsid w:val="678B2407"/>
    <w:rsid w:val="67A4786A"/>
    <w:rsid w:val="67B101D9"/>
    <w:rsid w:val="67B42433"/>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DC3E4A"/>
    <w:rsid w:val="69F566F5"/>
    <w:rsid w:val="69FA7C16"/>
    <w:rsid w:val="6A170B7C"/>
    <w:rsid w:val="6A2151A2"/>
    <w:rsid w:val="6A2627B9"/>
    <w:rsid w:val="6A2702BC"/>
    <w:rsid w:val="6A331379"/>
    <w:rsid w:val="6A3C1FDC"/>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23440"/>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B85BF5"/>
    <w:rsid w:val="6CD01102"/>
    <w:rsid w:val="6CD75FEC"/>
    <w:rsid w:val="6CDE737B"/>
    <w:rsid w:val="6CE24244"/>
    <w:rsid w:val="6CE36FC8"/>
    <w:rsid w:val="6D176D30"/>
    <w:rsid w:val="6D1F7993"/>
    <w:rsid w:val="6D207198"/>
    <w:rsid w:val="6D2232F1"/>
    <w:rsid w:val="6D4A0EB4"/>
    <w:rsid w:val="6D975A3E"/>
    <w:rsid w:val="6D9914F3"/>
    <w:rsid w:val="6DAD528E"/>
    <w:rsid w:val="6DBF7D15"/>
    <w:rsid w:val="6DDB21D3"/>
    <w:rsid w:val="6DDF5000"/>
    <w:rsid w:val="6DE24C48"/>
    <w:rsid w:val="6DF41CE2"/>
    <w:rsid w:val="6E160D96"/>
    <w:rsid w:val="6E1F3036"/>
    <w:rsid w:val="6E2C05BA"/>
    <w:rsid w:val="6E3000AA"/>
    <w:rsid w:val="6E3B3456"/>
    <w:rsid w:val="6E453A31"/>
    <w:rsid w:val="6E4E22DE"/>
    <w:rsid w:val="6E645FA5"/>
    <w:rsid w:val="6E751F61"/>
    <w:rsid w:val="6E810366"/>
    <w:rsid w:val="6E881C94"/>
    <w:rsid w:val="6EC364B5"/>
    <w:rsid w:val="6EC407F2"/>
    <w:rsid w:val="6EE449F0"/>
    <w:rsid w:val="6EF62128"/>
    <w:rsid w:val="6F3239AE"/>
    <w:rsid w:val="6F4C2993"/>
    <w:rsid w:val="6F5F0599"/>
    <w:rsid w:val="6F765F90"/>
    <w:rsid w:val="6F7B35A7"/>
    <w:rsid w:val="6FB22D40"/>
    <w:rsid w:val="6FB90620"/>
    <w:rsid w:val="6FDC1B6B"/>
    <w:rsid w:val="6FE0165C"/>
    <w:rsid w:val="6FE90800"/>
    <w:rsid w:val="701D465E"/>
    <w:rsid w:val="7023779A"/>
    <w:rsid w:val="702754DC"/>
    <w:rsid w:val="70281CF1"/>
    <w:rsid w:val="702F4391"/>
    <w:rsid w:val="70463DEA"/>
    <w:rsid w:val="705B0CE2"/>
    <w:rsid w:val="706C2EEF"/>
    <w:rsid w:val="706E4EB9"/>
    <w:rsid w:val="707B1384"/>
    <w:rsid w:val="70B97A34"/>
    <w:rsid w:val="70BE3020"/>
    <w:rsid w:val="70C42D2B"/>
    <w:rsid w:val="70E0072F"/>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F37EB8"/>
    <w:rsid w:val="72F71196"/>
    <w:rsid w:val="73190D85"/>
    <w:rsid w:val="731F693F"/>
    <w:rsid w:val="732E6B82"/>
    <w:rsid w:val="734C3D25"/>
    <w:rsid w:val="735B52CD"/>
    <w:rsid w:val="73634A7D"/>
    <w:rsid w:val="736425A4"/>
    <w:rsid w:val="7372081D"/>
    <w:rsid w:val="738343C3"/>
    <w:rsid w:val="73F90F3E"/>
    <w:rsid w:val="7419338E"/>
    <w:rsid w:val="74341F76"/>
    <w:rsid w:val="74485A21"/>
    <w:rsid w:val="745D50A1"/>
    <w:rsid w:val="745D7A02"/>
    <w:rsid w:val="746E5488"/>
    <w:rsid w:val="74BE7A92"/>
    <w:rsid w:val="74D42813"/>
    <w:rsid w:val="750D2EF3"/>
    <w:rsid w:val="751F654B"/>
    <w:rsid w:val="752D5343"/>
    <w:rsid w:val="75322959"/>
    <w:rsid w:val="753C5586"/>
    <w:rsid w:val="75686BCC"/>
    <w:rsid w:val="75693EA1"/>
    <w:rsid w:val="75752846"/>
    <w:rsid w:val="75842A89"/>
    <w:rsid w:val="75932CCC"/>
    <w:rsid w:val="75955852"/>
    <w:rsid w:val="75A754F8"/>
    <w:rsid w:val="75AF45AE"/>
    <w:rsid w:val="75B275F6"/>
    <w:rsid w:val="75D237F5"/>
    <w:rsid w:val="75DE03EB"/>
    <w:rsid w:val="75F94992"/>
    <w:rsid w:val="760D7FB3"/>
    <w:rsid w:val="76391AC6"/>
    <w:rsid w:val="764346F2"/>
    <w:rsid w:val="7645046A"/>
    <w:rsid w:val="764C557E"/>
    <w:rsid w:val="765C57B4"/>
    <w:rsid w:val="767174B1"/>
    <w:rsid w:val="76780840"/>
    <w:rsid w:val="76783F68"/>
    <w:rsid w:val="76793892"/>
    <w:rsid w:val="7687068A"/>
    <w:rsid w:val="76941B1A"/>
    <w:rsid w:val="76AD7DBE"/>
    <w:rsid w:val="76C64B8C"/>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A6280"/>
    <w:rsid w:val="794C5FB4"/>
    <w:rsid w:val="79716072"/>
    <w:rsid w:val="79735687"/>
    <w:rsid w:val="797A667D"/>
    <w:rsid w:val="797D43BF"/>
    <w:rsid w:val="79870D9A"/>
    <w:rsid w:val="79951DB2"/>
    <w:rsid w:val="79993610"/>
    <w:rsid w:val="79B81A3C"/>
    <w:rsid w:val="79C478F8"/>
    <w:rsid w:val="79DD60B2"/>
    <w:rsid w:val="79EA1A55"/>
    <w:rsid w:val="79FA5A10"/>
    <w:rsid w:val="79FF6B82"/>
    <w:rsid w:val="7A2D118F"/>
    <w:rsid w:val="7A356A48"/>
    <w:rsid w:val="7A454EDD"/>
    <w:rsid w:val="7A532341"/>
    <w:rsid w:val="7A551C2F"/>
    <w:rsid w:val="7A5769BE"/>
    <w:rsid w:val="7A5B4CFF"/>
    <w:rsid w:val="7A8157E9"/>
    <w:rsid w:val="7A833F3B"/>
    <w:rsid w:val="7AAF1A3A"/>
    <w:rsid w:val="7AE26947"/>
    <w:rsid w:val="7AF661D7"/>
    <w:rsid w:val="7AF75AAB"/>
    <w:rsid w:val="7B220D7A"/>
    <w:rsid w:val="7B2F3497"/>
    <w:rsid w:val="7B2F5245"/>
    <w:rsid w:val="7B430CF1"/>
    <w:rsid w:val="7B5237E2"/>
    <w:rsid w:val="7B786BEC"/>
    <w:rsid w:val="7B89373C"/>
    <w:rsid w:val="7B940C71"/>
    <w:rsid w:val="7BA7127F"/>
    <w:rsid w:val="7BBA7D61"/>
    <w:rsid w:val="7BC24845"/>
    <w:rsid w:val="7C1B6D69"/>
    <w:rsid w:val="7C22691E"/>
    <w:rsid w:val="7C374C0D"/>
    <w:rsid w:val="7C430CD5"/>
    <w:rsid w:val="7C4371FA"/>
    <w:rsid w:val="7C796B83"/>
    <w:rsid w:val="7C7C270C"/>
    <w:rsid w:val="7C913580"/>
    <w:rsid w:val="7CA659DB"/>
    <w:rsid w:val="7CCB222D"/>
    <w:rsid w:val="7CD24A22"/>
    <w:rsid w:val="7CD930BA"/>
    <w:rsid w:val="7CFE0C47"/>
    <w:rsid w:val="7D006E99"/>
    <w:rsid w:val="7D2A08F5"/>
    <w:rsid w:val="7D2C6D56"/>
    <w:rsid w:val="7D2F59D0"/>
    <w:rsid w:val="7D4F5B8A"/>
    <w:rsid w:val="7D517499"/>
    <w:rsid w:val="7D6F401F"/>
    <w:rsid w:val="7D752025"/>
    <w:rsid w:val="7D9D0B8C"/>
    <w:rsid w:val="7D9F1E09"/>
    <w:rsid w:val="7DA168CE"/>
    <w:rsid w:val="7DA56368"/>
    <w:rsid w:val="7DBB54B6"/>
    <w:rsid w:val="7DDD542C"/>
    <w:rsid w:val="7E0368D8"/>
    <w:rsid w:val="7E335125"/>
    <w:rsid w:val="7E4159BB"/>
    <w:rsid w:val="7E553215"/>
    <w:rsid w:val="7E7044F2"/>
    <w:rsid w:val="7E7B31DC"/>
    <w:rsid w:val="7E9235AA"/>
    <w:rsid w:val="7ECA21EB"/>
    <w:rsid w:val="7ED2135E"/>
    <w:rsid w:val="7EE01021"/>
    <w:rsid w:val="7EE5787B"/>
    <w:rsid w:val="7EED78F1"/>
    <w:rsid w:val="7EFB4FBB"/>
    <w:rsid w:val="7F07123A"/>
    <w:rsid w:val="7F2E23E3"/>
    <w:rsid w:val="7F2F641F"/>
    <w:rsid w:val="7F390F10"/>
    <w:rsid w:val="7F4E65E2"/>
    <w:rsid w:val="7F687745"/>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7">
    <w:name w:val="toc 2"/>
    <w:basedOn w:val="1"/>
    <w:next w:val="1"/>
    <w:qFormat/>
    <w:uiPriority w:val="0"/>
    <w:pPr>
      <w:ind w:left="420" w:leftChars="200"/>
    </w:pPr>
  </w:style>
  <w:style w:type="paragraph" w:styleId="8">
    <w:name w:val="Body Text First Indent 2"/>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41"/>
    <w:basedOn w:val="11"/>
    <w:qFormat/>
    <w:uiPriority w:val="0"/>
    <w:rPr>
      <w:rFonts w:hint="eastAsia" w:ascii="宋体" w:hAnsi="宋体" w:eastAsia="宋体" w:cs="宋体"/>
      <w:color w:val="000000"/>
      <w:sz w:val="24"/>
      <w:szCs w:val="24"/>
      <w:u w:val="none"/>
    </w:rPr>
  </w:style>
  <w:style w:type="character" w:customStyle="1" w:styleId="17">
    <w:name w:val="font101"/>
    <w:basedOn w:val="11"/>
    <w:qFormat/>
    <w:uiPriority w:val="0"/>
    <w:rPr>
      <w:rFonts w:hint="eastAsia" w:ascii="宋体" w:hAnsi="宋体" w:eastAsia="宋体" w:cs="宋体"/>
      <w:color w:val="FF0000"/>
      <w:sz w:val="24"/>
      <w:szCs w:val="24"/>
      <w:u w:val="none"/>
    </w:rPr>
  </w:style>
  <w:style w:type="character" w:customStyle="1" w:styleId="18">
    <w:name w:val="font61"/>
    <w:basedOn w:val="11"/>
    <w:qFormat/>
    <w:uiPriority w:val="0"/>
    <w:rPr>
      <w:rFonts w:hint="eastAsia" w:ascii="宋体" w:hAnsi="宋体" w:eastAsia="宋体" w:cs="宋体"/>
      <w:color w:val="000000"/>
      <w:sz w:val="24"/>
      <w:szCs w:val="24"/>
      <w:u w:val="none"/>
    </w:rPr>
  </w:style>
  <w:style w:type="character" w:customStyle="1" w:styleId="19">
    <w:name w:val="font111"/>
    <w:basedOn w:val="11"/>
    <w:qFormat/>
    <w:uiPriority w:val="0"/>
    <w:rPr>
      <w:rFonts w:hint="eastAsia" w:ascii="宋体" w:hAnsi="宋体" w:eastAsia="宋体" w:cs="宋体"/>
      <w:color w:val="FF0000"/>
      <w:sz w:val="24"/>
      <w:szCs w:val="24"/>
      <w:u w:val="none"/>
    </w:rPr>
  </w:style>
  <w:style w:type="character" w:customStyle="1" w:styleId="20">
    <w:name w:val="font81"/>
    <w:basedOn w:val="11"/>
    <w:qFormat/>
    <w:uiPriority w:val="0"/>
    <w:rPr>
      <w:rFonts w:hint="eastAsia" w:ascii="宋体" w:hAnsi="宋体" w:eastAsia="宋体" w:cs="宋体"/>
      <w:color w:val="000000"/>
      <w:sz w:val="24"/>
      <w:szCs w:val="24"/>
      <w:u w:val="none"/>
    </w:rPr>
  </w:style>
  <w:style w:type="character" w:customStyle="1" w:styleId="21">
    <w:name w:val="font132"/>
    <w:basedOn w:val="11"/>
    <w:qFormat/>
    <w:uiPriority w:val="0"/>
    <w:rPr>
      <w:rFonts w:hint="eastAsia" w:ascii="宋体" w:hAnsi="宋体" w:eastAsia="宋体" w:cs="宋体"/>
      <w:color w:val="FF0000"/>
      <w:sz w:val="24"/>
      <w:szCs w:val="24"/>
      <w:u w:val="single"/>
    </w:rPr>
  </w:style>
  <w:style w:type="character" w:customStyle="1" w:styleId="22">
    <w:name w:val="font141"/>
    <w:basedOn w:val="11"/>
    <w:qFormat/>
    <w:uiPriority w:val="0"/>
    <w:rPr>
      <w:rFonts w:hint="eastAsia" w:ascii="宋体" w:hAnsi="宋体" w:eastAsia="宋体" w:cs="宋体"/>
      <w:color w:val="000000"/>
      <w:sz w:val="24"/>
      <w:szCs w:val="24"/>
      <w:u w:val="single"/>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character" w:customStyle="1" w:styleId="24">
    <w:name w:val="font71"/>
    <w:basedOn w:val="11"/>
    <w:qFormat/>
    <w:uiPriority w:val="0"/>
    <w:rPr>
      <w:rFonts w:hint="eastAsia" w:ascii="宋体" w:hAnsi="宋体" w:eastAsia="宋体" w:cs="宋体"/>
      <w:color w:val="FF0000"/>
      <w:sz w:val="24"/>
      <w:szCs w:val="24"/>
      <w:u w:val="none"/>
    </w:rPr>
  </w:style>
  <w:style w:type="paragraph" w:customStyle="1" w:styleId="25">
    <w:name w:val="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21191</Words>
  <Characters>22181</Characters>
  <Lines>0</Lines>
  <Paragraphs>0</Paragraphs>
  <TotalTime>1</TotalTime>
  <ScaleCrop>false</ScaleCrop>
  <LinksUpToDate>false</LinksUpToDate>
  <CharactersWithSpaces>23641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2024-12-04T08:18:00Z</cp:lastPrinted>
  <dcterms:modified xsi:type="dcterms:W3CDTF">2025-05-06T01:00:51Z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BF9E82BAF37148A6BEB9AD6E42F2AAAF_13</vt:lpwstr>
  </property>
  <property fmtid="{D5CDD505-2E9C-101B-9397-08002B2CF9AE}" pid="4" name="KSOTemplateDocerSaveRecord">
    <vt:lpwstr>eyJoZGlkIjoiZTZlZWQxYjNiOGQwOWQ3ZDcwYzI4ZTE0M2ZhZmIzYTgiLCJ1c2VySWQiOiIzMjYyOTIwOTcifQ==</vt:lpwstr>
  </property>
</Properties>
</file>