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B920">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highlight w:val="none"/>
          <w:shd w:val="clear" w:color="auto" w:fill="auto"/>
          <w:lang w:val="en-US" w:eastAsia="zh-CN"/>
        </w:rPr>
        <w:t xml:space="preserve"> </w:t>
      </w:r>
    </w:p>
    <w:p w14:paraId="65ACA94F">
      <w:pPr>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60325</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14:paraId="01570225">
      <w:pPr>
        <w:jc w:val="both"/>
        <w:rPr>
          <w:rFonts w:hint="eastAsia" w:ascii="仿宋" w:hAnsi="仿宋" w:eastAsia="仿宋" w:cs="仿宋"/>
          <w:color w:val="auto"/>
          <w:highlight w:val="none"/>
          <w:shd w:val="clear" w:color="auto" w:fill="auto"/>
          <w:lang w:val="en-US" w:eastAsia="zh-CN"/>
        </w:rPr>
      </w:pPr>
    </w:p>
    <w:p w14:paraId="3FBF7F9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10535"/>
      <w:bookmarkStart w:id="1" w:name="_Toc32493"/>
      <w:bookmarkStart w:id="2" w:name="_Toc19409"/>
    </w:p>
    <w:bookmarkEnd w:id="0"/>
    <w:bookmarkEnd w:id="1"/>
    <w:bookmarkEnd w:id="2"/>
    <w:p w14:paraId="317EF8F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3" w:name="_Toc9217"/>
      <w:bookmarkStart w:id="4" w:name="_Toc15496"/>
      <w:bookmarkStart w:id="5" w:name="_Toc31960"/>
    </w:p>
    <w:p w14:paraId="1D4CCBDE">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3"/>
    <w:bookmarkEnd w:id="4"/>
    <w:bookmarkEnd w:id="5"/>
    <w:p w14:paraId="45D7C65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6" w:name="_Toc26019"/>
      <w:bookmarkStart w:id="7" w:name="_Toc12144"/>
      <w:bookmarkStart w:id="8" w:name="_Toc18534"/>
      <w:bookmarkStart w:id="9" w:name="_Toc7024"/>
      <w:bookmarkStart w:id="10" w:name="_Toc30654"/>
      <w:bookmarkStart w:id="11" w:name="_Toc20270"/>
      <w:r>
        <w:rPr>
          <w:rFonts w:hint="eastAsia" w:ascii="仿宋" w:hAnsi="仿宋" w:eastAsia="仿宋" w:cs="仿宋"/>
          <w:b/>
          <w:color w:val="auto"/>
          <w:sz w:val="52"/>
          <w:szCs w:val="52"/>
          <w:highlight w:val="none"/>
          <w:shd w:val="clear" w:color="auto" w:fill="auto"/>
          <w:lang w:val="en-US" w:eastAsia="zh-CN"/>
        </w:rPr>
        <w:t>东莞市常平镇环保专业基地洗水、印花污水处理厂-3号水池、配水井防水工程</w:t>
      </w:r>
    </w:p>
    <w:p w14:paraId="75F2F76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施</w:t>
      </w:r>
      <w:bookmarkEnd w:id="6"/>
      <w:bookmarkEnd w:id="7"/>
      <w:bookmarkEnd w:id="8"/>
      <w:bookmarkStart w:id="12" w:name="_Toc32225"/>
      <w:bookmarkStart w:id="13" w:name="_Toc14075"/>
      <w:bookmarkStart w:id="14" w:name="_Toc1376"/>
    </w:p>
    <w:p w14:paraId="57250AB6">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工</w:t>
      </w:r>
      <w:bookmarkEnd w:id="12"/>
      <w:bookmarkEnd w:id="13"/>
      <w:bookmarkEnd w:id="14"/>
      <w:bookmarkStart w:id="15" w:name="_Toc16327"/>
      <w:bookmarkStart w:id="16" w:name="_Toc32406"/>
      <w:bookmarkStart w:id="17" w:name="_Toc17899"/>
    </w:p>
    <w:p w14:paraId="4ABC54E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合</w:t>
      </w:r>
      <w:bookmarkEnd w:id="15"/>
      <w:bookmarkEnd w:id="16"/>
      <w:bookmarkEnd w:id="17"/>
      <w:bookmarkStart w:id="18" w:name="_Toc1931"/>
      <w:bookmarkStart w:id="19" w:name="_Toc9107"/>
      <w:bookmarkStart w:id="20" w:name="_Toc24850"/>
    </w:p>
    <w:p w14:paraId="06C97AC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同</w:t>
      </w:r>
      <w:bookmarkEnd w:id="9"/>
      <w:bookmarkEnd w:id="10"/>
      <w:bookmarkEnd w:id="11"/>
      <w:bookmarkEnd w:id="18"/>
      <w:bookmarkEnd w:id="19"/>
      <w:bookmarkEnd w:id="20"/>
    </w:p>
    <w:p w14:paraId="01F405D2">
      <w:pPr>
        <w:jc w:val="center"/>
        <w:rPr>
          <w:rFonts w:hint="eastAsia" w:ascii="仿宋" w:hAnsi="仿宋" w:eastAsia="仿宋" w:cs="仿宋"/>
          <w:b/>
          <w:bCs/>
          <w:color w:val="auto"/>
          <w:sz w:val="24"/>
          <w:szCs w:val="28"/>
          <w:highlight w:val="none"/>
          <w:shd w:val="clear" w:color="auto" w:fill="auto"/>
          <w:lang w:val="en-US" w:eastAsia="zh-CN"/>
        </w:rPr>
      </w:pPr>
    </w:p>
    <w:p w14:paraId="1375613A">
      <w:pPr>
        <w:jc w:val="center"/>
        <w:rPr>
          <w:rFonts w:hint="eastAsia" w:ascii="仿宋" w:hAnsi="仿宋" w:eastAsia="仿宋" w:cs="仿宋"/>
          <w:color w:val="auto"/>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121FEFA1">
      <w:pPr>
        <w:jc w:val="both"/>
        <w:rPr>
          <w:rFonts w:hint="eastAsia" w:ascii="仿宋" w:hAnsi="仿宋" w:eastAsia="仿宋" w:cs="仿宋"/>
          <w:color w:val="auto"/>
          <w:highlight w:val="none"/>
          <w:shd w:val="clear" w:color="auto" w:fill="auto"/>
          <w:lang w:val="en-US" w:eastAsia="zh-CN"/>
        </w:rPr>
      </w:pPr>
    </w:p>
    <w:p w14:paraId="2AB2F78F">
      <w:pPr>
        <w:jc w:val="both"/>
        <w:rPr>
          <w:rFonts w:hint="eastAsia" w:ascii="仿宋" w:hAnsi="仿宋" w:eastAsia="仿宋" w:cs="仿宋"/>
          <w:color w:val="auto"/>
          <w:highlight w:val="none"/>
          <w:shd w:val="clear" w:color="auto" w:fill="auto"/>
          <w:lang w:val="en-US" w:eastAsia="zh-CN"/>
        </w:rPr>
      </w:pPr>
    </w:p>
    <w:p w14:paraId="3A82B140">
      <w:pPr>
        <w:jc w:val="both"/>
        <w:rPr>
          <w:rFonts w:hint="eastAsia" w:ascii="仿宋" w:hAnsi="仿宋" w:eastAsia="仿宋" w:cs="仿宋"/>
          <w:color w:val="auto"/>
          <w:highlight w:val="none"/>
          <w:shd w:val="clear" w:color="auto" w:fill="auto"/>
          <w:lang w:val="en-US" w:eastAsia="zh-CN"/>
        </w:rPr>
      </w:pPr>
    </w:p>
    <w:p w14:paraId="7BBB9A3F">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r>
        <w:rPr>
          <w:rFonts w:hint="eastAsia" w:ascii="仿宋" w:hAnsi="仿宋" w:eastAsia="仿宋" w:cs="仿宋"/>
          <w:b w:val="0"/>
          <w:bCs w:val="0"/>
          <w:color w:val="auto"/>
          <w:sz w:val="28"/>
          <w:szCs w:val="28"/>
          <w:highlight w:val="none"/>
          <w:lang w:val="en-US" w:eastAsia="zh-CN"/>
        </w:rPr>
        <w:t xml:space="preserve">  </w:t>
      </w:r>
    </w:p>
    <w:p w14:paraId="1F6A1894">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5596EEEA">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 xml:space="preserve">乙方（承包方）： </w:t>
      </w:r>
    </w:p>
    <w:p w14:paraId="5F749670">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753C4D06">
      <w:pPr>
        <w:keepNext w:val="0"/>
        <w:keepLines w:val="0"/>
        <w:pageBreakBefore w:val="0"/>
        <w:widowControl w:val="0"/>
        <w:kinsoku/>
        <w:wordWrap/>
        <w:overflowPunct/>
        <w:topLinePunct w:val="0"/>
        <w:autoSpaceDE/>
        <w:autoSpaceDN/>
        <w:bidi w:val="0"/>
        <w:adjustRightInd/>
        <w:snapToGrid/>
        <w:ind w:left="0" w:leftChars="0" w:firstLine="1960" w:firstLineChars="700"/>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color w:val="auto"/>
          <w:kern w:val="2"/>
          <w:sz w:val="21"/>
          <w:szCs w:val="22"/>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color w:val="auto"/>
          <w:kern w:val="2"/>
          <w:sz w:val="22"/>
          <w:szCs w:val="24"/>
          <w:highlight w:val="none"/>
          <w:lang w:val="en-US" w:eastAsia="zh-CN" w:bidi="ar-SA"/>
        </w:rPr>
      </w:sdtEndPr>
      <w:sdtContent>
        <w:p w14:paraId="0861F1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kern w:val="2"/>
              <w:sz w:val="21"/>
              <w:szCs w:val="24"/>
              <w:highlight w:val="none"/>
              <w:lang w:val="en-US" w:eastAsia="zh-CN" w:bidi="ar-SA"/>
            </w:rPr>
          </w:pPr>
          <w:bookmarkStart w:id="21" w:name="_Toc21482"/>
          <w:r>
            <w:rPr>
              <w:rFonts w:hint="eastAsia" w:ascii="仿宋" w:hAnsi="仿宋" w:eastAsia="仿宋" w:cs="仿宋"/>
              <w:color w:val="auto"/>
              <w:sz w:val="24"/>
              <w:szCs w:val="28"/>
              <w:highlight w:val="none"/>
            </w:rPr>
            <w:t>目录</w:t>
          </w:r>
          <w:r>
            <w:rPr>
              <w:rFonts w:hint="eastAsia" w:ascii="仿宋" w:hAnsi="仿宋" w:eastAsia="仿宋" w:cs="仿宋"/>
              <w:color w:val="auto"/>
              <w:sz w:val="22"/>
              <w:szCs w:val="24"/>
              <w:highlight w:val="none"/>
            </w:rPr>
            <w:fldChar w:fldCharType="begin"/>
          </w:r>
          <w:r>
            <w:rPr>
              <w:rFonts w:hint="eastAsia" w:ascii="仿宋" w:hAnsi="仿宋" w:eastAsia="仿宋" w:cs="仿宋"/>
              <w:color w:val="auto"/>
              <w:sz w:val="22"/>
              <w:szCs w:val="24"/>
              <w:highlight w:val="none"/>
            </w:rPr>
            <w:instrText xml:space="preserve">TOC \o "1-2" \h \u </w:instrText>
          </w:r>
          <w:r>
            <w:rPr>
              <w:rFonts w:hint="eastAsia" w:ascii="仿宋" w:hAnsi="仿宋" w:eastAsia="仿宋" w:cs="仿宋"/>
              <w:color w:val="auto"/>
              <w:sz w:val="22"/>
              <w:szCs w:val="24"/>
              <w:highlight w:val="none"/>
            </w:rPr>
            <w:fldChar w:fldCharType="separate"/>
          </w:r>
        </w:p>
        <w:p w14:paraId="217FD5C7">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_Toc13672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第一部分 </w:t>
          </w:r>
          <w:r>
            <w:rPr>
              <w:rFonts w:hint="eastAsia" w:ascii="仿宋" w:hAnsi="仿宋" w:eastAsia="仿宋" w:cs="仿宋"/>
              <w:bCs/>
              <w:i w:val="0"/>
              <w:iCs w:val="0"/>
              <w:color w:val="auto"/>
              <w:kern w:val="0"/>
              <w:sz w:val="24"/>
              <w:szCs w:val="36"/>
              <w:highlight w:val="none"/>
              <w:shd w:val="clear" w:color="auto" w:fill="auto"/>
              <w:lang w:val="en-US" w:eastAsia="zh-CN"/>
            </w:rPr>
            <w:t>合同专用条款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_Toc13672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988234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_Toc16629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w:t>
          </w:r>
          <w:r>
            <w:rPr>
              <w:rFonts w:hint="eastAsia" w:ascii="仿宋" w:hAnsi="仿宋" w:eastAsia="仿宋" w:cs="仿宋"/>
              <w:bCs/>
              <w:i w:val="0"/>
              <w:iCs w:val="0"/>
              <w:color w:val="auto"/>
              <w:sz w:val="24"/>
              <w:szCs w:val="36"/>
              <w:highlight w:val="none"/>
              <w:shd w:val="clear" w:color="auto" w:fill="auto"/>
            </w:rPr>
            <w:t>、项目概况</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_Toc16629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4761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_Toc8658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_Toc8658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84C514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_Toc31266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_Toc31266 \h </w:instrText>
          </w:r>
          <w:r>
            <w:rPr>
              <w:color w:val="auto"/>
              <w:sz w:val="24"/>
              <w:szCs w:val="28"/>
              <w:highlight w:val="none"/>
            </w:rPr>
            <w:fldChar w:fldCharType="separate"/>
          </w:r>
          <w:r>
            <w:rPr>
              <w:color w:val="auto"/>
              <w:sz w:val="24"/>
              <w:szCs w:val="28"/>
              <w:highlight w:val="none"/>
            </w:rPr>
            <w:t>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929EE7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_Toc12329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_Toc12329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FBF7A8A">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_Toc541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_Toc541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AED6E3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_Toc23895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_Toc23895 \h </w:instrText>
          </w:r>
          <w:r>
            <w:rPr>
              <w:color w:val="auto"/>
              <w:sz w:val="24"/>
              <w:szCs w:val="28"/>
              <w:highlight w:val="none"/>
            </w:rPr>
            <w:fldChar w:fldCharType="separate"/>
          </w:r>
          <w:r>
            <w:rPr>
              <w:color w:val="auto"/>
              <w:sz w:val="24"/>
              <w:szCs w:val="28"/>
              <w:highlight w:val="none"/>
            </w:rPr>
            <w:t>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8862B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_Toc15702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_Toc15702 \h </w:instrText>
          </w:r>
          <w:r>
            <w:rPr>
              <w:color w:val="auto"/>
              <w:sz w:val="24"/>
              <w:szCs w:val="28"/>
              <w:highlight w:val="none"/>
            </w:rPr>
            <w:fldChar w:fldCharType="separate"/>
          </w:r>
          <w:r>
            <w:rPr>
              <w:color w:val="auto"/>
              <w:sz w:val="24"/>
              <w:szCs w:val="28"/>
              <w:highlight w:val="none"/>
            </w:rPr>
            <w:t>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17EEAB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_Toc21112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第八章、付款方式（每个组团独立付款）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_Toc21112 \h </w:instrText>
          </w:r>
          <w:r>
            <w:rPr>
              <w:color w:val="auto"/>
              <w:sz w:val="24"/>
              <w:szCs w:val="28"/>
              <w:highlight w:val="none"/>
            </w:rPr>
            <w:fldChar w:fldCharType="separate"/>
          </w:r>
          <w:r>
            <w:rPr>
              <w:color w:val="auto"/>
              <w:sz w:val="24"/>
              <w:szCs w:val="28"/>
              <w:highlight w:val="none"/>
            </w:rPr>
            <w:t>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D0ED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_Toc5039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_Toc5039 \h </w:instrText>
          </w:r>
          <w:r>
            <w:rPr>
              <w:color w:val="auto"/>
              <w:sz w:val="24"/>
              <w:szCs w:val="28"/>
              <w:highlight w:val="none"/>
            </w:rPr>
            <w:fldChar w:fldCharType="separate"/>
          </w:r>
          <w:r>
            <w:rPr>
              <w:color w:val="auto"/>
              <w:sz w:val="24"/>
              <w:szCs w:val="28"/>
              <w:highlight w:val="none"/>
            </w:rPr>
            <w:t>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2170C96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_Toc22984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_Toc22984 \h </w:instrText>
          </w:r>
          <w:r>
            <w:rPr>
              <w:color w:val="auto"/>
              <w:sz w:val="24"/>
              <w:szCs w:val="28"/>
              <w:highlight w:val="none"/>
            </w:rPr>
            <w:fldChar w:fldCharType="separate"/>
          </w:r>
          <w:r>
            <w:rPr>
              <w:color w:val="auto"/>
              <w:sz w:val="24"/>
              <w:szCs w:val="28"/>
              <w:highlight w:val="none"/>
            </w:rPr>
            <w:t>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DCD8523">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_Toc16932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_Toc16932 \h </w:instrText>
          </w:r>
          <w:r>
            <w:rPr>
              <w:color w:val="auto"/>
              <w:sz w:val="24"/>
              <w:szCs w:val="28"/>
              <w:highlight w:val="none"/>
            </w:rPr>
            <w:fldChar w:fldCharType="separate"/>
          </w:r>
          <w:r>
            <w:rPr>
              <w:color w:val="auto"/>
              <w:sz w:val="24"/>
              <w:szCs w:val="28"/>
              <w:highlight w:val="none"/>
            </w:rPr>
            <w:t>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E1F886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_Toc18309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_Toc18309 \h </w:instrText>
          </w:r>
          <w:r>
            <w:rPr>
              <w:color w:val="auto"/>
              <w:sz w:val="24"/>
              <w:szCs w:val="28"/>
              <w:highlight w:val="none"/>
            </w:rPr>
            <w:fldChar w:fldCharType="separate"/>
          </w:r>
          <w:r>
            <w:rPr>
              <w:color w:val="auto"/>
              <w:sz w:val="24"/>
              <w:szCs w:val="28"/>
              <w:highlight w:val="none"/>
            </w:rPr>
            <w:t>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4832602">
          <w:pPr>
            <w:pStyle w:val="10"/>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_Toc28852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kern w:val="0"/>
              <w:sz w:val="24"/>
              <w:szCs w:val="36"/>
              <w:highlight w:val="none"/>
              <w:shd w:val="clear" w:fill="auto"/>
              <w:lang w:val="en-US" w:eastAsia="zh-CN"/>
            </w:rPr>
            <w:t xml:space="preserve">第二部分 </w:t>
          </w:r>
          <w:r>
            <w:rPr>
              <w:rFonts w:hint="eastAsia" w:ascii="仿宋" w:hAnsi="仿宋" w:eastAsia="仿宋" w:cs="仿宋"/>
              <w:bCs/>
              <w:i w:val="0"/>
              <w:iCs w:val="0"/>
              <w:color w:val="auto"/>
              <w:kern w:val="0"/>
              <w:sz w:val="24"/>
              <w:szCs w:val="36"/>
              <w:highlight w:val="none"/>
              <w:shd w:val="clear" w:color="auto" w:fill="auto"/>
              <w:lang w:val="en-US" w:eastAsia="zh-CN"/>
            </w:rPr>
            <w:t>合同通用条款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_Toc28852 \h </w:instrText>
          </w:r>
          <w:r>
            <w:rPr>
              <w:color w:val="auto"/>
              <w:sz w:val="24"/>
              <w:szCs w:val="28"/>
              <w:highlight w:val="none"/>
            </w:rPr>
            <w:fldChar w:fldCharType="separate"/>
          </w:r>
          <w:r>
            <w:rPr>
              <w:color w:val="auto"/>
              <w:sz w:val="24"/>
              <w:szCs w:val="28"/>
              <w:highlight w:val="none"/>
            </w:rPr>
            <w:t>11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6A62FA54">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_Toc11047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第一章、承包方式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_Toc11047 \h </w:instrText>
          </w:r>
          <w:r>
            <w:rPr>
              <w:color w:val="auto"/>
              <w:sz w:val="24"/>
              <w:szCs w:val="28"/>
              <w:highlight w:val="none"/>
            </w:rPr>
            <w:fldChar w:fldCharType="separate"/>
          </w:r>
          <w:r>
            <w:rPr>
              <w:color w:val="auto"/>
              <w:sz w:val="24"/>
              <w:szCs w:val="28"/>
              <w:highlight w:val="none"/>
            </w:rPr>
            <w:t>11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7E0DEA7">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_Toc29690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第二章、承包范围及主要工程内容</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_Toc29690 \h </w:instrText>
          </w:r>
          <w:r>
            <w:rPr>
              <w:color w:val="auto"/>
              <w:sz w:val="24"/>
              <w:szCs w:val="28"/>
              <w:highlight w:val="none"/>
            </w:rPr>
            <w:fldChar w:fldCharType="separate"/>
          </w:r>
          <w:r>
            <w:rPr>
              <w:color w:val="auto"/>
              <w:sz w:val="24"/>
              <w:szCs w:val="28"/>
              <w:highlight w:val="none"/>
            </w:rPr>
            <w:t>11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DB5B22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_Toc8809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第三章、工期</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_Toc8809 \h </w:instrText>
          </w:r>
          <w:r>
            <w:rPr>
              <w:color w:val="auto"/>
              <w:sz w:val="24"/>
              <w:szCs w:val="28"/>
              <w:highlight w:val="none"/>
            </w:rPr>
            <w:fldChar w:fldCharType="separate"/>
          </w:r>
          <w:r>
            <w:rPr>
              <w:color w:val="auto"/>
              <w:sz w:val="24"/>
              <w:szCs w:val="28"/>
              <w:highlight w:val="none"/>
            </w:rPr>
            <w:t>12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BFEC7BF">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_Toc26647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第四章、工程质量标准</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_Toc26647 \h </w:instrText>
          </w:r>
          <w:r>
            <w:rPr>
              <w:color w:val="auto"/>
              <w:sz w:val="24"/>
              <w:szCs w:val="28"/>
              <w:highlight w:val="none"/>
            </w:rPr>
            <w:fldChar w:fldCharType="separate"/>
          </w:r>
          <w:r>
            <w:rPr>
              <w:color w:val="auto"/>
              <w:sz w:val="24"/>
              <w:szCs w:val="28"/>
              <w:highlight w:val="none"/>
            </w:rPr>
            <w:t>13</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A4F330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_Toc8460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第五章、合同价款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_Toc8460 \h </w:instrText>
          </w:r>
          <w:r>
            <w:rPr>
              <w:color w:val="auto"/>
              <w:sz w:val="24"/>
              <w:szCs w:val="28"/>
              <w:highlight w:val="none"/>
            </w:rPr>
            <w:fldChar w:fldCharType="separate"/>
          </w:r>
          <w:r>
            <w:rPr>
              <w:color w:val="auto"/>
              <w:sz w:val="24"/>
              <w:szCs w:val="28"/>
              <w:highlight w:val="none"/>
            </w:rPr>
            <w:t>15</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03CE01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_Toc8540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第六章、计量计价方式及结算方式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_Toc8540 \h </w:instrText>
          </w:r>
          <w:r>
            <w:rPr>
              <w:color w:val="auto"/>
              <w:sz w:val="24"/>
              <w:szCs w:val="28"/>
              <w:highlight w:val="none"/>
            </w:rPr>
            <w:fldChar w:fldCharType="separate"/>
          </w:r>
          <w:r>
            <w:rPr>
              <w:color w:val="auto"/>
              <w:sz w:val="24"/>
              <w:szCs w:val="28"/>
              <w:highlight w:val="none"/>
            </w:rPr>
            <w:t>16</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C67387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_Toc850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第七章、付款方式</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_Toc850 \h </w:instrText>
          </w:r>
          <w:r>
            <w:rPr>
              <w:color w:val="auto"/>
              <w:sz w:val="24"/>
              <w:szCs w:val="28"/>
              <w:highlight w:val="none"/>
            </w:rPr>
            <w:fldChar w:fldCharType="separate"/>
          </w:r>
          <w:r>
            <w:rPr>
              <w:color w:val="auto"/>
              <w:sz w:val="24"/>
              <w:szCs w:val="28"/>
              <w:highlight w:val="none"/>
            </w:rPr>
            <w:t>20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37E23AC">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_Toc18290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第八章、双方责任和权利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_Toc18290 \h </w:instrText>
          </w:r>
          <w:r>
            <w:rPr>
              <w:color w:val="auto"/>
              <w:sz w:val="24"/>
              <w:szCs w:val="28"/>
              <w:highlight w:val="none"/>
            </w:rPr>
            <w:fldChar w:fldCharType="separate"/>
          </w:r>
          <w:r>
            <w:rPr>
              <w:color w:val="auto"/>
              <w:sz w:val="24"/>
              <w:szCs w:val="28"/>
              <w:highlight w:val="none"/>
            </w:rPr>
            <w:t>22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36C45091">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_Toc17662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第九章、安全生产、文明施工要求</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_Toc17662 \h </w:instrText>
          </w:r>
          <w:r>
            <w:rPr>
              <w:color w:val="auto"/>
              <w:sz w:val="24"/>
              <w:szCs w:val="28"/>
              <w:highlight w:val="none"/>
            </w:rPr>
            <w:fldChar w:fldCharType="separate"/>
          </w:r>
          <w:r>
            <w:rPr>
              <w:color w:val="auto"/>
              <w:sz w:val="24"/>
              <w:szCs w:val="28"/>
              <w:highlight w:val="none"/>
            </w:rPr>
            <w:t>28</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F8CD68">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_Toc5829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第十章、甲供材料设备</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_Toc5829 \h </w:instrText>
          </w:r>
          <w:r>
            <w:rPr>
              <w:color w:val="auto"/>
              <w:sz w:val="24"/>
              <w:szCs w:val="28"/>
              <w:highlight w:val="none"/>
            </w:rPr>
            <w:fldChar w:fldCharType="separate"/>
          </w:r>
          <w:r>
            <w:rPr>
              <w:color w:val="auto"/>
              <w:sz w:val="24"/>
              <w:szCs w:val="28"/>
              <w:highlight w:val="none"/>
            </w:rPr>
            <w:t>29</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76B724D">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_Toc2462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第十一章、验收及保修</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_Toc2462 \h </w:instrText>
          </w:r>
          <w:r>
            <w:rPr>
              <w:color w:val="auto"/>
              <w:sz w:val="24"/>
              <w:szCs w:val="28"/>
              <w:highlight w:val="none"/>
            </w:rPr>
            <w:fldChar w:fldCharType="separate"/>
          </w:r>
          <w:r>
            <w:rPr>
              <w:color w:val="auto"/>
              <w:sz w:val="24"/>
              <w:szCs w:val="28"/>
              <w:highlight w:val="none"/>
            </w:rPr>
            <w:t>30</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C6132C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_Toc25142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第十二章、保险</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_Toc25142 \h </w:instrText>
          </w:r>
          <w:r>
            <w:rPr>
              <w:color w:val="auto"/>
              <w:sz w:val="24"/>
              <w:szCs w:val="28"/>
              <w:highlight w:val="none"/>
            </w:rPr>
            <w:fldChar w:fldCharType="separate"/>
          </w:r>
          <w:r>
            <w:rPr>
              <w:color w:val="auto"/>
              <w:sz w:val="24"/>
              <w:szCs w:val="28"/>
              <w:highlight w:val="none"/>
            </w:rPr>
            <w:t>31</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775612DE">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_Toc18420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第十三章、奖罚条款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_Toc18420 \h </w:instrText>
          </w:r>
          <w:r>
            <w:rPr>
              <w:color w:val="auto"/>
              <w:sz w:val="24"/>
              <w:szCs w:val="28"/>
              <w:highlight w:val="none"/>
            </w:rPr>
            <w:fldChar w:fldCharType="separate"/>
          </w:r>
          <w:r>
            <w:rPr>
              <w:color w:val="auto"/>
              <w:sz w:val="24"/>
              <w:szCs w:val="28"/>
              <w:highlight w:val="none"/>
            </w:rPr>
            <w:t>32</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4B0F1B22">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_Toc32604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第十四章、违约条款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_Toc32604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06C49EAB">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sz w:val="24"/>
              <w:szCs w:val="28"/>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_Toc14761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第十五章、廉洁条款</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_Toc14761 \h </w:instrText>
          </w:r>
          <w:r>
            <w:rPr>
              <w:color w:val="auto"/>
              <w:sz w:val="24"/>
              <w:szCs w:val="28"/>
              <w:highlight w:val="none"/>
            </w:rPr>
            <w:fldChar w:fldCharType="separate"/>
          </w:r>
          <w:r>
            <w:rPr>
              <w:color w:val="auto"/>
              <w:sz w:val="24"/>
              <w:szCs w:val="28"/>
              <w:highlight w:val="none"/>
            </w:rPr>
            <w:t>34</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AEE8445">
          <w:pPr>
            <w:pStyle w:val="11"/>
            <w:keepNext w:val="0"/>
            <w:keepLines w:val="0"/>
            <w:pageBreakBefore w:val="0"/>
            <w:widowControl w:val="0"/>
            <w:tabs>
              <w:tab w:val="right" w:leader="dot" w:pos="8820"/>
            </w:tabs>
            <w:kinsoku/>
            <w:wordWrap/>
            <w:overflowPunct/>
            <w:topLinePunct w:val="0"/>
            <w:autoSpaceDE/>
            <w:autoSpaceDN/>
            <w:bidi w:val="0"/>
            <w:adjustRightInd/>
            <w:snapToGrid/>
            <w:spacing w:line="360" w:lineRule="auto"/>
            <w:textAlignment w:val="auto"/>
            <w:rPr>
              <w:color w:val="auto"/>
              <w:highlight w:val="none"/>
            </w:rPr>
          </w:pPr>
          <w:r>
            <w:rPr>
              <w:rFonts w:hint="eastAsia" w:ascii="仿宋" w:hAnsi="仿宋" w:eastAsia="仿宋" w:cs="仿宋"/>
              <w:color w:val="auto"/>
              <w:sz w:val="24"/>
              <w:szCs w:val="32"/>
              <w:highlight w:val="none"/>
            </w:rPr>
            <w:fldChar w:fldCharType="begin"/>
          </w:r>
          <w:r>
            <w:rPr>
              <w:rFonts w:hint="eastAsia" w:ascii="仿宋" w:hAnsi="仿宋" w:eastAsia="仿宋" w:cs="仿宋"/>
              <w:color w:val="auto"/>
              <w:sz w:val="24"/>
              <w:szCs w:val="32"/>
              <w:highlight w:val="none"/>
            </w:rPr>
            <w:instrText xml:space="preserve"> HYPERLINK \l _Toc23011 </w:instrText>
          </w:r>
          <w:r>
            <w:rPr>
              <w:rFonts w:hint="eastAsia" w:ascii="仿宋" w:hAnsi="仿宋" w:eastAsia="仿宋" w:cs="仿宋"/>
              <w:color w:val="auto"/>
              <w:sz w:val="24"/>
              <w:szCs w:val="32"/>
              <w:highlight w:val="none"/>
            </w:rPr>
            <w:fldChar w:fldCharType="separate"/>
          </w:r>
          <w:r>
            <w:rPr>
              <w:rFonts w:hint="eastAsia" w:ascii="仿宋" w:hAnsi="仿宋" w:eastAsia="仿宋" w:cs="仿宋"/>
              <w:bCs/>
              <w:i w:val="0"/>
              <w:iCs w:val="0"/>
              <w:color w:val="auto"/>
              <w:sz w:val="24"/>
              <w:szCs w:val="36"/>
              <w:highlight w:val="none"/>
              <w:shd w:val="clear" w:color="auto" w:fill="auto"/>
              <w:lang w:val="en-US" w:eastAsia="zh-CN"/>
            </w:rPr>
            <w:t>第十六章、其他</w:t>
          </w:r>
          <w:r>
            <w:rPr>
              <w:color w:val="auto"/>
              <w:sz w:val="24"/>
              <w:szCs w:val="28"/>
              <w:highlight w:val="none"/>
            </w:rPr>
            <w:tab/>
          </w:r>
          <w:r>
            <w:rPr>
              <w:color w:val="auto"/>
              <w:sz w:val="24"/>
              <w:szCs w:val="28"/>
              <w:highlight w:val="none"/>
            </w:rPr>
            <w:fldChar w:fldCharType="begin"/>
          </w:r>
          <w:r>
            <w:rPr>
              <w:color w:val="auto"/>
              <w:sz w:val="24"/>
              <w:szCs w:val="28"/>
              <w:highlight w:val="none"/>
            </w:rPr>
            <w:instrText xml:space="preserve"> PAGEREF _Toc23011 \h </w:instrText>
          </w:r>
          <w:r>
            <w:rPr>
              <w:color w:val="auto"/>
              <w:sz w:val="24"/>
              <w:szCs w:val="28"/>
              <w:highlight w:val="none"/>
            </w:rPr>
            <w:fldChar w:fldCharType="separate"/>
          </w:r>
          <w:r>
            <w:rPr>
              <w:color w:val="auto"/>
              <w:sz w:val="24"/>
              <w:szCs w:val="28"/>
              <w:highlight w:val="none"/>
            </w:rPr>
            <w:t>37</w:t>
          </w:r>
          <w:r>
            <w:rPr>
              <w:color w:val="auto"/>
              <w:sz w:val="24"/>
              <w:szCs w:val="28"/>
              <w:highlight w:val="none"/>
            </w:rPr>
            <w:fldChar w:fldCharType="end"/>
          </w:r>
          <w:r>
            <w:rPr>
              <w:rFonts w:hint="eastAsia" w:ascii="仿宋" w:hAnsi="仿宋" w:eastAsia="仿宋" w:cs="仿宋"/>
              <w:color w:val="auto"/>
              <w:sz w:val="24"/>
              <w:szCs w:val="32"/>
              <w:highlight w:val="none"/>
            </w:rPr>
            <w:fldChar w:fldCharType="end"/>
          </w:r>
        </w:p>
        <w:p w14:paraId="5D2FCE7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r>
            <w:rPr>
              <w:rFonts w:hint="eastAsia" w:ascii="仿宋" w:hAnsi="仿宋" w:eastAsia="仿宋" w:cs="仿宋"/>
              <w:color w:val="auto"/>
              <w:szCs w:val="24"/>
              <w:highlight w:val="none"/>
            </w:rPr>
            <w:fldChar w:fldCharType="end"/>
          </w:r>
        </w:p>
      </w:sdtContent>
    </w:sdt>
    <w:p w14:paraId="45FD5DCB">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22" w:name="_Toc13672"/>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21"/>
      <w:bookmarkEnd w:id="22"/>
    </w:p>
    <w:p w14:paraId="43091672">
      <w:pPr>
        <w:keepNext w:val="0"/>
        <w:keepLines w:val="0"/>
        <w:pageBreakBefore w:val="0"/>
        <w:widowControl w:val="0"/>
        <w:tabs>
          <w:tab w:val="left" w:pos="6272"/>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在乙方确认并承诺自身满足本项目所在地住建主管部门资质和要求的前提下，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b/>
          <w:bCs/>
          <w:i w:val="0"/>
          <w:iCs w:val="0"/>
          <w:color w:val="auto"/>
          <w:sz w:val="28"/>
          <w:szCs w:val="28"/>
          <w:highlight w:val="none"/>
          <w:u w:val="single"/>
          <w:shd w:val="clear" w:color="auto" w:fill="auto"/>
          <w:lang w:val="en-US" w:eastAsia="zh-CN"/>
        </w:rPr>
        <w:t>东莞市常平镇环保专业基地洗水、印花污水处理厂-3号水池、配水井防水工程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2E5B6B6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23" w:name="_Toc26146"/>
      <w:bookmarkStart w:id="24" w:name="_Toc16629"/>
      <w:bookmarkStart w:id="25" w:name="_Toc1208"/>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23"/>
      <w:bookmarkEnd w:id="24"/>
      <w:bookmarkEnd w:id="25"/>
    </w:p>
    <w:p w14:paraId="05E6E64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东莞市常平镇环保专业基地洗水、印花污水处理厂-3号水池、配水井</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本合同简称“本项目”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21EF577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b w:val="0"/>
          <w:bCs w:val="0"/>
          <w:i w:val="0"/>
          <w:iCs w:val="0"/>
          <w:color w:val="auto"/>
          <w:sz w:val="28"/>
          <w:szCs w:val="28"/>
          <w:highlight w:val="none"/>
          <w:u w:val="single"/>
          <w:shd w:val="clear" w:color="auto" w:fill="auto"/>
          <w:lang w:val="en-US" w:eastAsia="zh-CN"/>
        </w:rPr>
        <w:t>东莞市常平镇司马环保工业路5号常平环保基地内污水处理厂内</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DCBAA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详见附件《报价清单》。</w:t>
      </w:r>
    </w:p>
    <w:p w14:paraId="64C00448">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乙方施工期间可使用甲方现场已有设施，甲方不另提供其他设施。本工程施工的水费、电费由甲方承担（水电接线由乙方负责），但乙方人员的生活电费由乙方承担且</w:t>
      </w:r>
      <w:r>
        <w:rPr>
          <w:rFonts w:hint="eastAsia" w:ascii="仿宋" w:hAnsi="仿宋" w:eastAsia="仿宋" w:cs="仿宋"/>
          <w:color w:val="auto"/>
          <w:sz w:val="28"/>
          <w:szCs w:val="28"/>
          <w:highlight w:val="none"/>
          <w:u w:val="single"/>
          <w:shd w:val="clear" w:color="auto" w:fill="auto"/>
        </w:rPr>
        <w:t>已含于各项合同单价中，不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17C7C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8658"/>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26"/>
    </w:p>
    <w:p w14:paraId="55CF04E2">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p>
    <w:p w14:paraId="33DBDE3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4A94ED73">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7" w:name="_Toc9670"/>
      <w:bookmarkStart w:id="28" w:name="_Toc27213"/>
      <w:bookmarkStart w:id="29" w:name="_Toc31266"/>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27"/>
      <w:bookmarkEnd w:id="28"/>
      <w:bookmarkEnd w:id="29"/>
    </w:p>
    <w:p w14:paraId="42460306">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即甲方确认的广州市创景市政工程设计有限公司设计的二0二五年三月版本工程施工图，详见附件《图纸目录清单》）范围及经甲方权限领导审批的本工程与本项目其他专业施工界限文件（如有）内的全部</w:t>
      </w:r>
      <w:r>
        <w:rPr>
          <w:rFonts w:hint="eastAsia" w:ascii="仿宋" w:hAnsi="仿宋" w:eastAsia="仿宋" w:cs="仿宋"/>
          <w:i w:val="0"/>
          <w:iCs w:val="0"/>
          <w:color w:val="auto"/>
          <w:sz w:val="28"/>
          <w:szCs w:val="28"/>
          <w:highlight w:val="none"/>
          <w:u w:val="single"/>
          <w:shd w:val="clear" w:color="auto" w:fill="auto"/>
          <w:lang w:val="en-US" w:eastAsia="zh-CN"/>
        </w:rPr>
        <w:t>防水等相关工程</w:t>
      </w:r>
      <w:r>
        <w:rPr>
          <w:rFonts w:hint="eastAsia" w:ascii="仿宋" w:hAnsi="仿宋" w:eastAsia="仿宋" w:cs="仿宋"/>
          <w:b w:val="0"/>
          <w:bCs w:val="0"/>
          <w:i w:val="0"/>
          <w:iCs w:val="0"/>
          <w:color w:val="auto"/>
          <w:sz w:val="28"/>
          <w:szCs w:val="28"/>
          <w:highlight w:val="none"/>
          <w:u w:val="none"/>
          <w:lang w:val="en-US" w:eastAsia="zh-CN"/>
        </w:rPr>
        <w:t>均由乙方承包（包括本工程招采文件所述内容，本合同另有约定的除外），施工范围按图纸、规范及甲方要求施工</w:t>
      </w:r>
      <w:r>
        <w:rPr>
          <w:rFonts w:hint="eastAsia" w:ascii="仿宋" w:hAnsi="仿宋" w:eastAsia="仿宋" w:cs="仿宋"/>
          <w:b w:val="0"/>
          <w:bCs w:val="0"/>
          <w:i w:val="0"/>
          <w:iCs w:val="0"/>
          <w:color w:val="auto"/>
          <w:sz w:val="28"/>
          <w:szCs w:val="28"/>
          <w:highlight w:val="none"/>
          <w:u w:val="none"/>
          <w:shd w:val="clear" w:color="auto" w:fill="auto"/>
        </w:rPr>
        <w:t>，过程中产生的全部人</w:t>
      </w:r>
      <w:r>
        <w:rPr>
          <w:rFonts w:hint="eastAsia" w:ascii="仿宋" w:hAnsi="仿宋" w:eastAsia="仿宋" w:cs="仿宋"/>
          <w:b w:val="0"/>
          <w:bCs w:val="0"/>
          <w:i w:val="0"/>
          <w:iCs w:val="0"/>
          <w:color w:val="auto"/>
          <w:sz w:val="28"/>
          <w:szCs w:val="28"/>
          <w:highlight w:val="none"/>
          <w:u w:val="none"/>
          <w:shd w:val="clear" w:color="auto" w:fill="auto"/>
          <w:lang w:val="en-US" w:eastAsia="zh-CN"/>
        </w:rPr>
        <w:t>员</w:t>
      </w:r>
      <w:r>
        <w:rPr>
          <w:rFonts w:hint="eastAsia" w:ascii="仿宋" w:hAnsi="仿宋" w:eastAsia="仿宋" w:cs="仿宋"/>
          <w:b w:val="0"/>
          <w:bCs w:val="0"/>
          <w:i w:val="0"/>
          <w:iCs w:val="0"/>
          <w:color w:val="auto"/>
          <w:sz w:val="28"/>
          <w:szCs w:val="28"/>
          <w:highlight w:val="none"/>
          <w:u w:val="none"/>
          <w:shd w:val="clear" w:color="auto" w:fill="auto"/>
        </w:rPr>
        <w:t>报酬、材料</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，费用已含于</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sz w:val="28"/>
          <w:szCs w:val="28"/>
          <w:highlight w:val="none"/>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kern w:val="0"/>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lang w:val="en-US" w:eastAsia="zh-CN"/>
        </w:rPr>
        <w:t>中，不另行单列计费。本工程主要</w:t>
      </w:r>
      <w:r>
        <w:rPr>
          <w:rFonts w:hint="eastAsia" w:ascii="仿宋" w:hAnsi="仿宋" w:eastAsia="仿宋" w:cs="仿宋"/>
          <w:b w:val="0"/>
          <w:bCs w:val="0"/>
          <w:i w:val="0"/>
          <w:iCs w:val="0"/>
          <w:color w:val="auto"/>
          <w:sz w:val="28"/>
          <w:szCs w:val="28"/>
          <w:highlight w:val="none"/>
          <w:u w:val="none"/>
          <w:lang w:val="en-US" w:eastAsia="zh-CN"/>
        </w:rPr>
        <w:t>内容如下：</w:t>
      </w:r>
    </w:p>
    <w:p w14:paraId="5C7F31BC">
      <w:pPr>
        <w:pStyle w:val="3"/>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3.1.1地下建构筑物侧壁、首层地面(10~12轴交A~G轴)，（外防外帖）一级防水：① 2厚聚合物水泥防水涂料；②1.6mm自粘型热塑性氯烯烃（TPO）合成高分子防水卷材</w:t>
      </w:r>
      <w:r>
        <w:rPr>
          <w:rFonts w:hint="eastAsia" w:ascii="仿宋" w:hAnsi="仿宋" w:eastAsia="仿宋" w:cs="仿宋"/>
          <w:b w:val="0"/>
          <w:bCs w:val="0"/>
          <w:i w:val="0"/>
          <w:iCs w:val="0"/>
          <w:color w:val="FF0000"/>
          <w:sz w:val="28"/>
          <w:szCs w:val="28"/>
          <w:highlight w:val="none"/>
          <w:u w:val="none"/>
          <w:shd w:val="clear" w:color="auto" w:fill="auto"/>
          <w:lang w:val="en-US" w:eastAsia="zh-CN"/>
        </w:rPr>
        <w:t>（耐根穿刺）</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31C03F09">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 xml:space="preserve">3.1.2地下建构筑物底板（预铺反粘）一级防水：①1.5mm热塑性氯烯烃（TPO）合成高分子防水卷材（预铺反粘法）；②1.5厚自粘聚合物改性沥青防水卷材（高分子膜基Ⅱ型）。 </w:t>
      </w:r>
    </w:p>
    <w:p w14:paraId="6EE62DC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 xml:space="preserve">3.1.3上人屋面一级防水：①1.5厚自粘式高分子防水卷材；② 2厚聚合物水泥防水涂料（遇墙上反至女儿墙压顶且≥屋面完成面300mm）。 </w:t>
      </w:r>
    </w:p>
    <w:p w14:paraId="0175959F">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 xml:space="preserve">3.1.4不上人屋面二级防水：①1.5厚自粘式高分子防水卷材；② 2厚聚合物水泥防水涂料（遇墙上反至女儿墙压顶且≥屋面完成面300mm）。 </w:t>
      </w:r>
    </w:p>
    <w:p w14:paraId="7C78C015">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3.1.5饰面砖外墙一级防水：① 2厚聚合物水泥防水涂料（遇墙上反至女儿墙压顶且≥屋面完成面300mm）。</w:t>
      </w:r>
    </w:p>
    <w:p w14:paraId="7A8E31E6">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3.1.6</w:t>
      </w:r>
      <w:r>
        <w:rPr>
          <w:rFonts w:hint="eastAsia" w:ascii="仿宋" w:hAnsi="仿宋" w:eastAsia="仿宋" w:cs="仿宋"/>
          <w:i w:val="0"/>
          <w:iCs w:val="0"/>
          <w:color w:val="auto"/>
          <w:sz w:val="28"/>
          <w:szCs w:val="28"/>
          <w:highlight w:val="none"/>
          <w:u w:val="none"/>
          <w:shd w:val="clear" w:color="auto" w:fill="auto"/>
          <w:lang w:val="en-US" w:eastAsia="zh-CN"/>
        </w:rPr>
        <w:t>上述第3.1.1-3.1.5条内容仅为概述，具体</w:t>
      </w:r>
      <w:r>
        <w:rPr>
          <w:rFonts w:hint="eastAsia" w:ascii="仿宋" w:hAnsi="仿宋" w:eastAsia="仿宋" w:cs="仿宋"/>
          <w:b w:val="0"/>
          <w:bCs w:val="0"/>
          <w:i w:val="0"/>
          <w:iCs w:val="0"/>
          <w:color w:val="auto"/>
          <w:sz w:val="28"/>
          <w:szCs w:val="28"/>
          <w:highlight w:val="none"/>
          <w:lang w:val="en-US" w:eastAsia="zh-CN"/>
        </w:rPr>
        <w:t>施工范围、内容以</w:t>
      </w:r>
      <w:r>
        <w:rPr>
          <w:rFonts w:hint="eastAsia" w:ascii="仿宋" w:hAnsi="仿宋" w:eastAsia="仿宋" w:cs="仿宋"/>
          <w:b w:val="0"/>
          <w:bCs w:val="0"/>
          <w:i w:val="0"/>
          <w:iCs w:val="0"/>
          <w:color w:val="auto"/>
          <w:sz w:val="28"/>
          <w:szCs w:val="28"/>
          <w:highlight w:val="none"/>
          <w:u w:val="none"/>
          <w:shd w:val="clear" w:color="auto" w:fill="auto"/>
          <w:lang w:val="en-US" w:eastAsia="zh-CN"/>
        </w:rPr>
        <w:t>甲方提供的施工图纸、施工方案、图纸会审、工程量清单、交楼标准为准，互有矛盾的，以甲方最终确认为准，但乙方不得因此调增合同单价。</w:t>
      </w:r>
    </w:p>
    <w:p w14:paraId="0EACF3E4">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3.2严格执行甲方发布的质量通病细则。</w:t>
      </w:r>
    </w:p>
    <w:p w14:paraId="42FEBD70">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3.3乙方施工范围、内容还包括：本工程图纸的漏项、错项内容，非重大工程量变更的施工图纸调整内容，本工程图纸、报价清单未列明但属于本工程合理施工范围或完成本工程所需进行的施工内容等。</w:t>
      </w:r>
    </w:p>
    <w:p w14:paraId="25D5C482">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3.4乙方完成前述内容涉及的费用均包含在</w:t>
      </w: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总价内，不属于增加工程，除非双方额外签证，否则结算时工程造价不作调整。</w:t>
      </w:r>
    </w:p>
    <w:p w14:paraId="728A0606">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3.5乙方自备的施工材料如下：</w:t>
      </w:r>
      <w:r>
        <w:rPr>
          <w:rFonts w:hint="eastAsia" w:ascii="仿宋" w:hAnsi="仿宋" w:eastAsia="仿宋" w:cs="仿宋"/>
          <w:b w:val="0"/>
          <w:bCs w:val="0"/>
          <w:i w:val="0"/>
          <w:iCs w:val="0"/>
          <w:color w:val="auto"/>
          <w:sz w:val="28"/>
          <w:szCs w:val="28"/>
          <w:highlight w:val="none"/>
          <w:u w:val="single"/>
          <w:shd w:val="clear" w:color="auto" w:fill="auto"/>
          <w:lang w:val="en-US" w:eastAsia="zh-CN"/>
        </w:rPr>
        <w:t>本工程整改或返工所用材料以及完成本工程所涉材料，仅不含本合同约定的甲供材（如有）。</w:t>
      </w:r>
    </w:p>
    <w:p w14:paraId="4A6286B8">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3.6除本合同已明确的甲供机具（如有）外，本工程整改或返工所用机具以及完成本工程所涉的其他机具均由乙方自行提供。乙方自备机具的维修及养护由乙方自行负责。乙方自备/采购的材料、设备或小型机具必须符合使用规范及本项目施工总承包合同的要求。</w:t>
      </w:r>
    </w:p>
    <w:p w14:paraId="3C61A35E">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3.7本工程因乙方原因返工所需的全部材料、全部机具由乙方自备，相关费用已含在</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合同总价内，甲方不另行付费给乙方。本合同约定的甲供材和甲供机具仅供乙方第一次施工本工程。</w:t>
      </w:r>
    </w:p>
    <w:p w14:paraId="3A59A29B">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3.8本工程须满足建设单位的交楼标准要求，须满足本项目所在地政府监管部门安全管理标准化施工要求。</w:t>
      </w:r>
    </w:p>
    <w:p w14:paraId="313B966A">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3.9乙方自行负责施工管理，自行组织本工程施工的</w:t>
      </w:r>
      <w:r>
        <w:rPr>
          <w:rFonts w:hint="eastAsia" w:ascii="仿宋" w:hAnsi="仿宋" w:eastAsia="仿宋" w:cs="仿宋"/>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w:t>
      </w:r>
      <w:r>
        <w:rPr>
          <w:rFonts w:hint="eastAsia" w:ascii="仿宋" w:hAnsi="仿宋" w:eastAsia="仿宋" w:cs="仿宋"/>
          <w:b w:val="0"/>
          <w:bCs w:val="0"/>
          <w:i w:val="0"/>
          <w:iCs w:val="0"/>
          <w:color w:val="auto"/>
          <w:sz w:val="28"/>
          <w:szCs w:val="28"/>
          <w:highlight w:val="none"/>
          <w:u w:val="none"/>
          <w:shd w:val="clear" w:color="auto" w:fill="auto"/>
          <w:lang w:val="en-US" w:eastAsia="zh-CN"/>
        </w:rPr>
        <w:t>质量、安全、进度、成本等现场组织管理工作，施工方案以甲方书面确定的为准。</w:t>
      </w:r>
    </w:p>
    <w:p w14:paraId="7D4900A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3.10</w:t>
      </w:r>
      <w:r>
        <w:rPr>
          <w:rFonts w:hint="eastAsia" w:ascii="仿宋" w:hAnsi="仿宋" w:eastAsia="仿宋" w:cs="仿宋"/>
          <w:i w:val="0"/>
          <w:iCs w:val="0"/>
          <w:color w:val="auto"/>
          <w:sz w:val="28"/>
          <w:szCs w:val="28"/>
          <w:highlight w:val="none"/>
          <w:shd w:val="clear" w:color="auto" w:fill="auto"/>
        </w:rPr>
        <w:t>乙方负责</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工作面上所用材料、机具、垃圾的清理，做到工完场清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并自行负责有机物垃圾的处置，隐蔽</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验收前把工作面有关材料、机具、垃圾清理到</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指定位置，相关费用已含于</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kern w:val="0"/>
          <w:sz w:val="28"/>
          <w:szCs w:val="28"/>
          <w:highlight w:val="none"/>
          <w:u w:val="none"/>
          <w:shd w:val="clear" w:color="auto" w:fill="auto"/>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kern w:val="0"/>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中，甲</w:t>
      </w:r>
      <w:r>
        <w:rPr>
          <w:rFonts w:hint="eastAsia" w:ascii="仿宋" w:hAnsi="仿宋" w:eastAsia="仿宋" w:cs="仿宋"/>
          <w:i w:val="0"/>
          <w:iCs w:val="0"/>
          <w:color w:val="auto"/>
          <w:sz w:val="28"/>
          <w:szCs w:val="28"/>
          <w:highlight w:val="none"/>
          <w:shd w:val="clear" w:color="auto" w:fill="auto"/>
          <w:lang w:val="en-US" w:eastAsia="zh-CN"/>
        </w:rPr>
        <w:t>方无需另行计费给乙方。</w:t>
      </w:r>
    </w:p>
    <w:p w14:paraId="4EFE5F13">
      <w:pPr>
        <w:keepNext w:val="0"/>
        <w:keepLines w:val="0"/>
        <w:pageBreakBefore w:val="0"/>
        <w:widowControl w:val="0"/>
        <w:tabs>
          <w:tab w:val="left" w:pos="6780"/>
        </w:tabs>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rPr>
      </w:pPr>
      <w:r>
        <w:rPr>
          <w:rFonts w:hint="eastAsia" w:ascii="仿宋" w:hAnsi="仿宋" w:eastAsia="仿宋" w:cs="仿宋"/>
          <w:i w:val="0"/>
          <w:iCs w:val="0"/>
          <w:color w:val="auto"/>
          <w:sz w:val="28"/>
          <w:szCs w:val="28"/>
          <w:highlight w:val="none"/>
          <w:shd w:val="clear" w:color="auto" w:fill="auto"/>
          <w:lang w:val="en-US" w:eastAsia="zh-CN"/>
        </w:rPr>
        <w:t>3.11乙方完成下述工作及应对下述情况、风险的费用已包含在</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val="en-US" w:eastAsia="zh-CN"/>
        </w:rPr>
        <w:t>合同总价中，甲方无需另行付费给乙方：</w:t>
      </w:r>
    </w:p>
    <w:p w14:paraId="5503F50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3.11.1完成本项目</w:t>
      </w:r>
      <w:r>
        <w:rPr>
          <w:rFonts w:hint="eastAsia" w:ascii="仿宋" w:hAnsi="仿宋" w:eastAsia="仿宋" w:cs="仿宋"/>
          <w:i w:val="0"/>
          <w:iCs w:val="0"/>
          <w:color w:val="auto"/>
          <w:sz w:val="28"/>
          <w:szCs w:val="28"/>
          <w:highlight w:val="none"/>
          <w:shd w:val="clear" w:color="auto" w:fill="auto"/>
        </w:rPr>
        <w:t>图纸范围内的全部</w:t>
      </w:r>
      <w:r>
        <w:rPr>
          <w:rFonts w:hint="eastAsia" w:ascii="仿宋" w:hAnsi="仿宋" w:eastAsia="仿宋" w:cs="仿宋"/>
          <w:i w:val="0"/>
          <w:iCs w:val="0"/>
          <w:color w:val="auto"/>
          <w:sz w:val="28"/>
          <w:szCs w:val="28"/>
          <w:highlight w:val="none"/>
          <w:shd w:val="clear" w:color="auto" w:fill="auto"/>
          <w:lang w:val="en-US" w:eastAsia="zh-CN"/>
        </w:rPr>
        <w:t>防水相关工程，包括但不限于：清理基层、刷基层处理剂，防水薄弱处刷聚氨酯涂膜及卷材，附加层、加强层等细部处理，裂缝处理（如采用高压注浆等方式封堵等）贴卷材，卷材搭接处及收头嵌油膏，具体施工范围按图纸、规范及甲方要求。本工程使用的材料、机械设备，如因施工环境和场地限制，汽车不能直接运至现场（不能直接原车运到施工组织设计要求的范围内的堆放地点），必须再次运输所发生的二次装运卸而产生费用。</w:t>
      </w:r>
    </w:p>
    <w:p w14:paraId="5D38F44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3.11.2对相关</w:t>
      </w:r>
      <w:r>
        <w:rPr>
          <w:rFonts w:hint="eastAsia" w:ascii="仿宋" w:hAnsi="仿宋" w:eastAsia="仿宋" w:cs="仿宋"/>
          <w:i w:val="0"/>
          <w:iCs w:val="0"/>
          <w:color w:val="auto"/>
          <w:sz w:val="28"/>
          <w:szCs w:val="28"/>
          <w:highlight w:val="none"/>
          <w:shd w:val="clear" w:color="auto" w:fill="auto"/>
        </w:rPr>
        <w:t>施工机械及</w:t>
      </w:r>
      <w:r>
        <w:rPr>
          <w:rFonts w:hint="eastAsia" w:ascii="仿宋" w:hAnsi="仿宋" w:eastAsia="仿宋" w:cs="仿宋"/>
          <w:i w:val="0"/>
          <w:iCs w:val="0"/>
          <w:color w:val="auto"/>
          <w:sz w:val="28"/>
          <w:szCs w:val="28"/>
          <w:highlight w:val="none"/>
          <w:shd w:val="clear" w:color="auto" w:fill="auto"/>
          <w:lang w:val="en-US" w:eastAsia="zh-CN"/>
        </w:rPr>
        <w:t>总分配电</w:t>
      </w:r>
      <w:r>
        <w:rPr>
          <w:rFonts w:hint="eastAsia" w:ascii="仿宋" w:hAnsi="仿宋" w:eastAsia="仿宋" w:cs="仿宋"/>
          <w:i w:val="0"/>
          <w:iCs w:val="0"/>
          <w:color w:val="auto"/>
          <w:sz w:val="28"/>
          <w:szCs w:val="28"/>
          <w:highlight w:val="none"/>
          <w:shd w:val="clear" w:color="auto" w:fill="auto"/>
        </w:rPr>
        <w:t>箱、电缆线</w:t>
      </w:r>
      <w:r>
        <w:rPr>
          <w:rFonts w:hint="eastAsia" w:ascii="仿宋" w:hAnsi="仿宋" w:eastAsia="仿宋" w:cs="仿宋"/>
          <w:i w:val="0"/>
          <w:iCs w:val="0"/>
          <w:color w:val="auto"/>
          <w:sz w:val="28"/>
          <w:szCs w:val="28"/>
          <w:highlight w:val="none"/>
          <w:shd w:val="clear" w:color="auto" w:fill="auto"/>
          <w:lang w:val="en-US" w:eastAsia="zh-CN"/>
        </w:rPr>
        <w:t>进</w:t>
      </w:r>
      <w:r>
        <w:rPr>
          <w:rFonts w:hint="eastAsia" w:ascii="仿宋" w:hAnsi="仿宋" w:eastAsia="仿宋" w:cs="仿宋"/>
          <w:i w:val="0"/>
          <w:iCs w:val="0"/>
          <w:color w:val="auto"/>
          <w:sz w:val="28"/>
          <w:szCs w:val="28"/>
          <w:highlight w:val="none"/>
          <w:shd w:val="clear" w:color="auto" w:fill="auto"/>
        </w:rPr>
        <w:t>行维护、保养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甲方只负责将配电箱接至施工区域附近，乙方自行接至工作面</w:t>
      </w:r>
      <w:r>
        <w:rPr>
          <w:rFonts w:hint="eastAsia" w:ascii="仿宋" w:hAnsi="仿宋" w:eastAsia="仿宋" w:cs="仿宋"/>
          <w:i w:val="0"/>
          <w:iCs w:val="0"/>
          <w:color w:val="auto"/>
          <w:sz w:val="28"/>
          <w:szCs w:val="28"/>
          <w:highlight w:val="none"/>
          <w:shd w:val="clear" w:color="auto" w:fill="auto"/>
          <w:lang w:val="en-US" w:eastAsia="zh-CN"/>
        </w:rPr>
        <w:t>开关箱，</w:t>
      </w:r>
      <w:r>
        <w:rPr>
          <w:rFonts w:hint="eastAsia" w:ascii="仿宋" w:hAnsi="仿宋" w:eastAsia="仿宋" w:cs="仿宋"/>
          <w:i w:val="0"/>
          <w:iCs w:val="0"/>
          <w:color w:val="auto"/>
          <w:sz w:val="28"/>
          <w:szCs w:val="28"/>
          <w:highlight w:val="none"/>
          <w:shd w:val="clear" w:color="auto" w:fill="auto"/>
        </w:rPr>
        <w:t>电线、电缆由乙方负责</w:t>
      </w:r>
      <w:r>
        <w:rPr>
          <w:rFonts w:hint="eastAsia" w:ascii="仿宋" w:hAnsi="仿宋" w:eastAsia="仿宋" w:cs="仿宋"/>
          <w:i w:val="0"/>
          <w:iCs w:val="0"/>
          <w:color w:val="auto"/>
          <w:sz w:val="28"/>
          <w:szCs w:val="28"/>
          <w:highlight w:val="none"/>
          <w:shd w:val="clear" w:color="auto" w:fill="auto"/>
          <w:lang w:eastAsia="zh-CN"/>
        </w:rPr>
        <w:t>。</w:t>
      </w:r>
    </w:p>
    <w:p w14:paraId="7D88A8D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w:t>
      </w:r>
      <w:bookmarkStart w:id="30" w:name="_Toc15468"/>
      <w:bookmarkStart w:id="31" w:name="_Toc15548"/>
      <w:r>
        <w:rPr>
          <w:rFonts w:hint="eastAsia" w:ascii="仿宋" w:hAnsi="仿宋" w:eastAsia="仿宋" w:cs="仿宋"/>
          <w:i w:val="0"/>
          <w:iCs w:val="0"/>
          <w:color w:val="auto"/>
          <w:sz w:val="28"/>
          <w:szCs w:val="28"/>
          <w:highlight w:val="none"/>
          <w:shd w:val="clear" w:color="auto" w:fill="auto"/>
          <w:lang w:val="en-US" w:eastAsia="zh-CN"/>
        </w:rPr>
        <w:t>2其他要求：</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u w:val="none"/>
          <w:shd w:val="clear" w:color="auto" w:fill="auto"/>
          <w:lang w:val="en-US" w:eastAsia="zh-CN"/>
        </w:rPr>
        <w:t>。</w:t>
      </w:r>
    </w:p>
    <w:p w14:paraId="28D5CCF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2" w:name="_Toc12329"/>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30"/>
      <w:bookmarkEnd w:id="31"/>
      <w:bookmarkEnd w:id="32"/>
    </w:p>
    <w:p w14:paraId="1D03B91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工期</w:t>
      </w:r>
      <w:r>
        <w:rPr>
          <w:rFonts w:hint="eastAsia" w:ascii="仿宋" w:hAnsi="仿宋" w:eastAsia="仿宋" w:cs="仿宋"/>
          <w:i w:val="0"/>
          <w:iCs w:val="0"/>
          <w:color w:val="auto"/>
          <w:sz w:val="28"/>
          <w:szCs w:val="28"/>
          <w:highlight w:val="none"/>
          <w:shd w:val="clear" w:color="auto" w:fill="auto"/>
          <w:lang w:val="en-US" w:eastAsia="zh-CN"/>
        </w:rPr>
        <w:t>：</w:t>
      </w:r>
    </w:p>
    <w:tbl>
      <w:tblPr>
        <w:tblStyle w:val="15"/>
        <w:tblpPr w:leftFromText="180" w:rightFromText="180" w:vertAnchor="text" w:horzAnchor="page" w:tblpX="1533" w:tblpY="205"/>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9"/>
        <w:gridCol w:w="3045"/>
        <w:gridCol w:w="1245"/>
        <w:gridCol w:w="1920"/>
        <w:gridCol w:w="1875"/>
        <w:gridCol w:w="660"/>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54"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652"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675"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1041"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1017"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358"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2" w:firstLineChars="20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254" w:type="pct"/>
            <w:tcBorders>
              <w:tl2br w:val="nil"/>
              <w:tr2bl w:val="nil"/>
            </w:tcBorders>
            <w:noWrap/>
            <w:tcMar>
              <w:top w:w="15" w:type="dxa"/>
              <w:left w:w="15" w:type="dxa"/>
              <w:right w:w="15" w:type="dxa"/>
            </w:tcMar>
            <w:vAlign w:val="center"/>
          </w:tcPr>
          <w:p w14:paraId="405DC8B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宋体" w:hAnsi="宋体" w:eastAsia="宋体" w:cs="宋体"/>
                <w:b w:val="0"/>
                <w:bCs w:val="0"/>
                <w:i w:val="0"/>
                <w:iCs w:val="0"/>
                <w:color w:val="auto"/>
                <w:sz w:val="24"/>
                <w:szCs w:val="24"/>
                <w:highlight w:val="none"/>
                <w:shd w:val="clear" w:color="auto" w:fill="auto"/>
                <w:lang w:val="en-US" w:eastAsia="zh-CN"/>
              </w:rPr>
              <w:t>1</w:t>
            </w:r>
          </w:p>
        </w:tc>
        <w:tc>
          <w:tcPr>
            <w:tcW w:w="1652" w:type="pct"/>
            <w:tcBorders>
              <w:tl2br w:val="nil"/>
              <w:tr2bl w:val="nil"/>
            </w:tcBorders>
            <w:noWrap/>
            <w:tcMar>
              <w:top w:w="15" w:type="dxa"/>
              <w:left w:w="15" w:type="dxa"/>
              <w:right w:w="15" w:type="dxa"/>
            </w:tcMar>
            <w:vAlign w:val="center"/>
          </w:tcPr>
          <w:p w14:paraId="5A906C8A">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eastAsia="宋体" w:cs="宋体"/>
                <w:color w:val="auto"/>
                <w:highlight w:val="none"/>
                <w:lang w:val="en-US" w:eastAsia="zh-CN"/>
              </w:rPr>
              <w:t>东莞市常平镇环保专业基地洗水、印花污水处理厂-3号水池、配水井</w:t>
            </w:r>
            <w:r>
              <w:rPr>
                <w:rFonts w:hint="eastAsia" w:ascii="宋体" w:hAnsi="宋体" w:cs="宋体"/>
                <w:color w:val="auto"/>
                <w:highlight w:val="none"/>
                <w:lang w:val="en-US" w:eastAsia="zh-CN"/>
              </w:rPr>
              <w:t>等</w:t>
            </w:r>
            <w:r>
              <w:rPr>
                <w:rFonts w:hint="eastAsia" w:ascii="宋体" w:hAnsi="宋体" w:eastAsia="宋体" w:cs="宋体"/>
                <w:color w:val="auto"/>
                <w:highlight w:val="none"/>
              </w:rPr>
              <w:t>配套附属工程</w:t>
            </w:r>
          </w:p>
        </w:tc>
        <w:tc>
          <w:tcPr>
            <w:tcW w:w="675" w:type="pct"/>
            <w:tcBorders>
              <w:tl2br w:val="nil"/>
              <w:tr2bl w:val="nil"/>
            </w:tcBorders>
            <w:noWrap/>
            <w:tcMar>
              <w:top w:w="15" w:type="dxa"/>
              <w:left w:w="15" w:type="dxa"/>
              <w:right w:w="15" w:type="dxa"/>
            </w:tcMar>
            <w:vAlign w:val="center"/>
          </w:tcPr>
          <w:p w14:paraId="04C7D9E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0" w:firstLineChars="200"/>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418</w:t>
            </w:r>
          </w:p>
        </w:tc>
        <w:tc>
          <w:tcPr>
            <w:tcW w:w="1041" w:type="pct"/>
            <w:tcBorders>
              <w:tl2br w:val="nil"/>
              <w:tr2bl w:val="nil"/>
            </w:tcBorders>
            <w:noWrap/>
            <w:tcMar>
              <w:top w:w="15" w:type="dxa"/>
              <w:left w:w="15" w:type="dxa"/>
              <w:right w:w="15" w:type="dxa"/>
            </w:tcMar>
            <w:vAlign w:val="center"/>
          </w:tcPr>
          <w:p w14:paraId="7870E8D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20" w:firstLineChars="200"/>
              <w:jc w:val="center"/>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eastAsia="宋体" w:cs="宋体"/>
                <w:color w:val="auto"/>
                <w:highlight w:val="none"/>
                <w:lang w:val="en-US" w:eastAsia="zh-CN"/>
              </w:rPr>
              <w:t>202</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年</w:t>
            </w:r>
            <w:r>
              <w:rPr>
                <w:rFonts w:hint="eastAsia" w:ascii="宋体" w:hAnsi="宋体" w:cs="宋体"/>
                <w:color w:val="auto"/>
                <w:highlight w:val="none"/>
                <w:lang w:val="en-US" w:eastAsia="zh-CN"/>
              </w:rPr>
              <w:t>7</w:t>
            </w:r>
            <w:r>
              <w:rPr>
                <w:rFonts w:hint="eastAsia" w:ascii="宋体" w:hAnsi="宋体" w:eastAsia="宋体" w:cs="宋体"/>
                <w:color w:val="auto"/>
                <w:highlight w:val="none"/>
                <w:lang w:val="en-US" w:eastAsia="zh-CN"/>
              </w:rPr>
              <w:t>月1</w:t>
            </w:r>
            <w:r>
              <w:rPr>
                <w:rFonts w:hint="eastAsia" w:ascii="宋体" w:hAnsi="宋体" w:cs="宋体"/>
                <w:color w:val="auto"/>
                <w:highlight w:val="none"/>
                <w:lang w:val="en-US" w:eastAsia="zh-CN"/>
              </w:rPr>
              <w:t>0</w:t>
            </w:r>
            <w:r>
              <w:rPr>
                <w:rFonts w:hint="eastAsia" w:ascii="宋体" w:hAnsi="宋体" w:eastAsia="宋体" w:cs="宋体"/>
                <w:color w:val="auto"/>
                <w:highlight w:val="none"/>
                <w:lang w:val="en-US" w:eastAsia="zh-CN"/>
              </w:rPr>
              <w:t>日</w:t>
            </w:r>
          </w:p>
        </w:tc>
        <w:tc>
          <w:tcPr>
            <w:tcW w:w="1017" w:type="pct"/>
            <w:tcBorders>
              <w:tl2br w:val="nil"/>
              <w:tr2bl w:val="nil"/>
            </w:tcBorders>
            <w:noWrap/>
            <w:tcMar>
              <w:top w:w="15" w:type="dxa"/>
              <w:left w:w="15" w:type="dxa"/>
              <w:right w:w="15" w:type="dxa"/>
            </w:tcMar>
            <w:vAlign w:val="center"/>
          </w:tcPr>
          <w:p w14:paraId="7FC97252">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eastAsia="宋体" w:cs="宋体"/>
                <w:color w:val="auto"/>
                <w:highlight w:val="none"/>
                <w:lang w:val="en-US" w:eastAsia="zh-CN"/>
              </w:rPr>
              <w:t>202</w:t>
            </w:r>
            <w:r>
              <w:rPr>
                <w:rFonts w:hint="eastAsia" w:ascii="宋体" w:hAnsi="宋体" w:cs="宋体"/>
                <w:color w:val="auto"/>
                <w:highlight w:val="none"/>
                <w:lang w:val="en-US" w:eastAsia="zh-CN"/>
              </w:rPr>
              <w:t>6</w:t>
            </w:r>
            <w:r>
              <w:rPr>
                <w:rFonts w:hint="eastAsia" w:ascii="宋体" w:hAnsi="宋体" w:eastAsia="宋体" w:cs="宋体"/>
                <w:color w:val="auto"/>
                <w:highlight w:val="none"/>
                <w:lang w:val="en-US" w:eastAsia="zh-CN"/>
              </w:rPr>
              <w:t>年</w:t>
            </w:r>
            <w:r>
              <w:rPr>
                <w:rFonts w:hint="eastAsia" w:ascii="宋体" w:hAnsi="宋体" w:cs="宋体"/>
                <w:color w:val="auto"/>
                <w:highlight w:val="none"/>
                <w:lang w:val="en-US" w:eastAsia="zh-CN"/>
              </w:rPr>
              <w:t>8</w:t>
            </w:r>
            <w:r>
              <w:rPr>
                <w:rFonts w:hint="eastAsia" w:ascii="宋体" w:hAnsi="宋体" w:eastAsia="宋体" w:cs="宋体"/>
                <w:color w:val="auto"/>
                <w:highlight w:val="none"/>
                <w:lang w:val="en-US" w:eastAsia="zh-CN"/>
              </w:rPr>
              <w:t>月</w:t>
            </w:r>
            <w:r>
              <w:rPr>
                <w:rFonts w:hint="eastAsia" w:ascii="宋体" w:hAnsi="宋体" w:cs="宋体"/>
                <w:color w:val="auto"/>
                <w:highlight w:val="none"/>
                <w:lang w:val="en-US" w:eastAsia="zh-CN"/>
              </w:rPr>
              <w:t>31</w:t>
            </w:r>
            <w:r>
              <w:rPr>
                <w:rFonts w:hint="eastAsia" w:ascii="宋体" w:hAnsi="宋体" w:eastAsia="宋体" w:cs="宋体"/>
                <w:color w:val="auto"/>
                <w:highlight w:val="none"/>
                <w:lang w:val="en-US" w:eastAsia="zh-CN"/>
              </w:rPr>
              <w:t>日</w:t>
            </w:r>
          </w:p>
        </w:tc>
        <w:tc>
          <w:tcPr>
            <w:tcW w:w="358" w:type="pct"/>
            <w:tcBorders>
              <w:tl2br w:val="nil"/>
              <w:tr2bl w:val="nil"/>
            </w:tcBorders>
            <w:noWrap/>
            <w:tcMar>
              <w:top w:w="15" w:type="dxa"/>
              <w:left w:w="15" w:type="dxa"/>
              <w:right w:w="15" w:type="dxa"/>
            </w:tcMar>
            <w:vAlign w:val="center"/>
          </w:tcPr>
          <w:p w14:paraId="610F6E8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420" w:leftChars="-200" w:right="0" w:rightChars="0" w:firstLine="480" w:firstLineChars="20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645799C6">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70AD3E2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4.2乙方必须满足甲方的工期要求，配备符合本工程需求的熟练技术工人不少于</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FF0000"/>
          <w:sz w:val="28"/>
          <w:szCs w:val="28"/>
          <w:highlight w:val="none"/>
          <w:u w:val="single"/>
          <w:lang w:val="en-US" w:eastAsia="zh-CN"/>
        </w:rPr>
        <w:t>12</w:t>
      </w:r>
      <w:r>
        <w:rPr>
          <w:rFonts w:hint="eastAsia" w:ascii="仿宋" w:hAnsi="仿宋" w:eastAsia="仿宋" w:cs="仿宋"/>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p>
    <w:p w14:paraId="12B6B014">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lang w:val="en-US" w:eastAsia="zh-CN"/>
        </w:rPr>
        <w:t>4.3其他要求：</w:t>
      </w:r>
      <w:r>
        <w:rPr>
          <w:rFonts w:hint="eastAsia" w:ascii="仿宋" w:hAnsi="仿宋" w:eastAsia="仿宋" w:cs="仿宋"/>
          <w:i w:val="0"/>
          <w:iCs w:val="0"/>
          <w:color w:val="auto"/>
          <w:sz w:val="28"/>
          <w:szCs w:val="28"/>
          <w:highlight w:val="none"/>
          <w:u w:val="single"/>
          <w:lang w:val="en-US" w:eastAsia="zh-CN"/>
        </w:rPr>
        <w:t xml:space="preserve">  /  </w:t>
      </w:r>
      <w:r>
        <w:rPr>
          <w:rFonts w:hint="eastAsia" w:ascii="仿宋" w:hAnsi="仿宋" w:eastAsia="仿宋" w:cs="仿宋"/>
          <w:i w:val="0"/>
          <w:iCs w:val="0"/>
          <w:color w:val="auto"/>
          <w:sz w:val="28"/>
          <w:szCs w:val="28"/>
          <w:highlight w:val="none"/>
          <w:u w:val="none"/>
          <w:lang w:val="en-US" w:eastAsia="zh-CN"/>
        </w:rPr>
        <w:t>。</w:t>
      </w:r>
    </w:p>
    <w:p w14:paraId="169DBF9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3" w:name="_Toc541"/>
      <w:bookmarkStart w:id="34" w:name="_Toc3824"/>
      <w:bookmarkStart w:id="35" w:name="_Toc22079"/>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33"/>
      <w:bookmarkEnd w:id="34"/>
      <w:bookmarkEnd w:id="35"/>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3EB8A91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标准，本合同另有约定的须同时符合该约定。</w:t>
      </w:r>
    </w:p>
    <w:p w14:paraId="16367E3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36" w:name="_Toc19252"/>
      <w:bookmarkStart w:id="37" w:name="_Toc2060"/>
    </w:p>
    <w:p w14:paraId="00B987C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5.2.1乙供材料必须符合设计要求，有材料出厂合格证、质量检验报告和现场抽样复验报告。</w:t>
      </w:r>
    </w:p>
    <w:p w14:paraId="535D8C4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5.2.2 各施工部位细部做法必须符合设计和规范要求。</w:t>
      </w:r>
    </w:p>
    <w:p w14:paraId="6751EFE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防水层在天沟、檐沟、泛水、变形缝和水落口等处细部做法必须符合设计和规范要求。</w:t>
      </w:r>
    </w:p>
    <w:p w14:paraId="3DF3337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5.2.4 防水层的搭接缝应粘结牢固、密封严密，不得有皱折、翘边和鼓泡。</w:t>
      </w:r>
    </w:p>
    <w:p w14:paraId="6A631D3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5.2.5 防水层的收头应与基层粘结并固定牢固、缝口封严，不得翘边。</w:t>
      </w:r>
    </w:p>
    <w:p w14:paraId="136E126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5.2.6 防水层的铺设方向正确，搭接长度符合要求。</w:t>
      </w:r>
    </w:p>
    <w:p w14:paraId="12474AA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8" w:name="_Toc23895"/>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36"/>
      <w:bookmarkEnd w:id="37"/>
      <w:bookmarkEnd w:id="38"/>
    </w:p>
    <w:p w14:paraId="37177A1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719ADC0D">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%的增值税专用发票（税率按国家政策执行，如税率调整，合同单价随之调整），除合同另有约定外，合同单价不作任何调整（尤其不因乙方实际施工面积的变化而增加）。</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 xml:space="preserve">，此价仅供参考，不作结算用途。 </w:t>
      </w:r>
    </w:p>
    <w:p w14:paraId="37D783E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合同总价对应的报价清单和图纸及相关文件详见附件。合同总价包含乙方完成合同附件所述内容的费用，除合同另有约定外，不作调整。</w:t>
      </w:r>
    </w:p>
    <w:p w14:paraId="55EE6A5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9" w:name="_Toc32757"/>
      <w:bookmarkStart w:id="40" w:name="_Toc9761"/>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合同总价适用于本项目用地红线范围内的本工程全部工作内容，已有价格的子目双方无需另行确定单价，均按已确定价格执行。</w:t>
      </w:r>
    </w:p>
    <w:p w14:paraId="4055E14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投标过程中，乙方对报价清单、图纸、施工方案、技术要求等招采文件内容未经甲方同意而擅自更改、删除等，无论是否在本合同正文、附件中有所体现、表述，属乙方欺瞒甲方的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2F93A730">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1" w:name="_Toc15702"/>
      <w:bookmarkStart w:id="42"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41"/>
      <w:bookmarkEnd w:id="42"/>
    </w:p>
    <w:p w14:paraId="399166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3" w:name="_Toc13749"/>
      <w:bookmarkStart w:id="44" w:name="_Toc28489"/>
      <w:bookmarkStart w:id="45" w:name="_Toc24245"/>
      <w:r>
        <w:rPr>
          <w:rFonts w:hint="eastAsia" w:ascii="仿宋" w:hAnsi="仿宋" w:eastAsia="仿宋" w:cs="仿宋"/>
          <w:b w:val="0"/>
          <w:bCs w:val="0"/>
          <w:color w:val="auto"/>
          <w:sz w:val="28"/>
          <w:szCs w:val="28"/>
          <w:highlight w:val="none"/>
          <w:lang w:val="en-US" w:eastAsia="zh-CN"/>
        </w:rPr>
        <w:t>7.1工程量计算原则</w:t>
      </w:r>
      <w:bookmarkEnd w:id="43"/>
      <w:bookmarkEnd w:id="44"/>
      <w:bookmarkEnd w:id="45"/>
    </w:p>
    <w:bookmarkEnd w:id="39"/>
    <w:bookmarkEnd w:id="40"/>
    <w:p w14:paraId="77069599">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26012"/>
      <w:bookmarkStart w:id="47" w:name="_Toc16700"/>
      <w:r>
        <w:rPr>
          <w:rFonts w:hint="eastAsia" w:ascii="仿宋" w:hAnsi="仿宋" w:eastAsia="仿宋" w:cs="仿宋"/>
          <w:b w:val="0"/>
          <w:bCs w:val="0"/>
          <w:i w:val="0"/>
          <w:iCs w:val="0"/>
          <w:color w:val="auto"/>
          <w:sz w:val="28"/>
          <w:szCs w:val="28"/>
          <w:highlight w:val="none"/>
          <w:shd w:val="clear" w:color="auto" w:fill="auto"/>
          <w:lang w:val="en-US" w:eastAsia="zh-CN"/>
        </w:rPr>
        <w:t>7.1.1</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2A440EB6">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固定单价合同：合同范围内的按合同约定的计算原则执行，合同无约定或合同范围外的签证、变更工程计量方式按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本合同相关条款</w:t>
      </w:r>
      <w:r>
        <w:rPr>
          <w:rFonts w:hint="eastAsia" w:ascii="仿宋" w:hAnsi="仿宋" w:eastAsia="仿宋" w:cs="仿宋"/>
          <w:b w:val="0"/>
          <w:bCs w:val="0"/>
          <w:i w:val="0"/>
          <w:iCs w:val="0"/>
          <w:color w:val="auto"/>
          <w:sz w:val="28"/>
          <w:szCs w:val="28"/>
          <w:highlight w:val="none"/>
          <w:shd w:val="clear" w:color="auto" w:fill="auto"/>
          <w:lang w:val="en-US" w:eastAsia="zh-CN"/>
        </w:rPr>
        <w:t>执行。</w:t>
      </w:r>
    </w:p>
    <w:p w14:paraId="74520DE5">
      <w:pPr>
        <w:keepNext w:val="0"/>
        <w:keepLines w:val="0"/>
        <w:pageBreakBefore w:val="0"/>
        <w:widowControl w:val="0"/>
        <w:kinsoku/>
        <w:wordWrap/>
        <w:overflowPunct/>
        <w:topLinePunct w:val="0"/>
        <w:autoSpaceDE/>
        <w:autoSpaceDN/>
        <w:bidi w:val="0"/>
        <w:adjustRightInd w:val="0"/>
        <w:snapToGrid w:val="0"/>
        <w:spacing w:line="500" w:lineRule="atLeast"/>
        <w:ind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w:t>
      </w:r>
      <w:r>
        <w:rPr>
          <w:rFonts w:hint="eastAsia" w:ascii="仿宋" w:hAnsi="仿宋" w:eastAsia="仿宋" w:cs="仿宋"/>
          <w:b w:val="0"/>
          <w:bCs w:val="0"/>
          <w:i w:val="0"/>
          <w:iCs w:val="0"/>
          <w:color w:val="FF0000"/>
          <w:sz w:val="28"/>
          <w:szCs w:val="28"/>
          <w:highlight w:val="none"/>
          <w:lang w:val="en-US" w:eastAsia="zh-CN"/>
        </w:rPr>
        <w:t>工程量计量规则：</w:t>
      </w:r>
      <w:r>
        <w:rPr>
          <w:rFonts w:hint="eastAsia" w:ascii="仿宋" w:hAnsi="仿宋" w:eastAsia="仿宋" w:cs="仿宋"/>
          <w:b w:val="0"/>
          <w:bCs w:val="0"/>
          <w:color w:val="FF0000"/>
          <w:sz w:val="28"/>
          <w:szCs w:val="28"/>
          <w:highlight w:val="none"/>
          <w:lang w:val="en-US" w:eastAsia="zh-CN"/>
        </w:rPr>
        <w:t>执行《广东省建筑与装饰工程计价定额(2018年)》工程量计算规则、《广东省安装工程计价定额(2018年)》工程量计算规则、《广东省市政工程计价定额(2018年)》工程量计算规则、《广东省城市园林绿化养护管理计价定额(2018年)》工程量计算规则、《建筑工程建筑面积计算规范（GB50353-2013）》进行计算</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4D2CE28B">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2DFC00BF">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66D5B534">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2795A12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43C18D1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515FB4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5FB8FD3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23C806A6">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FF0000"/>
          <w:sz w:val="28"/>
          <w:szCs w:val="28"/>
          <w:highlight w:val="none"/>
          <w:u w:val="none"/>
          <w:shd w:val="clear" w:color="auto" w:fill="auto"/>
          <w:lang w:val="en-US" w:eastAsia="zh-CN"/>
        </w:rPr>
        <w:t>本工程执行《广东省建筑与装饰工程计价定额（2018年）》《广东省安装工程计价定额（2018年）》清单计价程序取费，绿化部分执行《广东省城市园林绿化养护管理计价定额（2018年）》清单计价程序取费。采用清单计价，执行《建设工程工程量清单计价规范》（GB50500—2013）；同时执行《广东省建设工程计价依据（2018）》：《广东省建筑与装饰工程计价定额（2018年）》《广东省安装工程计价定额（2018年）》《广东省市政工程计价定额（2018年）》《广东省城市园林绿化养护管理计价定额（2018年）》《广东省工程量清单计价指引（2013年）》等以及国家行政主管部门颁布的相关规定文件</w:t>
      </w:r>
      <w:r>
        <w:rPr>
          <w:rFonts w:hint="eastAsia" w:ascii="仿宋" w:hAnsi="仿宋" w:eastAsia="仿宋" w:cs="仿宋"/>
          <w:b w:val="0"/>
          <w:bCs w:val="0"/>
          <w:i w:val="0"/>
          <w:iCs w:val="0"/>
          <w:color w:val="FF0000"/>
          <w:sz w:val="28"/>
          <w:szCs w:val="28"/>
          <w:highlight w:val="none"/>
          <w:lang w:val="en-US" w:eastAsia="zh-CN"/>
        </w:rPr>
        <w:t>。</w:t>
      </w:r>
    </w:p>
    <w:p w14:paraId="141413A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7C145E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66ADB1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53EF950D">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i w:val="0"/>
          <w:iCs w:val="0"/>
          <w:color w:val="FF0000"/>
          <w:sz w:val="28"/>
          <w:szCs w:val="28"/>
          <w:highlight w:val="none"/>
          <w:u w:val="none"/>
          <w:shd w:val="clear" w:color="auto" w:fill="auto"/>
          <w:lang w:val="en-US" w:eastAsia="zh-CN"/>
        </w:rPr>
        <w:t>包工不包料工程</w:t>
      </w:r>
      <w:r>
        <w:rPr>
          <w:rFonts w:hint="eastAsia" w:ascii="仿宋" w:hAnsi="仿宋" w:eastAsia="仿宋" w:cs="仿宋"/>
          <w:b w:val="0"/>
          <w:bCs w:val="0"/>
          <w:i w:val="0"/>
          <w:iCs w:val="0"/>
          <w:color w:val="FF0000"/>
          <w:sz w:val="28"/>
          <w:szCs w:val="28"/>
          <w:highlight w:val="none"/>
          <w:lang w:val="en-US" w:eastAsia="zh-CN"/>
        </w:rPr>
        <w:t>按以上计价方式（仅计取人工费和分包提供的材料和机械费）下浮</w:t>
      </w:r>
      <w:r>
        <w:rPr>
          <w:rFonts w:hint="eastAsia" w:ascii="仿宋" w:hAnsi="仿宋" w:eastAsia="仿宋" w:cs="仿宋"/>
          <w:b w:val="0"/>
          <w:bCs w:val="0"/>
          <w:i w:val="0"/>
          <w:iCs w:val="0"/>
          <w:color w:val="FF0000"/>
          <w:sz w:val="28"/>
          <w:szCs w:val="28"/>
          <w:highlight w:val="none"/>
          <w:u w:val="single"/>
          <w:lang w:val="en-US" w:eastAsia="zh-CN"/>
        </w:rPr>
        <w:t xml:space="preserve">  15 </w:t>
      </w:r>
      <w:r>
        <w:rPr>
          <w:rFonts w:hint="eastAsia" w:ascii="仿宋" w:hAnsi="仿宋" w:eastAsia="仿宋" w:cs="仿宋"/>
          <w:b w:val="0"/>
          <w:bCs w:val="0"/>
          <w:i w:val="0"/>
          <w:iCs w:val="0"/>
          <w:color w:val="FF0000"/>
          <w:sz w:val="28"/>
          <w:szCs w:val="28"/>
          <w:highlight w:val="none"/>
          <w:lang w:val="en-US" w:eastAsia="zh-CN"/>
        </w:rPr>
        <w:t>%后计取税金；</w:t>
      </w:r>
      <w:r>
        <w:rPr>
          <w:rFonts w:hint="eastAsia" w:ascii="仿宋" w:hAnsi="仿宋" w:eastAsia="仿宋" w:cs="仿宋"/>
          <w:b w:val="0"/>
          <w:bCs w:val="0"/>
          <w:i w:val="0"/>
          <w:iCs w:val="0"/>
          <w:color w:val="0070C0"/>
          <w:sz w:val="28"/>
          <w:szCs w:val="28"/>
          <w:highlight w:val="none"/>
          <w:lang w:val="en-US" w:eastAsia="zh-CN"/>
        </w:rPr>
        <w:t>包工包</w:t>
      </w:r>
      <w:r>
        <w:rPr>
          <w:rFonts w:hint="eastAsia" w:ascii="仿宋" w:hAnsi="仿宋" w:eastAsia="仿宋" w:cs="仿宋"/>
          <w:b w:val="0"/>
          <w:bCs w:val="0"/>
          <w:i w:val="0"/>
          <w:iCs w:val="0"/>
          <w:color w:val="0070C0"/>
          <w:sz w:val="28"/>
          <w:szCs w:val="28"/>
          <w:highlight w:val="none"/>
          <w:u w:val="none"/>
          <w:shd w:val="clear" w:color="auto" w:fill="auto"/>
          <w:lang w:val="en-US" w:eastAsia="zh-CN"/>
        </w:rPr>
        <w:t>部分材料（仅不含甲供材）</w:t>
      </w:r>
      <w:r>
        <w:rPr>
          <w:rFonts w:hint="eastAsia" w:ascii="仿宋" w:hAnsi="仿宋" w:eastAsia="仿宋" w:cs="仿宋"/>
          <w:b w:val="0"/>
          <w:bCs w:val="0"/>
          <w:i w:val="0"/>
          <w:iCs w:val="0"/>
          <w:color w:val="0070C0"/>
          <w:sz w:val="28"/>
          <w:szCs w:val="28"/>
          <w:highlight w:val="none"/>
          <w:lang w:val="en-US" w:eastAsia="zh-CN"/>
        </w:rPr>
        <w:t>工程</w:t>
      </w:r>
      <w:r>
        <w:rPr>
          <w:rFonts w:hint="eastAsia" w:ascii="仿宋" w:hAnsi="仿宋" w:eastAsia="仿宋" w:cs="仿宋"/>
          <w:b w:val="0"/>
          <w:bCs w:val="0"/>
          <w:i w:val="0"/>
          <w:iCs w:val="0"/>
          <w:color w:val="FF0000"/>
          <w:sz w:val="28"/>
          <w:szCs w:val="28"/>
          <w:highlight w:val="none"/>
          <w:lang w:val="en-US" w:eastAsia="zh-CN"/>
        </w:rPr>
        <w:t>按以上计价方式（仅计取人工费和材料费和机械费）下浮</w:t>
      </w:r>
      <w:r>
        <w:rPr>
          <w:rFonts w:hint="eastAsia" w:ascii="仿宋" w:hAnsi="仿宋" w:eastAsia="仿宋" w:cs="仿宋"/>
          <w:b w:val="0"/>
          <w:bCs w:val="0"/>
          <w:i w:val="0"/>
          <w:iCs w:val="0"/>
          <w:color w:val="FF0000"/>
          <w:sz w:val="28"/>
          <w:szCs w:val="28"/>
          <w:highlight w:val="none"/>
          <w:u w:val="single"/>
          <w:lang w:val="en-US" w:eastAsia="zh-CN"/>
        </w:rPr>
        <w:t xml:space="preserve">  35 </w:t>
      </w:r>
      <w:r>
        <w:rPr>
          <w:rFonts w:hint="eastAsia" w:ascii="仿宋" w:hAnsi="仿宋" w:eastAsia="仿宋" w:cs="仿宋"/>
          <w:b w:val="0"/>
          <w:bCs w:val="0"/>
          <w:i w:val="0"/>
          <w:iCs w:val="0"/>
          <w:color w:val="FF0000"/>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556AFC31">
      <w:pPr>
        <w:keepNext w:val="0"/>
        <w:keepLines w:val="0"/>
        <w:pageBreakBefore w:val="0"/>
        <w:widowControl w:val="0"/>
        <w:kinsoku/>
        <w:wordWrap/>
        <w:overflowPunct/>
        <w:topLinePunct w:val="0"/>
        <w:autoSpaceDE/>
        <w:autoSpaceDN/>
        <w:bidi w:val="0"/>
        <w:adjustRightInd w:val="0"/>
        <w:snapToGrid w:val="0"/>
        <w:spacing w:line="500" w:lineRule="atLeas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8" w:name="_Toc21112"/>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46"/>
      <w:bookmarkEnd w:id="47"/>
      <w:bookmarkEnd w:id="48"/>
    </w:p>
    <w:p w14:paraId="45972B87">
      <w:pPr>
        <w:keepNext w:val="0"/>
        <w:keepLines w:val="0"/>
        <w:pageBreakBefore w:val="0"/>
        <w:widowControl w:val="0"/>
        <w:kinsoku/>
        <w:wordWrap/>
        <w:overflowPunct/>
        <w:topLinePunct w:val="0"/>
        <w:autoSpaceDE/>
        <w:autoSpaceDN/>
        <w:bidi w:val="0"/>
        <w:adjustRightInd w:val="0"/>
        <w:snapToGrid w:val="0"/>
        <w:spacing w:line="50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75661FA2">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aps w:val="0"/>
          <w:color w:val="FF0000"/>
          <w:spacing w:val="0"/>
          <w:sz w:val="28"/>
          <w:szCs w:val="28"/>
          <w:highlight w:val="none"/>
          <w:lang w:val="en-US" w:eastAsia="zh-CN"/>
        </w:rPr>
      </w:pPr>
      <w:r>
        <w:rPr>
          <w:rFonts w:hint="eastAsia" w:ascii="仿宋" w:hAnsi="仿宋" w:eastAsia="仿宋" w:cs="仿宋"/>
          <w:i w:val="0"/>
          <w:iCs w:val="0"/>
          <w:caps w:val="0"/>
          <w:color w:val="FF0000"/>
          <w:spacing w:val="0"/>
          <w:sz w:val="28"/>
          <w:szCs w:val="28"/>
          <w:highlight w:val="none"/>
          <w:lang w:val="en-US" w:eastAsia="zh-CN"/>
        </w:rPr>
        <w:t>8.1.1本工程的地下水池防水施工完成，乙方方可申请进度款。乙方须于次月10日前提供本月及次月实名制报备登记和打卡的《建筑工人工资表》等相关进度款审批文件给甲方，甲方审核无误后支付至本工程已完合格工程量造价的60%（含甲方工人工资专用账户支付给乙方工人工资款额）。</w:t>
      </w:r>
    </w:p>
    <w:p w14:paraId="6ABC23CD">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aps w:val="0"/>
          <w:color w:val="auto"/>
          <w:spacing w:val="0"/>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8.1.2本工程乙方承包内容全部施工完成，经政府主管部门竣工综合验收通过，且</w:t>
      </w:r>
      <w:r>
        <w:rPr>
          <w:rFonts w:hint="eastAsia" w:ascii="仿宋" w:hAnsi="仿宋" w:eastAsia="仿宋" w:cs="仿宋"/>
          <w:b w:val="0"/>
          <w:bCs w:val="0"/>
          <w:i w:val="0"/>
          <w:iCs w:val="0"/>
          <w:color w:val="auto"/>
          <w:sz w:val="28"/>
          <w:szCs w:val="28"/>
          <w:highlight w:val="none"/>
          <w:u w:val="none"/>
          <w:shd w:val="clear" w:color="auto" w:fill="auto"/>
          <w:lang w:val="en-US" w:eastAsia="zh-CN"/>
        </w:rPr>
        <w:t>建设单位、监理、甲方、物业管理单位（如有）验收通过并移交建设单位或物业管理单位后，甲方支付至</w:t>
      </w:r>
      <w:r>
        <w:rPr>
          <w:rFonts w:hint="eastAsia" w:ascii="仿宋" w:hAnsi="仿宋" w:eastAsia="仿宋" w:cs="仿宋"/>
          <w:i w:val="0"/>
          <w:iCs w:val="0"/>
          <w:caps w:val="0"/>
          <w:color w:val="auto"/>
          <w:spacing w:val="0"/>
          <w:sz w:val="28"/>
          <w:szCs w:val="28"/>
          <w:highlight w:val="none"/>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暂定总价的</w:t>
      </w:r>
      <w:r>
        <w:rPr>
          <w:rFonts w:hint="eastAsia" w:ascii="仿宋" w:hAnsi="仿宋" w:eastAsia="仿宋" w:cs="仿宋"/>
          <w:i w:val="0"/>
          <w:iCs w:val="0"/>
          <w:caps w:val="0"/>
          <w:color w:val="auto"/>
          <w:spacing w:val="0"/>
          <w:sz w:val="28"/>
          <w:szCs w:val="28"/>
          <w:highlight w:val="none"/>
          <w:u w:val="single"/>
          <w:lang w:val="en-US" w:eastAsia="zh-CN"/>
        </w:rPr>
        <w:t>80</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r>
        <w:rPr>
          <w:rFonts w:hint="eastAsia" w:ascii="仿宋" w:hAnsi="仿宋" w:eastAsia="仿宋" w:cs="仿宋"/>
          <w:i w:val="0"/>
          <w:iCs w:val="0"/>
          <w:caps w:val="0"/>
          <w:color w:val="auto"/>
          <w:spacing w:val="0"/>
          <w:sz w:val="28"/>
          <w:szCs w:val="28"/>
          <w:highlight w:val="none"/>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含甲方工人工资专用账户支付给乙方工人工资款额</w:t>
      </w:r>
      <w:r>
        <w:rPr>
          <w:rFonts w:hint="eastAsia" w:ascii="仿宋" w:hAnsi="仿宋" w:eastAsia="仿宋" w:cs="仿宋"/>
          <w:i w:val="0"/>
          <w:iCs w:val="0"/>
          <w:caps w:val="0"/>
          <w:color w:val="auto"/>
          <w:spacing w:val="0"/>
          <w:sz w:val="28"/>
          <w:szCs w:val="28"/>
          <w:highlight w:val="none"/>
          <w:lang w:eastAsia="zh-CN"/>
        </w:rPr>
        <w:t>）。</w:t>
      </w:r>
    </w:p>
    <w:p w14:paraId="3FDF7EB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i w:val="0"/>
          <w:iCs w:val="0"/>
          <w:caps w:val="0"/>
          <w:color w:val="auto"/>
          <w:spacing w:val="0"/>
          <w:sz w:val="28"/>
          <w:szCs w:val="28"/>
          <w:highlight w:val="none"/>
          <w:lang w:val="en-US" w:eastAsia="zh-CN"/>
        </w:rPr>
        <w:t>8.1.3本项目的</w:t>
      </w:r>
      <w:r>
        <w:rPr>
          <w:rFonts w:hint="eastAsia" w:ascii="仿宋" w:hAnsi="仿宋" w:eastAsia="仿宋" w:cs="仿宋"/>
          <w:b w:val="0"/>
          <w:bCs w:val="0"/>
          <w:i w:val="0"/>
          <w:iCs w:val="0"/>
          <w:color w:val="auto"/>
          <w:sz w:val="28"/>
          <w:szCs w:val="28"/>
          <w:highlight w:val="none"/>
        </w:rPr>
        <w:t>所有增加工程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变更工程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签证工程等工程并入本工程竣工结算并在竣工结算完成一并支付</w:t>
      </w:r>
      <w:r>
        <w:rPr>
          <w:rFonts w:hint="eastAsia" w:ascii="仿宋" w:hAnsi="仿宋" w:eastAsia="仿宋" w:cs="仿宋"/>
          <w:b w:val="0"/>
          <w:bCs w:val="0"/>
          <w:i w:val="0"/>
          <w:iCs w:val="0"/>
          <w:color w:val="auto"/>
          <w:sz w:val="28"/>
          <w:szCs w:val="28"/>
          <w:highlight w:val="none"/>
          <w:lang w:eastAsia="zh-CN"/>
        </w:rPr>
        <w:t>。</w:t>
      </w:r>
    </w:p>
    <w:p w14:paraId="13EE2E31">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8.1.4乙方将本工程所有资料原件、复印件列清单、目录移交甲方后，甲乙双方办理本工程结算，双方就结算金额达成书面一致且乙方开具金额等于结算总价100%的发票给甲方后，甲方付至结算总价的97%(含甲方工人工资专用账户支付给乙方工人工资款额)。</w:t>
      </w:r>
    </w:p>
    <w:p w14:paraId="2D09E93F">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cyan"/>
          <w:lang w:val="en-US" w:eastAsia="zh-CN"/>
        </w:rPr>
      </w:pPr>
      <w:r>
        <w:rPr>
          <w:rFonts w:hint="eastAsia" w:ascii="仿宋" w:hAnsi="仿宋" w:eastAsia="仿宋" w:cs="仿宋"/>
          <w:b w:val="0"/>
          <w:bCs w:val="0"/>
          <w:i w:val="0"/>
          <w:iCs w:val="0"/>
          <w:color w:val="auto"/>
          <w:sz w:val="28"/>
          <w:szCs w:val="28"/>
          <w:highlight w:val="none"/>
          <w:lang w:val="en-US" w:eastAsia="zh-CN"/>
        </w:rPr>
        <w:t>8.1.5本工程结算总价的3%作为保修金(含甲方工人工资专用账户支付给乙方工人工资款额)，保修期满且乙方如实履行保修义务、责任后无息结清。本合同项下存在两个或两个以上保修期限的，以最长保修期限为准</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FF0000"/>
          <w:sz w:val="28"/>
          <w:szCs w:val="28"/>
          <w:highlight w:val="none"/>
          <w:lang w:val="en-US" w:eastAsia="zh-CN"/>
        </w:rPr>
        <w:t>甲方付清保修金后，乙方仍须如实履行合同约定的保修义务及责任。</w:t>
      </w:r>
    </w:p>
    <w:p w14:paraId="198F2FFD">
      <w:pPr>
        <w:keepNext w:val="0"/>
        <w:keepLines w:val="0"/>
        <w:pageBreakBefore w:val="0"/>
        <w:widowControl w:val="0"/>
        <w:shd w:val="clear"/>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8.1.6对报价清单（详见合同附件）之说明清单之“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p>
    <w:p w14:paraId="1E3C16FF">
      <w:pPr>
        <w:keepNext w:val="0"/>
        <w:keepLines w:val="0"/>
        <w:pageBreakBefore w:val="0"/>
        <w:widowControl w:val="0"/>
        <w:kinsoku/>
        <w:wordWrap/>
        <w:overflowPunct/>
        <w:topLinePunct w:val="0"/>
        <w:autoSpaceDE/>
        <w:autoSpaceDN/>
        <w:bidi w:val="0"/>
        <w:adjustRightInd w:val="0"/>
        <w:snapToGrid w:val="0"/>
        <w:spacing w:line="500" w:lineRule="atLeast"/>
        <w:ind w:left="-197" w:leftChars="-94"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D60823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                  </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p>
    <w:p w14:paraId="73B6A25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jc w:val="both"/>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bookmarkStart w:id="49" w:name="_Toc19197"/>
      <w:bookmarkStart w:id="50" w:name="_Toc5830"/>
      <w:bookmarkStart w:id="51" w:name="_Toc24215"/>
      <w:r>
        <w:rPr>
          <w:rFonts w:hint="eastAsia" w:ascii="仿宋" w:hAnsi="仿宋" w:eastAsia="仿宋" w:cs="仿宋"/>
          <w:b w:val="0"/>
          <w:bCs w:val="0"/>
          <w:i w:val="0"/>
          <w:iCs w:val="0"/>
          <w:color w:val="auto"/>
          <w:sz w:val="28"/>
          <w:szCs w:val="28"/>
          <w:highlight w:val="none"/>
          <w:shd w:val="clear" w:color="auto" w:fill="auto"/>
          <w:lang w:val="en-US" w:eastAsia="zh-CN"/>
        </w:rPr>
        <w:t>8.2</w:t>
      </w:r>
      <w:r>
        <w:rPr>
          <w:rFonts w:hint="default" w:ascii="仿宋" w:hAnsi="仿宋" w:eastAsia="仿宋" w:cs="仿宋"/>
          <w:color w:val="auto"/>
          <w:sz w:val="28"/>
          <w:highlight w:val="none"/>
          <w:u w:val="none"/>
          <w:lang w:val="en-US" w:eastAsia="zh-CN"/>
        </w:rPr>
        <w:t>合同履约保证金为人民币</w:t>
      </w:r>
      <w:r>
        <w:rPr>
          <w:rFonts w:hint="eastAsia" w:ascii="仿宋" w:hAnsi="仿宋" w:eastAsia="仿宋" w:cs="仿宋"/>
          <w:b/>
          <w:bCs/>
          <w:color w:val="auto"/>
          <w:sz w:val="28"/>
          <w:highlight w:val="none"/>
          <w:u w:val="single"/>
          <w:lang w:val="en-US" w:eastAsia="zh-CN"/>
        </w:rPr>
        <w:t xml:space="preserve"> / </w:t>
      </w:r>
      <w:r>
        <w:rPr>
          <w:rFonts w:hint="default" w:ascii="仿宋" w:hAnsi="仿宋" w:eastAsia="仿宋" w:cs="仿宋"/>
          <w:color w:val="auto"/>
          <w:sz w:val="28"/>
          <w:highlight w:val="none"/>
          <w:u w:val="none"/>
          <w:lang w:val="en-US" w:eastAsia="zh-CN"/>
        </w:rPr>
        <w:t>元整</w:t>
      </w:r>
      <w:r>
        <w:rPr>
          <w:rFonts w:hint="eastAsia" w:ascii="仿宋" w:hAnsi="仿宋" w:eastAsia="仿宋" w:cs="仿宋"/>
          <w:color w:val="auto"/>
          <w:sz w:val="28"/>
          <w:szCs w:val="28"/>
          <w:highlight w:val="none"/>
          <w:u w:val="none"/>
          <w:lang w:val="en-US" w:eastAsia="zh-CN"/>
        </w:rPr>
        <w:t>（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w:t>
      </w:r>
      <w:r>
        <w:rPr>
          <w:rFonts w:hint="eastAsia" w:ascii="仿宋" w:hAnsi="仿宋" w:eastAsia="仿宋" w:cs="仿宋"/>
          <w:i w:val="0"/>
          <w:iCs w:val="0"/>
          <w:color w:val="auto"/>
          <w:kern w:val="0"/>
          <w:sz w:val="28"/>
          <w:szCs w:val="28"/>
          <w:highlight w:val="none"/>
          <w:u w:val="none"/>
          <w:shd w:val="clear" w:color="auto" w:fill="auto"/>
          <w:lang w:val="en-US" w:eastAsia="zh-CN"/>
        </w:rPr>
        <w:t>且按甲方要求完成材料/设备、人员撤场后，甲方无息原路退回剩余的履约保证金</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49"/>
    </w:p>
    <w:p w14:paraId="3E9261F2">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2" w:name="_Toc5039"/>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50"/>
      <w:bookmarkEnd w:id="51"/>
      <w:bookmarkEnd w:id="52"/>
    </w:p>
    <w:p w14:paraId="17A34037">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53" w:name="_Toc11799"/>
      <w:bookmarkStart w:id="54" w:name="_Toc29715"/>
      <w:bookmarkStart w:id="55" w:name="_Toc5199"/>
      <w:bookmarkStart w:id="56" w:name="_Toc15487"/>
      <w:bookmarkStart w:id="57" w:name="_Toc26064"/>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53"/>
      <w:bookmarkEnd w:id="54"/>
      <w:bookmarkEnd w:id="55"/>
      <w:bookmarkEnd w:id="56"/>
      <w:bookmarkEnd w:id="57"/>
    </w:p>
    <w:p w14:paraId="4AD6CC8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9.1.1向乙方提供签章电子版的施工图纸（含图纸变更通知、图纸会审记录等）。</w:t>
      </w:r>
    </w:p>
    <w:p w14:paraId="302E1BD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i w:val="0"/>
          <w:iCs w:val="0"/>
          <w:color w:val="auto"/>
          <w:sz w:val="28"/>
          <w:szCs w:val="28"/>
          <w:highlight w:val="none"/>
          <w:shd w:val="clear" w:color="auto" w:fill="auto"/>
          <w:lang w:val="en-US" w:eastAsia="zh-CN"/>
        </w:rPr>
      </w:pPr>
      <w:bookmarkStart w:id="58" w:name="_Toc31665"/>
      <w:bookmarkStart w:id="59" w:name="_Toc26423"/>
      <w:bookmarkStart w:id="60" w:name="_Toc22984"/>
      <w:bookmarkStart w:id="61" w:name="_Toc24173"/>
      <w:bookmarkStart w:id="62" w:name="_Toc31919"/>
      <w:r>
        <w:rPr>
          <w:rFonts w:hint="eastAsia" w:ascii="仿宋" w:hAnsi="仿宋" w:eastAsia="仿宋" w:cs="仿宋"/>
          <w:b/>
          <w:bCs/>
          <w:i w:val="0"/>
          <w:iCs w:val="0"/>
          <w:color w:val="auto"/>
          <w:sz w:val="28"/>
          <w:szCs w:val="28"/>
          <w:highlight w:val="none"/>
          <w:shd w:val="clear" w:color="auto" w:fill="auto"/>
          <w:lang w:val="en-US" w:eastAsia="zh-CN"/>
        </w:rPr>
        <w:t>第十章、</w:t>
      </w:r>
      <w:bookmarkEnd w:id="58"/>
      <w:bookmarkEnd w:id="59"/>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60"/>
    </w:p>
    <w:p w14:paraId="0E12B74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10.1乙方使用的甲供材料以甲方出入库单为准，乙方参加验收和签收与出库，甲供材损耗率不得超过</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FF0000"/>
          <w:sz w:val="28"/>
          <w:szCs w:val="28"/>
          <w:highlight w:val="none"/>
          <w:u w:val="single"/>
          <w:shd w:val="clear" w:color="auto" w:fill="auto"/>
          <w:lang w:val="en-US" w:eastAsia="zh-CN"/>
        </w:rPr>
        <w:t>2</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%，如超过，乙方对超出部分按施工当期同品牌、同品种、同级别、同规格材料市场价格的200％赔偿甲方，甲方有权在本工程结算时直接扣款。</w:t>
      </w:r>
    </w:p>
    <w:p w14:paraId="62225454">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i w:val="0"/>
          <w:iCs w:val="0"/>
          <w:color w:val="auto"/>
          <w:sz w:val="28"/>
          <w:szCs w:val="28"/>
          <w:highlight w:val="none"/>
          <w:u w:val="single"/>
          <w:shd w:val="clear" w:color="auto" w:fill="auto"/>
          <w:lang w:val="en-US" w:eastAsia="zh-CN"/>
        </w:rPr>
        <w:t>（实际使用量-竣工图计算量）/竣工图计算量</w:t>
      </w:r>
      <w:r>
        <w:rPr>
          <w:rFonts w:hint="eastAsia" w:ascii="仿宋" w:hAnsi="仿宋" w:eastAsia="仿宋" w:cs="仿宋"/>
          <w:i w:val="0"/>
          <w:iCs w:val="0"/>
          <w:color w:val="auto"/>
          <w:sz w:val="28"/>
          <w:szCs w:val="28"/>
          <w:highlight w:val="none"/>
          <w:shd w:val="clear" w:color="auto" w:fill="auto"/>
          <w:lang w:val="en-US" w:eastAsia="zh-CN"/>
        </w:rPr>
        <w:t>。</w:t>
      </w:r>
    </w:p>
    <w:p w14:paraId="387DBDD9">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3" w:name="_Toc1693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61"/>
      <w:bookmarkEnd w:id="62"/>
      <w:bookmarkEnd w:id="63"/>
    </w:p>
    <w:p w14:paraId="1256D0C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bookmarkStart w:id="64"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96B16B5">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501C799C">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w:t>
      </w:r>
      <w:r>
        <w:rPr>
          <w:rFonts w:hint="eastAsia" w:ascii="仿宋" w:hAnsi="仿宋" w:eastAsia="仿宋" w:cs="仿宋"/>
          <w:b/>
          <w:bCs/>
          <w:color w:val="auto"/>
          <w:sz w:val="28"/>
          <w:szCs w:val="28"/>
          <w:highlight w:val="none"/>
          <w:u w:val="single"/>
        </w:rPr>
        <w:t>防水、防渗漏部位保修五年</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bCs/>
          <w:color w:val="auto"/>
          <w:sz w:val="28"/>
          <w:szCs w:val="28"/>
          <w:highlight w:val="none"/>
          <w:u w:val="single"/>
          <w:lang w:val="en-US" w:eastAsia="zh-CN"/>
        </w:rPr>
        <w:t>国家或甲方与本项目建设单位另有更长保修期限规定的，从其规定</w:t>
      </w:r>
      <w:r>
        <w:rPr>
          <w:rFonts w:hint="eastAsia" w:ascii="仿宋" w:hAnsi="仿宋" w:eastAsia="仿宋" w:cs="仿宋"/>
          <w:b/>
          <w:bCs/>
          <w:color w:val="auto"/>
          <w:sz w:val="28"/>
          <w:szCs w:val="28"/>
          <w:highlight w:val="none"/>
          <w:u w:val="singl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lang w:val="en-US" w:eastAsia="zh-CN"/>
        </w:rPr>
        <w:t>/批次</w:t>
      </w:r>
      <w:r>
        <w:rPr>
          <w:rFonts w:hint="eastAsia" w:ascii="仿宋" w:hAnsi="仿宋" w:eastAsia="仿宋" w:cs="仿宋"/>
          <w:b w:val="0"/>
          <w:bCs w:val="0"/>
          <w:i w:val="0"/>
          <w:iCs w:val="0"/>
          <w:color w:val="auto"/>
          <w:sz w:val="28"/>
          <w:szCs w:val="28"/>
          <w:highlight w:val="none"/>
          <w:shd w:val="clear" w:color="auto" w:fill="auto"/>
          <w:lang w:val="en-US"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u w:val="single"/>
          <w:shd w:val="clear" w:color="auto" w:fill="auto"/>
          <w:lang w:val="en-US" w:eastAsia="zh-CN"/>
        </w:rPr>
        <w:t>竣工验收合格并交付建设单位使用</w:t>
      </w:r>
      <w:r>
        <w:rPr>
          <w:rFonts w:hint="eastAsia" w:ascii="仿宋" w:hAnsi="仿宋" w:eastAsia="仿宋" w:cs="仿宋"/>
          <w:b w:val="0"/>
          <w:bCs w:val="0"/>
          <w:i w:val="0"/>
          <w:iCs w:val="0"/>
          <w:color w:val="auto"/>
          <w:sz w:val="28"/>
          <w:szCs w:val="28"/>
          <w:highlight w:val="none"/>
          <w:shd w:val="clear" w:color="auto" w:fill="auto"/>
          <w:lang w:val="en-US" w:eastAsia="zh-CN"/>
        </w:rPr>
        <w:t>之日起计</w:t>
      </w:r>
      <w:r>
        <w:rPr>
          <w:rFonts w:hint="eastAsia" w:ascii="仿宋" w:hAnsi="仿宋" w:eastAsia="仿宋" w:cs="仿宋"/>
          <w:b w:val="0"/>
          <w:bCs w:val="0"/>
          <w:i w:val="0"/>
          <w:iCs w:val="0"/>
          <w:color w:val="auto"/>
          <w:sz w:val="28"/>
          <w:szCs w:val="28"/>
          <w:highlight w:val="none"/>
          <w:shd w:val="clear" w:color="auto" w:fill="auto"/>
        </w:rPr>
        <w:t>。</w:t>
      </w:r>
    </w:p>
    <w:bookmarkEnd w:id="64"/>
    <w:p w14:paraId="133C2A41">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5" w:name="_Toc24202"/>
      <w:bookmarkStart w:id="66" w:name="_Toc18309"/>
      <w:bookmarkStart w:id="67" w:name="_Toc3557"/>
      <w:bookmarkStart w:id="68" w:name="_Toc14868"/>
      <w:bookmarkStart w:id="69" w:name="_Toc15001"/>
      <w:bookmarkStart w:id="70" w:name="_Toc10092"/>
      <w:bookmarkStart w:id="71" w:name="_Toc793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65"/>
      <w:bookmarkEnd w:id="66"/>
      <w:bookmarkEnd w:id="67"/>
      <w:bookmarkEnd w:id="68"/>
      <w:bookmarkEnd w:id="69"/>
      <w:bookmarkEnd w:id="70"/>
      <w:bookmarkEnd w:id="71"/>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21C40BE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5BF4B6AE">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林易国 </w:t>
      </w:r>
      <w:r>
        <w:rPr>
          <w:rFonts w:hint="eastAsia" w:ascii="仿宋" w:hAnsi="仿宋" w:eastAsia="仿宋" w:cs="仿宋"/>
          <w:i w:val="0"/>
          <w:iCs w:val="0"/>
          <w:color w:val="auto"/>
          <w:sz w:val="28"/>
          <w:szCs w:val="28"/>
          <w:highlight w:val="none"/>
          <w:u w:val="none"/>
          <w:shd w:val="clear" w:color="auto" w:fill="auto"/>
          <w:lang w:val="en-US" w:eastAsia="zh-CN"/>
        </w:rPr>
        <w:t>为本项目的负责人及甲方合同执行联系人，联系电话：</w:t>
      </w:r>
      <w:r>
        <w:rPr>
          <w:rFonts w:hint="eastAsia" w:ascii="仿宋" w:hAnsi="仿宋" w:eastAsia="仿宋" w:cs="仿宋"/>
          <w:i w:val="0"/>
          <w:iCs w:val="0"/>
          <w:color w:val="auto"/>
          <w:sz w:val="28"/>
          <w:szCs w:val="28"/>
          <w:highlight w:val="none"/>
          <w:u w:val="single"/>
          <w:shd w:val="clear" w:color="auto" w:fill="auto"/>
          <w:lang w:val="en-US" w:eastAsia="zh-CN"/>
        </w:rPr>
        <w:t>13929204778</w:t>
      </w:r>
      <w:r>
        <w:rPr>
          <w:rFonts w:hint="eastAsia" w:ascii="仿宋" w:hAnsi="仿宋" w:eastAsia="仿宋" w:cs="仿宋"/>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合同附件）方为有效，否则为无效文件，仅盖章或者仅签名的文件亦无效。甲方项目负责人、合同执行联系人变更的，甲方将以书面形式通知乙方。</w:t>
      </w:r>
    </w:p>
    <w:p w14:paraId="010DEB88">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12.1.2乙方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14:paraId="480DC760">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12.1.3乙方</w:t>
      </w:r>
      <w:r>
        <w:rPr>
          <w:rFonts w:hint="eastAsia" w:ascii="仿宋" w:hAnsi="仿宋" w:eastAsia="仿宋" w:cs="仿宋"/>
          <w:b w:val="0"/>
          <w:bCs w:val="0"/>
          <w:i w:val="0"/>
          <w:iCs w:val="0"/>
          <w:color w:val="auto"/>
          <w:sz w:val="28"/>
          <w:szCs w:val="28"/>
          <w:highlight w:val="none"/>
          <w:shd w:val="clear" w:color="auto" w:fill="auto"/>
          <w:lang w:eastAsia="zh-CN"/>
        </w:rPr>
        <w:t>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（身份证号码：   ；手机号码：  ；电子邮箱：  ；微信号：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lang w:val="en-US" w:eastAsia="zh-CN"/>
        </w:rPr>
        <w:t>为本合同的乙方现场负责人，本合同有效期内其为乙方授权处理本项目施工现场相关事项执行人，负责与甲方项目现场的工作签认、安排等全部事务。现场负责人必须常驻本项目施工现场。</w:t>
      </w:r>
    </w:p>
    <w:p w14:paraId="62ED07B2">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2301A0F1">
      <w:pPr>
        <w:pStyle w:val="14"/>
        <w:rPr>
          <w:rFonts w:hint="eastAsia" w:ascii="仿宋" w:hAnsi="仿宋" w:eastAsia="仿宋" w:cs="仿宋"/>
          <w:color w:val="auto"/>
          <w:sz w:val="28"/>
          <w:szCs w:val="28"/>
          <w:highlight w:val="none"/>
        </w:rPr>
      </w:pPr>
    </w:p>
    <w:p w14:paraId="3325E5E2">
      <w:pPr>
        <w:pStyle w:val="14"/>
        <w:rPr>
          <w:rFonts w:hint="eastAsia" w:ascii="仿宋" w:hAnsi="仿宋" w:eastAsia="仿宋" w:cs="仿宋"/>
          <w:color w:val="auto"/>
          <w:sz w:val="28"/>
          <w:szCs w:val="28"/>
          <w:highlight w:val="none"/>
        </w:rPr>
      </w:pPr>
    </w:p>
    <w:p w14:paraId="43789C4D">
      <w:pPr>
        <w:pStyle w:val="14"/>
        <w:rPr>
          <w:rFonts w:hint="eastAsia" w:ascii="仿宋" w:hAnsi="仿宋" w:eastAsia="仿宋" w:cs="仿宋"/>
          <w:color w:val="auto"/>
          <w:sz w:val="28"/>
          <w:szCs w:val="28"/>
          <w:highlight w:val="none"/>
        </w:rPr>
      </w:pPr>
    </w:p>
    <w:p w14:paraId="08FCEE07">
      <w:pPr>
        <w:pStyle w:val="14"/>
        <w:rPr>
          <w:rFonts w:hint="eastAsia" w:ascii="仿宋" w:hAnsi="仿宋" w:eastAsia="仿宋" w:cs="仿宋"/>
          <w:color w:val="auto"/>
          <w:sz w:val="28"/>
          <w:szCs w:val="28"/>
          <w:highlight w:val="none"/>
        </w:rPr>
      </w:pPr>
    </w:p>
    <w:p w14:paraId="024E2A29">
      <w:pPr>
        <w:pStyle w:val="14"/>
        <w:rPr>
          <w:rFonts w:hint="eastAsia" w:ascii="仿宋" w:hAnsi="仿宋" w:eastAsia="仿宋" w:cs="仿宋"/>
          <w:color w:val="auto"/>
          <w:sz w:val="28"/>
          <w:szCs w:val="28"/>
          <w:highlight w:val="none"/>
        </w:rPr>
      </w:pPr>
    </w:p>
    <w:p w14:paraId="77F06DAA">
      <w:pPr>
        <w:pStyle w:val="14"/>
        <w:rPr>
          <w:rFonts w:hint="eastAsia" w:ascii="仿宋" w:hAnsi="仿宋" w:eastAsia="仿宋" w:cs="仿宋"/>
          <w:color w:val="auto"/>
          <w:sz w:val="28"/>
          <w:szCs w:val="28"/>
          <w:highlight w:val="none"/>
        </w:rPr>
      </w:pPr>
    </w:p>
    <w:p w14:paraId="054B5D72">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0BC0A5B1">
      <w:pPr>
        <w:keepNext w:val="0"/>
        <w:keepLines w:val="0"/>
        <w:pageBreakBefore w:val="0"/>
        <w:widowControl w:val="0"/>
        <w:kinsoku/>
        <w:wordWrap/>
        <w:overflowPunct/>
        <w:topLinePunct w:val="0"/>
        <w:autoSpaceDE/>
        <w:autoSpaceDN/>
        <w:bidi w:val="0"/>
        <w:adjustRightInd w:val="0"/>
        <w:snapToGrid w:val="0"/>
        <w:spacing w:before="0" w:beforeLines="150" w:after="0" w:afterLines="150"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6D1CB2FD">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520" w:lineRule="exact"/>
        <w:ind w:left="-198" w:leftChars="-200" w:right="0" w:rightChars="0" w:hanging="222" w:hangingChars="92"/>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323333C8">
      <w:pPr>
        <w:pStyle w:val="3"/>
        <w:keepNext w:val="0"/>
        <w:keepLines w:val="0"/>
        <w:pageBreakBefore w:val="0"/>
        <w:widowControl w:val="0"/>
        <w:kinsoku/>
        <w:wordWrap/>
        <w:overflowPunct/>
        <w:topLinePunct w:val="0"/>
        <w:autoSpaceDE/>
        <w:autoSpaceDN/>
        <w:bidi w:val="0"/>
        <w:adjustRightInd w:val="0"/>
        <w:snapToGrid w:val="0"/>
        <w:spacing w:line="360" w:lineRule="auto"/>
        <w:ind w:left="-420" w:leftChars="-20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4C2263E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B23F379">
      <w:pPr>
        <w:pStyle w:val="14"/>
        <w:rPr>
          <w:rFonts w:hint="eastAsia" w:ascii="仿宋" w:hAnsi="仿宋" w:eastAsia="仿宋" w:cs="仿宋"/>
          <w:b/>
          <w:bCs/>
          <w:color w:val="auto"/>
          <w:sz w:val="24"/>
          <w:szCs w:val="24"/>
          <w:highlight w:val="none"/>
        </w:rPr>
      </w:pPr>
    </w:p>
    <w:p w14:paraId="048FA84D">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72" w:name="_Toc28852"/>
      <w:bookmarkStart w:id="73" w:name="_Toc24286"/>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72"/>
      <w:bookmarkEnd w:id="73"/>
    </w:p>
    <w:p w14:paraId="3B76CC84">
      <w:pPr>
        <w:keepNext w:val="0"/>
        <w:keepLines w:val="0"/>
        <w:pageBreakBefore w:val="0"/>
        <w:widowControl w:val="0"/>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4" w:name="_Toc11047"/>
      <w:bookmarkStart w:id="75" w:name="_Toc29752"/>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74"/>
      <w:bookmarkEnd w:id="75"/>
    </w:p>
    <w:p w14:paraId="6CB36E09">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用电、包管理、包利润、包税金、包物价上涨、包其他工种配合可能产生的降效及产生的费用、包本工程施工过程中一切风险因素及全部内容及费用。</w:t>
      </w:r>
    </w:p>
    <w:p w14:paraId="36FB853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6" w:name="_Toc21711"/>
      <w:bookmarkStart w:id="77" w:name="_Toc29690"/>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6"/>
      <w:bookmarkEnd w:id="77"/>
    </w:p>
    <w:p w14:paraId="1FB75A67">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A63607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8" w:name="_Toc8809"/>
      <w:bookmarkStart w:id="79" w:name="_Toc10183"/>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8"/>
      <w:bookmarkEnd w:id="79"/>
    </w:p>
    <w:p w14:paraId="315A220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FF0000"/>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合同总价内，甲方不另补偿或增加任何费用给乙方。因甲方原因导致乙方延迟进场的，经甲方书面确认后工期相应顺延，但甲方不额外支付窝工费、停工费等费用给乙方，乙方不因此追究甲方任何责任及赔偿损失</w:t>
      </w:r>
      <w:r>
        <w:rPr>
          <w:rFonts w:hint="eastAsia" w:ascii="仿宋" w:hAnsi="仿宋" w:eastAsia="仿宋" w:cs="仿宋"/>
          <w:i w:val="0"/>
          <w:iCs w:val="0"/>
          <w:color w:val="auto"/>
          <w:sz w:val="28"/>
          <w:szCs w:val="28"/>
          <w:highlight w:val="none"/>
          <w:u w:val="none"/>
          <w:shd w:val="clear" w:color="auto" w:fill="auto"/>
          <w:lang w:val="en-US" w:eastAsia="zh-CN"/>
        </w:rPr>
        <w:t>。</w:t>
      </w:r>
    </w:p>
    <w:p w14:paraId="22E49C0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3445B42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向甲方承担违约金伍仟元/次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0" w:name="_Toc3219"/>
      <w:bookmarkStart w:id="81" w:name="_Toc26647"/>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80"/>
      <w:bookmarkEnd w:id="81"/>
    </w:p>
    <w:p w14:paraId="520BCCF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□合同总价下浮5%结算。</w:t>
      </w:r>
      <w:r>
        <w:rPr>
          <w:rFonts w:hint="eastAsia" w:ascii="仿宋" w:hAnsi="仿宋" w:eastAsia="仿宋" w:cs="仿宋"/>
          <w:i w:val="0"/>
          <w:iCs w:val="0"/>
          <w:color w:val="auto"/>
          <w:sz w:val="28"/>
          <w:szCs w:val="28"/>
          <w:highlight w:val="none"/>
          <w:u w:val="none"/>
          <w:shd w:val="clear" w:color="auto" w:fill="auto"/>
        </w:rPr>
        <w:t xml:space="preserve"> </w:t>
      </w:r>
    </w:p>
    <w:p w14:paraId="2A13A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color w:val="auto"/>
          <w:sz w:val="28"/>
          <w:szCs w:val="28"/>
          <w:highlight w:val="none"/>
          <w:lang w:val="en-US" w:eastAsia="zh-CN"/>
        </w:rPr>
        <w:t>下浮10％结算且乙方无条件完成整改，所发生的一切费用由乙方自行承担。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3A77040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82" w:name="_Toc14414"/>
      <w:bookmarkStart w:id="83" w:name="_Toc20800"/>
      <w:r>
        <w:rPr>
          <w:rFonts w:hint="eastAsia" w:ascii="仿宋" w:hAnsi="仿宋" w:eastAsia="仿宋" w:cs="仿宋"/>
          <w:color w:val="auto"/>
          <w:sz w:val="28"/>
          <w:szCs w:val="28"/>
          <w:highlight w:val="none"/>
          <w:lang w:val="en-US" w:eastAsia="zh-CN"/>
        </w:rPr>
        <w:t>4.3乙供材料收货验收流程及标准</w:t>
      </w:r>
      <w:bookmarkEnd w:id="82"/>
      <w:bookmarkEnd w:id="83"/>
    </w:p>
    <w:p w14:paraId="1A54D2A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7CD9882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31BA70E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4" w:name="_Toc13366"/>
      <w:bookmarkStart w:id="85" w:name="_Toc17786"/>
      <w:bookmarkStart w:id="86" w:name="_Toc8460"/>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4"/>
      <w:bookmarkEnd w:id="85"/>
      <w:bookmarkEnd w:id="86"/>
    </w:p>
    <w:p w14:paraId="34C4204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7" w:name="_Toc4027"/>
      <w:bookmarkStart w:id="88" w:name="_Toc12707"/>
      <w:bookmarkStart w:id="89" w:name="_Toc1479"/>
      <w:r>
        <w:rPr>
          <w:rFonts w:hint="eastAsia" w:ascii="仿宋" w:hAnsi="仿宋" w:eastAsia="仿宋" w:cs="仿宋"/>
          <w:color w:val="auto"/>
          <w:sz w:val="28"/>
          <w:szCs w:val="28"/>
          <w:highlight w:val="none"/>
          <w:lang w:val="en-US" w:eastAsia="zh-CN"/>
        </w:rPr>
        <w:t>5.1☑合同单价/□合同总价包括乙方完成下述工作及应对下述情况、风险的费用，甲方无需另行付费给乙方：</w:t>
      </w:r>
      <w:bookmarkEnd w:id="87"/>
      <w:bookmarkEnd w:id="88"/>
      <w:bookmarkEnd w:id="89"/>
    </w:p>
    <w:p w14:paraId="1829EFC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EE0723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2B648CE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598D596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604AF4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31B80D2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5.2☑合同单价/□合同总价已考虑突发疫情等流行疾病影响因素，乙方不以疫情防控为由要求甲方对合同价、合同结算办法及工期等合同条款进行调整，防疫措施的一切费用已包含在合同价内，不另计费。</w:t>
      </w:r>
    </w:p>
    <w:p w14:paraId="1A7DA3A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5.4乙方报送甲方的台班记录单、送货单、对账单等单据中，所表述的各种违背本合同约定的文字内容均无效，乙方承诺均按本合同执行。</w:t>
      </w:r>
    </w:p>
    <w:p w14:paraId="1E479F0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0" w:name="_Toc17936"/>
      <w:bookmarkStart w:id="91" w:name="_Toc13078"/>
      <w:bookmarkStart w:id="92" w:name="_Toc8540"/>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90"/>
      <w:bookmarkEnd w:id="91"/>
      <w:bookmarkEnd w:id="92"/>
    </w:p>
    <w:p w14:paraId="38EB353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6.3.1.8乙方现场执行人签名及印章，内容不清楚、不齐全的签证单或工程量计算单，甲方项目部有权拒收。</w:t>
      </w:r>
    </w:p>
    <w:p w14:paraId="77BB0E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0E4252C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5BD5A33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章的书面文件方为有效签证。甲方项目经理委托/授权他人代签均为无效签证，甲方不予办理付款及结算。任何人的口头指示、通知、电话通知、微信通知不作为结算依据。未经甲方盖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923C35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3" w:name="_Toc17329"/>
      <w:bookmarkStart w:id="94" w:name="_Toc15975"/>
      <w:bookmarkStart w:id="95" w:name="_Toc12061"/>
      <w:bookmarkStart w:id="96" w:name="_Toc5229"/>
      <w:bookmarkStart w:id="97" w:name="_Toc31711"/>
      <w:bookmarkStart w:id="98" w:name="_Toc30160"/>
      <w:r>
        <w:rPr>
          <w:rFonts w:hint="eastAsia" w:ascii="仿宋" w:hAnsi="仿宋" w:eastAsia="仿宋" w:cs="仿宋"/>
          <w:color w:val="auto"/>
          <w:sz w:val="28"/>
          <w:szCs w:val="28"/>
          <w:highlight w:val="none"/>
          <w:lang w:val="en-US" w:eastAsia="zh-CN"/>
        </w:rPr>
        <w:t>6.15本工程甲供材损耗率按本合同相关条款执行。</w:t>
      </w:r>
      <w:bookmarkEnd w:id="93"/>
      <w:bookmarkEnd w:id="94"/>
      <w:bookmarkEnd w:id="95"/>
      <w:bookmarkEnd w:id="96"/>
      <w:bookmarkEnd w:id="97"/>
      <w:bookmarkEnd w:id="98"/>
    </w:p>
    <w:p w14:paraId="0361410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2DF93E22">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9" w:name="_Toc4997"/>
      <w:bookmarkStart w:id="100" w:name="_Toc11671"/>
      <w:bookmarkStart w:id="101" w:name="_Toc850"/>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9"/>
      <w:bookmarkEnd w:id="100"/>
      <w:bookmarkEnd w:id="101"/>
    </w:p>
    <w:p w14:paraId="5D4B58C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1DC098A3">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199" w:leftChars="-95"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FF0000"/>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FF0000"/>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lang w:eastAsia="zh-CN"/>
        </w:rPr>
        <w:t>；</w:t>
      </w:r>
      <w:r>
        <w:rPr>
          <w:rFonts w:hint="eastAsia" w:ascii="仿宋" w:hAnsi="仿宋" w:eastAsia="仿宋" w:cs="仿宋"/>
          <w:i w:val="0"/>
          <w:iCs w:val="0"/>
          <w:strike w:val="0"/>
          <w:dstrike w:val="0"/>
          <w:color w:val="FF0000"/>
          <w:sz w:val="28"/>
          <w:szCs w:val="28"/>
          <w:highlight w:val="none"/>
          <w:lang w:val="en-US" w:eastAsia="zh-CN"/>
        </w:rPr>
        <w:t>4月份无节点款申请但有工人工资需发放的情况下，乙方需在5月10日前按上述提供工人工资发放资料，经甲方审核无误后2日内乙方将同本次发放工资款金额一致的款项支付至甲方，由甲方统一通过工人工资户发放工人工资</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788C6F63">
      <w:pPr>
        <w:pStyle w:val="3"/>
        <w:keepNext w:val="0"/>
        <w:keepLines w:val="0"/>
        <w:pageBreakBefore w:val="0"/>
        <w:widowControl w:val="0"/>
        <w:kinsoku/>
        <w:wordWrap/>
        <w:overflowPunct/>
        <w:topLinePunct w:val="0"/>
        <w:autoSpaceDE/>
        <w:autoSpaceDN/>
        <w:bidi w:val="0"/>
        <w:adjustRightInd w:val="0"/>
        <w:snapToGrid w:val="0"/>
        <w:spacing w:line="480" w:lineRule="exact"/>
        <w:ind w:left="-199" w:leftChars="-95"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合同款中直接扣除。该行为属乙方违约，甲方按垫支付额的150%收取乙方违约金。若乙方当次申请的、达到付款条件的合同款金额支付当次待付工人工资后尚有余额，余额由甲方直接支付至乙方公司账户。</w:t>
      </w:r>
    </w:p>
    <w:p w14:paraId="566656A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61BA2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33C2AD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17F67A7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249A2D2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2ABACF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44C7DC3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4C4F3C4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4A1FF9D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kinsoku/>
        <w:wordWrap/>
        <w:overflowPunct/>
        <w:topLinePunct w:val="0"/>
        <w:autoSpaceDE/>
        <w:autoSpaceDN/>
        <w:bidi w:val="0"/>
        <w:adjustRightInd w:val="0"/>
        <w:spacing w:line="480" w:lineRule="exact"/>
        <w:ind w:left="-197" w:leftChars="-94" w:firstLine="56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9906"/>
      <w:bookmarkStart w:id="103" w:name="_Toc18290"/>
      <w:bookmarkStart w:id="104"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2"/>
      <w:bookmarkEnd w:id="103"/>
      <w:bookmarkEnd w:id="104"/>
    </w:p>
    <w:p w14:paraId="53BCC55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5" w:name="_Toc6947"/>
      <w:bookmarkStart w:id="106"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5"/>
      <w:bookmarkEnd w:id="106"/>
    </w:p>
    <w:p w14:paraId="41B50986">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CA5B55D">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728576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4D9336B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2F9E6C3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29670FF">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2BF4E9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FE7380E">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890BEB0">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3F55B9FA">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FF300F7">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5F4508F5">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6D3252A2">
      <w:pPr>
        <w:keepNext w:val="0"/>
        <w:keepLines w:val="0"/>
        <w:pageBreakBefore w:val="0"/>
        <w:widowControl w:val="0"/>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3D3050E7">
      <w:pPr>
        <w:keepNext w:val="0"/>
        <w:keepLines w:val="0"/>
        <w:pageBreakBefore w:val="0"/>
        <w:widowControl w:val="0"/>
        <w:kinsoku/>
        <w:wordWrap/>
        <w:overflowPunct/>
        <w:topLinePunct w:val="0"/>
        <w:autoSpaceDE/>
        <w:autoSpaceDN/>
        <w:bidi w:val="0"/>
        <w:adjustRightInd w:val="0"/>
        <w:snapToGrid w:val="0"/>
        <w:spacing w:line="48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3E84476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07AFDA4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012C51A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06F48AB">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0ED5DEC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0051B3B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lang w:val="en-US" w:eastAsia="zh-CN"/>
        </w:rPr>
      </w:pPr>
      <w:bookmarkStart w:id="107" w:name="_Toc31817"/>
      <w:bookmarkStart w:id="108" w:name="_Toc3364"/>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07"/>
      <w:bookmarkEnd w:id="108"/>
    </w:p>
    <w:p w14:paraId="2379088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08681CFD">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3EE4D3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8.2.3乙方负责本合同及图纸范围内的工作内容，须按时完成阶段性施工任务，保证符合甲方的工程工期要求，因乙方原因导致的工期延误及甲方因此遭受的损失均由乙方赔偿甲方。</w:t>
      </w:r>
    </w:p>
    <w:p w14:paraId="522F095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8.2.4遵守安全生产、文明施工法规。乙方违规操作发生的安全或质量事故所造成的甲方损失均由乙方赔偿甲方。</w:t>
      </w:r>
    </w:p>
    <w:p w14:paraId="3C02922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8.2.5施工过程中，乙方指定专人认真做好施工记录，工程竣工后及时将资料整理完整，移交甲方资料员。</w:t>
      </w:r>
    </w:p>
    <w:p w14:paraId="2EF84B04">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8.2.6乙方须保护好自身施工的材料、机械等设备，如有被偷盗、损坏等现象发生，由乙方自行负责。</w:t>
      </w:r>
    </w:p>
    <w:p w14:paraId="541B996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8.2.7遵守甲方管理制度，服从甲方管理。</w:t>
      </w:r>
    </w:p>
    <w:p w14:paraId="3BB50C5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8.2.8乙方对完成的每一道工序及时、认真进行自检，自检合格后提请甲方验收。对甲方提出的问题按甲方要求彻底整改，每延误一天完成整改的，向甲方承担违约金壹仟元。</w:t>
      </w:r>
    </w:p>
    <w:p w14:paraId="68A1B64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8.2.9加强自身团队建设。乙方管理人员须经常对下属工人进行技术交底、安全教育，作业人员必须持证上岗。乙方管理人员必须坚守岗位，特殊情况需离开工地时，经甲方项目部批准后方能离开。</w:t>
      </w:r>
    </w:p>
    <w:p w14:paraId="0F2BF64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1EA99A9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8.2.11在甲方的监督下办理工人工资发放专户，由银行代发乙方工人工资。</w:t>
      </w:r>
    </w:p>
    <w:p w14:paraId="5F2DE1C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列入花名册内或未提供该人员身份证复印件及联系电话的，不得进入施工现场，否则乙方向甲方支付违约金贰仟元/人/次且甲方不发放该人员工资。乙方人员花名册如有更新，须在3天内补充新进人员身份证复印件及联系电话、乙方与进场人员签订的劳动合同给甲方。乙方须提供与人员花名册一致的班组工人工资表原件及复印件，且工人工资表金额应与当期支付的工人工资一致。乙方人员每天进场必须进行考勤打卡，且考勤打卡记录须与提供的花名册相符。乙方人员退场时，须提交工资结清证明（加盖乙方公章）给甲方留存，否则甲方有权不予办理结算和不支付合同款。</w:t>
      </w:r>
    </w:p>
    <w:p w14:paraId="474F7E2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8.2.13乙方须如实主动申报及发放工人工资，甲方有权核对，如发现乙方弄虚作假，甲方暂停支付乙方合同款。</w:t>
      </w:r>
    </w:p>
    <w:p w14:paraId="5AC6E16C">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70D3CF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1A3E6EB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636B760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E40D94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8.2.17合同履行过程中，如乙方中途自行退场，甲方不支付任何款项，因此造成甲方损失的由乙方赔偿。</w:t>
      </w:r>
    </w:p>
    <w:p w14:paraId="135D520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8.2.18乙方须合理使用甲供材料和机具，在保证质量的情况下，按合同约定及相应规范控制使用。</w:t>
      </w:r>
    </w:p>
    <w:p w14:paraId="5C14BB0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8.2.19乙方施工中须与其他分包单位积极配合，保护所有成品，保护费用及责任由乙方承担。非经甲方书面同意，所有已进场材料设备不能运出工地。</w:t>
      </w:r>
    </w:p>
    <w:p w14:paraId="1EE6F2F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w:t>
      </w:r>
      <w:r>
        <w:rPr>
          <w:rFonts w:hint="eastAsia" w:ascii="仿宋" w:hAnsi="仿宋" w:eastAsia="仿宋" w:cs="仿宋"/>
          <w:i w:val="0"/>
          <w:iCs w:val="0"/>
          <w:color w:val="FF0000"/>
          <w:sz w:val="28"/>
          <w:szCs w:val="28"/>
          <w:highlight w:val="none"/>
          <w:shd w:val="clear" w:color="auto" w:fill="auto"/>
          <w:lang w:val="en-US" w:eastAsia="zh-CN"/>
        </w:rPr>
        <w:t>产生的生活垃圾处理费由乙方负责，具体按项目部管理要求执行。</w:t>
      </w:r>
      <w:r>
        <w:rPr>
          <w:rFonts w:hint="eastAsia" w:ascii="仿宋" w:hAnsi="仿宋" w:eastAsia="仿宋" w:cs="仿宋"/>
          <w:i w:val="0"/>
          <w:iCs w:val="0"/>
          <w:color w:val="auto"/>
          <w:sz w:val="28"/>
          <w:szCs w:val="28"/>
          <w:highlight w:val="none"/>
          <w:shd w:val="clear" w:color="auto" w:fill="auto"/>
          <w:lang w:val="en-US" w:eastAsia="zh-CN"/>
        </w:rPr>
        <w:t>乙方每次向甲方请款时，甲方合同执行联系人可直接扣除乙方上月产生的房租、宿舍电费及空调使用费，并按扣除后的金额申请进度款。</w:t>
      </w:r>
    </w:p>
    <w:p w14:paraId="57AC915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8.2.21对违章指挥，乙方有权拒绝服从。</w:t>
      </w:r>
    </w:p>
    <w:p w14:paraId="647F181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8.2.22因乙方材料或施工质量问题引起的返工、维修、更换、损失及工期延误等造成的一切费用由乙方承担。</w:t>
      </w:r>
    </w:p>
    <w:p w14:paraId="451DB4C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8.2.23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4CC4E58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8.2.24乙方确保本工程的质量和进度一次性达到合同要求，否则造成的一切损失由乙方承担且每次向甲方承担违约金壹万元。</w:t>
      </w:r>
    </w:p>
    <w:p w14:paraId="77DF917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8.2.25乙方签订本合同前已充分了解本工程现场实际情况，确定☑合同单价/□合同总价已包含处理现场各种因素导致的多次进退场、怠工、误工等不能正常开工情形的费用，甲方无需另行计费给乙方。</w:t>
      </w:r>
    </w:p>
    <w:p w14:paraId="7BB798E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5AADD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70E2F9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FA7E213">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8.2.29乙方原因导致的一切安全事故，属乙方责任，所有损失及费用由乙方承担。</w:t>
      </w:r>
    </w:p>
    <w:p w14:paraId="49D6DF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76E06FE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8.2.31乙方人员（包括乙方家属、朋友等人员）在本项目地点发生的所有安全事故均与甲方无关，甲方不承担任何责任和费用，一切责任和费用均由乙方承担。</w:t>
      </w:r>
    </w:p>
    <w:p w14:paraId="795D8F4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8.2.32</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84F2C2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8.2.33乙方与第三人签订的劳动、租赁、买卖等一切合同，与甲方无关。乙方在履约产生的与第三方一切债务，由乙方自行全责处理并承担责任。</w:t>
      </w:r>
    </w:p>
    <w:p w14:paraId="2AA59187">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8.2.34乙方与第三方发生的任何经济往来、债务纠纷均与甲方无关。乙方保证所供材料无权属上的瑕疵也无知识产权的争议，若因此对甲方造成损失，由乙方全责赔偿甲方。</w:t>
      </w:r>
    </w:p>
    <w:p w14:paraId="73E19FE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8.2.35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3C7633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8.2.36乙方人员在本合同履行期间所发生的所有安全事故，均由乙方承担所发生的全部费用及损失，对甲方造成损失的则由乙方赔偿甲方损失。</w:t>
      </w:r>
    </w:p>
    <w:p w14:paraId="631944D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9" w:name="_Toc17662"/>
      <w:bookmarkStart w:id="110" w:name="_Toc22397"/>
      <w:bookmarkStart w:id="111" w:name="_Toc28266"/>
      <w:bookmarkStart w:id="112" w:name="_Toc807"/>
      <w:bookmarkStart w:id="113" w:name="_Toc11160"/>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09"/>
      <w:bookmarkEnd w:id="110"/>
      <w:bookmarkEnd w:id="111"/>
      <w:bookmarkEnd w:id="112"/>
      <w:bookmarkEnd w:id="113"/>
    </w:p>
    <w:p w14:paraId="581C8E2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4" w:name="_Toc27493"/>
      <w:bookmarkStart w:id="115"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4"/>
      <w:bookmarkEnd w:id="115"/>
    </w:p>
    <w:p w14:paraId="166CFD2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7DA44A2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6" w:name="_Toc7882"/>
      <w:bookmarkStart w:id="117"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6"/>
      <w:bookmarkEnd w:id="117"/>
    </w:p>
    <w:p w14:paraId="6420F7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8" w:name="_Toc22606"/>
      <w:bookmarkStart w:id="119" w:name="_Toc5829"/>
      <w:bookmarkStart w:id="120" w:name="_Toc12086"/>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18"/>
      <w:bookmarkEnd w:id="119"/>
      <w:bookmarkEnd w:id="120"/>
    </w:p>
    <w:p w14:paraId="7AEF5786">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10.1乙方使用甲供材料，由乙方独立发起申请，货到工地与甲方仓管员等验收人员共同签收，并办理出库领用手续，由乙方自行保管。</w:t>
      </w:r>
      <w:r>
        <w:rPr>
          <w:rFonts w:hint="eastAsia" w:ascii="仿宋" w:hAnsi="仿宋" w:eastAsia="仿宋" w:cs="仿宋"/>
          <w:color w:val="FF0000"/>
          <w:sz w:val="28"/>
          <w:szCs w:val="28"/>
          <w:highlight w:val="none"/>
          <w:lang w:val="en-US" w:eastAsia="zh-CN"/>
        </w:rPr>
        <w:t>乙方签订本合同后3天内将需甲方提供的材料规格、数量、分批次到货时间等编制材料计划申报单，并将明细报甲方项目部核实，各方签字确认并留存，以作为各阶段进度计划的附页及领用时的核查依据</w:t>
      </w:r>
      <w:r>
        <w:rPr>
          <w:rFonts w:hint="eastAsia" w:ascii="仿宋" w:hAnsi="仿宋" w:eastAsia="仿宋" w:cs="仿宋"/>
          <w:color w:val="auto"/>
          <w:sz w:val="28"/>
          <w:szCs w:val="28"/>
          <w:highlight w:val="none"/>
          <w:lang w:val="en-US" w:eastAsia="zh-CN"/>
        </w:rPr>
        <w:t>。</w:t>
      </w:r>
    </w:p>
    <w:p w14:paraId="243A6D7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w:t>
      </w:r>
      <w:bookmarkStart w:id="415" w:name="_GoBack"/>
      <w:bookmarkEnd w:id="415"/>
      <w:r>
        <w:rPr>
          <w:rFonts w:hint="eastAsia" w:ascii="仿宋" w:hAnsi="仿宋" w:eastAsia="仿宋" w:cs="仿宋"/>
          <w:color w:val="auto"/>
          <w:sz w:val="28"/>
          <w:szCs w:val="28"/>
          <w:highlight w:val="none"/>
          <w:lang w:val="en-US" w:eastAsia="zh-CN"/>
        </w:rPr>
        <w:t>建筑材料和施工机具应做到限额合理使用、工完场清，对机具负责正常保养维护。因违反操作规程造成损坏或因保管不严造成丢失的，乙方须负赔偿责任。</w:t>
      </w:r>
    </w:p>
    <w:p w14:paraId="5E45CBDE">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0A458AD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54F08881">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2E477CBA">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31D5292">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387282D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28B7F6E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1" w:name="_Toc28272"/>
      <w:bookmarkStart w:id="122" w:name="_Toc30878"/>
      <w:bookmarkStart w:id="123" w:name="_Toc246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1"/>
      <w:bookmarkEnd w:id="122"/>
      <w:bookmarkEnd w:id="123"/>
    </w:p>
    <w:p w14:paraId="2B09F68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4D1B3B49">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保修期内若发生乙方原因导致的质量问题，乙方须赔偿甲方因此造成的一切损失并进行</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整改；如出现较大质量缺陷，乙方履行</w:t>
      </w:r>
      <w:r>
        <w:rPr>
          <w:rFonts w:hint="eastAsia" w:ascii="仿宋" w:hAnsi="仿宋" w:eastAsia="仿宋" w:cs="仿宋"/>
          <w:i w:val="0"/>
          <w:iCs w:val="0"/>
          <w:color w:val="auto"/>
          <w:sz w:val="28"/>
          <w:szCs w:val="28"/>
          <w:highlight w:val="none"/>
          <w:shd w:val="clear" w:color="auto" w:fill="auto"/>
          <w:lang w:val="en-US" w:eastAsia="zh-CN"/>
        </w:rPr>
        <w:t>维</w:t>
      </w:r>
      <w:r>
        <w:rPr>
          <w:rFonts w:hint="eastAsia" w:ascii="仿宋" w:hAnsi="仿宋" w:eastAsia="仿宋" w:cs="仿宋"/>
          <w:i w:val="0"/>
          <w:iCs w:val="0"/>
          <w:color w:val="auto"/>
          <w:sz w:val="28"/>
          <w:szCs w:val="28"/>
          <w:highlight w:val="none"/>
          <w:shd w:val="clear" w:color="auto" w:fill="auto"/>
        </w:rPr>
        <w:t>修整改义务至整改验收合格后，工程保修期自</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整改验收合格之日起顺延。</w:t>
      </w:r>
    </w:p>
    <w:p w14:paraId="6F2AA91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5C3F4690">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前，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方通过保修验收的，保修期按乙方整改天数顺延，整改三次或以上方通过保修验收的，保修期自最后一次整改验收合格之日起顺延一年。 </w:t>
      </w:r>
    </w:p>
    <w:p w14:paraId="4A02B375">
      <w:pPr>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施工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4EBB1B1D">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4" w:name="_Toc3973"/>
      <w:bookmarkStart w:id="125" w:name="_Toc454"/>
      <w:bookmarkStart w:id="126" w:name="_Toc6473"/>
      <w:bookmarkStart w:id="127" w:name="_Toc1279"/>
      <w:bookmarkStart w:id="128" w:name="_Toc4352"/>
      <w:bookmarkStart w:id="129" w:name="_Toc25142"/>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4"/>
      <w:bookmarkEnd w:id="125"/>
      <w:bookmarkEnd w:id="126"/>
      <w:bookmarkEnd w:id="127"/>
      <w:bookmarkEnd w:id="128"/>
      <w:bookmarkEnd w:id="129"/>
    </w:p>
    <w:p w14:paraId="4613F32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24A509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4DAF9C5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中无需甲方另行支付给乙方。因各种原因导致乙方延长保险期所增加的保险费由乙方自行承担，其费用已包含在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7E0CDB0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39D3857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08B2F65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0" w:name="_Toc9446"/>
      <w:bookmarkStart w:id="131" w:name="_Toc12559"/>
      <w:bookmarkStart w:id="132" w:name="_Toc18420"/>
      <w:bookmarkStart w:id="133" w:name="_Toc14887"/>
      <w:bookmarkStart w:id="134" w:name="_Toc15560"/>
      <w:bookmarkStart w:id="135" w:name="_Toc7926"/>
      <w:bookmarkStart w:id="136" w:name="_Toc20713"/>
      <w:bookmarkStart w:id="137" w:name="_Toc30819"/>
      <w:bookmarkStart w:id="138" w:name="_Toc14823"/>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0"/>
      <w:bookmarkEnd w:id="131"/>
      <w:bookmarkEnd w:id="132"/>
      <w:bookmarkEnd w:id="133"/>
      <w:bookmarkEnd w:id="134"/>
      <w:bookmarkEnd w:id="135"/>
      <w:bookmarkEnd w:id="136"/>
      <w:bookmarkEnd w:id="137"/>
      <w:bookmarkEnd w:id="138"/>
    </w:p>
    <w:p w14:paraId="3AD5269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39" w:name="_Toc31201"/>
      <w:bookmarkStart w:id="140"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39"/>
      <w:bookmarkEnd w:id="140"/>
    </w:p>
    <w:p w14:paraId="14EE2E7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E705E3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620F34B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166D2FF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6B494EE5">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4C4A5BC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61301B5A">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1" w:name="_Toc14079"/>
      <w:bookmarkStart w:id="142" w:name="_Toc5991"/>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1"/>
      <w:bookmarkEnd w:id="142"/>
    </w:p>
    <w:p w14:paraId="7F84135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46E55BC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13.2.1.1乙方在质量、进度、安全、管理等方面经甲方二次警告或扣款后仍不能明显改善；</w:t>
      </w:r>
    </w:p>
    <w:p w14:paraId="6302BA0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598A98A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02A6209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6BAFF3A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4710C222">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0211984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218095B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1E676D2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w:t>
      </w:r>
    </w:p>
    <w:p w14:paraId="0E6A88B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542D6B3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2FF74C8C">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1F944B5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140ACCB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32982734">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3F62CFDF">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4464BCCB">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33DC70A9">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640CCCD8">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甲方收取违约金</w:t>
      </w:r>
      <w:r>
        <w:rPr>
          <w:rFonts w:hint="eastAsia" w:ascii="仿宋" w:hAnsi="仿宋" w:eastAsia="仿宋" w:cs="仿宋"/>
          <w:i w:val="0"/>
          <w:iCs w:val="0"/>
          <w:color w:val="auto"/>
          <w:sz w:val="28"/>
          <w:szCs w:val="28"/>
          <w:highlight w:val="none"/>
          <w:u w:val="none"/>
          <w:shd w:val="clear" w:color="auto" w:fill="auto"/>
          <w:lang w:val="en-US" w:eastAsia="zh-CN"/>
        </w:rPr>
        <w:t>的同时驱逐未成年人离开本项目）</w:t>
      </w:r>
    </w:p>
    <w:p w14:paraId="02B5304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5E32784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w:t>
      </w:r>
    </w:p>
    <w:p w14:paraId="6C721C20">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A6B02CD">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67818D91">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7D460AEE">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127267E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1B812E37">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2B18F6D3">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3AE68B9D">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43" w:name="_Toc28593"/>
      <w:bookmarkStart w:id="144" w:name="_Toc16635"/>
      <w:bookmarkStart w:id="145" w:name="_Toc6486"/>
    </w:p>
    <w:p w14:paraId="312CF076">
      <w:pPr>
        <w:pStyle w:val="3"/>
        <w:keepNext w:val="0"/>
        <w:keepLines w:val="0"/>
        <w:pageBreakBefore w:val="0"/>
        <w:widowControl w:val="0"/>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6" w:name="_Toc30520"/>
      <w:bookmarkStart w:id="147" w:name="_Toc8716"/>
      <w:bookmarkStart w:id="148" w:name="_Toc32604"/>
      <w:bookmarkStart w:id="149" w:name="_Toc7591"/>
      <w:bookmarkStart w:id="150" w:name="_Toc21006"/>
      <w:bookmarkStart w:id="151" w:name="_Toc27799"/>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43"/>
      <w:bookmarkEnd w:id="144"/>
      <w:bookmarkEnd w:id="145"/>
      <w:bookmarkEnd w:id="146"/>
      <w:bookmarkEnd w:id="147"/>
      <w:bookmarkEnd w:id="148"/>
      <w:bookmarkEnd w:id="149"/>
      <w:bookmarkEnd w:id="150"/>
      <w:bookmarkEnd w:id="151"/>
    </w:p>
    <w:p w14:paraId="39FC7D8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2" w:name="_Toc14761"/>
      <w:bookmarkStart w:id="153" w:name="_Toc2734"/>
      <w:bookmarkStart w:id="154" w:name="_Toc10430"/>
      <w:bookmarkStart w:id="155" w:name="_Toc16038"/>
      <w:bookmarkStart w:id="156" w:name="_Toc9673"/>
      <w:bookmarkStart w:id="157" w:name="_Toc18651"/>
      <w:bookmarkStart w:id="158" w:name="_Toc21824"/>
      <w:bookmarkStart w:id="159" w:name="_Toc31952"/>
      <w:bookmarkStart w:id="160" w:name="_Toc14983"/>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7659D6BE">
      <w:pPr>
        <w:pStyle w:val="3"/>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5581259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p>
    <w:p w14:paraId="4AEA80D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327FB87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.9合同履行期间，乙方无条件执行甲方与建设单位签订的施工现场管理办法相关制度文件，因乙方原因导致建设单位或其他部门对甲方进行处罚扣款的，乙方按该处罚金额的2倍向甲方承担违约金。</w:t>
      </w:r>
    </w:p>
    <w:p w14:paraId="563F38E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4422AF4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.11乙方出现上述第1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.10条所述任一行为或未履行合同任一义务的，均属乙方严重违约，乙方除按上述条款承担包括但不限于以上所述的违约责任外，甲方可随时单方解除本合同，所产生的损失由乙方赔偿甲方。</w:t>
      </w:r>
    </w:p>
    <w:p w14:paraId="3D080C2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.12因建设单位、设计变更或非甲方原因导致本合同不能履行的，甲、乙双方互不追究违约责任，按照乙方已完成且经甲方验收合格的工程量进行结算，同时双方各自承担自身损失。</w:t>
      </w:r>
    </w:p>
    <w:p w14:paraId="2CB2713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.13乙方不得因停工损失向甲方索赔，同意不追究甲方在本合同履行过程中因付款延迟、停工而产生的违约责任。</w:t>
      </w:r>
    </w:p>
    <w:p w14:paraId="47127A2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294AAB1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.15在本合同履行过程中，可能因乙方原因造成施工质量、安全文明</w:t>
      </w:r>
    </w:p>
    <w:p w14:paraId="2D74435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措施</w:t>
      </w:r>
      <w:r>
        <w:rPr>
          <w:rFonts w:hint="eastAsia" w:ascii="仿宋" w:hAnsi="仿宋" w:eastAsia="仿宋" w:cs="仿宋"/>
          <w:b w:val="0"/>
          <w:bCs w:val="0"/>
          <w:i w:val="0"/>
          <w:iCs w:val="0"/>
          <w:color w:val="auto"/>
          <w:sz w:val="28"/>
          <w:szCs w:val="28"/>
          <w:highlight w:val="none"/>
          <w:shd w:val="clear" w:color="auto" w:fill="auto"/>
          <w:lang w:eastAsia="zh-CN"/>
        </w:rPr>
        <w:t>等无法满足甲方及规范要求的，乙方须提供不属于其责任的证明并得到甲方的书面认可，否则视为乙方违约，全部责任及费用和损失由乙方承担。</w:t>
      </w:r>
    </w:p>
    <w:p w14:paraId="0E404C3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款不足以赔偿甲方损失的，由乙方在甲方通知5个日历天内向甲方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w:t>
      </w:r>
      <w:r>
        <w:rPr>
          <w:rFonts w:hint="eastAsia" w:ascii="仿宋" w:hAnsi="仿宋" w:eastAsia="仿宋" w:cs="仿宋"/>
          <w:b w:val="0"/>
          <w:bCs w:val="0"/>
          <w:i w:val="0"/>
          <w:iCs w:val="0"/>
          <w:color w:val="auto"/>
          <w:sz w:val="28"/>
          <w:szCs w:val="28"/>
          <w:highlight w:val="none"/>
          <w:shd w:val="clear" w:color="auto" w:fill="auto"/>
          <w:lang w:eastAsia="zh-CN"/>
        </w:rPr>
        <w:t>。若该永久质量问题无法满足设计及合同约定质量标准，而甲方和建设单位接受现状质量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仍须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按</w:t>
      </w:r>
      <w:r>
        <w:rPr>
          <w:rFonts w:hint="eastAsia" w:ascii="仿宋" w:hAnsi="仿宋" w:eastAsia="仿宋" w:cs="仿宋"/>
          <w:b w:val="0"/>
          <w:bCs w:val="0"/>
          <w:i w:val="0"/>
          <w:iCs w:val="0"/>
          <w:color w:val="auto"/>
          <w:sz w:val="28"/>
          <w:szCs w:val="28"/>
          <w:highlight w:val="none"/>
          <w:shd w:val="clear" w:color="auto" w:fill="auto"/>
          <w:lang w:eastAsia="zh-CN"/>
        </w:rPr>
        <w:t>不合格部位造价</w:t>
      </w:r>
      <w:r>
        <w:rPr>
          <w:rFonts w:hint="eastAsia" w:ascii="仿宋" w:hAnsi="仿宋" w:eastAsia="仿宋" w:cs="仿宋"/>
          <w:b w:val="0"/>
          <w:bCs w:val="0"/>
          <w:i w:val="0"/>
          <w:iCs w:val="0"/>
          <w:color w:val="auto"/>
          <w:sz w:val="28"/>
          <w:szCs w:val="28"/>
          <w:highlight w:val="none"/>
          <w:shd w:val="clear" w:color="auto" w:fill="auto"/>
          <w:lang w:val="en-US" w:eastAsia="zh-CN"/>
        </w:rPr>
        <w:t>的3</w:t>
      </w:r>
      <w:r>
        <w:rPr>
          <w:rFonts w:hint="eastAsia" w:ascii="仿宋" w:hAnsi="仿宋" w:eastAsia="仿宋" w:cs="仿宋"/>
          <w:b w:val="0"/>
          <w:bCs w:val="0"/>
          <w:i w:val="0"/>
          <w:iCs w:val="0"/>
          <w:color w:val="auto"/>
          <w:sz w:val="28"/>
          <w:szCs w:val="28"/>
          <w:highlight w:val="none"/>
          <w:shd w:val="clear" w:color="auto" w:fill="auto"/>
          <w:lang w:eastAsia="zh-CN"/>
        </w:rPr>
        <w:t>0%以上</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w:t>
      </w:r>
    </w:p>
    <w:p w14:paraId="630FB66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7A1E3A5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18</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6E28FE2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0A148F71">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30%向甲方支付违约金，相应违约金在乙方任一合同款中扣除。</w:t>
      </w:r>
    </w:p>
    <w:p w14:paraId="184686F5">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52"/>
      <w:bookmarkEnd w:id="153"/>
      <w:bookmarkEnd w:id="154"/>
      <w:bookmarkEnd w:id="155"/>
      <w:bookmarkEnd w:id="156"/>
      <w:bookmarkEnd w:id="157"/>
      <w:bookmarkEnd w:id="158"/>
      <w:bookmarkEnd w:id="159"/>
      <w:bookmarkEnd w:id="160"/>
    </w:p>
    <w:p w14:paraId="0B248B8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1" w:name="_Toc15891"/>
      <w:bookmarkStart w:id="162" w:name="_Toc23011"/>
      <w:bookmarkStart w:id="163" w:name="_Toc10466"/>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15.1乙方在与甲方合作期间（包括本合同招标、签订、履行期间），不得向甲方职员提供请吃、送礼、旅游、色情服务、行贿、回扣或其他好处，如有违反，乙方每次向甲方承担金额等于</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合同总价10％的违约金（甲方可从任意合同款中扣款），造成甲方经济或其他损失的，乙方全额赔偿甲方。</w:t>
      </w:r>
    </w:p>
    <w:p w14:paraId="2009ED7D">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633F0A8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2220559E">
      <w:pPr>
        <w:keepNext w:val="0"/>
        <w:keepLines w:val="0"/>
        <w:pageBreakBefore w:val="0"/>
        <w:widowControl w:val="0"/>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61"/>
      <w:bookmarkEnd w:id="162"/>
      <w:bookmarkEnd w:id="163"/>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6AFF424F">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w:t>
      </w:r>
      <w:r>
        <w:rPr>
          <w:rFonts w:hint="eastAsia" w:ascii="仿宋" w:hAnsi="仿宋" w:eastAsia="仿宋" w:cs="仿宋"/>
          <w:color w:val="000000" w:themeColor="text1"/>
          <w:sz w:val="28"/>
          <w:szCs w:val="28"/>
          <w:highlight w:val="none"/>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双方确认，甲方项目章仅供甲方项目部与乙方联系工作和确认施工技术、资料之用。乙方知悉并同意，该项目章用于以下情形时无效</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2C6418B6">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FEBE0B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565EACBC">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1A718733">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6D783F8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D06F7F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01FEDBD2">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16.3本合同有效期内，甲方制度文件及合同附件表格格式如有更新，按甲方最新版要求执行，甲方拥有最终解释权。</w:t>
      </w:r>
    </w:p>
    <w:p w14:paraId="3B79A99E">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3BDB892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4" w:name="_Toc11774"/>
      <w:bookmarkStart w:id="165" w:name="_Toc10994"/>
      <w:bookmarkStart w:id="166" w:name="_Toc10212"/>
      <w:r>
        <w:rPr>
          <w:rFonts w:hint="eastAsia" w:ascii="仿宋" w:hAnsi="仿宋" w:eastAsia="仿宋" w:cs="仿宋"/>
          <w:b w:val="0"/>
          <w:bCs w:val="0"/>
          <w:i w:val="0"/>
          <w:iCs w:val="0"/>
          <w:color w:val="auto"/>
          <w:sz w:val="28"/>
          <w:szCs w:val="28"/>
          <w:highlight w:val="none"/>
          <w:shd w:val="clear" w:color="auto" w:fill="auto"/>
          <w:lang w:val="en-US" w:eastAsia="zh-CN"/>
        </w:rPr>
        <w:t>16.5本合同条款互不一致的，按最有利于甲方的条款执行。</w:t>
      </w:r>
      <w:bookmarkEnd w:id="164"/>
      <w:bookmarkEnd w:id="165"/>
      <w:bookmarkEnd w:id="166"/>
    </w:p>
    <w:p w14:paraId="2C57D60A">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41059159">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23A63C68">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32908DD7">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32C1EA44">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16.10甲乙双方均确认已经审阅并理解本合同全部条款，且已经就条款的所有疑问得到满意解释，并确认合同条款为双方本着诚信互利的原则友好协商一致的结果，不属于任何一方的格式条款。</w:t>
      </w:r>
    </w:p>
    <w:p w14:paraId="08CF87F5">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16.11本合同一式叁份，甲方执贰份，乙方执一份，均具同等效力。</w:t>
      </w:r>
    </w:p>
    <w:p w14:paraId="75C87E00">
      <w:pPr>
        <w:keepNext w:val="0"/>
        <w:keepLines w:val="0"/>
        <w:pageBreakBefore w:val="0"/>
        <w:widowControl w:val="0"/>
        <w:kinsoku/>
        <w:wordWrap/>
        <w:overflowPunct/>
        <w:topLinePunct w:val="0"/>
        <w:autoSpaceDE/>
        <w:autoSpaceDN/>
        <w:bidi w:val="0"/>
        <w:adjustRightInd w:val="0"/>
        <w:snapToGrid w:val="0"/>
        <w:spacing w:line="52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257423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05F89129">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548858D3">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48054B1E">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128FEB97">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6F45B265">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42F972E1">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4EA29164">
      <w:pPr>
        <w:keepNext w:val="0"/>
        <w:keepLines w:val="0"/>
        <w:pageBreakBefore w:val="0"/>
        <w:widowControl w:val="0"/>
        <w:kinsoku/>
        <w:wordWrap/>
        <w:overflowPunct/>
        <w:topLinePunct w:val="0"/>
        <w:autoSpaceDE/>
        <w:autoSpaceDN/>
        <w:bidi w:val="0"/>
        <w:adjustRightInd w:val="0"/>
        <w:snapToGrid w:val="0"/>
        <w:spacing w:line="500" w:lineRule="exac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16.13本合同自甲乙双方签字并加盖公章（或合同章）之日起生效，双方履行完合同义务、责任之日终止。</w:t>
      </w:r>
    </w:p>
    <w:p w14:paraId="0D06F5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【以下无正文】</w:t>
      </w:r>
    </w:p>
    <w:p w14:paraId="4D4FD7BF">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p>
    <w:p w14:paraId="30E8C6DC">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p>
    <w:p w14:paraId="7B20693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9" w:firstLineChars="78"/>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w:t>
      </w:r>
      <w:bookmarkStart w:id="167" w:name="_Toc20090"/>
      <w:bookmarkStart w:id="168" w:name="_Toc20837"/>
      <w:bookmarkStart w:id="169" w:name="_Toc9464"/>
      <w:bookmarkStart w:id="170" w:name="_Toc19939"/>
      <w:bookmarkStart w:id="171" w:name="_Toc14601"/>
      <w:bookmarkStart w:id="172" w:name="_Toc18756"/>
    </w:p>
    <w:bookmarkEnd w:id="167"/>
    <w:bookmarkEnd w:id="168"/>
    <w:bookmarkEnd w:id="169"/>
    <w:bookmarkEnd w:id="170"/>
    <w:bookmarkEnd w:id="171"/>
    <w:bookmarkEnd w:id="172"/>
    <w:p w14:paraId="7B428A8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173" w:name="_Toc31165"/>
      <w:bookmarkStart w:id="174" w:name="_Toc1666"/>
      <w:bookmarkStart w:id="175" w:name="_Toc1399"/>
      <w:bookmarkStart w:id="176" w:name="_Toc936"/>
      <w:bookmarkStart w:id="177" w:name="_Toc5558"/>
      <w:bookmarkStart w:id="178" w:name="_Toc1433"/>
      <w:bookmarkStart w:id="179" w:name="_Toc32677"/>
      <w:bookmarkStart w:id="180" w:name="_Toc4369"/>
      <w:bookmarkStart w:id="181" w:name="_Toc3404"/>
      <w:bookmarkStart w:id="182" w:name="_Toc10798"/>
      <w:bookmarkStart w:id="183" w:name="_Toc22492"/>
      <w:bookmarkStart w:id="184" w:name="_Toc28577"/>
      <w:bookmarkStart w:id="185" w:name="_Toc26460"/>
      <w:bookmarkStart w:id="186" w:name="_Toc18080"/>
      <w:bookmarkStart w:id="187" w:name="_Toc7245"/>
      <w:bookmarkStart w:id="188" w:name="_Toc26059"/>
      <w:bookmarkStart w:id="189" w:name="_Toc14000"/>
      <w:bookmarkStart w:id="190" w:name="_Toc30985"/>
      <w:bookmarkStart w:id="191" w:name="_Toc7880"/>
      <w:bookmarkStart w:id="192" w:name="_Toc23233"/>
      <w:bookmarkStart w:id="193" w:name="_Toc13137"/>
      <w:bookmarkStart w:id="194" w:name="_Toc31130"/>
      <w:bookmarkStart w:id="195" w:name="_Toc7014"/>
      <w:bookmarkStart w:id="196" w:name="_Toc26912"/>
      <w:bookmarkStart w:id="197" w:name="_Toc6457"/>
      <w:bookmarkStart w:id="198" w:name="_Toc22736"/>
      <w:bookmarkStart w:id="199" w:name="_Toc12795"/>
      <w:bookmarkStart w:id="200" w:name="_Toc4318"/>
      <w:r>
        <w:rPr>
          <w:rFonts w:hint="eastAsia" w:ascii="仿宋" w:hAnsi="仿宋" w:eastAsia="仿宋" w:cs="仿宋"/>
          <w:color w:val="auto"/>
          <w:sz w:val="28"/>
          <w:szCs w:val="28"/>
          <w:highlight w:val="none"/>
          <w:lang w:val="en-US" w:eastAsia="zh-CN"/>
        </w:rPr>
        <w:t>附件一《甲方项目章样式》</w:t>
      </w:r>
      <w:bookmarkEnd w:id="173"/>
      <w:bookmarkEnd w:id="174"/>
      <w:bookmarkEnd w:id="175"/>
      <w:bookmarkEnd w:id="176"/>
      <w:bookmarkEnd w:id="177"/>
      <w:bookmarkEnd w:id="178"/>
      <w:bookmarkEnd w:id="179"/>
      <w:bookmarkEnd w:id="180"/>
      <w:r>
        <w:rPr>
          <w:rFonts w:hint="eastAsia" w:ascii="仿宋" w:hAnsi="仿宋" w:eastAsia="仿宋" w:cs="仿宋"/>
          <w:color w:val="auto"/>
          <w:sz w:val="28"/>
          <w:szCs w:val="28"/>
          <w:highlight w:val="none"/>
          <w:lang w:val="en-US" w:eastAsia="zh-CN"/>
        </w:rPr>
        <w:t>；</w:t>
      </w:r>
    </w:p>
    <w:p w14:paraId="7CDC937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01" w:name="_Toc8731"/>
      <w:bookmarkStart w:id="202" w:name="_Toc9762"/>
      <w:bookmarkStart w:id="203" w:name="_Toc14081"/>
      <w:bookmarkStart w:id="204" w:name="_Toc3785"/>
      <w:bookmarkStart w:id="205" w:name="_Toc22382"/>
      <w:bookmarkStart w:id="206" w:name="_Toc820"/>
      <w:bookmarkStart w:id="207" w:name="_Toc1593"/>
      <w:bookmarkStart w:id="208" w:name="_Toc16048"/>
      <w:bookmarkStart w:id="209" w:name="_Toc25849"/>
      <w:bookmarkStart w:id="210" w:name="_Toc4984"/>
      <w:bookmarkStart w:id="211" w:name="_Toc5473"/>
      <w:bookmarkStart w:id="212" w:name="_Toc3354"/>
      <w:bookmarkStart w:id="213" w:name="_Toc21931"/>
      <w:bookmarkStart w:id="214" w:name="_Toc29364"/>
      <w:bookmarkStart w:id="215" w:name="_Toc4390"/>
      <w:bookmarkStart w:id="216" w:name="_Toc20849"/>
      <w:bookmarkStart w:id="217" w:name="_Toc27112"/>
      <w:bookmarkStart w:id="218" w:name="_Toc26292"/>
      <w:bookmarkStart w:id="219" w:name="_Toc23025"/>
      <w:bookmarkStart w:id="220" w:name="_Toc13056"/>
      <w:bookmarkStart w:id="221" w:name="_Toc13105"/>
      <w:bookmarkStart w:id="222" w:name="_Toc20750"/>
      <w:bookmarkStart w:id="223" w:name="_Toc12247"/>
      <w:bookmarkStart w:id="224" w:name="_Toc369"/>
      <w:bookmarkStart w:id="225" w:name="_Toc1568"/>
      <w:bookmarkStart w:id="226" w:name="_Toc19911"/>
      <w:bookmarkStart w:id="227" w:name="_Toc8978"/>
      <w:r>
        <w:rPr>
          <w:rFonts w:hint="eastAsia" w:ascii="仿宋" w:hAnsi="仿宋" w:eastAsia="仿宋" w:cs="仿宋"/>
          <w:color w:val="auto"/>
          <w:sz w:val="28"/>
          <w:szCs w:val="28"/>
          <w:highlight w:val="none"/>
          <w:lang w:val="en-US" w:eastAsia="zh-CN"/>
        </w:rPr>
        <w:t>附件二</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p>
    <w:p w14:paraId="453ADA5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28" w:name="_Toc15918"/>
      <w:bookmarkStart w:id="229" w:name="_Toc524"/>
      <w:bookmarkStart w:id="230" w:name="_Toc25081"/>
      <w:bookmarkStart w:id="231" w:name="_Toc17668"/>
      <w:bookmarkStart w:id="232" w:name="_Toc27522"/>
      <w:bookmarkStart w:id="233" w:name="_Toc13193"/>
      <w:bookmarkStart w:id="234" w:name="_Toc16724"/>
      <w:bookmarkStart w:id="235" w:name="_Toc18715"/>
      <w:bookmarkStart w:id="236" w:name="_Toc13136"/>
      <w:bookmarkStart w:id="237" w:name="_Toc10619"/>
      <w:bookmarkStart w:id="238" w:name="_Toc25160"/>
      <w:bookmarkStart w:id="239" w:name="_Toc1914"/>
      <w:bookmarkStart w:id="240" w:name="_Toc19231"/>
      <w:bookmarkStart w:id="241" w:name="_Toc10287"/>
      <w:bookmarkStart w:id="242" w:name="_Toc9202"/>
      <w:bookmarkStart w:id="243" w:name="_Toc23140"/>
      <w:bookmarkStart w:id="244" w:name="_Toc13735"/>
      <w:bookmarkStart w:id="245" w:name="_Toc29940"/>
      <w:bookmarkStart w:id="246" w:name="_Toc1326"/>
      <w:bookmarkStart w:id="247" w:name="_Toc18649"/>
      <w:bookmarkStart w:id="248" w:name="_Toc20300"/>
      <w:bookmarkStart w:id="249" w:name="_Toc6450"/>
      <w:bookmarkStart w:id="250" w:name="_Toc31858"/>
      <w:bookmarkStart w:id="251" w:name="_Toc23426"/>
      <w:bookmarkStart w:id="252" w:name="_Toc32541"/>
      <w:bookmarkStart w:id="253" w:name="_Toc6636"/>
      <w:bookmarkStart w:id="254" w:name="_Toc22544"/>
      <w:bookmarkStart w:id="255" w:name="_Toc31176"/>
      <w:bookmarkStart w:id="256" w:name="_Toc28253"/>
      <w:bookmarkStart w:id="257" w:name="_Toc17489"/>
      <w:bookmarkStart w:id="258" w:name="_Toc5133"/>
      <w:bookmarkStart w:id="259" w:name="_Toc3471"/>
      <w:bookmarkStart w:id="260" w:name="_Toc5766"/>
      <w:bookmarkStart w:id="261" w:name="_Toc13050"/>
      <w:bookmarkStart w:id="262" w:name="_Toc5294"/>
      <w:bookmarkStart w:id="263" w:name="_Toc2937"/>
      <w:bookmarkStart w:id="264" w:name="_Toc3531"/>
      <w:bookmarkStart w:id="265" w:name="_Toc25016"/>
      <w:bookmarkStart w:id="266" w:name="_Toc31641"/>
      <w:bookmarkStart w:id="267" w:name="_Toc13154"/>
      <w:bookmarkStart w:id="268" w:name="_Toc25675"/>
      <w:bookmarkStart w:id="269" w:name="_Toc26972"/>
      <w:bookmarkStart w:id="270" w:name="_Toc21784"/>
      <w:bookmarkStart w:id="271" w:name="_Toc2009"/>
      <w:bookmarkStart w:id="272" w:name="_Toc548"/>
      <w:bookmarkStart w:id="273" w:name="_Toc14323"/>
      <w:bookmarkStart w:id="274" w:name="_Toc15176"/>
      <w:r>
        <w:rPr>
          <w:rFonts w:hint="eastAsia" w:ascii="仿宋" w:hAnsi="仿宋" w:eastAsia="仿宋" w:cs="仿宋"/>
          <w:color w:val="auto"/>
          <w:sz w:val="28"/>
          <w:szCs w:val="28"/>
          <w:highlight w:val="none"/>
          <w:lang w:val="en-US" w:eastAsia="zh-CN"/>
        </w:rPr>
        <w:t>附件三《承诺书（工人个人版）》格式；</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14:paraId="5A568EE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75" w:name="_Toc5427"/>
      <w:bookmarkStart w:id="276" w:name="_Toc10970"/>
      <w:bookmarkStart w:id="277" w:name="_Toc23253"/>
      <w:bookmarkStart w:id="278" w:name="_Toc9049"/>
      <w:bookmarkStart w:id="279" w:name="_Toc9244"/>
      <w:bookmarkStart w:id="280" w:name="_Toc7760"/>
      <w:bookmarkStart w:id="281" w:name="_Toc20383"/>
      <w:r>
        <w:rPr>
          <w:rFonts w:hint="eastAsia" w:ascii="仿宋" w:hAnsi="仿宋" w:eastAsia="仿宋" w:cs="仿宋"/>
          <w:color w:val="auto"/>
          <w:sz w:val="28"/>
          <w:szCs w:val="28"/>
          <w:highlight w:val="none"/>
          <w:lang w:val="en-US" w:eastAsia="zh-CN"/>
        </w:rPr>
        <w:t>附件</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454264F6">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282" w:name="_Toc15145"/>
      <w:bookmarkStart w:id="283" w:name="_Toc5956"/>
      <w:bookmarkStart w:id="284" w:name="_Toc26054"/>
      <w:bookmarkStart w:id="285" w:name="_Toc8338"/>
      <w:bookmarkStart w:id="286" w:name="_Toc16599"/>
      <w:bookmarkStart w:id="287" w:name="_Toc31550"/>
      <w:bookmarkStart w:id="288" w:name="_Toc13957"/>
      <w:bookmarkStart w:id="289" w:name="_Toc32071"/>
      <w:bookmarkStart w:id="290" w:name="_Toc1285"/>
      <w:bookmarkStart w:id="291" w:name="_Toc1657"/>
      <w:bookmarkStart w:id="292" w:name="_Toc19643"/>
      <w:bookmarkStart w:id="293" w:name="_Toc21782"/>
      <w:bookmarkStart w:id="294" w:name="_Toc22968"/>
      <w:bookmarkStart w:id="295" w:name="_Toc17065"/>
      <w:bookmarkStart w:id="296" w:name="_Toc11701"/>
      <w:bookmarkStart w:id="297" w:name="_Toc840"/>
      <w:bookmarkStart w:id="298" w:name="_Toc11060"/>
      <w:bookmarkStart w:id="299" w:name="_Toc31387"/>
      <w:bookmarkStart w:id="300" w:name="_Toc11307"/>
      <w:bookmarkStart w:id="301" w:name="_Toc18653"/>
      <w:bookmarkStart w:id="302" w:name="_Toc3169"/>
      <w:bookmarkStart w:id="303" w:name="_Toc10157"/>
      <w:bookmarkStart w:id="304" w:name="_Toc5997"/>
      <w:bookmarkStart w:id="305" w:name="_Toc13150"/>
      <w:bookmarkStart w:id="306" w:name="_Toc21960"/>
      <w:bookmarkStart w:id="307" w:name="_Toc9953"/>
      <w:bookmarkStart w:id="308" w:name="_Toc14489"/>
      <w:r>
        <w:rPr>
          <w:rFonts w:hint="eastAsia" w:ascii="仿宋" w:hAnsi="仿宋" w:eastAsia="仿宋" w:cs="仿宋"/>
          <w:color w:val="auto"/>
          <w:sz w:val="28"/>
          <w:szCs w:val="28"/>
          <w:highlight w:val="none"/>
          <w:lang w:val="en-US" w:eastAsia="zh-CN"/>
        </w:rPr>
        <w:t>附件五</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p>
    <w:p w14:paraId="2C6999D9">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default" w:ascii="仿宋" w:hAnsi="仿宋" w:eastAsia="仿宋" w:cs="仿宋"/>
          <w:color w:val="auto"/>
          <w:sz w:val="28"/>
          <w:szCs w:val="28"/>
          <w:highlight w:val="none"/>
          <w:lang w:val="en-US" w:eastAsia="zh-CN"/>
        </w:rPr>
      </w:pPr>
      <w:bookmarkStart w:id="309" w:name="_Toc6564"/>
      <w:bookmarkStart w:id="310" w:name="_Toc2802"/>
      <w:bookmarkStart w:id="311" w:name="_Toc21390"/>
      <w:r>
        <w:rPr>
          <w:rFonts w:hint="eastAsia" w:ascii="仿宋" w:hAnsi="仿宋" w:eastAsia="仿宋" w:cs="仿宋"/>
          <w:color w:val="auto"/>
          <w:sz w:val="28"/>
          <w:szCs w:val="28"/>
          <w:highlight w:val="none"/>
          <w:lang w:val="en-US" w:eastAsia="zh-CN"/>
        </w:rPr>
        <w:t>附件</w:t>
      </w:r>
      <w:bookmarkEnd w:id="309"/>
      <w:bookmarkEnd w:id="310"/>
      <w:bookmarkEnd w:id="311"/>
      <w:r>
        <w:rPr>
          <w:rFonts w:hint="eastAsia" w:ascii="仿宋" w:hAnsi="仿宋" w:eastAsia="仿宋" w:cs="仿宋"/>
          <w:color w:val="auto"/>
          <w:sz w:val="28"/>
          <w:szCs w:val="28"/>
          <w:highlight w:val="none"/>
          <w:lang w:val="en-US" w:eastAsia="zh-CN"/>
        </w:rPr>
        <w:t>六《出险声明函》格式；</w:t>
      </w:r>
    </w:p>
    <w:p w14:paraId="06F62E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2" w:name="_Toc27839"/>
      <w:bookmarkStart w:id="313" w:name="_Toc12934"/>
      <w:bookmarkStart w:id="314" w:name="_Toc31744"/>
      <w:bookmarkStart w:id="315" w:name="_Toc25409"/>
      <w:r>
        <w:rPr>
          <w:rFonts w:hint="eastAsia" w:ascii="仿宋" w:hAnsi="仿宋" w:eastAsia="仿宋" w:cs="仿宋"/>
          <w:color w:val="auto"/>
          <w:sz w:val="28"/>
          <w:szCs w:val="28"/>
          <w:highlight w:val="none"/>
          <w:lang w:val="en-US" w:eastAsia="zh-CN"/>
        </w:rPr>
        <w:t>附件七《分包单位开工令》格式；</w:t>
      </w:r>
      <w:bookmarkEnd w:id="312"/>
      <w:bookmarkEnd w:id="313"/>
      <w:bookmarkEnd w:id="314"/>
      <w:bookmarkEnd w:id="315"/>
    </w:p>
    <w:p w14:paraId="2A2CC0F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16" w:name="_Toc12926"/>
      <w:bookmarkStart w:id="317" w:name="_Toc15935"/>
      <w:bookmarkStart w:id="318" w:name="_Toc6646"/>
      <w:bookmarkStart w:id="319" w:name="_Toc21331"/>
      <w:r>
        <w:rPr>
          <w:rFonts w:hint="eastAsia" w:ascii="仿宋" w:hAnsi="仿宋" w:eastAsia="仿宋" w:cs="仿宋"/>
          <w:color w:val="auto"/>
          <w:sz w:val="28"/>
          <w:szCs w:val="28"/>
          <w:highlight w:val="none"/>
          <w:lang w:val="en-US" w:eastAsia="zh-CN"/>
        </w:rPr>
        <w:t>附件八《分包签证确认单》格式；</w:t>
      </w:r>
      <w:bookmarkEnd w:id="316"/>
      <w:bookmarkEnd w:id="317"/>
      <w:bookmarkEnd w:id="318"/>
      <w:bookmarkEnd w:id="319"/>
    </w:p>
    <w:p w14:paraId="61459723">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0" w:name="_Toc26355"/>
      <w:bookmarkStart w:id="321" w:name="_Toc2554"/>
      <w:bookmarkStart w:id="322" w:name="_Toc31733"/>
      <w:bookmarkStart w:id="323" w:name="_Toc7400"/>
      <w:r>
        <w:rPr>
          <w:rFonts w:hint="eastAsia" w:ascii="仿宋" w:hAnsi="仿宋" w:eastAsia="仿宋" w:cs="仿宋"/>
          <w:color w:val="auto"/>
          <w:sz w:val="28"/>
          <w:szCs w:val="28"/>
          <w:highlight w:val="none"/>
          <w:lang w:val="en-US" w:eastAsia="zh-CN"/>
        </w:rPr>
        <w:t>附件九《分项工程/认质认价申报审批表》格式；</w:t>
      </w:r>
      <w:bookmarkEnd w:id="320"/>
      <w:bookmarkEnd w:id="321"/>
      <w:bookmarkEnd w:id="322"/>
      <w:bookmarkEnd w:id="323"/>
    </w:p>
    <w:p w14:paraId="5D9F9ED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4" w:name="_Toc9065"/>
      <w:bookmarkStart w:id="325" w:name="_Toc17429"/>
      <w:bookmarkStart w:id="326" w:name="_Toc11520"/>
      <w:bookmarkStart w:id="327" w:name="_Toc27117"/>
      <w:r>
        <w:rPr>
          <w:rFonts w:hint="eastAsia" w:ascii="仿宋" w:hAnsi="仿宋" w:eastAsia="仿宋" w:cs="仿宋"/>
          <w:color w:val="auto"/>
          <w:sz w:val="28"/>
          <w:szCs w:val="28"/>
          <w:highlight w:val="none"/>
          <w:lang w:val="en-US" w:eastAsia="zh-CN"/>
        </w:rPr>
        <w:t>附件十《签证单分包说明》格式；</w:t>
      </w:r>
      <w:bookmarkEnd w:id="324"/>
      <w:bookmarkEnd w:id="325"/>
      <w:bookmarkEnd w:id="326"/>
      <w:bookmarkEnd w:id="327"/>
    </w:p>
    <w:p w14:paraId="1ED2576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28" w:name="_Toc18401"/>
      <w:bookmarkStart w:id="329" w:name="_Toc25485"/>
      <w:bookmarkStart w:id="330" w:name="_Toc1953"/>
      <w:bookmarkStart w:id="331" w:name="_Toc374"/>
      <w:r>
        <w:rPr>
          <w:rFonts w:hint="eastAsia" w:ascii="仿宋" w:hAnsi="仿宋" w:eastAsia="仿宋" w:cs="仿宋"/>
          <w:color w:val="auto"/>
          <w:sz w:val="28"/>
          <w:szCs w:val="28"/>
          <w:highlight w:val="none"/>
          <w:lang w:val="en-US" w:eastAsia="zh-CN"/>
        </w:rPr>
        <w:t>附件十一《工程量现场草签记录表》格式；</w:t>
      </w:r>
      <w:bookmarkEnd w:id="328"/>
      <w:bookmarkEnd w:id="329"/>
      <w:bookmarkEnd w:id="330"/>
      <w:bookmarkEnd w:id="331"/>
    </w:p>
    <w:p w14:paraId="79A3618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2" w:name="_Toc2625"/>
      <w:bookmarkStart w:id="333" w:name="_Toc27328"/>
      <w:bookmarkStart w:id="334" w:name="_Toc5105"/>
      <w:bookmarkStart w:id="335" w:name="_Toc23057"/>
      <w:r>
        <w:rPr>
          <w:rFonts w:hint="eastAsia" w:ascii="仿宋" w:hAnsi="仿宋" w:eastAsia="仿宋" w:cs="仿宋"/>
          <w:color w:val="auto"/>
          <w:sz w:val="28"/>
          <w:szCs w:val="28"/>
          <w:highlight w:val="none"/>
          <w:lang w:val="en-US" w:eastAsia="zh-CN"/>
        </w:rPr>
        <w:t>附件十二《工程结算支付证明单》格式；</w:t>
      </w:r>
      <w:bookmarkEnd w:id="332"/>
      <w:bookmarkEnd w:id="333"/>
      <w:bookmarkEnd w:id="334"/>
      <w:bookmarkEnd w:id="335"/>
    </w:p>
    <w:p w14:paraId="49E000EA">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36" w:name="_Toc26235"/>
      <w:bookmarkStart w:id="337" w:name="_Toc9592"/>
      <w:bookmarkStart w:id="338" w:name="_Toc16843"/>
      <w:bookmarkStart w:id="339" w:name="_Toc7962"/>
      <w:bookmarkStart w:id="340" w:name="_Toc21764"/>
      <w:bookmarkStart w:id="341" w:name="_Toc17584"/>
      <w:bookmarkStart w:id="342" w:name="_Toc30596"/>
      <w:r>
        <w:rPr>
          <w:rFonts w:hint="eastAsia" w:ascii="仿宋" w:hAnsi="仿宋" w:eastAsia="仿宋" w:cs="仿宋"/>
          <w:color w:val="auto"/>
          <w:sz w:val="28"/>
          <w:szCs w:val="28"/>
          <w:highlight w:val="none"/>
          <w:lang w:val="en-US" w:eastAsia="zh-CN"/>
        </w:rPr>
        <w:t>附件十三《工完场清交接单》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hint="eastAsia" w:ascii="仿宋" w:hAnsi="仿宋" w:eastAsia="仿宋" w:cs="仿宋"/>
          <w:color w:val="auto"/>
          <w:sz w:val="28"/>
          <w:szCs w:val="28"/>
          <w:highlight w:val="none"/>
          <w:lang w:val="en-US" w:eastAsia="zh-CN"/>
        </w:rPr>
        <w:t>格式；</w:t>
      </w:r>
      <w:bookmarkEnd w:id="336"/>
      <w:bookmarkEnd w:id="337"/>
      <w:bookmarkEnd w:id="338"/>
      <w:bookmarkEnd w:id="339"/>
      <w:bookmarkEnd w:id="340"/>
      <w:bookmarkEnd w:id="341"/>
      <w:bookmarkEnd w:id="342"/>
    </w:p>
    <w:p w14:paraId="29227A2E">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color w:val="auto"/>
          <w:sz w:val="28"/>
          <w:szCs w:val="28"/>
          <w:highlight w:val="none"/>
          <w:lang w:val="en-US" w:eastAsia="zh-CN"/>
        </w:rPr>
      </w:pPr>
      <w:bookmarkStart w:id="343" w:name="_Toc4009"/>
      <w:bookmarkStart w:id="344" w:name="_Toc12430"/>
      <w:bookmarkStart w:id="345" w:name="_Toc8006"/>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《报价清单》（另页）</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343"/>
      <w:bookmarkEnd w:id="344"/>
      <w:bookmarkEnd w:id="345"/>
    </w:p>
    <w:p w14:paraId="0C1845E8">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346" w:name="_Toc25734"/>
      <w:bookmarkStart w:id="347" w:name="_Toc10114"/>
      <w:bookmarkStart w:id="348" w:name="_Toc31415"/>
      <w:bookmarkStart w:id="349" w:name="_Toc22636"/>
      <w:bookmarkStart w:id="350" w:name="_Toc21541"/>
      <w:bookmarkStart w:id="351" w:name="_Toc30237"/>
      <w:bookmarkStart w:id="352" w:name="_Toc21406"/>
      <w:bookmarkStart w:id="353" w:name="_Toc31008"/>
      <w:bookmarkStart w:id="354" w:name="_Toc31800"/>
      <w:bookmarkStart w:id="355" w:name="_Toc25618"/>
      <w:bookmarkStart w:id="356" w:name="_Toc19704"/>
      <w:bookmarkStart w:id="357" w:name="_Toc14821"/>
      <w:bookmarkStart w:id="358" w:name="_Toc26903"/>
      <w:bookmarkStart w:id="359" w:name="_Toc18640"/>
      <w:bookmarkStart w:id="360" w:name="_Toc341"/>
      <w:bookmarkStart w:id="361" w:name="_Toc26020"/>
      <w:bookmarkStart w:id="362" w:name="_Toc12607"/>
      <w:bookmarkStart w:id="363" w:name="_Toc7399"/>
      <w:bookmarkStart w:id="364" w:name="_Toc19119"/>
      <w:bookmarkStart w:id="365" w:name="_Toc4335"/>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6" w:name="_Toc28191"/>
      <w:bookmarkStart w:id="367" w:name="_Toc24050"/>
      <w:bookmarkStart w:id="368" w:name="_Toc22031"/>
      <w:bookmarkStart w:id="369" w:name="_Toc30511"/>
      <w:bookmarkStart w:id="370" w:name="_Toc10938"/>
      <w:bookmarkStart w:id="371" w:name="_Toc13697"/>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color w:val="auto"/>
          <w:sz w:val="28"/>
          <w:szCs w:val="28"/>
          <w:highlight w:val="none"/>
          <w:lang w:val="en-US" w:eastAsia="zh-CN"/>
        </w:rPr>
        <w:t>（另页）</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717C6667">
      <w:pPr>
        <w:keepNext w:val="0"/>
        <w:keepLines w:val="0"/>
        <w:pageBreakBefore w:val="0"/>
        <w:widowControl w:val="0"/>
        <w:kinsoku/>
        <w:wordWrap/>
        <w:overflowPunct/>
        <w:topLinePunct w:val="0"/>
        <w:autoSpaceDE/>
        <w:autoSpaceDN/>
        <w:bidi w:val="0"/>
        <w:adjustRightInd w:val="0"/>
        <w:snapToGrid w:val="0"/>
        <w:spacing w:line="480" w:lineRule="exact"/>
        <w:ind w:left="0" w:leftChars="0" w:right="0" w:rightChars="0" w:firstLine="218" w:firstLineChars="78"/>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附件十六《图纸目录清单》</w:t>
      </w:r>
      <w:r>
        <w:rPr>
          <w:rFonts w:hint="eastAsia" w:ascii="仿宋" w:hAnsi="仿宋" w:eastAsia="仿宋" w:cs="仿宋"/>
          <w:b w:val="0"/>
          <w:bCs w:val="0"/>
          <w:color w:val="auto"/>
          <w:sz w:val="28"/>
          <w:szCs w:val="28"/>
          <w:highlight w:val="none"/>
          <w:lang w:val="en-US" w:eastAsia="zh-CN"/>
        </w:rPr>
        <w:t>。</w:t>
      </w:r>
      <w:bookmarkEnd w:id="366"/>
    </w:p>
    <w:bookmarkEnd w:id="367"/>
    <w:bookmarkEnd w:id="368"/>
    <w:bookmarkEnd w:id="369"/>
    <w:bookmarkEnd w:id="370"/>
    <w:bookmarkEnd w:id="371"/>
    <w:p w14:paraId="3BF17C69">
      <w:pPr>
        <w:pStyle w:val="14"/>
        <w:rPr>
          <w:rFonts w:hint="eastAsia"/>
          <w:color w:val="auto"/>
          <w:highlight w:val="none"/>
          <w:lang w:val="en-US" w:eastAsia="zh-CN"/>
        </w:rPr>
      </w:pPr>
      <w:bookmarkStart w:id="372" w:name="_Toc9682"/>
    </w:p>
    <w:p w14:paraId="0CE1F6D2">
      <w:pPr>
        <w:pStyle w:val="14"/>
        <w:rPr>
          <w:rFonts w:hint="eastAsia"/>
          <w:color w:val="auto"/>
          <w:highlight w:val="none"/>
          <w:lang w:val="en-US" w:eastAsia="zh-CN"/>
        </w:rPr>
      </w:pPr>
    </w:p>
    <w:p w14:paraId="78043935">
      <w:pPr>
        <w:pStyle w:val="14"/>
        <w:rPr>
          <w:rFonts w:hint="eastAsia"/>
          <w:color w:val="auto"/>
          <w:highlight w:val="none"/>
          <w:lang w:val="en-US" w:eastAsia="zh-CN"/>
        </w:rPr>
      </w:pPr>
    </w:p>
    <w:p w14:paraId="110AA3AB">
      <w:pPr>
        <w:pStyle w:val="14"/>
        <w:rPr>
          <w:rFonts w:hint="eastAsia"/>
          <w:color w:val="auto"/>
          <w:highlight w:val="none"/>
          <w:lang w:val="en-US" w:eastAsia="zh-CN"/>
        </w:rPr>
      </w:pPr>
    </w:p>
    <w:p w14:paraId="1CC109E6">
      <w:pPr>
        <w:pStyle w:val="14"/>
        <w:rPr>
          <w:rFonts w:hint="eastAsia"/>
          <w:color w:val="auto"/>
          <w:highlight w:val="none"/>
          <w:lang w:val="en-US" w:eastAsia="zh-CN"/>
        </w:rPr>
      </w:pPr>
    </w:p>
    <w:p w14:paraId="36FC2350">
      <w:pPr>
        <w:pStyle w:val="14"/>
        <w:rPr>
          <w:rFonts w:hint="eastAsia"/>
          <w:color w:val="auto"/>
          <w:highlight w:val="none"/>
          <w:lang w:val="en-US" w:eastAsia="zh-CN"/>
        </w:rPr>
      </w:pPr>
    </w:p>
    <w:p w14:paraId="26641A05">
      <w:pPr>
        <w:pStyle w:val="14"/>
        <w:rPr>
          <w:rFonts w:hint="eastAsia"/>
          <w:color w:val="auto"/>
          <w:highlight w:val="none"/>
          <w:lang w:val="en-US" w:eastAsia="zh-CN"/>
        </w:rPr>
      </w:pPr>
    </w:p>
    <w:p w14:paraId="4078DFEE">
      <w:pPr>
        <w:pStyle w:val="14"/>
        <w:rPr>
          <w:rFonts w:hint="eastAsia"/>
          <w:color w:val="auto"/>
          <w:highlight w:val="none"/>
          <w:lang w:val="en-US" w:eastAsia="zh-CN"/>
        </w:rPr>
      </w:pPr>
    </w:p>
    <w:p w14:paraId="01EB19AD">
      <w:pPr>
        <w:pStyle w:val="14"/>
        <w:rPr>
          <w:rFonts w:hint="eastAsia"/>
          <w:color w:val="auto"/>
          <w:highlight w:val="none"/>
          <w:lang w:val="en-US" w:eastAsia="zh-CN"/>
        </w:rPr>
      </w:pPr>
    </w:p>
    <w:p w14:paraId="442A3826">
      <w:pPr>
        <w:pStyle w:val="14"/>
        <w:rPr>
          <w:rFonts w:hint="eastAsia"/>
          <w:color w:val="auto"/>
          <w:highlight w:val="none"/>
          <w:lang w:val="en-US" w:eastAsia="zh-CN"/>
        </w:rPr>
      </w:pPr>
    </w:p>
    <w:p w14:paraId="3506D76F">
      <w:pPr>
        <w:pStyle w:val="14"/>
        <w:rPr>
          <w:rFonts w:hint="eastAsia"/>
          <w:color w:val="auto"/>
          <w:highlight w:val="none"/>
          <w:lang w:val="en-US" w:eastAsia="zh-CN"/>
        </w:rPr>
      </w:pPr>
    </w:p>
    <w:p w14:paraId="6DC1364F">
      <w:pPr>
        <w:pStyle w:val="14"/>
        <w:rPr>
          <w:rFonts w:hint="eastAsia"/>
          <w:color w:val="auto"/>
          <w:highlight w:val="none"/>
          <w:lang w:val="en-US" w:eastAsia="zh-CN"/>
        </w:rPr>
      </w:pPr>
    </w:p>
    <w:p w14:paraId="5A322560">
      <w:pPr>
        <w:pStyle w:val="14"/>
        <w:rPr>
          <w:rFonts w:hint="eastAsia"/>
          <w:color w:val="auto"/>
          <w:highlight w:val="none"/>
          <w:lang w:val="en-US" w:eastAsia="zh-CN"/>
        </w:rPr>
      </w:pPr>
    </w:p>
    <w:p w14:paraId="67CF20E0">
      <w:pPr>
        <w:pStyle w:val="14"/>
        <w:rPr>
          <w:rFonts w:hint="eastAsia"/>
          <w:color w:val="auto"/>
          <w:highlight w:val="none"/>
          <w:lang w:val="en-US" w:eastAsia="zh-CN"/>
        </w:rPr>
      </w:pPr>
    </w:p>
    <w:p w14:paraId="3EC785BF">
      <w:pPr>
        <w:pStyle w:val="14"/>
        <w:rPr>
          <w:rFonts w:hint="eastAsia"/>
          <w:color w:val="auto"/>
          <w:highlight w:val="none"/>
          <w:lang w:val="en-US" w:eastAsia="zh-CN"/>
        </w:rPr>
      </w:pPr>
    </w:p>
    <w:p w14:paraId="49057664">
      <w:pPr>
        <w:pStyle w:val="14"/>
        <w:rPr>
          <w:rFonts w:hint="eastAsia"/>
          <w:color w:val="auto"/>
          <w:highlight w:val="none"/>
          <w:lang w:val="en-US" w:eastAsia="zh-CN"/>
        </w:rPr>
      </w:pPr>
    </w:p>
    <w:p w14:paraId="3438897D">
      <w:pPr>
        <w:pStyle w:val="14"/>
        <w:rPr>
          <w:rFonts w:hint="eastAsia"/>
          <w:color w:val="auto"/>
          <w:highlight w:val="none"/>
          <w:lang w:val="en-US" w:eastAsia="zh-CN"/>
        </w:rPr>
      </w:pPr>
    </w:p>
    <w:p w14:paraId="0C8B45E3">
      <w:pPr>
        <w:pStyle w:val="14"/>
        <w:rPr>
          <w:rFonts w:hint="eastAsia"/>
          <w:color w:val="auto"/>
          <w:highlight w:val="none"/>
          <w:lang w:val="en-US" w:eastAsia="zh-CN"/>
        </w:rPr>
      </w:pPr>
    </w:p>
    <w:p w14:paraId="0EAD27E4">
      <w:pPr>
        <w:pStyle w:val="14"/>
        <w:rPr>
          <w:rFonts w:hint="eastAsia"/>
          <w:color w:val="auto"/>
          <w:highlight w:val="none"/>
          <w:lang w:val="en-US" w:eastAsia="zh-CN"/>
        </w:rPr>
      </w:pPr>
    </w:p>
    <w:p w14:paraId="53A138FF">
      <w:pPr>
        <w:pStyle w:val="14"/>
        <w:rPr>
          <w:rFonts w:hint="eastAsia"/>
          <w:color w:val="auto"/>
          <w:highlight w:val="none"/>
          <w:lang w:val="en-US" w:eastAsia="zh-CN"/>
        </w:rPr>
      </w:pPr>
    </w:p>
    <w:p w14:paraId="7E18E171">
      <w:pPr>
        <w:pStyle w:val="14"/>
        <w:rPr>
          <w:rFonts w:hint="eastAsia"/>
          <w:color w:val="auto"/>
          <w:highlight w:val="none"/>
          <w:lang w:val="en-US" w:eastAsia="zh-CN"/>
        </w:rPr>
      </w:pPr>
    </w:p>
    <w:p w14:paraId="1BEFF11D">
      <w:pPr>
        <w:pStyle w:val="14"/>
        <w:rPr>
          <w:rFonts w:hint="eastAsia"/>
          <w:color w:val="auto"/>
          <w:highlight w:val="none"/>
          <w:lang w:val="en-US" w:eastAsia="zh-CN"/>
        </w:rPr>
      </w:pPr>
    </w:p>
    <w:p w14:paraId="56D72867">
      <w:pPr>
        <w:pStyle w:val="14"/>
        <w:rPr>
          <w:rFonts w:hint="eastAsia"/>
          <w:color w:val="auto"/>
          <w:highlight w:val="none"/>
          <w:lang w:val="en-US" w:eastAsia="zh-CN"/>
        </w:rPr>
      </w:pPr>
    </w:p>
    <w:p w14:paraId="7A14B59C">
      <w:pPr>
        <w:pStyle w:val="14"/>
        <w:rPr>
          <w:rFonts w:hint="eastAsia"/>
          <w:color w:val="auto"/>
          <w:highlight w:val="none"/>
          <w:lang w:val="en-US" w:eastAsia="zh-CN"/>
        </w:rPr>
      </w:pPr>
    </w:p>
    <w:p w14:paraId="75C65278">
      <w:pPr>
        <w:pStyle w:val="14"/>
        <w:rPr>
          <w:rFonts w:hint="eastAsia"/>
          <w:color w:val="auto"/>
          <w:highlight w:val="none"/>
          <w:lang w:val="en-US" w:eastAsia="zh-CN"/>
        </w:rPr>
      </w:pPr>
    </w:p>
    <w:p w14:paraId="54B057F7">
      <w:pPr>
        <w:pStyle w:val="14"/>
        <w:rPr>
          <w:rFonts w:hint="eastAsia"/>
          <w:color w:val="auto"/>
          <w:highlight w:val="none"/>
          <w:lang w:val="en-US" w:eastAsia="zh-CN"/>
        </w:rPr>
      </w:pPr>
    </w:p>
    <w:p w14:paraId="67E50347">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73" w:name="_Toc13372"/>
      <w:bookmarkStart w:id="374" w:name="_Toc18251"/>
      <w:bookmarkStart w:id="375" w:name="_Toc8516"/>
      <w:r>
        <w:rPr>
          <w:rFonts w:hint="eastAsia" w:ascii="仿宋" w:hAnsi="仿宋" w:eastAsia="仿宋" w:cs="仿宋"/>
          <w:b/>
          <w:bCs w:val="0"/>
          <w:color w:val="auto"/>
          <w:sz w:val="40"/>
          <w:szCs w:val="40"/>
          <w:highlight w:val="none"/>
          <w:shd w:val="clear" w:color="auto" w:fill="auto"/>
          <w:lang w:val="en-US" w:eastAsia="zh-CN"/>
        </w:rPr>
        <w:t>附件一</w:t>
      </w:r>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rPr>
          <w:rFonts w:hint="eastAsia" w:ascii="宋体" w:hAnsi="宋体" w:cs="宋体"/>
          <w:b/>
          <w:bCs/>
          <w:color w:val="auto"/>
          <w:sz w:val="44"/>
          <w:szCs w:val="44"/>
          <w:highlight w:val="none"/>
          <w:lang w:val="en-US" w:eastAsia="zh-CN"/>
        </w:rPr>
      </w:pPr>
    </w:p>
    <w:p w14:paraId="25B17A04">
      <w:pPr>
        <w:pStyle w:val="14"/>
        <w:rPr>
          <w:rFonts w:hint="eastAsia" w:ascii="宋体" w:hAnsi="宋体" w:cs="宋体"/>
          <w:b/>
          <w:bCs/>
          <w:color w:val="auto"/>
          <w:sz w:val="44"/>
          <w:szCs w:val="44"/>
          <w:highlight w:val="none"/>
          <w:lang w:val="en-US" w:eastAsia="zh-CN"/>
        </w:rPr>
      </w:pPr>
    </w:p>
    <w:p w14:paraId="71DBBDFC">
      <w:pPr>
        <w:pStyle w:val="14"/>
        <w:wordWrap/>
        <w:rPr>
          <w:rFonts w:hint="eastAsia"/>
          <w:color w:val="auto"/>
          <w:highlight w:val="none"/>
          <w:lang w:val="en-US" w:eastAsia="zh-CN"/>
        </w:rPr>
      </w:pPr>
    </w:p>
    <w:p w14:paraId="6C953980">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fill="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color w:val="auto"/>
          <w:sz w:val="40"/>
          <w:szCs w:val="36"/>
          <w:highlight w:val="none"/>
          <w:lang w:val="en-US" w:eastAsia="zh-CN"/>
        </w:rPr>
        <w:drawing>
          <wp:inline distT="0" distB="0" distL="114300" distR="114300">
            <wp:extent cx="3829050" cy="2901950"/>
            <wp:effectExtent l="0" t="0" r="0" b="12700"/>
            <wp:docPr id="9" name="图片 9" descr="174503481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45034812317"/>
                    <pic:cNvPicPr>
                      <a:picLocks noChangeAspect="1"/>
                    </pic:cNvPicPr>
                  </pic:nvPicPr>
                  <pic:blipFill>
                    <a:blip r:embed="rId9"/>
                    <a:stretch>
                      <a:fillRect/>
                    </a:stretch>
                  </pic:blipFill>
                  <pic:spPr>
                    <a:xfrm>
                      <a:off x="0" y="0"/>
                      <a:ext cx="3829050" cy="2901950"/>
                    </a:xfrm>
                    <a:prstGeom prst="rect">
                      <a:avLst/>
                    </a:prstGeom>
                  </pic:spPr>
                </pic:pic>
              </a:graphicData>
            </a:graphic>
          </wp:inline>
        </w:drawing>
      </w:r>
    </w:p>
    <w:p w14:paraId="13B5555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801DC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EDBD2A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9202D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pacing w:before="241" w:line="360" w:lineRule="auto"/>
        <w:ind w:left="0"/>
        <w:jc w:val="center"/>
        <w:rPr>
          <w:rFonts w:hint="eastAsia" w:ascii="仿宋" w:hAnsi="仿宋" w:eastAsia="仿宋" w:cs="仿宋"/>
          <w:b/>
          <w:bCs/>
          <w:color w:val="auto"/>
          <w:spacing w:val="-4"/>
          <w:position w:val="21"/>
          <w:sz w:val="8"/>
          <w:szCs w:val="8"/>
          <w:highlight w:val="none"/>
        </w:rPr>
      </w:pPr>
      <w:bookmarkStart w:id="376" w:name="_Toc23674"/>
      <w:bookmarkStart w:id="377" w:name="_Toc98"/>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BF67F0A">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E159B23">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ind w:firstLine="5040" w:firstLineChars="2100"/>
        <w:rPr>
          <w:rFonts w:hint="eastAsia" w:ascii="仿宋" w:hAnsi="仿宋" w:eastAsia="仿宋" w:cs="仿宋"/>
          <w:color w:val="auto"/>
          <w:sz w:val="24"/>
          <w:szCs w:val="24"/>
          <w:highlight w:val="none"/>
        </w:rPr>
      </w:pPr>
    </w:p>
    <w:p w14:paraId="6EBBADC9">
      <w:pP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bookmarkEnd w:id="376"/>
    <w:bookmarkEnd w:id="377"/>
    <w:p w14:paraId="70E445ED">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60EA5F2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378"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378"/>
    </w:p>
    <w:p w14:paraId="1DDA1D73">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2BFDD2DA">
      <w:pPr>
        <w:keepNext w:val="0"/>
        <w:keepLines w:val="0"/>
        <w:pageBreakBefore w:val="0"/>
        <w:shd w:val="clear" w:color="auto" w:fill="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rPr>
          <w:rFonts w:hint="eastAsia" w:ascii="仿宋" w:hAnsi="仿宋" w:eastAsia="仿宋" w:cs="仿宋"/>
          <w:b/>
          <w:bCs/>
          <w:color w:val="auto"/>
          <w:sz w:val="36"/>
          <w:szCs w:val="36"/>
          <w:highlight w:val="none"/>
          <w:lang w:val="en-US" w:eastAsia="zh-CN"/>
        </w:rPr>
      </w:pPr>
    </w:p>
    <w:p w14:paraId="2FBF124D">
      <w:pPr>
        <w:pStyle w:val="14"/>
        <w:rPr>
          <w:rFonts w:hint="eastAsia" w:ascii="仿宋" w:hAnsi="仿宋" w:eastAsia="仿宋" w:cs="仿宋"/>
          <w:b/>
          <w:bCs/>
          <w:color w:val="auto"/>
          <w:sz w:val="36"/>
          <w:szCs w:val="36"/>
          <w:highlight w:val="none"/>
          <w:lang w:val="en-US" w:eastAsia="zh-CN"/>
        </w:rPr>
      </w:pPr>
    </w:p>
    <w:p w14:paraId="6A189501">
      <w:pPr>
        <w:keepNext w:val="0"/>
        <w:keepLines w:val="0"/>
        <w:pageBreakBefore w:val="0"/>
        <w:shd w:val="clear" w:color="auto" w:fill="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9C8630E">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379" w:name="_Toc8672"/>
      <w:r>
        <w:rPr>
          <w:rFonts w:hint="eastAsia" w:ascii="仿宋" w:hAnsi="仿宋" w:eastAsia="仿宋" w:cs="仿宋"/>
          <w:b/>
          <w:bCs/>
          <w:color w:val="auto"/>
          <w:sz w:val="36"/>
          <w:szCs w:val="36"/>
          <w:highlight w:val="none"/>
          <w:lang w:val="en-US" w:eastAsia="zh-CN"/>
        </w:rPr>
        <w:t>附件</w:t>
      </w:r>
      <w:bookmarkEnd w:id="379"/>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380" w:name="_Toc6755"/>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380"/>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pacing w:line="440" w:lineRule="atLeast"/>
              <w:jc w:val="center"/>
              <w:rPr>
                <w:rFonts w:hint="eastAsia" w:ascii="仿宋" w:hAnsi="仿宋" w:eastAsia="仿宋" w:cs="仿宋"/>
                <w:color w:val="auto"/>
                <w:sz w:val="24"/>
                <w:highlight w:val="none"/>
                <w:lang w:val="en-US" w:eastAsia="zh-CN"/>
              </w:rPr>
            </w:pPr>
          </w:p>
          <w:p w14:paraId="7D70CCCD">
            <w:pP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pacing w:line="440" w:lineRule="atLeast"/>
              <w:jc w:val="center"/>
              <w:rPr>
                <w:rFonts w:hint="eastAsia" w:ascii="仿宋" w:hAnsi="仿宋" w:eastAsia="仿宋" w:cs="仿宋"/>
                <w:color w:val="auto"/>
                <w:sz w:val="24"/>
                <w:highlight w:val="none"/>
              </w:rPr>
            </w:pPr>
          </w:p>
        </w:tc>
      </w:tr>
    </w:tbl>
    <w:p w14:paraId="09FEA44A">
      <w:pPr>
        <w:pStyle w:val="14"/>
        <w:wordWrap/>
        <w:rPr>
          <w:rFonts w:hint="eastAsia"/>
          <w:color w:val="auto"/>
          <w:highlight w:val="none"/>
          <w:lang w:val="en-US" w:eastAsia="zh-CN"/>
        </w:rPr>
      </w:pPr>
    </w:p>
    <w:p w14:paraId="334AD438">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72"/>
      <w:bookmarkEnd w:id="373"/>
      <w:bookmarkEnd w:id="374"/>
      <w:bookmarkEnd w:id="375"/>
      <w:r>
        <w:rPr>
          <w:rFonts w:hint="eastAsia" w:ascii="仿宋" w:hAnsi="仿宋" w:eastAsia="仿宋" w:cs="仿宋"/>
          <w:b/>
          <w:bCs/>
          <w:color w:val="auto"/>
          <w:sz w:val="36"/>
          <w:szCs w:val="36"/>
          <w:highlight w:val="none"/>
          <w:lang w:val="en-US" w:eastAsia="zh-CN"/>
        </w:rPr>
        <w:t>六</w:t>
      </w:r>
    </w:p>
    <w:p w14:paraId="009057E1">
      <w:pP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rPr>
          <w:rFonts w:hint="default"/>
          <w:color w:val="auto"/>
          <w:highlight w:val="none"/>
          <w:lang w:val="en-US" w:eastAsia="zh-CN"/>
        </w:rPr>
      </w:pPr>
    </w:p>
    <w:p w14:paraId="6403B76E">
      <w:pPr>
        <w:pStyle w:val="14"/>
        <w:rPr>
          <w:rFonts w:hint="default"/>
          <w:color w:val="auto"/>
          <w:highlight w:val="none"/>
          <w:lang w:val="en-US" w:eastAsia="zh-CN"/>
        </w:rPr>
      </w:pPr>
    </w:p>
    <w:p w14:paraId="578E8C91">
      <w:pPr>
        <w:pStyle w:val="14"/>
        <w:rPr>
          <w:rFonts w:hint="default"/>
          <w:color w:val="auto"/>
          <w:highlight w:val="none"/>
          <w:lang w:val="en-US" w:eastAsia="zh-CN"/>
        </w:rPr>
      </w:pPr>
    </w:p>
    <w:p w14:paraId="47337B2B">
      <w:pPr>
        <w:pStyle w:val="14"/>
        <w:rPr>
          <w:rFonts w:hint="default"/>
          <w:color w:val="auto"/>
          <w:highlight w:val="none"/>
          <w:lang w:val="en-US" w:eastAsia="zh-CN"/>
        </w:rPr>
      </w:pPr>
    </w:p>
    <w:p w14:paraId="72CA8FBF">
      <w:pPr>
        <w:pStyle w:val="14"/>
        <w:rPr>
          <w:rFonts w:hint="default"/>
          <w:color w:val="auto"/>
          <w:highlight w:val="none"/>
          <w:lang w:val="en-US" w:eastAsia="zh-CN"/>
        </w:rPr>
      </w:pPr>
    </w:p>
    <w:p w14:paraId="58BFB02C">
      <w:pPr>
        <w:pStyle w:val="14"/>
        <w:rPr>
          <w:rFonts w:hint="default"/>
          <w:color w:val="auto"/>
          <w:highlight w:val="none"/>
          <w:lang w:val="en-US" w:eastAsia="zh-CN"/>
        </w:rPr>
      </w:pPr>
    </w:p>
    <w:p w14:paraId="0E9C735F">
      <w:pPr>
        <w:pStyle w:val="14"/>
        <w:rPr>
          <w:rFonts w:hint="default"/>
          <w:color w:val="auto"/>
          <w:highlight w:val="none"/>
          <w:lang w:val="en-US" w:eastAsia="zh-CN"/>
        </w:rPr>
      </w:pPr>
    </w:p>
    <w:p w14:paraId="3DDAF6C0">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rPr>
          <w:rFonts w:hint="default"/>
          <w:color w:val="auto"/>
          <w:highlight w:val="none"/>
          <w:lang w:val="en-US" w:eastAsia="zh-CN"/>
        </w:rPr>
      </w:pPr>
    </w:p>
    <w:p w14:paraId="127C045A">
      <w:pPr>
        <w:spacing w:after="156" w:afterLines="50"/>
        <w:ind w:right="0" w:rightChars="0"/>
        <w:jc w:val="center"/>
        <w:outlineLvl w:val="0"/>
        <w:rPr>
          <w:rFonts w:hint="eastAsia" w:ascii="仿宋" w:hAnsi="仿宋" w:eastAsia="仿宋" w:cs="仿宋"/>
          <w:color w:val="auto"/>
          <w:sz w:val="40"/>
          <w:szCs w:val="40"/>
          <w:highlight w:val="none"/>
        </w:rPr>
      </w:pPr>
      <w:bookmarkStart w:id="381" w:name="_Toc9263"/>
      <w:bookmarkStart w:id="382" w:name="_Toc3881"/>
      <w:bookmarkStart w:id="383" w:name="_Toc24167"/>
      <w:bookmarkStart w:id="384" w:name="_Toc44"/>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81"/>
      <w:bookmarkEnd w:id="382"/>
      <w:bookmarkEnd w:id="383"/>
      <w:bookmarkEnd w:id="384"/>
    </w:p>
    <w:p w14:paraId="725554D9">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ind w:right="0" w:rightChars="0"/>
        <w:rPr>
          <w:rFonts w:hint="eastAsia" w:ascii="仿宋" w:hAnsi="仿宋" w:eastAsia="仿宋" w:cs="仿宋"/>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6"/>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ind w:right="0" w:rightChars="0"/>
              <w:rPr>
                <w:rFonts w:hint="eastAsia" w:ascii="仿宋" w:hAnsi="仿宋" w:eastAsia="仿宋" w:cs="仿宋"/>
                <w:color w:val="auto"/>
                <w:sz w:val="22"/>
                <w:szCs w:val="22"/>
                <w:highlight w:val="none"/>
              </w:rPr>
            </w:pPr>
          </w:p>
          <w:p w14:paraId="69984CED">
            <w:pP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ind w:right="0" w:rightChars="0"/>
              <w:rPr>
                <w:rFonts w:hint="eastAsia" w:ascii="仿宋" w:hAnsi="仿宋" w:eastAsia="仿宋" w:cs="仿宋"/>
                <w:color w:val="auto"/>
                <w:sz w:val="22"/>
                <w:szCs w:val="22"/>
                <w:highlight w:val="none"/>
              </w:rPr>
            </w:pPr>
          </w:p>
          <w:p w14:paraId="26989628">
            <w:pPr>
              <w:pStyle w:val="14"/>
              <w:tabs>
                <w:tab w:val="clear" w:pos="-116"/>
                <w:tab w:val="clear" w:pos="420"/>
              </w:tabs>
              <w:ind w:right="0" w:rightChars="0"/>
              <w:rPr>
                <w:rFonts w:hint="eastAsia" w:ascii="仿宋" w:hAnsi="仿宋" w:eastAsia="仿宋" w:cs="仿宋"/>
                <w:color w:val="auto"/>
                <w:highlight w:val="none"/>
              </w:rPr>
            </w:pPr>
          </w:p>
          <w:p w14:paraId="24332D5D">
            <w:pP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tabs>
                <w:tab w:val="clear" w:pos="-116"/>
                <w:tab w:val="clear" w:pos="420"/>
              </w:tabs>
              <w:ind w:right="0" w:rightChars="0"/>
              <w:rPr>
                <w:rFonts w:hint="eastAsia" w:ascii="仿宋" w:hAnsi="仿宋" w:eastAsia="仿宋" w:cs="仿宋"/>
                <w:color w:val="auto"/>
                <w:highlight w:val="none"/>
              </w:rPr>
            </w:pPr>
          </w:p>
          <w:p w14:paraId="55F803ED">
            <w:pP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85" w:name="_Toc29967"/>
      <w:bookmarkStart w:id="386" w:name="_Toc6573"/>
      <w:bookmarkStart w:id="387" w:name="_Toc25793"/>
      <w:bookmarkStart w:id="388" w:name="_Toc7395"/>
    </w:p>
    <w:p w14:paraId="3F0B380C">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D54791">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85"/>
      <w:bookmarkEnd w:id="386"/>
      <w:bookmarkEnd w:id="387"/>
      <w:bookmarkEnd w:id="388"/>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rPr>
          <w:trHeight w:val="13066" w:hRule="atLeast"/>
          <w:jc w:val="center"/>
        </w:trPr>
        <w:tc>
          <w:tcPr>
            <w:tcW w:w="5000" w:type="pct"/>
            <w:noWrap w:val="0"/>
            <w:vAlign w:val="center"/>
          </w:tcPr>
          <w:p w14:paraId="34992BF3">
            <w:pPr>
              <w:spacing w:before="90" w:line="226" w:lineRule="auto"/>
              <w:ind w:left="3175"/>
              <w:outlineLvl w:val="0"/>
              <w:rPr>
                <w:rFonts w:hint="eastAsia" w:ascii="仿宋" w:hAnsi="仿宋" w:eastAsia="仿宋" w:cs="仿宋"/>
                <w:color w:val="auto"/>
                <w:sz w:val="31"/>
                <w:szCs w:val="31"/>
                <w:highlight w:val="none"/>
              </w:rPr>
            </w:pPr>
            <w:bookmarkStart w:id="389" w:name="_Toc4496"/>
            <w:bookmarkStart w:id="390" w:name="_Toc11301"/>
            <w:bookmarkStart w:id="391" w:name="_Toc32078"/>
            <w:bookmarkStart w:id="392" w:name="_Toc24733"/>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89"/>
            <w:bookmarkEnd w:id="390"/>
            <w:bookmarkEnd w:id="391"/>
            <w:bookmarkEnd w:id="392"/>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rPr>
                      <w:rFonts w:hint="eastAsia" w:ascii="仿宋" w:hAnsi="仿宋" w:eastAsia="仿宋" w:cs="仿宋"/>
                      <w:color w:val="auto"/>
                      <w:sz w:val="22"/>
                      <w:szCs w:val="22"/>
                      <w:highlight w:val="none"/>
                    </w:rPr>
                  </w:pPr>
                </w:p>
              </w:tc>
              <w:tc>
                <w:tcPr>
                  <w:tcW w:w="4872" w:type="dxa"/>
                  <w:gridSpan w:val="2"/>
                  <w:noWrap w:val="0"/>
                  <w:vAlign w:val="top"/>
                </w:tcPr>
                <w:p w14:paraId="230CE772">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rPr>
                      <w:rFonts w:hint="eastAsia" w:ascii="仿宋" w:hAnsi="仿宋" w:eastAsia="仿宋" w:cs="仿宋"/>
                      <w:color w:val="auto"/>
                      <w:sz w:val="22"/>
                      <w:szCs w:val="22"/>
                      <w:highlight w:val="none"/>
                    </w:rPr>
                  </w:pPr>
                </w:p>
              </w:tc>
              <w:tc>
                <w:tcPr>
                  <w:tcW w:w="4872" w:type="dxa"/>
                  <w:gridSpan w:val="2"/>
                  <w:noWrap w:val="0"/>
                  <w:vAlign w:val="top"/>
                </w:tcPr>
                <w:p w14:paraId="6C319C0B">
                  <w:pP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rPr>
                      <w:rFonts w:hint="eastAsia" w:ascii="仿宋" w:hAnsi="仿宋" w:eastAsia="仿宋" w:cs="仿宋"/>
                      <w:color w:val="auto"/>
                      <w:sz w:val="22"/>
                      <w:szCs w:val="22"/>
                      <w:highlight w:val="none"/>
                    </w:rPr>
                  </w:pPr>
                </w:p>
              </w:tc>
              <w:tc>
                <w:tcPr>
                  <w:tcW w:w="4872" w:type="dxa"/>
                  <w:gridSpan w:val="2"/>
                  <w:noWrap w:val="0"/>
                  <w:vAlign w:val="top"/>
                </w:tcPr>
                <w:p w14:paraId="04321F97">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rPr>
                      <w:rFonts w:hint="eastAsia" w:ascii="仿宋" w:hAnsi="仿宋" w:eastAsia="仿宋" w:cs="仿宋"/>
                      <w:color w:val="auto"/>
                      <w:sz w:val="22"/>
                      <w:szCs w:val="22"/>
                      <w:highlight w:val="none"/>
                    </w:rPr>
                  </w:pPr>
                </w:p>
              </w:tc>
              <w:tc>
                <w:tcPr>
                  <w:tcW w:w="4872" w:type="dxa"/>
                  <w:gridSpan w:val="2"/>
                  <w:noWrap w:val="0"/>
                  <w:vAlign w:val="top"/>
                </w:tcPr>
                <w:p w14:paraId="06C09DE4">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ind w:right="284"/>
              <w:jc w:val="left"/>
              <w:rPr>
                <w:rFonts w:hint="eastAsia" w:ascii="仿宋" w:hAnsi="仿宋" w:eastAsia="仿宋" w:cs="仿宋"/>
                <w:b w:val="0"/>
                <w:bCs/>
                <w:color w:val="auto"/>
                <w:sz w:val="21"/>
                <w:szCs w:val="21"/>
                <w:highlight w:val="none"/>
              </w:rPr>
            </w:pPr>
          </w:p>
          <w:p w14:paraId="78480B48">
            <w:pPr>
              <w:ind w:right="284"/>
              <w:jc w:val="left"/>
              <w:rPr>
                <w:rFonts w:hint="eastAsia" w:ascii="仿宋" w:hAnsi="仿宋" w:eastAsia="仿宋" w:cs="仿宋"/>
                <w:b w:val="0"/>
                <w:bCs/>
                <w:color w:val="auto"/>
                <w:sz w:val="21"/>
                <w:szCs w:val="21"/>
                <w:highlight w:val="none"/>
              </w:rPr>
            </w:pPr>
          </w:p>
          <w:p w14:paraId="2D786826">
            <w:pPr>
              <w:ind w:right="284"/>
              <w:jc w:val="left"/>
              <w:rPr>
                <w:rFonts w:hint="eastAsia" w:ascii="仿宋" w:hAnsi="仿宋" w:eastAsia="仿宋" w:cs="仿宋"/>
                <w:b w:val="0"/>
                <w:bCs/>
                <w:color w:val="auto"/>
                <w:sz w:val="21"/>
                <w:szCs w:val="21"/>
                <w:highlight w:val="none"/>
              </w:rPr>
            </w:pPr>
          </w:p>
          <w:p w14:paraId="1A0B31DF">
            <w:pPr>
              <w:ind w:right="284"/>
              <w:jc w:val="left"/>
              <w:rPr>
                <w:rFonts w:hint="eastAsia" w:ascii="仿宋" w:hAnsi="仿宋" w:eastAsia="仿宋" w:cs="仿宋"/>
                <w:b w:val="0"/>
                <w:bCs/>
                <w:color w:val="auto"/>
                <w:sz w:val="21"/>
                <w:szCs w:val="21"/>
                <w:highlight w:val="none"/>
              </w:rPr>
            </w:pPr>
          </w:p>
          <w:p w14:paraId="22063F42">
            <w:pPr>
              <w:ind w:right="284"/>
              <w:jc w:val="left"/>
              <w:rPr>
                <w:rFonts w:hint="eastAsia" w:ascii="仿宋" w:hAnsi="仿宋" w:eastAsia="仿宋" w:cs="仿宋"/>
                <w:b w:val="0"/>
                <w:bCs/>
                <w:color w:val="auto"/>
                <w:sz w:val="21"/>
                <w:szCs w:val="21"/>
                <w:highlight w:val="none"/>
              </w:rPr>
            </w:pPr>
          </w:p>
          <w:p w14:paraId="42229F45">
            <w:pPr>
              <w:ind w:right="284"/>
              <w:jc w:val="left"/>
              <w:rPr>
                <w:rFonts w:hint="eastAsia" w:ascii="仿宋" w:hAnsi="仿宋" w:eastAsia="仿宋" w:cs="仿宋"/>
                <w:b w:val="0"/>
                <w:bCs/>
                <w:color w:val="auto"/>
                <w:sz w:val="21"/>
                <w:szCs w:val="21"/>
                <w:highlight w:val="none"/>
              </w:rPr>
            </w:pPr>
          </w:p>
          <w:p w14:paraId="6EACE319">
            <w:pPr>
              <w:ind w:right="284"/>
              <w:jc w:val="left"/>
              <w:rPr>
                <w:rFonts w:hint="eastAsia" w:ascii="仿宋" w:hAnsi="仿宋" w:eastAsia="仿宋" w:cs="仿宋"/>
                <w:b w:val="0"/>
                <w:bCs/>
                <w:color w:val="auto"/>
                <w:sz w:val="21"/>
                <w:szCs w:val="21"/>
                <w:highlight w:val="none"/>
              </w:rPr>
            </w:pPr>
          </w:p>
          <w:p w14:paraId="15A27A54">
            <w:pPr>
              <w:ind w:right="284"/>
              <w:jc w:val="left"/>
              <w:rPr>
                <w:rFonts w:hint="eastAsia" w:ascii="仿宋" w:hAnsi="仿宋" w:eastAsia="仿宋" w:cs="仿宋"/>
                <w:b w:val="0"/>
                <w:bCs/>
                <w:color w:val="auto"/>
                <w:sz w:val="21"/>
                <w:szCs w:val="21"/>
                <w:highlight w:val="none"/>
              </w:rPr>
            </w:pPr>
          </w:p>
          <w:p w14:paraId="3EE9B32D">
            <w:pPr>
              <w:ind w:right="284"/>
              <w:jc w:val="left"/>
              <w:rPr>
                <w:rFonts w:hint="eastAsia" w:ascii="仿宋" w:hAnsi="仿宋" w:eastAsia="仿宋" w:cs="仿宋"/>
                <w:b w:val="0"/>
                <w:bCs/>
                <w:color w:val="auto"/>
                <w:sz w:val="21"/>
                <w:szCs w:val="21"/>
                <w:highlight w:val="none"/>
              </w:rPr>
            </w:pPr>
          </w:p>
          <w:p w14:paraId="408FA85A">
            <w:pPr>
              <w:ind w:right="284"/>
              <w:jc w:val="left"/>
              <w:rPr>
                <w:rFonts w:hint="eastAsia" w:ascii="仿宋" w:hAnsi="仿宋" w:eastAsia="仿宋" w:cs="仿宋"/>
                <w:b w:val="0"/>
                <w:bCs/>
                <w:color w:val="auto"/>
                <w:sz w:val="21"/>
                <w:szCs w:val="21"/>
                <w:highlight w:val="none"/>
              </w:rPr>
            </w:pPr>
          </w:p>
          <w:p w14:paraId="3DC7243D">
            <w:pPr>
              <w:ind w:right="284"/>
              <w:jc w:val="left"/>
              <w:rPr>
                <w:rFonts w:hint="eastAsia" w:ascii="仿宋" w:hAnsi="仿宋" w:eastAsia="仿宋" w:cs="仿宋"/>
                <w:b w:val="0"/>
                <w:bCs/>
                <w:color w:val="auto"/>
                <w:sz w:val="21"/>
                <w:szCs w:val="21"/>
                <w:highlight w:val="none"/>
              </w:rPr>
            </w:pPr>
          </w:p>
          <w:p w14:paraId="0D0B97BC">
            <w:pPr>
              <w:ind w:right="284"/>
              <w:jc w:val="left"/>
              <w:rPr>
                <w:rFonts w:hint="eastAsia" w:ascii="仿宋" w:hAnsi="仿宋" w:eastAsia="仿宋" w:cs="仿宋"/>
                <w:b w:val="0"/>
                <w:bCs/>
                <w:color w:val="auto"/>
                <w:sz w:val="21"/>
                <w:szCs w:val="21"/>
                <w:highlight w:val="none"/>
              </w:rPr>
            </w:pPr>
          </w:p>
          <w:p w14:paraId="25503621">
            <w:pPr>
              <w:ind w:right="284"/>
              <w:jc w:val="left"/>
              <w:rPr>
                <w:rFonts w:hint="eastAsia" w:ascii="仿宋" w:hAnsi="仿宋" w:eastAsia="仿宋" w:cs="仿宋"/>
                <w:b w:val="0"/>
                <w:bCs/>
                <w:color w:val="auto"/>
                <w:sz w:val="21"/>
                <w:szCs w:val="21"/>
                <w:highlight w:val="none"/>
              </w:rPr>
            </w:pPr>
          </w:p>
          <w:p w14:paraId="35013C75">
            <w:pPr>
              <w:ind w:right="284"/>
              <w:jc w:val="left"/>
              <w:rPr>
                <w:rFonts w:hint="eastAsia" w:ascii="仿宋" w:hAnsi="仿宋" w:eastAsia="仿宋" w:cs="仿宋"/>
                <w:b w:val="0"/>
                <w:bCs/>
                <w:color w:val="auto"/>
                <w:sz w:val="21"/>
                <w:szCs w:val="21"/>
                <w:highlight w:val="none"/>
              </w:rPr>
            </w:pPr>
          </w:p>
          <w:p w14:paraId="6B7DB48A">
            <w:pPr>
              <w:ind w:right="284"/>
              <w:jc w:val="left"/>
              <w:rPr>
                <w:rFonts w:hint="eastAsia" w:ascii="仿宋" w:hAnsi="仿宋" w:eastAsia="仿宋" w:cs="仿宋"/>
                <w:b w:val="0"/>
                <w:bCs/>
                <w:color w:val="auto"/>
                <w:sz w:val="21"/>
                <w:szCs w:val="21"/>
                <w:highlight w:val="none"/>
              </w:rPr>
            </w:pPr>
          </w:p>
          <w:p w14:paraId="2989EAEF">
            <w:pPr>
              <w:ind w:right="284"/>
              <w:jc w:val="left"/>
              <w:rPr>
                <w:rFonts w:hint="eastAsia" w:ascii="仿宋" w:hAnsi="仿宋" w:eastAsia="仿宋" w:cs="仿宋"/>
                <w:b w:val="0"/>
                <w:bCs/>
                <w:color w:val="auto"/>
                <w:sz w:val="21"/>
                <w:szCs w:val="21"/>
                <w:highlight w:val="none"/>
              </w:rPr>
            </w:pPr>
          </w:p>
          <w:p w14:paraId="1D8E8B53">
            <w:pPr>
              <w:ind w:right="284"/>
              <w:jc w:val="left"/>
              <w:rPr>
                <w:rFonts w:hint="eastAsia" w:ascii="仿宋" w:hAnsi="仿宋" w:eastAsia="仿宋" w:cs="仿宋"/>
                <w:b w:val="0"/>
                <w:bCs/>
                <w:color w:val="auto"/>
                <w:sz w:val="21"/>
                <w:szCs w:val="21"/>
                <w:highlight w:val="none"/>
              </w:rPr>
            </w:pPr>
          </w:p>
          <w:p w14:paraId="0904A586">
            <w:pPr>
              <w:rPr>
                <w:rFonts w:hint="eastAsia" w:ascii="仿宋" w:hAnsi="仿宋" w:eastAsia="仿宋" w:cs="仿宋"/>
                <w:b w:val="0"/>
                <w:bCs/>
                <w:color w:val="auto"/>
                <w:sz w:val="21"/>
                <w:szCs w:val="21"/>
                <w:highlight w:val="none"/>
              </w:rPr>
            </w:pPr>
          </w:p>
          <w:p w14:paraId="31CE7A2B">
            <w:pP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3" w:name="_Toc31438"/>
      <w:bookmarkStart w:id="394" w:name="_Toc17624"/>
      <w:bookmarkStart w:id="395" w:name="_Toc12351"/>
      <w:bookmarkStart w:id="396" w:name="_Toc4826"/>
      <w:r>
        <w:rPr>
          <w:rFonts w:hint="eastAsia" w:ascii="仿宋" w:hAnsi="仿宋" w:eastAsia="仿宋" w:cs="仿宋"/>
          <w:b/>
          <w:bCs w:val="0"/>
          <w:color w:val="auto"/>
          <w:sz w:val="40"/>
          <w:szCs w:val="40"/>
          <w:highlight w:val="none"/>
          <w:shd w:val="clear" w:color="auto" w:fill="auto"/>
          <w:lang w:val="en-US" w:eastAsia="zh-CN"/>
        </w:rPr>
        <w:t>附件十</w:t>
      </w:r>
      <w:bookmarkEnd w:id="393"/>
      <w:bookmarkEnd w:id="394"/>
      <w:bookmarkEnd w:id="395"/>
      <w:bookmarkEnd w:id="396"/>
    </w:p>
    <w:p w14:paraId="77FF522E">
      <w:pPr>
        <w:pStyle w:val="14"/>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97" w:name="_Toc24467"/>
      <w:bookmarkStart w:id="398" w:name="_Toc25372"/>
      <w:bookmarkStart w:id="399" w:name="_Toc30613"/>
      <w:bookmarkStart w:id="400" w:name="_Toc8770"/>
      <w:r>
        <w:rPr>
          <w:rFonts w:hint="eastAsia" w:ascii="仿宋" w:hAnsi="仿宋" w:eastAsia="仿宋" w:cs="仿宋"/>
          <w:b/>
          <w:bCs w:val="0"/>
          <w:color w:val="auto"/>
          <w:sz w:val="40"/>
          <w:szCs w:val="40"/>
          <w:highlight w:val="none"/>
          <w:shd w:val="clear" w:color="auto" w:fill="auto"/>
          <w:lang w:val="en-US" w:eastAsia="zh-CN"/>
        </w:rPr>
        <w:t>附件十</w:t>
      </w:r>
      <w:bookmarkEnd w:id="397"/>
      <w:bookmarkEnd w:id="398"/>
      <w:bookmarkEnd w:id="399"/>
      <w:bookmarkEnd w:id="400"/>
      <w:r>
        <w:rPr>
          <w:rFonts w:hint="eastAsia" w:ascii="仿宋" w:hAnsi="仿宋" w:eastAsia="仿宋" w:cs="仿宋"/>
          <w:b/>
          <w:bCs w:val="0"/>
          <w:color w:val="auto"/>
          <w:sz w:val="40"/>
          <w:szCs w:val="40"/>
          <w:highlight w:val="none"/>
          <w:shd w:val="clear" w:color="auto" w:fill="auto"/>
          <w:lang w:val="en-US" w:eastAsia="zh-CN"/>
        </w:rPr>
        <w:t>一</w:t>
      </w:r>
    </w:p>
    <w:p w14:paraId="77C32AD0">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1" w:name="_Toc9549"/>
      <w:bookmarkStart w:id="402" w:name="_Toc28763"/>
      <w:bookmarkStart w:id="403" w:name="_Toc10964"/>
      <w:bookmarkStart w:id="404" w:name="_Toc25617"/>
    </w:p>
    <w:p w14:paraId="196B3CB8">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附件十</w:t>
      </w:r>
      <w:bookmarkEnd w:id="401"/>
      <w:bookmarkEnd w:id="402"/>
      <w:bookmarkEnd w:id="403"/>
      <w:bookmarkEnd w:id="404"/>
      <w:r>
        <w:rPr>
          <w:rFonts w:hint="eastAsia" w:ascii="仿宋" w:hAnsi="仿宋" w:eastAsia="仿宋" w:cs="仿宋"/>
          <w:b/>
          <w:bCs w:val="0"/>
          <w:color w:val="auto"/>
          <w:sz w:val="40"/>
          <w:szCs w:val="40"/>
          <w:highlight w:val="none"/>
          <w:shd w:val="clear" w:color="auto" w:fill="auto"/>
          <w:lang w:val="en-US" w:eastAsia="zh-CN"/>
        </w:rPr>
        <w:t>二</w:t>
      </w:r>
    </w:p>
    <w:p w14:paraId="3A52F819">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jc w:val="center"/>
        <w:rPr>
          <w:rFonts w:hint="eastAsia" w:ascii="仿宋" w:hAnsi="仿宋" w:eastAsia="仿宋" w:cs="仿宋"/>
          <w:color w:val="auto"/>
          <w:sz w:val="36"/>
          <w:szCs w:val="36"/>
          <w:highlight w:val="none"/>
        </w:rPr>
      </w:pPr>
    </w:p>
    <w:p w14:paraId="5776297E">
      <w:pPr>
        <w:jc w:val="center"/>
        <w:rPr>
          <w:rFonts w:hint="eastAsia" w:ascii="仿宋" w:hAnsi="仿宋" w:eastAsia="仿宋" w:cs="仿宋"/>
          <w:color w:val="auto"/>
          <w:sz w:val="28"/>
          <w:szCs w:val="28"/>
          <w:highlight w:val="none"/>
        </w:rPr>
      </w:pPr>
    </w:p>
    <w:p w14:paraId="3DC9B41B">
      <w:pPr>
        <w:jc w:val="center"/>
        <w:rPr>
          <w:rFonts w:hint="eastAsia" w:ascii="仿宋" w:hAnsi="仿宋" w:eastAsia="仿宋" w:cs="仿宋"/>
          <w:color w:val="auto"/>
          <w:sz w:val="28"/>
          <w:szCs w:val="28"/>
          <w:highlight w:val="none"/>
        </w:rPr>
      </w:pPr>
    </w:p>
    <w:p w14:paraId="7FF1C5BC">
      <w:pPr>
        <w:jc w:val="center"/>
        <w:rPr>
          <w:rFonts w:hint="eastAsia" w:ascii="仿宋" w:hAnsi="仿宋" w:eastAsia="仿宋" w:cs="仿宋"/>
          <w:color w:val="auto"/>
          <w:sz w:val="28"/>
          <w:szCs w:val="28"/>
          <w:highlight w:val="none"/>
        </w:rPr>
      </w:pPr>
    </w:p>
    <w:p w14:paraId="34E9751E">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05" w:name="_Toc18518"/>
      <w:bookmarkStart w:id="406" w:name="_Toc5925"/>
      <w:bookmarkStart w:id="407" w:name="_Toc26856"/>
      <w:bookmarkStart w:id="408" w:name="_Toc20382"/>
    </w:p>
    <w:p w14:paraId="2EBB30E1">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409" w:name="_Toc1310"/>
      <w:bookmarkStart w:id="410" w:name="_Toc31854"/>
      <w:bookmarkStart w:id="411" w:name="_Toc4374"/>
      <w:bookmarkStart w:id="412" w:name="_Toc12674"/>
      <w:r>
        <w:rPr>
          <w:rFonts w:hint="eastAsia" w:ascii="仿宋" w:hAnsi="仿宋" w:eastAsia="仿宋" w:cs="仿宋"/>
          <w:b/>
          <w:bCs w:val="0"/>
          <w:color w:val="auto"/>
          <w:sz w:val="40"/>
          <w:szCs w:val="40"/>
          <w:highlight w:val="none"/>
          <w:shd w:val="clear" w:color="auto" w:fill="auto"/>
          <w:lang w:val="en-US" w:eastAsia="zh-CN"/>
        </w:rPr>
        <w:t>附件</w:t>
      </w:r>
      <w:bookmarkEnd w:id="405"/>
      <w:r>
        <w:rPr>
          <w:rFonts w:hint="eastAsia" w:ascii="仿宋" w:hAnsi="仿宋" w:eastAsia="仿宋" w:cs="仿宋"/>
          <w:b/>
          <w:bCs w:val="0"/>
          <w:color w:val="auto"/>
          <w:sz w:val="40"/>
          <w:szCs w:val="40"/>
          <w:highlight w:val="none"/>
          <w:shd w:val="clear" w:color="auto" w:fill="auto"/>
          <w:lang w:val="en-US" w:eastAsia="zh-CN"/>
        </w:rPr>
        <w:t>十</w:t>
      </w:r>
      <w:bookmarkEnd w:id="406"/>
      <w:bookmarkEnd w:id="407"/>
      <w:bookmarkEnd w:id="408"/>
      <w:bookmarkEnd w:id="409"/>
      <w:bookmarkEnd w:id="410"/>
      <w:bookmarkEnd w:id="411"/>
      <w:bookmarkEnd w:id="412"/>
      <w:r>
        <w:rPr>
          <w:rFonts w:hint="eastAsia" w:ascii="仿宋" w:hAnsi="仿宋" w:eastAsia="仿宋" w:cs="仿宋"/>
          <w:b/>
          <w:bCs w:val="0"/>
          <w:color w:val="auto"/>
          <w:sz w:val="40"/>
          <w:szCs w:val="40"/>
          <w:highlight w:val="none"/>
          <w:shd w:val="clear" w:color="auto" w:fill="auto"/>
          <w:lang w:val="en-US" w:eastAsia="zh-CN"/>
        </w:rPr>
        <w:t>三</w:t>
      </w:r>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313E95D">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13" w:name="_Toc5270"/>
      <w:bookmarkStart w:id="414" w:name="_Toc16390"/>
    </w:p>
    <w:bookmarkEnd w:id="413"/>
    <w:bookmarkEnd w:id="414"/>
    <w:p w14:paraId="0B88CB2F">
      <w:pPr>
        <w:pStyle w:val="14"/>
        <w:rPr>
          <w:rFonts w:hint="default" w:ascii="仿宋" w:hAnsi="仿宋" w:eastAsia="仿宋" w:cs="仿宋"/>
          <w:b/>
          <w:bCs/>
          <w:color w:val="auto"/>
          <w:sz w:val="36"/>
          <w:szCs w:val="36"/>
          <w:highlight w:val="none"/>
          <w:lang w:val="en-US" w:eastAsia="zh-CN"/>
        </w:rPr>
      </w:pPr>
    </w:p>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0CAEF">
    <w:pPr>
      <w:pStyle w:val="8"/>
      <w:jc w:val="cente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A9AB7">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DCA9AB7">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FA38">
    <w:pPr>
      <w:pStyle w:val="8"/>
    </w:pPr>
  </w:p>
  <w:p w14:paraId="6689EE6F">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5C1AE">
    <w:pPr>
      <w:pStyle w:val="8"/>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A017FB4">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27AD74A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0ABC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566D5"/>
    <w:rsid w:val="00AE31A0"/>
    <w:rsid w:val="00B35E9C"/>
    <w:rsid w:val="00B970C4"/>
    <w:rsid w:val="00BC3A1F"/>
    <w:rsid w:val="00BF7D50"/>
    <w:rsid w:val="00C01140"/>
    <w:rsid w:val="00C14B6F"/>
    <w:rsid w:val="00C43E19"/>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813F60"/>
    <w:rsid w:val="01B5752C"/>
    <w:rsid w:val="01B6046E"/>
    <w:rsid w:val="01BF37C7"/>
    <w:rsid w:val="01C04E49"/>
    <w:rsid w:val="01D26D8C"/>
    <w:rsid w:val="01E46229"/>
    <w:rsid w:val="02170349"/>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2A2EC2"/>
    <w:rsid w:val="0332621A"/>
    <w:rsid w:val="033541AE"/>
    <w:rsid w:val="033E696D"/>
    <w:rsid w:val="03630182"/>
    <w:rsid w:val="036868D0"/>
    <w:rsid w:val="036D65A5"/>
    <w:rsid w:val="03800D34"/>
    <w:rsid w:val="03EE2CEC"/>
    <w:rsid w:val="03F07987"/>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2A61F4"/>
    <w:rsid w:val="053022E6"/>
    <w:rsid w:val="053F5954"/>
    <w:rsid w:val="054F4E62"/>
    <w:rsid w:val="05657FDC"/>
    <w:rsid w:val="056B1570"/>
    <w:rsid w:val="059B1E55"/>
    <w:rsid w:val="05A101F3"/>
    <w:rsid w:val="05AB5E10"/>
    <w:rsid w:val="05CD433B"/>
    <w:rsid w:val="05D56967"/>
    <w:rsid w:val="05E732EC"/>
    <w:rsid w:val="05FA2136"/>
    <w:rsid w:val="062A5FEE"/>
    <w:rsid w:val="064A0EA5"/>
    <w:rsid w:val="06530982"/>
    <w:rsid w:val="06706AD8"/>
    <w:rsid w:val="06976105"/>
    <w:rsid w:val="06A66D03"/>
    <w:rsid w:val="06D31393"/>
    <w:rsid w:val="06DC2F7F"/>
    <w:rsid w:val="06ED4932"/>
    <w:rsid w:val="06F832D7"/>
    <w:rsid w:val="071716FC"/>
    <w:rsid w:val="07181283"/>
    <w:rsid w:val="071B1643"/>
    <w:rsid w:val="073F4A62"/>
    <w:rsid w:val="07513FB1"/>
    <w:rsid w:val="07580BE5"/>
    <w:rsid w:val="075D56E6"/>
    <w:rsid w:val="076A3F72"/>
    <w:rsid w:val="07740BAF"/>
    <w:rsid w:val="07B436A2"/>
    <w:rsid w:val="07B9513E"/>
    <w:rsid w:val="07C02047"/>
    <w:rsid w:val="07E13D6B"/>
    <w:rsid w:val="07E31891"/>
    <w:rsid w:val="07F41CF0"/>
    <w:rsid w:val="07F61040"/>
    <w:rsid w:val="07FC5C21"/>
    <w:rsid w:val="081B54CF"/>
    <w:rsid w:val="081B70BC"/>
    <w:rsid w:val="083A6C4A"/>
    <w:rsid w:val="084731D1"/>
    <w:rsid w:val="085547A4"/>
    <w:rsid w:val="085C7B8E"/>
    <w:rsid w:val="089112ED"/>
    <w:rsid w:val="08A6123D"/>
    <w:rsid w:val="08AE465C"/>
    <w:rsid w:val="08B374B6"/>
    <w:rsid w:val="08BC34BB"/>
    <w:rsid w:val="08D04EA3"/>
    <w:rsid w:val="08D1580F"/>
    <w:rsid w:val="08F24A3C"/>
    <w:rsid w:val="08FA1588"/>
    <w:rsid w:val="08FB281E"/>
    <w:rsid w:val="090207D6"/>
    <w:rsid w:val="091A7535"/>
    <w:rsid w:val="09616F12"/>
    <w:rsid w:val="09757AB5"/>
    <w:rsid w:val="09760B9C"/>
    <w:rsid w:val="099A1CCF"/>
    <w:rsid w:val="09A56C91"/>
    <w:rsid w:val="09A82D92"/>
    <w:rsid w:val="09C46844"/>
    <w:rsid w:val="09C94AB7"/>
    <w:rsid w:val="09D71542"/>
    <w:rsid w:val="09E22A5D"/>
    <w:rsid w:val="09E87633"/>
    <w:rsid w:val="09FB1114"/>
    <w:rsid w:val="09FB55B8"/>
    <w:rsid w:val="09FB7366"/>
    <w:rsid w:val="09FF6F98"/>
    <w:rsid w:val="0A2118B5"/>
    <w:rsid w:val="0A375EC4"/>
    <w:rsid w:val="0A38348D"/>
    <w:rsid w:val="0A454A85"/>
    <w:rsid w:val="0A5922DF"/>
    <w:rsid w:val="0A60366D"/>
    <w:rsid w:val="0A7964DD"/>
    <w:rsid w:val="0A9A5DF0"/>
    <w:rsid w:val="0ACE6829"/>
    <w:rsid w:val="0AD62B48"/>
    <w:rsid w:val="0AD66408"/>
    <w:rsid w:val="0AE30F3A"/>
    <w:rsid w:val="0AFA3582"/>
    <w:rsid w:val="0B3C1D27"/>
    <w:rsid w:val="0B3D2BA6"/>
    <w:rsid w:val="0B70650A"/>
    <w:rsid w:val="0B7A69B0"/>
    <w:rsid w:val="0BB46A91"/>
    <w:rsid w:val="0BB93035"/>
    <w:rsid w:val="0BD92D6E"/>
    <w:rsid w:val="0BD95485"/>
    <w:rsid w:val="0BDB7D38"/>
    <w:rsid w:val="0BE62E5F"/>
    <w:rsid w:val="0C125258"/>
    <w:rsid w:val="0C167DEB"/>
    <w:rsid w:val="0C177688"/>
    <w:rsid w:val="0C1D2B00"/>
    <w:rsid w:val="0C4D2770"/>
    <w:rsid w:val="0C727688"/>
    <w:rsid w:val="0C8526FD"/>
    <w:rsid w:val="0C8E44C1"/>
    <w:rsid w:val="0C9B273A"/>
    <w:rsid w:val="0CBC5C8A"/>
    <w:rsid w:val="0CC04DC6"/>
    <w:rsid w:val="0CC9374C"/>
    <w:rsid w:val="0CCA5228"/>
    <w:rsid w:val="0CD137D8"/>
    <w:rsid w:val="0CE1709F"/>
    <w:rsid w:val="0D006A41"/>
    <w:rsid w:val="0D0522AA"/>
    <w:rsid w:val="0D077DD0"/>
    <w:rsid w:val="0D186481"/>
    <w:rsid w:val="0D4536A9"/>
    <w:rsid w:val="0D6042F4"/>
    <w:rsid w:val="0D723345"/>
    <w:rsid w:val="0D8B6C53"/>
    <w:rsid w:val="0D9553DC"/>
    <w:rsid w:val="0D964F5E"/>
    <w:rsid w:val="0D9C10B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A63619"/>
    <w:rsid w:val="0EC341CA"/>
    <w:rsid w:val="0ED85346"/>
    <w:rsid w:val="0EDD34DE"/>
    <w:rsid w:val="0EFD148A"/>
    <w:rsid w:val="0F0A3692"/>
    <w:rsid w:val="0F0E18EA"/>
    <w:rsid w:val="0F3050A6"/>
    <w:rsid w:val="0F465E76"/>
    <w:rsid w:val="0F56503F"/>
    <w:rsid w:val="0F706264"/>
    <w:rsid w:val="0F9A1418"/>
    <w:rsid w:val="0FA17752"/>
    <w:rsid w:val="0FB22358"/>
    <w:rsid w:val="0FDC5544"/>
    <w:rsid w:val="10352EA6"/>
    <w:rsid w:val="105C0433"/>
    <w:rsid w:val="108674CF"/>
    <w:rsid w:val="10922D88"/>
    <w:rsid w:val="109E0A4B"/>
    <w:rsid w:val="10A145F0"/>
    <w:rsid w:val="10A14840"/>
    <w:rsid w:val="10A23752"/>
    <w:rsid w:val="10D80992"/>
    <w:rsid w:val="11126856"/>
    <w:rsid w:val="11243FFF"/>
    <w:rsid w:val="113718BF"/>
    <w:rsid w:val="11407F98"/>
    <w:rsid w:val="114F590B"/>
    <w:rsid w:val="11557E4D"/>
    <w:rsid w:val="11565855"/>
    <w:rsid w:val="115F413D"/>
    <w:rsid w:val="11621C5E"/>
    <w:rsid w:val="11665A0D"/>
    <w:rsid w:val="1188642D"/>
    <w:rsid w:val="11902C28"/>
    <w:rsid w:val="119B455F"/>
    <w:rsid w:val="119D1F55"/>
    <w:rsid w:val="11D01CF9"/>
    <w:rsid w:val="11EB7CC0"/>
    <w:rsid w:val="11FC60EA"/>
    <w:rsid w:val="12077CFA"/>
    <w:rsid w:val="12111206"/>
    <w:rsid w:val="121B43BF"/>
    <w:rsid w:val="12271A49"/>
    <w:rsid w:val="122907E8"/>
    <w:rsid w:val="124205D1"/>
    <w:rsid w:val="1254057F"/>
    <w:rsid w:val="12613ED3"/>
    <w:rsid w:val="12635AA8"/>
    <w:rsid w:val="12696E37"/>
    <w:rsid w:val="126E62DF"/>
    <w:rsid w:val="127952CC"/>
    <w:rsid w:val="12947933"/>
    <w:rsid w:val="12A30FD7"/>
    <w:rsid w:val="12A64587"/>
    <w:rsid w:val="12AA36D7"/>
    <w:rsid w:val="12B83BBB"/>
    <w:rsid w:val="12CD386A"/>
    <w:rsid w:val="12F901BB"/>
    <w:rsid w:val="130D422A"/>
    <w:rsid w:val="130F3E82"/>
    <w:rsid w:val="13165211"/>
    <w:rsid w:val="132E143F"/>
    <w:rsid w:val="13471AD0"/>
    <w:rsid w:val="134753CA"/>
    <w:rsid w:val="134C478E"/>
    <w:rsid w:val="135B5878"/>
    <w:rsid w:val="13781A27"/>
    <w:rsid w:val="13826402"/>
    <w:rsid w:val="13845E89"/>
    <w:rsid w:val="13877EBC"/>
    <w:rsid w:val="13985C26"/>
    <w:rsid w:val="13B14F39"/>
    <w:rsid w:val="13E97B32"/>
    <w:rsid w:val="14092680"/>
    <w:rsid w:val="14226B92"/>
    <w:rsid w:val="142D412F"/>
    <w:rsid w:val="14301B15"/>
    <w:rsid w:val="14530591"/>
    <w:rsid w:val="14564D5E"/>
    <w:rsid w:val="14661880"/>
    <w:rsid w:val="14726477"/>
    <w:rsid w:val="14870CC8"/>
    <w:rsid w:val="1492781C"/>
    <w:rsid w:val="1499025C"/>
    <w:rsid w:val="149B6797"/>
    <w:rsid w:val="14B678F8"/>
    <w:rsid w:val="14C41530"/>
    <w:rsid w:val="14C9686C"/>
    <w:rsid w:val="14E07884"/>
    <w:rsid w:val="14F15522"/>
    <w:rsid w:val="150337D5"/>
    <w:rsid w:val="1504174F"/>
    <w:rsid w:val="15084B3F"/>
    <w:rsid w:val="152135DE"/>
    <w:rsid w:val="15243815"/>
    <w:rsid w:val="152F6751"/>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2233E"/>
    <w:rsid w:val="16290B92"/>
    <w:rsid w:val="16297009"/>
    <w:rsid w:val="16411B20"/>
    <w:rsid w:val="165C2217"/>
    <w:rsid w:val="167069E6"/>
    <w:rsid w:val="167D7D71"/>
    <w:rsid w:val="169F1079"/>
    <w:rsid w:val="16A3500D"/>
    <w:rsid w:val="16A362C6"/>
    <w:rsid w:val="16B36AE1"/>
    <w:rsid w:val="16C15493"/>
    <w:rsid w:val="16DC051F"/>
    <w:rsid w:val="16E42F30"/>
    <w:rsid w:val="16ED4897"/>
    <w:rsid w:val="16FE0496"/>
    <w:rsid w:val="17067FC0"/>
    <w:rsid w:val="172A0C99"/>
    <w:rsid w:val="174C7453"/>
    <w:rsid w:val="174D0264"/>
    <w:rsid w:val="17822E75"/>
    <w:rsid w:val="179A1DCD"/>
    <w:rsid w:val="17A15E0B"/>
    <w:rsid w:val="17A31394"/>
    <w:rsid w:val="17AF1790"/>
    <w:rsid w:val="17B402E8"/>
    <w:rsid w:val="17C400EA"/>
    <w:rsid w:val="17DE3E23"/>
    <w:rsid w:val="17E53404"/>
    <w:rsid w:val="17EC5092"/>
    <w:rsid w:val="1811244B"/>
    <w:rsid w:val="18187335"/>
    <w:rsid w:val="181D494B"/>
    <w:rsid w:val="183C2E3A"/>
    <w:rsid w:val="183D3240"/>
    <w:rsid w:val="18416A30"/>
    <w:rsid w:val="185B7321"/>
    <w:rsid w:val="186E09C7"/>
    <w:rsid w:val="18886814"/>
    <w:rsid w:val="18937310"/>
    <w:rsid w:val="189664AC"/>
    <w:rsid w:val="189E4F3F"/>
    <w:rsid w:val="18C0248B"/>
    <w:rsid w:val="18EA2938"/>
    <w:rsid w:val="18F224FA"/>
    <w:rsid w:val="18FC77C6"/>
    <w:rsid w:val="190D49C0"/>
    <w:rsid w:val="191D4341"/>
    <w:rsid w:val="19206CA1"/>
    <w:rsid w:val="19265A82"/>
    <w:rsid w:val="1938288F"/>
    <w:rsid w:val="193C37AA"/>
    <w:rsid w:val="193D3C3C"/>
    <w:rsid w:val="193E360F"/>
    <w:rsid w:val="19576FA0"/>
    <w:rsid w:val="19597C05"/>
    <w:rsid w:val="195C7136"/>
    <w:rsid w:val="197762DD"/>
    <w:rsid w:val="19786A87"/>
    <w:rsid w:val="19877546"/>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903AFB"/>
    <w:rsid w:val="1AA475A6"/>
    <w:rsid w:val="1AC11F06"/>
    <w:rsid w:val="1ACC0721"/>
    <w:rsid w:val="1AE91E6A"/>
    <w:rsid w:val="1B022F94"/>
    <w:rsid w:val="1B16140A"/>
    <w:rsid w:val="1B2B4344"/>
    <w:rsid w:val="1B310517"/>
    <w:rsid w:val="1B3C1FFD"/>
    <w:rsid w:val="1B6A60FA"/>
    <w:rsid w:val="1B9118D8"/>
    <w:rsid w:val="1BA16335"/>
    <w:rsid w:val="1BA57132"/>
    <w:rsid w:val="1BA6218E"/>
    <w:rsid w:val="1BAD5FE6"/>
    <w:rsid w:val="1BB13D28"/>
    <w:rsid w:val="1BC13DCC"/>
    <w:rsid w:val="1BDA4C79"/>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6603E"/>
    <w:rsid w:val="1CAF0157"/>
    <w:rsid w:val="1CB11B06"/>
    <w:rsid w:val="1CBF2781"/>
    <w:rsid w:val="1CC306E9"/>
    <w:rsid w:val="1CD70D11"/>
    <w:rsid w:val="1CDD0EA4"/>
    <w:rsid w:val="1CDF09E4"/>
    <w:rsid w:val="1CF42E6E"/>
    <w:rsid w:val="1CF70848"/>
    <w:rsid w:val="1D085BCA"/>
    <w:rsid w:val="1D0D1432"/>
    <w:rsid w:val="1D104A7F"/>
    <w:rsid w:val="1D1074B6"/>
    <w:rsid w:val="1D444728"/>
    <w:rsid w:val="1D52005B"/>
    <w:rsid w:val="1D752B34"/>
    <w:rsid w:val="1D7711E5"/>
    <w:rsid w:val="1D7E60AC"/>
    <w:rsid w:val="1D8D5398"/>
    <w:rsid w:val="1DC36C05"/>
    <w:rsid w:val="1DD2442A"/>
    <w:rsid w:val="1DD26A50"/>
    <w:rsid w:val="1DDC6DCF"/>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677A6"/>
    <w:rsid w:val="20994D8B"/>
    <w:rsid w:val="20B35E4D"/>
    <w:rsid w:val="20BB73F7"/>
    <w:rsid w:val="20CF6A27"/>
    <w:rsid w:val="20D364EF"/>
    <w:rsid w:val="20DB1848"/>
    <w:rsid w:val="20DE6C42"/>
    <w:rsid w:val="20E95E3C"/>
    <w:rsid w:val="20EC75B1"/>
    <w:rsid w:val="20EF2BFD"/>
    <w:rsid w:val="210539C6"/>
    <w:rsid w:val="21260D15"/>
    <w:rsid w:val="212C2C54"/>
    <w:rsid w:val="212C428E"/>
    <w:rsid w:val="212E52ED"/>
    <w:rsid w:val="214327CB"/>
    <w:rsid w:val="2144119B"/>
    <w:rsid w:val="21447C5E"/>
    <w:rsid w:val="215727DE"/>
    <w:rsid w:val="215D109F"/>
    <w:rsid w:val="215E090F"/>
    <w:rsid w:val="21613AFB"/>
    <w:rsid w:val="2164771A"/>
    <w:rsid w:val="216A13BE"/>
    <w:rsid w:val="21735A99"/>
    <w:rsid w:val="2177331E"/>
    <w:rsid w:val="21837F15"/>
    <w:rsid w:val="219A78C7"/>
    <w:rsid w:val="21A8557E"/>
    <w:rsid w:val="21BE2E1C"/>
    <w:rsid w:val="21CE3BBD"/>
    <w:rsid w:val="21D02A2F"/>
    <w:rsid w:val="21E55344"/>
    <w:rsid w:val="21E9116B"/>
    <w:rsid w:val="21EF4546"/>
    <w:rsid w:val="220B1CB9"/>
    <w:rsid w:val="220B2782"/>
    <w:rsid w:val="220F05CF"/>
    <w:rsid w:val="22205764"/>
    <w:rsid w:val="22381FC6"/>
    <w:rsid w:val="225275BA"/>
    <w:rsid w:val="225E003A"/>
    <w:rsid w:val="227B299A"/>
    <w:rsid w:val="227E692E"/>
    <w:rsid w:val="228E4923"/>
    <w:rsid w:val="228F6446"/>
    <w:rsid w:val="22910410"/>
    <w:rsid w:val="22A363ED"/>
    <w:rsid w:val="22AE65BE"/>
    <w:rsid w:val="22B63195"/>
    <w:rsid w:val="22B86A0B"/>
    <w:rsid w:val="22BC4220"/>
    <w:rsid w:val="22C17D82"/>
    <w:rsid w:val="22E5250A"/>
    <w:rsid w:val="22F369D5"/>
    <w:rsid w:val="22F616B5"/>
    <w:rsid w:val="22FD0E5C"/>
    <w:rsid w:val="23040BE2"/>
    <w:rsid w:val="230778C7"/>
    <w:rsid w:val="231A510B"/>
    <w:rsid w:val="23331187"/>
    <w:rsid w:val="23452CBC"/>
    <w:rsid w:val="235F1197"/>
    <w:rsid w:val="235F406A"/>
    <w:rsid w:val="236A7616"/>
    <w:rsid w:val="236F7F68"/>
    <w:rsid w:val="2374647C"/>
    <w:rsid w:val="237C3267"/>
    <w:rsid w:val="239C706C"/>
    <w:rsid w:val="23A21A79"/>
    <w:rsid w:val="23A36A35"/>
    <w:rsid w:val="23BC326A"/>
    <w:rsid w:val="23BD72DF"/>
    <w:rsid w:val="23DA1E7B"/>
    <w:rsid w:val="23E629DD"/>
    <w:rsid w:val="23E7405F"/>
    <w:rsid w:val="23EA5501"/>
    <w:rsid w:val="24156E1F"/>
    <w:rsid w:val="243E45C7"/>
    <w:rsid w:val="2475240E"/>
    <w:rsid w:val="247955FF"/>
    <w:rsid w:val="24961E78"/>
    <w:rsid w:val="24AD5A93"/>
    <w:rsid w:val="24B56686"/>
    <w:rsid w:val="24BD3F2F"/>
    <w:rsid w:val="24D50656"/>
    <w:rsid w:val="24D665AE"/>
    <w:rsid w:val="25201F1F"/>
    <w:rsid w:val="25207829"/>
    <w:rsid w:val="25275932"/>
    <w:rsid w:val="254C15F2"/>
    <w:rsid w:val="256A6BDA"/>
    <w:rsid w:val="256E456D"/>
    <w:rsid w:val="257D3EAF"/>
    <w:rsid w:val="258A399C"/>
    <w:rsid w:val="259C15A5"/>
    <w:rsid w:val="25B34B41"/>
    <w:rsid w:val="25EC0125"/>
    <w:rsid w:val="26086C3B"/>
    <w:rsid w:val="261920D8"/>
    <w:rsid w:val="261B0492"/>
    <w:rsid w:val="26254703"/>
    <w:rsid w:val="262D7F52"/>
    <w:rsid w:val="26415CA9"/>
    <w:rsid w:val="26492DAF"/>
    <w:rsid w:val="264D0AF2"/>
    <w:rsid w:val="26571970"/>
    <w:rsid w:val="26655E3B"/>
    <w:rsid w:val="268044B5"/>
    <w:rsid w:val="26B172D2"/>
    <w:rsid w:val="26CA40F7"/>
    <w:rsid w:val="26E641FB"/>
    <w:rsid w:val="26E75394"/>
    <w:rsid w:val="26EF4335"/>
    <w:rsid w:val="26F27C1B"/>
    <w:rsid w:val="270B4948"/>
    <w:rsid w:val="27215AAC"/>
    <w:rsid w:val="2723400E"/>
    <w:rsid w:val="273E668C"/>
    <w:rsid w:val="274041B2"/>
    <w:rsid w:val="27594AEA"/>
    <w:rsid w:val="27764078"/>
    <w:rsid w:val="27767BD4"/>
    <w:rsid w:val="27873B8F"/>
    <w:rsid w:val="27A5262E"/>
    <w:rsid w:val="27B8643F"/>
    <w:rsid w:val="27C132F1"/>
    <w:rsid w:val="27CB7D80"/>
    <w:rsid w:val="27CD1F54"/>
    <w:rsid w:val="27D85841"/>
    <w:rsid w:val="27D86AE1"/>
    <w:rsid w:val="27DD7C53"/>
    <w:rsid w:val="27E014F2"/>
    <w:rsid w:val="281F201A"/>
    <w:rsid w:val="283F090E"/>
    <w:rsid w:val="2844798D"/>
    <w:rsid w:val="28620E6F"/>
    <w:rsid w:val="28691716"/>
    <w:rsid w:val="28C12115"/>
    <w:rsid w:val="28C45AE6"/>
    <w:rsid w:val="28C64B8B"/>
    <w:rsid w:val="28CD5F1A"/>
    <w:rsid w:val="28D366FF"/>
    <w:rsid w:val="28D76D98"/>
    <w:rsid w:val="28D9669A"/>
    <w:rsid w:val="28DF697D"/>
    <w:rsid w:val="28F90ABD"/>
    <w:rsid w:val="291458F7"/>
    <w:rsid w:val="297B7724"/>
    <w:rsid w:val="29826D04"/>
    <w:rsid w:val="29B6075C"/>
    <w:rsid w:val="29CE79D6"/>
    <w:rsid w:val="29D532D8"/>
    <w:rsid w:val="29EE6148"/>
    <w:rsid w:val="29FB219D"/>
    <w:rsid w:val="2A157B78"/>
    <w:rsid w:val="2A5A558B"/>
    <w:rsid w:val="2A6B59EA"/>
    <w:rsid w:val="2A6C2FBF"/>
    <w:rsid w:val="2A7D127A"/>
    <w:rsid w:val="2A8D5961"/>
    <w:rsid w:val="2A957654"/>
    <w:rsid w:val="2AD91A82"/>
    <w:rsid w:val="2AD92954"/>
    <w:rsid w:val="2AEA2DB3"/>
    <w:rsid w:val="2AEC6B2B"/>
    <w:rsid w:val="2B0B4446"/>
    <w:rsid w:val="2B0B5F38"/>
    <w:rsid w:val="2B230BF3"/>
    <w:rsid w:val="2B380B20"/>
    <w:rsid w:val="2B471FB3"/>
    <w:rsid w:val="2B88437A"/>
    <w:rsid w:val="2B88534B"/>
    <w:rsid w:val="2BB4516F"/>
    <w:rsid w:val="2BCD2F8E"/>
    <w:rsid w:val="2BE27F2E"/>
    <w:rsid w:val="2BE55328"/>
    <w:rsid w:val="2BFF463C"/>
    <w:rsid w:val="2C047EA4"/>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2E08B5"/>
    <w:rsid w:val="2D3575D7"/>
    <w:rsid w:val="2D392A9A"/>
    <w:rsid w:val="2D3D2AEB"/>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5D477B"/>
    <w:rsid w:val="2E630C84"/>
    <w:rsid w:val="2E641B42"/>
    <w:rsid w:val="2E837111"/>
    <w:rsid w:val="2E84600A"/>
    <w:rsid w:val="2E956466"/>
    <w:rsid w:val="2EAB0AAB"/>
    <w:rsid w:val="2EBF37A7"/>
    <w:rsid w:val="2EBF4B0B"/>
    <w:rsid w:val="2ED26038"/>
    <w:rsid w:val="2ED86F63"/>
    <w:rsid w:val="2EED10C4"/>
    <w:rsid w:val="2EF7784D"/>
    <w:rsid w:val="2EFA10EB"/>
    <w:rsid w:val="2EFB21A9"/>
    <w:rsid w:val="2F1A353B"/>
    <w:rsid w:val="2F1F5FD6"/>
    <w:rsid w:val="2F2C45A3"/>
    <w:rsid w:val="2F3C1703"/>
    <w:rsid w:val="2F407445"/>
    <w:rsid w:val="2F544C9F"/>
    <w:rsid w:val="2F5702EB"/>
    <w:rsid w:val="2F6F0666"/>
    <w:rsid w:val="2F860BD0"/>
    <w:rsid w:val="2F861416"/>
    <w:rsid w:val="2F927575"/>
    <w:rsid w:val="2FAC1422"/>
    <w:rsid w:val="2FC27288"/>
    <w:rsid w:val="2FF574A1"/>
    <w:rsid w:val="300246FB"/>
    <w:rsid w:val="301D42EF"/>
    <w:rsid w:val="30250D25"/>
    <w:rsid w:val="3025488D"/>
    <w:rsid w:val="3044084D"/>
    <w:rsid w:val="304E5F54"/>
    <w:rsid w:val="30515682"/>
    <w:rsid w:val="30644D23"/>
    <w:rsid w:val="30776BDB"/>
    <w:rsid w:val="30894E1C"/>
    <w:rsid w:val="3091142D"/>
    <w:rsid w:val="30B05F05"/>
    <w:rsid w:val="30CD3408"/>
    <w:rsid w:val="30CF4EA4"/>
    <w:rsid w:val="30F57DBC"/>
    <w:rsid w:val="30FA3624"/>
    <w:rsid w:val="31002A27"/>
    <w:rsid w:val="310A4AEB"/>
    <w:rsid w:val="310D2023"/>
    <w:rsid w:val="313308E4"/>
    <w:rsid w:val="314D7BF8"/>
    <w:rsid w:val="3163741B"/>
    <w:rsid w:val="31662CD4"/>
    <w:rsid w:val="318111E9"/>
    <w:rsid w:val="31857392"/>
    <w:rsid w:val="318E1BB8"/>
    <w:rsid w:val="319475D5"/>
    <w:rsid w:val="319976C6"/>
    <w:rsid w:val="319A711F"/>
    <w:rsid w:val="31A15954"/>
    <w:rsid w:val="31E22A36"/>
    <w:rsid w:val="31E75151"/>
    <w:rsid w:val="320643AF"/>
    <w:rsid w:val="32130E41"/>
    <w:rsid w:val="322841C1"/>
    <w:rsid w:val="322D6302"/>
    <w:rsid w:val="32562ADC"/>
    <w:rsid w:val="32632A63"/>
    <w:rsid w:val="326F46E0"/>
    <w:rsid w:val="32735F2E"/>
    <w:rsid w:val="327A3BC6"/>
    <w:rsid w:val="327D450D"/>
    <w:rsid w:val="327F745D"/>
    <w:rsid w:val="3284589B"/>
    <w:rsid w:val="328E671A"/>
    <w:rsid w:val="32962C35"/>
    <w:rsid w:val="32990C1B"/>
    <w:rsid w:val="32C24615"/>
    <w:rsid w:val="32C65567"/>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86E01"/>
    <w:rsid w:val="337A0A4C"/>
    <w:rsid w:val="338056EA"/>
    <w:rsid w:val="33911204"/>
    <w:rsid w:val="33AF3D68"/>
    <w:rsid w:val="33AF6666"/>
    <w:rsid w:val="33B645E2"/>
    <w:rsid w:val="33BE6F4E"/>
    <w:rsid w:val="33C63C91"/>
    <w:rsid w:val="33CB572B"/>
    <w:rsid w:val="33CD2D9E"/>
    <w:rsid w:val="33CE657B"/>
    <w:rsid w:val="33EA3E24"/>
    <w:rsid w:val="33EC7B9C"/>
    <w:rsid w:val="33FB0977"/>
    <w:rsid w:val="34034EE6"/>
    <w:rsid w:val="340842AA"/>
    <w:rsid w:val="341C53BA"/>
    <w:rsid w:val="342C131A"/>
    <w:rsid w:val="34312EC5"/>
    <w:rsid w:val="344A041F"/>
    <w:rsid w:val="347C39A8"/>
    <w:rsid w:val="34847DD4"/>
    <w:rsid w:val="34853B4C"/>
    <w:rsid w:val="3493296C"/>
    <w:rsid w:val="349A316D"/>
    <w:rsid w:val="34AE30A3"/>
    <w:rsid w:val="34B34723"/>
    <w:rsid w:val="34DF2CBA"/>
    <w:rsid w:val="34E41339"/>
    <w:rsid w:val="34EB6364"/>
    <w:rsid w:val="34F565DC"/>
    <w:rsid w:val="35132F06"/>
    <w:rsid w:val="35373099"/>
    <w:rsid w:val="3538296D"/>
    <w:rsid w:val="353F42E9"/>
    <w:rsid w:val="354B444E"/>
    <w:rsid w:val="354E440C"/>
    <w:rsid w:val="356B4AF0"/>
    <w:rsid w:val="356F6F29"/>
    <w:rsid w:val="358A766C"/>
    <w:rsid w:val="358B2CE3"/>
    <w:rsid w:val="358C26FA"/>
    <w:rsid w:val="358E09E6"/>
    <w:rsid w:val="359C4C4F"/>
    <w:rsid w:val="35BE2E72"/>
    <w:rsid w:val="35C32BDC"/>
    <w:rsid w:val="35D5640E"/>
    <w:rsid w:val="35EC0748"/>
    <w:rsid w:val="364610BA"/>
    <w:rsid w:val="36724494"/>
    <w:rsid w:val="3679649B"/>
    <w:rsid w:val="367D0F7F"/>
    <w:rsid w:val="36826C31"/>
    <w:rsid w:val="368F0CBF"/>
    <w:rsid w:val="36916FED"/>
    <w:rsid w:val="36A469C4"/>
    <w:rsid w:val="36A521D9"/>
    <w:rsid w:val="36F55EAA"/>
    <w:rsid w:val="370F0532"/>
    <w:rsid w:val="37195AD1"/>
    <w:rsid w:val="372B09DB"/>
    <w:rsid w:val="37763F45"/>
    <w:rsid w:val="3784095E"/>
    <w:rsid w:val="37895E9F"/>
    <w:rsid w:val="37A87D97"/>
    <w:rsid w:val="37E40B8A"/>
    <w:rsid w:val="37EA2644"/>
    <w:rsid w:val="37EB1F18"/>
    <w:rsid w:val="38044D88"/>
    <w:rsid w:val="3806031D"/>
    <w:rsid w:val="382C513A"/>
    <w:rsid w:val="38417D8A"/>
    <w:rsid w:val="3842422E"/>
    <w:rsid w:val="3847643D"/>
    <w:rsid w:val="38526F7A"/>
    <w:rsid w:val="387A2F34"/>
    <w:rsid w:val="387C555A"/>
    <w:rsid w:val="387E2D8D"/>
    <w:rsid w:val="389C521D"/>
    <w:rsid w:val="38E52970"/>
    <w:rsid w:val="38EA21D0"/>
    <w:rsid w:val="38F24DE8"/>
    <w:rsid w:val="38F372D7"/>
    <w:rsid w:val="38F65019"/>
    <w:rsid w:val="38FB43DD"/>
    <w:rsid w:val="3946752A"/>
    <w:rsid w:val="39641F82"/>
    <w:rsid w:val="39684912"/>
    <w:rsid w:val="396B0466"/>
    <w:rsid w:val="397441F3"/>
    <w:rsid w:val="398919E9"/>
    <w:rsid w:val="39A16C97"/>
    <w:rsid w:val="39A24859"/>
    <w:rsid w:val="39A56B84"/>
    <w:rsid w:val="39A77BB2"/>
    <w:rsid w:val="39AD5743"/>
    <w:rsid w:val="39BE5B37"/>
    <w:rsid w:val="39CD1EE3"/>
    <w:rsid w:val="39CD78A2"/>
    <w:rsid w:val="39D1471A"/>
    <w:rsid w:val="39ED6FF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854AB6"/>
    <w:rsid w:val="3B8E1539"/>
    <w:rsid w:val="3B9D177C"/>
    <w:rsid w:val="3BA046F2"/>
    <w:rsid w:val="3BA50630"/>
    <w:rsid w:val="3BD80550"/>
    <w:rsid w:val="3BD80ACD"/>
    <w:rsid w:val="3BE56E1B"/>
    <w:rsid w:val="3BED2DB3"/>
    <w:rsid w:val="3C215F09"/>
    <w:rsid w:val="3C4075D1"/>
    <w:rsid w:val="3C436B55"/>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3E7E89"/>
    <w:rsid w:val="3D502922"/>
    <w:rsid w:val="3D5D7415"/>
    <w:rsid w:val="3D605157"/>
    <w:rsid w:val="3D631F35"/>
    <w:rsid w:val="3DC96584"/>
    <w:rsid w:val="3DE042EE"/>
    <w:rsid w:val="3DE60DD6"/>
    <w:rsid w:val="3DF00D93"/>
    <w:rsid w:val="3E004349"/>
    <w:rsid w:val="3E0F7B1D"/>
    <w:rsid w:val="3E234AB8"/>
    <w:rsid w:val="3E2A5EBF"/>
    <w:rsid w:val="3E4009FD"/>
    <w:rsid w:val="3E444130"/>
    <w:rsid w:val="3E4C5C06"/>
    <w:rsid w:val="3E5C1BAD"/>
    <w:rsid w:val="3E60064C"/>
    <w:rsid w:val="3E9230EE"/>
    <w:rsid w:val="3E9F6F17"/>
    <w:rsid w:val="3EA37CD2"/>
    <w:rsid w:val="3EB36F85"/>
    <w:rsid w:val="3EDF3E59"/>
    <w:rsid w:val="3EE06168"/>
    <w:rsid w:val="3EE85404"/>
    <w:rsid w:val="3F141725"/>
    <w:rsid w:val="3F1B1335"/>
    <w:rsid w:val="3F200257"/>
    <w:rsid w:val="3F286DBF"/>
    <w:rsid w:val="3F4028FA"/>
    <w:rsid w:val="3F5F03B4"/>
    <w:rsid w:val="3F892743"/>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67D4F"/>
    <w:rsid w:val="4022565B"/>
    <w:rsid w:val="402266F3"/>
    <w:rsid w:val="40290AEF"/>
    <w:rsid w:val="403629A3"/>
    <w:rsid w:val="403B122D"/>
    <w:rsid w:val="404B007A"/>
    <w:rsid w:val="405A7C3B"/>
    <w:rsid w:val="405B7334"/>
    <w:rsid w:val="405C70C5"/>
    <w:rsid w:val="40646D0C"/>
    <w:rsid w:val="406B3BF6"/>
    <w:rsid w:val="40875F80"/>
    <w:rsid w:val="409505DD"/>
    <w:rsid w:val="40C31C84"/>
    <w:rsid w:val="40CD2BBC"/>
    <w:rsid w:val="40CE74E8"/>
    <w:rsid w:val="40D55514"/>
    <w:rsid w:val="40D7128C"/>
    <w:rsid w:val="40F96B4C"/>
    <w:rsid w:val="40FE0F0E"/>
    <w:rsid w:val="41107AF2"/>
    <w:rsid w:val="41390199"/>
    <w:rsid w:val="41561B7B"/>
    <w:rsid w:val="415B430F"/>
    <w:rsid w:val="415D5C35"/>
    <w:rsid w:val="415F2382"/>
    <w:rsid w:val="41644CA3"/>
    <w:rsid w:val="417C604D"/>
    <w:rsid w:val="418238EE"/>
    <w:rsid w:val="41876D28"/>
    <w:rsid w:val="41DF75B5"/>
    <w:rsid w:val="41E64E09"/>
    <w:rsid w:val="41E81646"/>
    <w:rsid w:val="421568CA"/>
    <w:rsid w:val="422229DB"/>
    <w:rsid w:val="422F2C0A"/>
    <w:rsid w:val="424B287B"/>
    <w:rsid w:val="42731F37"/>
    <w:rsid w:val="427A77F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79759E"/>
    <w:rsid w:val="437B082C"/>
    <w:rsid w:val="43863FBF"/>
    <w:rsid w:val="439E18DD"/>
    <w:rsid w:val="43B835F7"/>
    <w:rsid w:val="43BA63BC"/>
    <w:rsid w:val="43BD6A6D"/>
    <w:rsid w:val="43E56FFE"/>
    <w:rsid w:val="43E77A38"/>
    <w:rsid w:val="44033175"/>
    <w:rsid w:val="44071DF4"/>
    <w:rsid w:val="440C749E"/>
    <w:rsid w:val="441912DB"/>
    <w:rsid w:val="442347E8"/>
    <w:rsid w:val="442567B2"/>
    <w:rsid w:val="44384517"/>
    <w:rsid w:val="445B2639"/>
    <w:rsid w:val="446056EA"/>
    <w:rsid w:val="446948F1"/>
    <w:rsid w:val="44894274"/>
    <w:rsid w:val="44894414"/>
    <w:rsid w:val="44C77869"/>
    <w:rsid w:val="44D51F86"/>
    <w:rsid w:val="44E70410"/>
    <w:rsid w:val="451720F2"/>
    <w:rsid w:val="452B604A"/>
    <w:rsid w:val="453C0257"/>
    <w:rsid w:val="45406B12"/>
    <w:rsid w:val="455A06DD"/>
    <w:rsid w:val="455F7AA2"/>
    <w:rsid w:val="45667082"/>
    <w:rsid w:val="458F482B"/>
    <w:rsid w:val="45DA2E00"/>
    <w:rsid w:val="45EC42D6"/>
    <w:rsid w:val="45ED3300"/>
    <w:rsid w:val="45EF1111"/>
    <w:rsid w:val="460C7409"/>
    <w:rsid w:val="460D74FE"/>
    <w:rsid w:val="4636593F"/>
    <w:rsid w:val="464A2500"/>
    <w:rsid w:val="464C0026"/>
    <w:rsid w:val="465D4CB9"/>
    <w:rsid w:val="46B207DF"/>
    <w:rsid w:val="46B86825"/>
    <w:rsid w:val="46EA07B2"/>
    <w:rsid w:val="46F506BE"/>
    <w:rsid w:val="46F82CC1"/>
    <w:rsid w:val="4703337B"/>
    <w:rsid w:val="470E1780"/>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E1D09"/>
    <w:rsid w:val="48A028AB"/>
    <w:rsid w:val="48AA237C"/>
    <w:rsid w:val="48BD520B"/>
    <w:rsid w:val="48C1039E"/>
    <w:rsid w:val="48EB1D78"/>
    <w:rsid w:val="490023BE"/>
    <w:rsid w:val="49023B00"/>
    <w:rsid w:val="491A265E"/>
    <w:rsid w:val="491D285B"/>
    <w:rsid w:val="491D3EFC"/>
    <w:rsid w:val="491F1A22"/>
    <w:rsid w:val="493666B5"/>
    <w:rsid w:val="494877A6"/>
    <w:rsid w:val="49550062"/>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842484"/>
    <w:rsid w:val="4A995804"/>
    <w:rsid w:val="4AA246B9"/>
    <w:rsid w:val="4AA541A9"/>
    <w:rsid w:val="4AAF6399"/>
    <w:rsid w:val="4AB27C27"/>
    <w:rsid w:val="4AC24D5B"/>
    <w:rsid w:val="4AD3077D"/>
    <w:rsid w:val="4AD67A86"/>
    <w:rsid w:val="4B0F3D9B"/>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5C727E"/>
    <w:rsid w:val="4C7223A4"/>
    <w:rsid w:val="4C87625C"/>
    <w:rsid w:val="4C942D3E"/>
    <w:rsid w:val="4CA56323"/>
    <w:rsid w:val="4CF66F3E"/>
    <w:rsid w:val="4D0478AD"/>
    <w:rsid w:val="4D0A4797"/>
    <w:rsid w:val="4D0C6761"/>
    <w:rsid w:val="4D0D5086"/>
    <w:rsid w:val="4D187642"/>
    <w:rsid w:val="4D2553D4"/>
    <w:rsid w:val="4D2F41FE"/>
    <w:rsid w:val="4D56422A"/>
    <w:rsid w:val="4D6F3B43"/>
    <w:rsid w:val="4D706155"/>
    <w:rsid w:val="4D712FDA"/>
    <w:rsid w:val="4D746E8E"/>
    <w:rsid w:val="4D800456"/>
    <w:rsid w:val="4D862070"/>
    <w:rsid w:val="4D92310A"/>
    <w:rsid w:val="4D9D385D"/>
    <w:rsid w:val="4DA4572D"/>
    <w:rsid w:val="4DC4703C"/>
    <w:rsid w:val="4DCD7C9F"/>
    <w:rsid w:val="4DE17BEE"/>
    <w:rsid w:val="4E1C02AE"/>
    <w:rsid w:val="4E1E6324"/>
    <w:rsid w:val="4E226070"/>
    <w:rsid w:val="4E4F4B57"/>
    <w:rsid w:val="4E5C1A72"/>
    <w:rsid w:val="4E615284"/>
    <w:rsid w:val="4EA64556"/>
    <w:rsid w:val="4EAD29E4"/>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501E6ED7"/>
    <w:rsid w:val="50395ABF"/>
    <w:rsid w:val="50461F8A"/>
    <w:rsid w:val="50787096"/>
    <w:rsid w:val="507C775A"/>
    <w:rsid w:val="508D5E0B"/>
    <w:rsid w:val="508F1B83"/>
    <w:rsid w:val="50B25281"/>
    <w:rsid w:val="50E579F5"/>
    <w:rsid w:val="50E87836"/>
    <w:rsid w:val="50EA500B"/>
    <w:rsid w:val="50F83282"/>
    <w:rsid w:val="50FB4B23"/>
    <w:rsid w:val="51173459"/>
    <w:rsid w:val="511E2B79"/>
    <w:rsid w:val="51265C7E"/>
    <w:rsid w:val="514814EC"/>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F7DD2"/>
    <w:rsid w:val="52DA5E34"/>
    <w:rsid w:val="52EC1919"/>
    <w:rsid w:val="530A3743"/>
    <w:rsid w:val="530D2815"/>
    <w:rsid w:val="532145E9"/>
    <w:rsid w:val="53395DD6"/>
    <w:rsid w:val="5347038D"/>
    <w:rsid w:val="534A6CD4"/>
    <w:rsid w:val="534E7AD3"/>
    <w:rsid w:val="536553EF"/>
    <w:rsid w:val="538B4884"/>
    <w:rsid w:val="53A3143D"/>
    <w:rsid w:val="53A63921"/>
    <w:rsid w:val="53AC47FA"/>
    <w:rsid w:val="53CC5791"/>
    <w:rsid w:val="53D95D45"/>
    <w:rsid w:val="53DA1367"/>
    <w:rsid w:val="53E2646E"/>
    <w:rsid w:val="53EB53BD"/>
    <w:rsid w:val="53F8359B"/>
    <w:rsid w:val="54505185"/>
    <w:rsid w:val="545671EC"/>
    <w:rsid w:val="54611097"/>
    <w:rsid w:val="5487370E"/>
    <w:rsid w:val="54915C10"/>
    <w:rsid w:val="54C735ED"/>
    <w:rsid w:val="54CD4A28"/>
    <w:rsid w:val="54D15F1A"/>
    <w:rsid w:val="54D264E2"/>
    <w:rsid w:val="54D647BE"/>
    <w:rsid w:val="54D65699"/>
    <w:rsid w:val="54E01D6C"/>
    <w:rsid w:val="54E47B17"/>
    <w:rsid w:val="54E754F3"/>
    <w:rsid w:val="54E9481D"/>
    <w:rsid w:val="54F226E1"/>
    <w:rsid w:val="55046B0A"/>
    <w:rsid w:val="55094443"/>
    <w:rsid w:val="55173007"/>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6E6859"/>
    <w:rsid w:val="5684052B"/>
    <w:rsid w:val="56893B3D"/>
    <w:rsid w:val="56921A85"/>
    <w:rsid w:val="56927CD7"/>
    <w:rsid w:val="569976E5"/>
    <w:rsid w:val="56E16569"/>
    <w:rsid w:val="56ED542D"/>
    <w:rsid w:val="56EE460E"/>
    <w:rsid w:val="56F25D16"/>
    <w:rsid w:val="56F72230"/>
    <w:rsid w:val="56F770C8"/>
    <w:rsid w:val="56F95FA8"/>
    <w:rsid w:val="57087F99"/>
    <w:rsid w:val="570A5ABF"/>
    <w:rsid w:val="570F0DAD"/>
    <w:rsid w:val="57136DC9"/>
    <w:rsid w:val="571C1C97"/>
    <w:rsid w:val="57342B3C"/>
    <w:rsid w:val="57394670"/>
    <w:rsid w:val="57443D1C"/>
    <w:rsid w:val="575738E1"/>
    <w:rsid w:val="5769056B"/>
    <w:rsid w:val="57715B3F"/>
    <w:rsid w:val="577949F3"/>
    <w:rsid w:val="579068FA"/>
    <w:rsid w:val="579730CB"/>
    <w:rsid w:val="579B705F"/>
    <w:rsid w:val="57F02C2A"/>
    <w:rsid w:val="57F246BE"/>
    <w:rsid w:val="57F648EB"/>
    <w:rsid w:val="5809221B"/>
    <w:rsid w:val="5814296E"/>
    <w:rsid w:val="582A3F3F"/>
    <w:rsid w:val="582B03E3"/>
    <w:rsid w:val="582F35B7"/>
    <w:rsid w:val="5839262E"/>
    <w:rsid w:val="58465229"/>
    <w:rsid w:val="585F0D52"/>
    <w:rsid w:val="586525C2"/>
    <w:rsid w:val="586557AC"/>
    <w:rsid w:val="5867455C"/>
    <w:rsid w:val="587A5C94"/>
    <w:rsid w:val="588B42F5"/>
    <w:rsid w:val="588D4BFA"/>
    <w:rsid w:val="58A81A34"/>
    <w:rsid w:val="58C139D3"/>
    <w:rsid w:val="58C93758"/>
    <w:rsid w:val="58D72319"/>
    <w:rsid w:val="58DE5456"/>
    <w:rsid w:val="5939268C"/>
    <w:rsid w:val="594C6725"/>
    <w:rsid w:val="59617E35"/>
    <w:rsid w:val="596E25BB"/>
    <w:rsid w:val="59722042"/>
    <w:rsid w:val="59777658"/>
    <w:rsid w:val="59796F2C"/>
    <w:rsid w:val="599E0ACF"/>
    <w:rsid w:val="59AD3D34"/>
    <w:rsid w:val="59B03888"/>
    <w:rsid w:val="59C503C4"/>
    <w:rsid w:val="59EC76FE"/>
    <w:rsid w:val="59F91818"/>
    <w:rsid w:val="5A172243"/>
    <w:rsid w:val="5A196ED2"/>
    <w:rsid w:val="5A3317D1"/>
    <w:rsid w:val="5A395B76"/>
    <w:rsid w:val="5A3C781D"/>
    <w:rsid w:val="5A432F55"/>
    <w:rsid w:val="5A5878B5"/>
    <w:rsid w:val="5A636344"/>
    <w:rsid w:val="5AA2093F"/>
    <w:rsid w:val="5AA95EA4"/>
    <w:rsid w:val="5AAF59A9"/>
    <w:rsid w:val="5AD63E09"/>
    <w:rsid w:val="5AFF3461"/>
    <w:rsid w:val="5B123195"/>
    <w:rsid w:val="5B223606"/>
    <w:rsid w:val="5B266C40"/>
    <w:rsid w:val="5B2E6FAA"/>
    <w:rsid w:val="5B4332B6"/>
    <w:rsid w:val="5B4B66A7"/>
    <w:rsid w:val="5B5E0F00"/>
    <w:rsid w:val="5B972453"/>
    <w:rsid w:val="5B9E7C72"/>
    <w:rsid w:val="5BA87F9D"/>
    <w:rsid w:val="5BAF4E87"/>
    <w:rsid w:val="5BDE39BF"/>
    <w:rsid w:val="5BE65C1B"/>
    <w:rsid w:val="5BFD68E7"/>
    <w:rsid w:val="5C0B7B76"/>
    <w:rsid w:val="5C1271C4"/>
    <w:rsid w:val="5C675762"/>
    <w:rsid w:val="5C682BEC"/>
    <w:rsid w:val="5C9A1694"/>
    <w:rsid w:val="5C9D1184"/>
    <w:rsid w:val="5C9D480A"/>
    <w:rsid w:val="5CA7123C"/>
    <w:rsid w:val="5CAE15E3"/>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4615C"/>
    <w:rsid w:val="5DDE1134"/>
    <w:rsid w:val="5DE66B5A"/>
    <w:rsid w:val="5E1D1CEB"/>
    <w:rsid w:val="5E23390B"/>
    <w:rsid w:val="5E311C0C"/>
    <w:rsid w:val="5E3C66E4"/>
    <w:rsid w:val="5E895C8E"/>
    <w:rsid w:val="5ED510A9"/>
    <w:rsid w:val="5ED57321"/>
    <w:rsid w:val="5F20216B"/>
    <w:rsid w:val="5F36439B"/>
    <w:rsid w:val="5F755A2A"/>
    <w:rsid w:val="5F814D8D"/>
    <w:rsid w:val="5F8328B3"/>
    <w:rsid w:val="5F8959EF"/>
    <w:rsid w:val="5F920D48"/>
    <w:rsid w:val="5FA40A7B"/>
    <w:rsid w:val="5FB07420"/>
    <w:rsid w:val="5FC04410"/>
    <w:rsid w:val="5FC652C4"/>
    <w:rsid w:val="5FC845C3"/>
    <w:rsid w:val="5FCB6F0A"/>
    <w:rsid w:val="5FD56738"/>
    <w:rsid w:val="5FE62E42"/>
    <w:rsid w:val="6016735B"/>
    <w:rsid w:val="601C6864"/>
    <w:rsid w:val="601F4747"/>
    <w:rsid w:val="602D6CC3"/>
    <w:rsid w:val="602F6597"/>
    <w:rsid w:val="6052321D"/>
    <w:rsid w:val="60696BC9"/>
    <w:rsid w:val="608508AD"/>
    <w:rsid w:val="609A3376"/>
    <w:rsid w:val="60A42170"/>
    <w:rsid w:val="60CF38D6"/>
    <w:rsid w:val="60E5134B"/>
    <w:rsid w:val="60FD45FF"/>
    <w:rsid w:val="611A0FF5"/>
    <w:rsid w:val="61220F29"/>
    <w:rsid w:val="612B3202"/>
    <w:rsid w:val="616008F1"/>
    <w:rsid w:val="61847169"/>
    <w:rsid w:val="618625DD"/>
    <w:rsid w:val="61903065"/>
    <w:rsid w:val="61932B55"/>
    <w:rsid w:val="61B7149D"/>
    <w:rsid w:val="61B9080E"/>
    <w:rsid w:val="61CA1C79"/>
    <w:rsid w:val="61D61932"/>
    <w:rsid w:val="620852F1"/>
    <w:rsid w:val="621048C9"/>
    <w:rsid w:val="6210694A"/>
    <w:rsid w:val="621231A6"/>
    <w:rsid w:val="621641CF"/>
    <w:rsid w:val="62210161"/>
    <w:rsid w:val="62861F1F"/>
    <w:rsid w:val="629139EC"/>
    <w:rsid w:val="62917095"/>
    <w:rsid w:val="62A16A87"/>
    <w:rsid w:val="62CF7FE7"/>
    <w:rsid w:val="62D94CCA"/>
    <w:rsid w:val="63141A74"/>
    <w:rsid w:val="631D2A8C"/>
    <w:rsid w:val="63462575"/>
    <w:rsid w:val="63493E13"/>
    <w:rsid w:val="635A1B7D"/>
    <w:rsid w:val="63666773"/>
    <w:rsid w:val="638B7F88"/>
    <w:rsid w:val="63931444"/>
    <w:rsid w:val="63936E3D"/>
    <w:rsid w:val="639B087E"/>
    <w:rsid w:val="63A64DC2"/>
    <w:rsid w:val="63A90E76"/>
    <w:rsid w:val="63B55005"/>
    <w:rsid w:val="63BA6D0B"/>
    <w:rsid w:val="63CB5CCC"/>
    <w:rsid w:val="63DF65BB"/>
    <w:rsid w:val="63EB4ECB"/>
    <w:rsid w:val="63F975E8"/>
    <w:rsid w:val="63FA3360"/>
    <w:rsid w:val="640B731B"/>
    <w:rsid w:val="641745A0"/>
    <w:rsid w:val="642479C1"/>
    <w:rsid w:val="645C36D2"/>
    <w:rsid w:val="64657739"/>
    <w:rsid w:val="64754794"/>
    <w:rsid w:val="64824B18"/>
    <w:rsid w:val="64881976"/>
    <w:rsid w:val="64942E6C"/>
    <w:rsid w:val="64AE3CB5"/>
    <w:rsid w:val="64AF6674"/>
    <w:rsid w:val="64B90B25"/>
    <w:rsid w:val="64CD637E"/>
    <w:rsid w:val="64CF659A"/>
    <w:rsid w:val="64DC03FF"/>
    <w:rsid w:val="64F425BA"/>
    <w:rsid w:val="65071890"/>
    <w:rsid w:val="650D6603"/>
    <w:rsid w:val="65202952"/>
    <w:rsid w:val="65210C32"/>
    <w:rsid w:val="652225D5"/>
    <w:rsid w:val="652F2B95"/>
    <w:rsid w:val="65311E05"/>
    <w:rsid w:val="65451957"/>
    <w:rsid w:val="65623E76"/>
    <w:rsid w:val="659770B8"/>
    <w:rsid w:val="65995BCE"/>
    <w:rsid w:val="65B46366"/>
    <w:rsid w:val="65BD63F3"/>
    <w:rsid w:val="65D025CA"/>
    <w:rsid w:val="65F570CF"/>
    <w:rsid w:val="66002CD4"/>
    <w:rsid w:val="6624387D"/>
    <w:rsid w:val="662824C8"/>
    <w:rsid w:val="66320B8F"/>
    <w:rsid w:val="663E7534"/>
    <w:rsid w:val="664B6B47"/>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523DE"/>
    <w:rsid w:val="670C5884"/>
    <w:rsid w:val="670D5158"/>
    <w:rsid w:val="67461D48"/>
    <w:rsid w:val="67472418"/>
    <w:rsid w:val="67486190"/>
    <w:rsid w:val="674A6CAF"/>
    <w:rsid w:val="676034DA"/>
    <w:rsid w:val="67694A84"/>
    <w:rsid w:val="67784F2E"/>
    <w:rsid w:val="678A67A9"/>
    <w:rsid w:val="678F1925"/>
    <w:rsid w:val="67942577"/>
    <w:rsid w:val="67A92539"/>
    <w:rsid w:val="67C31BF5"/>
    <w:rsid w:val="67CA4EF1"/>
    <w:rsid w:val="67DF6AF4"/>
    <w:rsid w:val="67E20393"/>
    <w:rsid w:val="67F76A7E"/>
    <w:rsid w:val="67F86871"/>
    <w:rsid w:val="681D13CB"/>
    <w:rsid w:val="684352D5"/>
    <w:rsid w:val="684D1CB0"/>
    <w:rsid w:val="686F7E78"/>
    <w:rsid w:val="687E455F"/>
    <w:rsid w:val="687E630D"/>
    <w:rsid w:val="688B0A2A"/>
    <w:rsid w:val="68A5389A"/>
    <w:rsid w:val="68AF3CA2"/>
    <w:rsid w:val="68BB130F"/>
    <w:rsid w:val="68CB0E27"/>
    <w:rsid w:val="68CC560D"/>
    <w:rsid w:val="68E97265"/>
    <w:rsid w:val="68EF0FB9"/>
    <w:rsid w:val="691105D4"/>
    <w:rsid w:val="691668C0"/>
    <w:rsid w:val="691E189E"/>
    <w:rsid w:val="692635EB"/>
    <w:rsid w:val="69342E70"/>
    <w:rsid w:val="693B41FE"/>
    <w:rsid w:val="6951757E"/>
    <w:rsid w:val="69561384"/>
    <w:rsid w:val="69775165"/>
    <w:rsid w:val="69807E63"/>
    <w:rsid w:val="699F02F4"/>
    <w:rsid w:val="69B230A2"/>
    <w:rsid w:val="69CB3977"/>
    <w:rsid w:val="69DA3A17"/>
    <w:rsid w:val="69E2224C"/>
    <w:rsid w:val="69F819AA"/>
    <w:rsid w:val="6A136F29"/>
    <w:rsid w:val="6A187723"/>
    <w:rsid w:val="6A1D1B56"/>
    <w:rsid w:val="6A1D2B18"/>
    <w:rsid w:val="6A3B3FBC"/>
    <w:rsid w:val="6A595414"/>
    <w:rsid w:val="6A5A4A67"/>
    <w:rsid w:val="6A6E7FF3"/>
    <w:rsid w:val="6A700C09"/>
    <w:rsid w:val="6A82630A"/>
    <w:rsid w:val="6A8E3BBF"/>
    <w:rsid w:val="6AA67D9D"/>
    <w:rsid w:val="6AAD6A36"/>
    <w:rsid w:val="6AC57AA5"/>
    <w:rsid w:val="6ADD3291"/>
    <w:rsid w:val="6AE66C85"/>
    <w:rsid w:val="6B0A70A4"/>
    <w:rsid w:val="6B3B6738"/>
    <w:rsid w:val="6B3D24B0"/>
    <w:rsid w:val="6B685053"/>
    <w:rsid w:val="6B7F4739"/>
    <w:rsid w:val="6B8A4FC9"/>
    <w:rsid w:val="6B9A5FD4"/>
    <w:rsid w:val="6BA75B7B"/>
    <w:rsid w:val="6BD36970"/>
    <w:rsid w:val="6C042FCD"/>
    <w:rsid w:val="6C20148A"/>
    <w:rsid w:val="6C44786E"/>
    <w:rsid w:val="6C9431CC"/>
    <w:rsid w:val="6CAB1AEE"/>
    <w:rsid w:val="6CAE2F39"/>
    <w:rsid w:val="6CAF10DA"/>
    <w:rsid w:val="6CB513FE"/>
    <w:rsid w:val="6CDA06B8"/>
    <w:rsid w:val="6CEA2E79"/>
    <w:rsid w:val="6D0715F8"/>
    <w:rsid w:val="6D30394E"/>
    <w:rsid w:val="6D426B56"/>
    <w:rsid w:val="6D505108"/>
    <w:rsid w:val="6D77297F"/>
    <w:rsid w:val="6D8238F3"/>
    <w:rsid w:val="6D8617C0"/>
    <w:rsid w:val="6D920165"/>
    <w:rsid w:val="6DBB5AC1"/>
    <w:rsid w:val="6DCF4F15"/>
    <w:rsid w:val="6E0468F3"/>
    <w:rsid w:val="6E0F7A08"/>
    <w:rsid w:val="6E38263C"/>
    <w:rsid w:val="6E526272"/>
    <w:rsid w:val="6E573B2B"/>
    <w:rsid w:val="6E94481B"/>
    <w:rsid w:val="6EA2373C"/>
    <w:rsid w:val="6EDF387E"/>
    <w:rsid w:val="6F0357BE"/>
    <w:rsid w:val="6F0B01CF"/>
    <w:rsid w:val="6F241291"/>
    <w:rsid w:val="6F4066AD"/>
    <w:rsid w:val="6F4A1C6F"/>
    <w:rsid w:val="6F573660"/>
    <w:rsid w:val="6F6955AC"/>
    <w:rsid w:val="6F6F075E"/>
    <w:rsid w:val="6F7658CB"/>
    <w:rsid w:val="6F976FBE"/>
    <w:rsid w:val="6FA359EB"/>
    <w:rsid w:val="6FA6381A"/>
    <w:rsid w:val="6FB42615"/>
    <w:rsid w:val="6FC36CFC"/>
    <w:rsid w:val="6FCA63E4"/>
    <w:rsid w:val="6FD26F3F"/>
    <w:rsid w:val="6FF218DD"/>
    <w:rsid w:val="6FF42BE0"/>
    <w:rsid w:val="6FFC41AF"/>
    <w:rsid w:val="6FFF339E"/>
    <w:rsid w:val="700C0A1A"/>
    <w:rsid w:val="70187191"/>
    <w:rsid w:val="704C4F43"/>
    <w:rsid w:val="705A531C"/>
    <w:rsid w:val="705D4A5A"/>
    <w:rsid w:val="706804A2"/>
    <w:rsid w:val="706C2EEF"/>
    <w:rsid w:val="70761F1B"/>
    <w:rsid w:val="708C1ED2"/>
    <w:rsid w:val="70C44966"/>
    <w:rsid w:val="70CB230C"/>
    <w:rsid w:val="70E32593"/>
    <w:rsid w:val="70E801A2"/>
    <w:rsid w:val="7104581E"/>
    <w:rsid w:val="71132E62"/>
    <w:rsid w:val="711D41EA"/>
    <w:rsid w:val="71222297"/>
    <w:rsid w:val="71231438"/>
    <w:rsid w:val="714348B5"/>
    <w:rsid w:val="71504B10"/>
    <w:rsid w:val="71554590"/>
    <w:rsid w:val="715A0F06"/>
    <w:rsid w:val="715C38D8"/>
    <w:rsid w:val="715D01AD"/>
    <w:rsid w:val="716C2775"/>
    <w:rsid w:val="7175165A"/>
    <w:rsid w:val="719941B8"/>
    <w:rsid w:val="719E357C"/>
    <w:rsid w:val="71A87F57"/>
    <w:rsid w:val="71BD1788"/>
    <w:rsid w:val="71C50B09"/>
    <w:rsid w:val="71FB452B"/>
    <w:rsid w:val="722515A8"/>
    <w:rsid w:val="723979C9"/>
    <w:rsid w:val="72465471"/>
    <w:rsid w:val="725E7ADD"/>
    <w:rsid w:val="727265AC"/>
    <w:rsid w:val="727B1B10"/>
    <w:rsid w:val="727D13E4"/>
    <w:rsid w:val="729C3F60"/>
    <w:rsid w:val="729D54E7"/>
    <w:rsid w:val="72A526E9"/>
    <w:rsid w:val="72D71070"/>
    <w:rsid w:val="72EC1039"/>
    <w:rsid w:val="72F13B80"/>
    <w:rsid w:val="72FF57F4"/>
    <w:rsid w:val="73004C2C"/>
    <w:rsid w:val="7304330F"/>
    <w:rsid w:val="73085A6A"/>
    <w:rsid w:val="732E5FCC"/>
    <w:rsid w:val="73337CF4"/>
    <w:rsid w:val="733817AF"/>
    <w:rsid w:val="73412411"/>
    <w:rsid w:val="73440778"/>
    <w:rsid w:val="734463A5"/>
    <w:rsid w:val="73520AC2"/>
    <w:rsid w:val="7358775B"/>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574FA"/>
    <w:rsid w:val="74566390"/>
    <w:rsid w:val="745E0F4B"/>
    <w:rsid w:val="74805D4F"/>
    <w:rsid w:val="749F595E"/>
    <w:rsid w:val="74AA2238"/>
    <w:rsid w:val="74DF0134"/>
    <w:rsid w:val="74F87650"/>
    <w:rsid w:val="75054390"/>
    <w:rsid w:val="75114065"/>
    <w:rsid w:val="751A5610"/>
    <w:rsid w:val="7539539D"/>
    <w:rsid w:val="754805A5"/>
    <w:rsid w:val="75695C4F"/>
    <w:rsid w:val="757B0B57"/>
    <w:rsid w:val="759248B8"/>
    <w:rsid w:val="759C7DD3"/>
    <w:rsid w:val="75A153E9"/>
    <w:rsid w:val="75A2017C"/>
    <w:rsid w:val="75CB6E7D"/>
    <w:rsid w:val="75E32C67"/>
    <w:rsid w:val="75EA3234"/>
    <w:rsid w:val="75ED3231"/>
    <w:rsid w:val="75FC2C73"/>
    <w:rsid w:val="75FD5C4B"/>
    <w:rsid w:val="76047756"/>
    <w:rsid w:val="76155660"/>
    <w:rsid w:val="761B33ED"/>
    <w:rsid w:val="761E5D99"/>
    <w:rsid w:val="761F03BE"/>
    <w:rsid w:val="762B1157"/>
    <w:rsid w:val="76315A85"/>
    <w:rsid w:val="764A5A81"/>
    <w:rsid w:val="764C7A4B"/>
    <w:rsid w:val="766111DA"/>
    <w:rsid w:val="76612DCA"/>
    <w:rsid w:val="766528BB"/>
    <w:rsid w:val="766E040B"/>
    <w:rsid w:val="767B20DE"/>
    <w:rsid w:val="767B7C93"/>
    <w:rsid w:val="768C42EB"/>
    <w:rsid w:val="7694586D"/>
    <w:rsid w:val="76B4739E"/>
    <w:rsid w:val="76C75323"/>
    <w:rsid w:val="76D1655C"/>
    <w:rsid w:val="76D25D41"/>
    <w:rsid w:val="76E666DE"/>
    <w:rsid w:val="76E72AA0"/>
    <w:rsid w:val="7701090C"/>
    <w:rsid w:val="771A711A"/>
    <w:rsid w:val="771D4F43"/>
    <w:rsid w:val="772A600E"/>
    <w:rsid w:val="77336515"/>
    <w:rsid w:val="77362975"/>
    <w:rsid w:val="77422BFC"/>
    <w:rsid w:val="77444BC6"/>
    <w:rsid w:val="77577349"/>
    <w:rsid w:val="775972A4"/>
    <w:rsid w:val="775A6197"/>
    <w:rsid w:val="77634A70"/>
    <w:rsid w:val="776D7992"/>
    <w:rsid w:val="7772349F"/>
    <w:rsid w:val="777A3677"/>
    <w:rsid w:val="777C4360"/>
    <w:rsid w:val="778238FB"/>
    <w:rsid w:val="77955421"/>
    <w:rsid w:val="77A411C1"/>
    <w:rsid w:val="77B238DE"/>
    <w:rsid w:val="77DC6BAC"/>
    <w:rsid w:val="77F71C38"/>
    <w:rsid w:val="77F90661"/>
    <w:rsid w:val="7808174F"/>
    <w:rsid w:val="780D57F6"/>
    <w:rsid w:val="78106856"/>
    <w:rsid w:val="781E4FE7"/>
    <w:rsid w:val="783764D9"/>
    <w:rsid w:val="7840256B"/>
    <w:rsid w:val="7884096A"/>
    <w:rsid w:val="78850FF2"/>
    <w:rsid w:val="788E0A67"/>
    <w:rsid w:val="789524E8"/>
    <w:rsid w:val="78B611AB"/>
    <w:rsid w:val="78CA10FB"/>
    <w:rsid w:val="78E03E67"/>
    <w:rsid w:val="78E51A91"/>
    <w:rsid w:val="78EA52F9"/>
    <w:rsid w:val="78F06D68"/>
    <w:rsid w:val="78F55DA6"/>
    <w:rsid w:val="790E548B"/>
    <w:rsid w:val="79236E7C"/>
    <w:rsid w:val="792A1B99"/>
    <w:rsid w:val="793D1B4C"/>
    <w:rsid w:val="794013BD"/>
    <w:rsid w:val="796B1B89"/>
    <w:rsid w:val="797B008A"/>
    <w:rsid w:val="797B7D48"/>
    <w:rsid w:val="798516DF"/>
    <w:rsid w:val="798C015E"/>
    <w:rsid w:val="79921C19"/>
    <w:rsid w:val="79A46F00"/>
    <w:rsid w:val="79C618C2"/>
    <w:rsid w:val="79D73ACF"/>
    <w:rsid w:val="79E46056"/>
    <w:rsid w:val="7A0C534E"/>
    <w:rsid w:val="7A222CE3"/>
    <w:rsid w:val="7A247526"/>
    <w:rsid w:val="7A735C4D"/>
    <w:rsid w:val="7A8C2B0C"/>
    <w:rsid w:val="7A8E7C8A"/>
    <w:rsid w:val="7A9F01F0"/>
    <w:rsid w:val="7AAA6765"/>
    <w:rsid w:val="7ABB7B5C"/>
    <w:rsid w:val="7AD87AFF"/>
    <w:rsid w:val="7B0152A5"/>
    <w:rsid w:val="7B02692A"/>
    <w:rsid w:val="7B112B38"/>
    <w:rsid w:val="7B2A5E81"/>
    <w:rsid w:val="7B2C7E4B"/>
    <w:rsid w:val="7B2F16E9"/>
    <w:rsid w:val="7B7567C0"/>
    <w:rsid w:val="7B7B66DC"/>
    <w:rsid w:val="7B7D2454"/>
    <w:rsid w:val="7B845591"/>
    <w:rsid w:val="7B9072BC"/>
    <w:rsid w:val="7B944A08"/>
    <w:rsid w:val="7B960850"/>
    <w:rsid w:val="7B9F57C7"/>
    <w:rsid w:val="7BF97C74"/>
    <w:rsid w:val="7C1245E3"/>
    <w:rsid w:val="7C19584E"/>
    <w:rsid w:val="7C266648"/>
    <w:rsid w:val="7C2823C0"/>
    <w:rsid w:val="7C354382"/>
    <w:rsid w:val="7C563402"/>
    <w:rsid w:val="7C5E2286"/>
    <w:rsid w:val="7C686C61"/>
    <w:rsid w:val="7C765D1B"/>
    <w:rsid w:val="7C7B659E"/>
    <w:rsid w:val="7C7E0232"/>
    <w:rsid w:val="7C831CEC"/>
    <w:rsid w:val="7C9712F4"/>
    <w:rsid w:val="7C9B0FDB"/>
    <w:rsid w:val="7CBA4D6C"/>
    <w:rsid w:val="7CC85951"/>
    <w:rsid w:val="7CCC5441"/>
    <w:rsid w:val="7CD23C7F"/>
    <w:rsid w:val="7CD24BAE"/>
    <w:rsid w:val="7CE56503"/>
    <w:rsid w:val="7D033147"/>
    <w:rsid w:val="7D1066E2"/>
    <w:rsid w:val="7D1B3CD3"/>
    <w:rsid w:val="7D227CB6"/>
    <w:rsid w:val="7D2E2566"/>
    <w:rsid w:val="7D300C5A"/>
    <w:rsid w:val="7D40198C"/>
    <w:rsid w:val="7D4C0330"/>
    <w:rsid w:val="7D811B7B"/>
    <w:rsid w:val="7D836171"/>
    <w:rsid w:val="7DAB2803"/>
    <w:rsid w:val="7DBA0B43"/>
    <w:rsid w:val="7DF47503"/>
    <w:rsid w:val="7E186464"/>
    <w:rsid w:val="7E3E4800"/>
    <w:rsid w:val="7E696CC0"/>
    <w:rsid w:val="7E7B41B8"/>
    <w:rsid w:val="7E7F0292"/>
    <w:rsid w:val="7E835AFC"/>
    <w:rsid w:val="7E851714"/>
    <w:rsid w:val="7E88060D"/>
    <w:rsid w:val="7E966D9F"/>
    <w:rsid w:val="7EA45F4A"/>
    <w:rsid w:val="7EBA4F0B"/>
    <w:rsid w:val="7ECA197C"/>
    <w:rsid w:val="7ED26AAB"/>
    <w:rsid w:val="7EDF79CA"/>
    <w:rsid w:val="7EE02B0F"/>
    <w:rsid w:val="7EF16259"/>
    <w:rsid w:val="7EF163A6"/>
    <w:rsid w:val="7EFD72F6"/>
    <w:rsid w:val="7EFE1AFE"/>
    <w:rsid w:val="7F0D7FB9"/>
    <w:rsid w:val="7F2B0D53"/>
    <w:rsid w:val="7F4E65E2"/>
    <w:rsid w:val="7F6A7194"/>
    <w:rsid w:val="7F714152"/>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56</Pages>
  <Words>35757</Words>
  <Characters>37691</Characters>
  <Lines>1</Lines>
  <Paragraphs>1</Paragraphs>
  <TotalTime>13</TotalTime>
  <ScaleCrop>false</ScaleCrop>
  <LinksUpToDate>false</LinksUpToDate>
  <CharactersWithSpaces>39803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2025-04-08T01:40:00Z</cp:lastPrinted>
  <dcterms:modified xsi:type="dcterms:W3CDTF">2025-06-07T08:11:42Z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9E53ED1C9CFC4357BABA57C42EAABA45_13</vt:lpwstr>
  </property>
  <property fmtid="{D5CDD505-2E9C-101B-9397-08002B2CF9AE}" pid="4" name="commondata">
    <vt:lpwstr>eyJoZGlkIjoiZDJiMzdlZTkyZWRmN2IzYzY2ZmI2ZTBlN2MyMWRiOWEifQ==</vt:lpwstr>
  </property>
  <property fmtid="{D5CDD505-2E9C-101B-9397-08002B2CF9AE}" pid="5" name="KSOTemplateDocerSaveRecord">
    <vt:lpwstr>eyJoZGlkIjoiZjcwNmJmNjFjYjZjMzQ4ZDEzNjZhN2UwYjUyMjgwNDgiLCJ1c2VySWQiOiIzMjYyOTIwOTcifQ==</vt:lpwstr>
  </property>
</Properties>
</file>