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A040A">
      <w:pPr>
        <w:pStyle w:val="8"/>
        <w:rPr>
          <w:rFonts w:hint="default"/>
          <w:color w:val="auto"/>
          <w:highlight w:val="none"/>
          <w:lang w:val="en-US" w:eastAsia="zh-CN"/>
        </w:rPr>
      </w:pPr>
    </w:p>
    <w:p w14:paraId="64092954">
      <w:pPr>
        <w:pStyle w:val="8"/>
        <w:rPr>
          <w:rFonts w:hint="default"/>
          <w:color w:val="auto"/>
          <w:highlight w:val="none"/>
          <w:lang w:val="en-US" w:eastAsia="zh-CN"/>
        </w:rPr>
      </w:pPr>
    </w:p>
    <w:p w14:paraId="728AE5B0">
      <w:pPr>
        <w:jc w:val="both"/>
        <w:rPr>
          <w:rFonts w:hint="default" w:eastAsia="宋体"/>
          <w:color w:val="auto"/>
          <w:highlight w:val="none"/>
          <w:lang w:val="en-US" w:eastAsia="zh-CN"/>
        </w:rPr>
      </w:pPr>
    </w:p>
    <w:p w14:paraId="60270D7F">
      <w:pPr>
        <w:jc w:val="both"/>
        <w:rPr>
          <w:rFonts w:hint="default" w:eastAsia="宋体"/>
          <w:color w:val="auto"/>
          <w:highlight w:val="none"/>
          <w:lang w:val="en-US" w:eastAsia="zh-CN"/>
        </w:rPr>
      </w:pPr>
    </w:p>
    <w:p w14:paraId="71CE563B">
      <w:pPr>
        <w:jc w:val="both"/>
        <w:rPr>
          <w:rFonts w:hint="default" w:eastAsia="宋体"/>
          <w:color w:val="auto"/>
          <w:highlight w:val="none"/>
          <w:lang w:val="en-US" w:eastAsia="zh-CN"/>
        </w:rPr>
      </w:pPr>
    </w:p>
    <w:p w14:paraId="48F10836">
      <w:pPr>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3C0305A1">
      <w:pPr>
        <w:jc w:val="center"/>
        <w:rPr>
          <w:rFonts w:hint="default" w:eastAsia="宋体"/>
          <w:b/>
          <w:color w:val="auto"/>
          <w:sz w:val="72"/>
          <w:highlight w:val="none"/>
          <w:lang w:val="en-US" w:eastAsia="zh-CN"/>
        </w:rPr>
      </w:pPr>
    </w:p>
    <w:p w14:paraId="2EB15B4B">
      <w:pPr>
        <w:jc w:val="both"/>
        <w:rPr>
          <w:b/>
          <w:color w:val="auto"/>
          <w:sz w:val="72"/>
          <w:highlight w:val="none"/>
        </w:rPr>
      </w:pPr>
    </w:p>
    <w:p w14:paraId="63C1540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南京现代表面处理科技产业中心项目</w:t>
      </w:r>
    </w:p>
    <w:p w14:paraId="02233E4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B地块工程预制叠合板</w:t>
      </w:r>
    </w:p>
    <w:p w14:paraId="707F1F4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4438451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7314B83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4833A81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6CC6D76F">
      <w:pPr>
        <w:jc w:val="both"/>
        <w:rPr>
          <w:rFonts w:hint="default" w:eastAsia="宋体"/>
          <w:color w:val="auto"/>
          <w:highlight w:val="none"/>
          <w:lang w:val="en-US" w:eastAsia="zh-CN"/>
        </w:rPr>
      </w:pPr>
    </w:p>
    <w:p w14:paraId="0A6A4434">
      <w:pPr>
        <w:jc w:val="center"/>
        <w:rPr>
          <w:rFonts w:hint="default" w:eastAsia="宋体"/>
          <w:color w:val="auto"/>
          <w:highlight w:val="none"/>
          <w:lang w:val="en-US" w:eastAsia="zh-CN"/>
        </w:rPr>
      </w:pPr>
      <w:r>
        <w:rPr>
          <w:rFonts w:hint="default" w:eastAsia="宋体"/>
          <w:color w:val="auto"/>
          <w:highlight w:val="none"/>
          <w:lang w:val="en-US" w:eastAsia="zh-CN"/>
        </w:rPr>
        <w:t>（20250901版）</w:t>
      </w:r>
    </w:p>
    <w:p w14:paraId="5FFBA85C">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合同编号：</w:t>
      </w:r>
    </w:p>
    <w:p w14:paraId="359ED340">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甲方（需方）：东莞市中泰建安工程有限公司</w:t>
      </w:r>
    </w:p>
    <w:p w14:paraId="1A9E373B">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乙方（供方）：</w:t>
      </w:r>
    </w:p>
    <w:p w14:paraId="22E8C561">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default" w:ascii="仿宋" w:hAnsi="仿宋" w:eastAsia="仿宋" w:cs="仿宋"/>
          <w:bCs/>
          <w:color w:val="auto"/>
          <w:kern w:val="2"/>
          <w:sz w:val="30"/>
          <w:szCs w:val="30"/>
          <w:highlight w:val="none"/>
          <w:lang w:val="en-US" w:eastAsia="zh-CN" w:bidi="zh-CN"/>
        </w:rPr>
      </w:pPr>
      <w:r>
        <w:rPr>
          <w:rFonts w:hint="eastAsia" w:ascii="仿宋" w:hAnsi="仿宋" w:eastAsia="仿宋" w:cs="仿宋"/>
          <w:bCs/>
          <w:color w:val="auto"/>
          <w:kern w:val="2"/>
          <w:sz w:val="30"/>
          <w:szCs w:val="30"/>
          <w:highlight w:val="none"/>
          <w:lang w:val="en-US" w:eastAsia="zh-CN" w:bidi="zh-CN"/>
        </w:rPr>
        <w:t>签订日期：202  年    月    日</w:t>
      </w:r>
    </w:p>
    <w:p w14:paraId="709C847F">
      <w:pPr>
        <w:keepNext w:val="0"/>
        <w:keepLines w:val="0"/>
        <w:pageBreakBefore w:val="0"/>
        <w:widowControl w:val="0"/>
        <w:kinsoku/>
        <w:wordWrap/>
        <w:overflowPunct/>
        <w:topLinePunct w:val="0"/>
        <w:autoSpaceDE/>
        <w:autoSpaceDN/>
        <w:bidi w:val="0"/>
        <w:adjustRightInd/>
        <w:snapToGrid/>
        <w:ind w:firstLine="1800" w:firstLineChars="600"/>
        <w:jc w:val="both"/>
        <w:textAlignment w:val="auto"/>
        <w:rPr>
          <w:rFonts w:hint="eastAsia" w:ascii="仿宋" w:hAnsi="仿宋" w:eastAsia="仿宋" w:cs="仿宋"/>
          <w:bCs/>
          <w:color w:val="auto"/>
          <w:kern w:val="2"/>
          <w:sz w:val="30"/>
          <w:szCs w:val="30"/>
          <w:highlight w:val="none"/>
          <w:lang w:val="en-US" w:eastAsia="zh-CN" w:bidi="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Cs/>
          <w:color w:val="auto"/>
          <w:kern w:val="2"/>
          <w:sz w:val="30"/>
          <w:szCs w:val="30"/>
          <w:highlight w:val="none"/>
          <w:lang w:val="en-US" w:eastAsia="zh-CN" w:bidi="zh-CN"/>
        </w:rPr>
        <w:t>签订地点：广东东莞南城</w:t>
      </w:r>
    </w:p>
    <w:p w14:paraId="6F4E8C15">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0A253B16">
      <w:pPr>
        <w:pStyle w:val="7"/>
        <w:tabs>
          <w:tab w:val="right" w:leader="dot" w:pos="9768"/>
        </w:tabs>
        <w:rPr>
          <w:color w:val="auto"/>
        </w:rPr>
      </w:pPr>
      <w:r>
        <w:rPr>
          <w:rFonts w:hint="eastAsia" w:ascii="仿宋" w:hAnsi="仿宋" w:eastAsia="仿宋" w:cs="仿宋"/>
          <w:b/>
          <w:bCs w:val="0"/>
          <w:color w:val="auto"/>
          <w:sz w:val="28"/>
          <w:szCs w:val="28"/>
          <w:highlight w:val="none"/>
        </w:rPr>
        <w:fldChar w:fldCharType="begin"/>
      </w:r>
      <w:r>
        <w:rPr>
          <w:rFonts w:hint="eastAsia" w:ascii="仿宋" w:hAnsi="仿宋" w:eastAsia="仿宋" w:cs="仿宋"/>
          <w:b/>
          <w:bCs w:val="0"/>
          <w:color w:val="auto"/>
          <w:sz w:val="28"/>
          <w:szCs w:val="28"/>
          <w:highlight w:val="none"/>
        </w:rPr>
        <w:instrText xml:space="preserve">TOC \o "1-1" \h \u </w:instrText>
      </w:r>
      <w:r>
        <w:rPr>
          <w:rFonts w:hint="eastAsia" w:ascii="仿宋" w:hAnsi="仿宋" w:eastAsia="仿宋" w:cs="仿宋"/>
          <w:b/>
          <w:bCs w:val="0"/>
          <w:color w:val="auto"/>
          <w:sz w:val="28"/>
          <w:szCs w:val="28"/>
          <w:highlight w:val="none"/>
        </w:rPr>
        <w:fldChar w:fldCharType="separate"/>
      </w: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_Toc31857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rPr>
        <w:tab/>
      </w:r>
      <w:r>
        <w:rPr>
          <w:color w:val="auto"/>
        </w:rPr>
        <w:fldChar w:fldCharType="begin"/>
      </w:r>
      <w:r>
        <w:rPr>
          <w:color w:val="auto"/>
        </w:rPr>
        <w:instrText xml:space="preserve"> PAGEREF _Toc31857 \h </w:instrText>
      </w:r>
      <w:r>
        <w:rPr>
          <w:color w:val="auto"/>
        </w:rPr>
        <w:fldChar w:fldCharType="separate"/>
      </w:r>
      <w:r>
        <w:rPr>
          <w:color w:val="auto"/>
        </w:rPr>
        <w:t>2</w:t>
      </w:r>
      <w:r>
        <w:rPr>
          <w:color w:val="auto"/>
        </w:rPr>
        <w:fldChar w:fldCharType="end"/>
      </w:r>
      <w:r>
        <w:rPr>
          <w:rFonts w:hint="eastAsia" w:ascii="仿宋" w:hAnsi="仿宋" w:eastAsia="仿宋" w:cs="仿宋"/>
          <w:bCs w:val="0"/>
          <w:color w:val="auto"/>
          <w:szCs w:val="28"/>
          <w:highlight w:val="none"/>
        </w:rPr>
        <w:fldChar w:fldCharType="end"/>
      </w:r>
    </w:p>
    <w:p w14:paraId="60D6C5BA">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_Toc983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rPr>
        <w:tab/>
      </w:r>
      <w:r>
        <w:rPr>
          <w:rFonts w:hint="eastAsia"/>
          <w:color w:val="auto"/>
          <w:lang w:val="en-US" w:eastAsia="zh-CN"/>
        </w:rPr>
        <w:t>3</w:t>
      </w:r>
      <w:r>
        <w:rPr>
          <w:rFonts w:hint="eastAsia" w:ascii="仿宋" w:hAnsi="仿宋" w:eastAsia="仿宋" w:cs="仿宋"/>
          <w:bCs w:val="0"/>
          <w:color w:val="auto"/>
          <w:szCs w:val="28"/>
          <w:highlight w:val="none"/>
        </w:rPr>
        <w:fldChar w:fldCharType="end"/>
      </w:r>
    </w:p>
    <w:p w14:paraId="74A04260">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_Toc20388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rPr>
        <w:tab/>
      </w:r>
      <w:r>
        <w:rPr>
          <w:color w:val="auto"/>
        </w:rPr>
        <w:fldChar w:fldCharType="begin"/>
      </w:r>
      <w:r>
        <w:rPr>
          <w:color w:val="auto"/>
        </w:rPr>
        <w:instrText xml:space="preserve"> PAGEREF _Toc20388 \h </w:instrText>
      </w:r>
      <w:r>
        <w:rPr>
          <w:color w:val="auto"/>
        </w:rPr>
        <w:fldChar w:fldCharType="separate"/>
      </w:r>
      <w:r>
        <w:rPr>
          <w:color w:val="auto"/>
        </w:rPr>
        <w:t>7</w:t>
      </w:r>
      <w:r>
        <w:rPr>
          <w:color w:val="auto"/>
        </w:rPr>
        <w:fldChar w:fldCharType="end"/>
      </w:r>
      <w:r>
        <w:rPr>
          <w:rFonts w:hint="eastAsia" w:ascii="仿宋" w:hAnsi="仿宋" w:eastAsia="仿宋" w:cs="仿宋"/>
          <w:bCs w:val="0"/>
          <w:color w:val="auto"/>
          <w:szCs w:val="28"/>
          <w:highlight w:val="none"/>
        </w:rPr>
        <w:fldChar w:fldCharType="end"/>
      </w:r>
    </w:p>
    <w:p w14:paraId="300C7C12">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_Toc4593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rPr>
        <w:t>交货</w:t>
      </w:r>
      <w:r>
        <w:rPr>
          <w:color w:val="auto"/>
        </w:rPr>
        <w:tab/>
      </w:r>
      <w:r>
        <w:rPr>
          <w:color w:val="auto"/>
        </w:rPr>
        <w:fldChar w:fldCharType="begin"/>
      </w:r>
      <w:r>
        <w:rPr>
          <w:color w:val="auto"/>
        </w:rPr>
        <w:instrText xml:space="preserve"> PAGEREF _Toc4593 \h </w:instrText>
      </w:r>
      <w:r>
        <w:rPr>
          <w:color w:val="auto"/>
        </w:rPr>
        <w:fldChar w:fldCharType="separate"/>
      </w:r>
      <w:r>
        <w:rPr>
          <w:color w:val="auto"/>
        </w:rPr>
        <w:t>8</w:t>
      </w:r>
      <w:r>
        <w:rPr>
          <w:color w:val="auto"/>
        </w:rPr>
        <w:fldChar w:fldCharType="end"/>
      </w:r>
      <w:r>
        <w:rPr>
          <w:rFonts w:hint="eastAsia" w:ascii="仿宋" w:hAnsi="仿宋" w:eastAsia="仿宋" w:cs="仿宋"/>
          <w:bCs w:val="0"/>
          <w:color w:val="auto"/>
          <w:szCs w:val="28"/>
          <w:highlight w:val="none"/>
        </w:rPr>
        <w:fldChar w:fldCharType="end"/>
      </w:r>
    </w:p>
    <w:p w14:paraId="45120E03">
      <w:pPr>
        <w:pStyle w:val="7"/>
        <w:tabs>
          <w:tab w:val="right" w:leader="dot" w:pos="9768"/>
        </w:tabs>
        <w:rPr>
          <w:rFonts w:hint="eastAsia" w:eastAsia="仿宋"/>
          <w:color w:val="auto"/>
          <w:lang w:val="en-US" w:eastAsia="zh-CN"/>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_Toc14050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rPr>
        <w:t>验收</w:t>
      </w:r>
      <w:r>
        <w:rPr>
          <w:rFonts w:hint="eastAsia" w:ascii="仿宋" w:hAnsi="仿宋" w:eastAsia="仿宋" w:cs="仿宋"/>
          <w:bCs/>
          <w:color w:val="auto"/>
          <w:highlight w:val="none"/>
          <w:lang w:val="en-US" w:eastAsia="zh-CN"/>
        </w:rPr>
        <w:t>与</w:t>
      </w:r>
      <w:r>
        <w:rPr>
          <w:rFonts w:hint="eastAsia" w:ascii="仿宋" w:hAnsi="仿宋" w:eastAsia="仿宋" w:cs="仿宋"/>
          <w:bCs/>
          <w:color w:val="auto"/>
          <w:highlight w:val="none"/>
          <w:lang w:eastAsia="zh-CN"/>
        </w:rPr>
        <w:t>保修</w:t>
      </w:r>
      <w:r>
        <w:rPr>
          <w:color w:val="auto"/>
        </w:rPr>
        <w:tab/>
      </w:r>
      <w:r>
        <w:rPr>
          <w:rFonts w:hint="eastAsia"/>
          <w:color w:val="auto"/>
          <w:lang w:val="en-US" w:eastAsia="zh-CN"/>
        </w:rPr>
        <w:t>1</w:t>
      </w:r>
      <w:r>
        <w:rPr>
          <w:rFonts w:hint="eastAsia" w:ascii="仿宋" w:hAnsi="仿宋" w:eastAsia="仿宋" w:cs="仿宋"/>
          <w:bCs w:val="0"/>
          <w:color w:val="auto"/>
          <w:szCs w:val="28"/>
          <w:highlight w:val="none"/>
        </w:rPr>
        <w:fldChar w:fldCharType="end"/>
      </w:r>
      <w:r>
        <w:rPr>
          <w:rFonts w:hint="eastAsia" w:cs="仿宋"/>
          <w:bCs w:val="0"/>
          <w:color w:val="auto"/>
          <w:szCs w:val="28"/>
          <w:highlight w:val="none"/>
          <w:lang w:val="en-US" w:eastAsia="zh-CN"/>
        </w:rPr>
        <w:t>0</w:t>
      </w:r>
    </w:p>
    <w:p w14:paraId="73BAA889">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_Toc11701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rPr>
        <w:t>违约责任</w:t>
      </w:r>
      <w:r>
        <w:rPr>
          <w:color w:val="auto"/>
        </w:rPr>
        <w:tab/>
      </w:r>
      <w:r>
        <w:rPr>
          <w:color w:val="auto"/>
        </w:rPr>
        <w:fldChar w:fldCharType="begin"/>
      </w:r>
      <w:r>
        <w:rPr>
          <w:color w:val="auto"/>
        </w:rPr>
        <w:instrText xml:space="preserve"> PAGEREF _Toc11701 \h </w:instrText>
      </w:r>
      <w:r>
        <w:rPr>
          <w:color w:val="auto"/>
        </w:rPr>
        <w:fldChar w:fldCharType="separate"/>
      </w:r>
      <w:r>
        <w:rPr>
          <w:color w:val="auto"/>
        </w:rPr>
        <w:t>13</w:t>
      </w:r>
      <w:r>
        <w:rPr>
          <w:color w:val="auto"/>
        </w:rPr>
        <w:fldChar w:fldCharType="end"/>
      </w:r>
      <w:r>
        <w:rPr>
          <w:rFonts w:hint="eastAsia" w:ascii="仿宋" w:hAnsi="仿宋" w:eastAsia="仿宋" w:cs="仿宋"/>
          <w:bCs w:val="0"/>
          <w:color w:val="auto"/>
          <w:szCs w:val="28"/>
          <w:highlight w:val="none"/>
        </w:rPr>
        <w:fldChar w:fldCharType="end"/>
      </w:r>
    </w:p>
    <w:p w14:paraId="6B75C925">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_Toc23737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rPr>
        <w:t>廉洁条款</w:t>
      </w:r>
      <w:r>
        <w:rPr>
          <w:color w:val="auto"/>
        </w:rPr>
        <w:tab/>
      </w:r>
      <w:r>
        <w:rPr>
          <w:color w:val="auto"/>
        </w:rPr>
        <w:fldChar w:fldCharType="begin"/>
      </w:r>
      <w:r>
        <w:rPr>
          <w:color w:val="auto"/>
        </w:rPr>
        <w:instrText xml:space="preserve"> PAGEREF _Toc23737 \h </w:instrText>
      </w:r>
      <w:r>
        <w:rPr>
          <w:color w:val="auto"/>
        </w:rPr>
        <w:fldChar w:fldCharType="separate"/>
      </w:r>
      <w:r>
        <w:rPr>
          <w:color w:val="auto"/>
        </w:rPr>
        <w:t>15</w:t>
      </w:r>
      <w:r>
        <w:rPr>
          <w:color w:val="auto"/>
        </w:rPr>
        <w:fldChar w:fldCharType="end"/>
      </w:r>
      <w:r>
        <w:rPr>
          <w:rFonts w:hint="eastAsia" w:ascii="仿宋" w:hAnsi="仿宋" w:eastAsia="仿宋" w:cs="仿宋"/>
          <w:bCs w:val="0"/>
          <w:color w:val="auto"/>
          <w:szCs w:val="28"/>
          <w:highlight w:val="none"/>
        </w:rPr>
        <w:fldChar w:fldCharType="end"/>
      </w:r>
    </w:p>
    <w:p w14:paraId="176CC8D4">
      <w:pPr>
        <w:pStyle w:val="7"/>
        <w:tabs>
          <w:tab w:val="right" w:leader="dot" w:pos="9768"/>
        </w:tabs>
        <w:rPr>
          <w:color w:val="auto"/>
        </w:rPr>
      </w:pPr>
      <w:r>
        <w:rPr>
          <w:rFonts w:hint="eastAsia" w:ascii="仿宋" w:hAnsi="仿宋" w:eastAsia="仿宋" w:cs="仿宋"/>
          <w:bCs w:val="0"/>
          <w:color w:val="auto"/>
          <w:szCs w:val="28"/>
          <w:highlight w:val="none"/>
        </w:rPr>
        <w:fldChar w:fldCharType="begin"/>
      </w:r>
      <w:r>
        <w:rPr>
          <w:rFonts w:hint="eastAsia" w:ascii="仿宋" w:hAnsi="仿宋" w:eastAsia="仿宋" w:cs="仿宋"/>
          <w:bCs w:val="0"/>
          <w:color w:val="auto"/>
          <w:szCs w:val="28"/>
          <w:highlight w:val="none"/>
        </w:rPr>
        <w:instrText xml:space="preserve"> HYPERLINK \l _Toc2022 </w:instrText>
      </w:r>
      <w:r>
        <w:rPr>
          <w:rFonts w:hint="eastAsia" w:ascii="仿宋" w:hAnsi="仿宋" w:eastAsia="仿宋" w:cs="仿宋"/>
          <w:bCs w:val="0"/>
          <w:color w:val="auto"/>
          <w:szCs w:val="28"/>
          <w:highlight w:val="none"/>
        </w:rPr>
        <w:fldChar w:fldCharType="separate"/>
      </w:r>
      <w:r>
        <w:rPr>
          <w:rFonts w:hint="eastAsia" w:ascii="仿宋" w:hAnsi="仿宋" w:eastAsia="仿宋" w:cs="仿宋"/>
          <w:bCs/>
          <w:color w:val="auto"/>
          <w:highlight w:val="none"/>
          <w:lang w:val="en-US" w:eastAsia="zh-CN"/>
        </w:rPr>
        <w:t>第八章</w:t>
      </w:r>
      <w:r>
        <w:rPr>
          <w:rFonts w:hint="eastAsia" w:ascii="仿宋" w:hAnsi="仿宋" w:eastAsia="仿宋" w:cs="仿宋"/>
          <w:bCs/>
          <w:color w:val="auto"/>
          <w:highlight w:val="none"/>
          <w:lang w:eastAsia="zh-CN"/>
        </w:rPr>
        <w:t>、其他</w:t>
      </w:r>
      <w:r>
        <w:rPr>
          <w:color w:val="auto"/>
        </w:rPr>
        <w:tab/>
      </w:r>
      <w:r>
        <w:rPr>
          <w:color w:val="auto"/>
        </w:rPr>
        <w:fldChar w:fldCharType="begin"/>
      </w:r>
      <w:r>
        <w:rPr>
          <w:color w:val="auto"/>
        </w:rPr>
        <w:instrText xml:space="preserve"> PAGEREF _Toc2022 \h </w:instrText>
      </w:r>
      <w:r>
        <w:rPr>
          <w:color w:val="auto"/>
        </w:rPr>
        <w:fldChar w:fldCharType="separate"/>
      </w:r>
      <w:r>
        <w:rPr>
          <w:color w:val="auto"/>
        </w:rPr>
        <w:t>15</w:t>
      </w:r>
      <w:r>
        <w:rPr>
          <w:color w:val="auto"/>
        </w:rPr>
        <w:fldChar w:fldCharType="end"/>
      </w:r>
      <w:r>
        <w:rPr>
          <w:rFonts w:hint="eastAsia" w:ascii="仿宋" w:hAnsi="仿宋" w:eastAsia="仿宋" w:cs="仿宋"/>
          <w:bCs w:val="0"/>
          <w:color w:val="auto"/>
          <w:szCs w:val="28"/>
          <w:highlight w:val="none"/>
        </w:rPr>
        <w:fldChar w:fldCharType="end"/>
      </w:r>
    </w:p>
    <w:p w14:paraId="0C6115C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仿宋" w:hAnsi="仿宋" w:eastAsia="仿宋" w:cs="仿宋"/>
          <w:bCs w:val="0"/>
          <w:color w:val="auto"/>
          <w:szCs w:val="28"/>
          <w:highlight w:val="none"/>
        </w:rPr>
        <w:fldChar w:fldCharType="end"/>
      </w:r>
    </w:p>
    <w:p w14:paraId="73661E1E">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p>
    <w:p w14:paraId="37BCB1F2">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666DCC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6C94AD7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16F2134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7A5AF1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42CEFC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62F6D0B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282B723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E430F6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08EF3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sectPr>
          <w:footerReference r:id="rId5" w:type="default"/>
          <w:pgSz w:w="11906" w:h="16838"/>
          <w:pgMar w:top="1440" w:right="958" w:bottom="952" w:left="118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2931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在乙方确认并承诺自身满足本项目所在地政府主管部门要求（如资质、资格等）的前提下，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南京现代表面处理科技产业中心项目B地块工程</w:t>
      </w:r>
      <w:r>
        <w:rPr>
          <w:rFonts w:hint="eastAsia" w:ascii="仿宋" w:hAnsi="仿宋" w:eastAsia="仿宋" w:cs="仿宋"/>
          <w:b w:val="0"/>
          <w:bCs w:val="0"/>
          <w:color w:val="auto"/>
          <w:kern w:val="2"/>
          <w:sz w:val="28"/>
          <w:szCs w:val="28"/>
          <w:highlight w:val="none"/>
          <w:u w:val="none"/>
          <w:lang w:val="en-US" w:eastAsia="zh-CN" w:bidi="ar-SA"/>
        </w:rPr>
        <w:t>”（以下简称“本项目”）的预制</w:t>
      </w:r>
      <w:r>
        <w:rPr>
          <w:rFonts w:hint="eastAsia" w:ascii="仿宋" w:hAnsi="仿宋" w:eastAsia="仿宋" w:cs="仿宋"/>
          <w:b w:val="0"/>
          <w:bCs w:val="0"/>
          <w:color w:val="auto"/>
          <w:kern w:val="2"/>
          <w:sz w:val="28"/>
          <w:szCs w:val="28"/>
          <w:highlight w:val="none"/>
          <w:u w:val="single"/>
          <w:lang w:val="en-US" w:eastAsia="zh-CN" w:bidi="ar-SA"/>
        </w:rPr>
        <w:t>叠合板</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1032B8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szCs w:val="28"/>
          <w:highlight w:val="none"/>
          <w:lang w:val="en-US" w:eastAsia="zh-CN"/>
        </w:rPr>
      </w:pPr>
      <w:bookmarkStart w:id="0" w:name="_Toc26009"/>
      <w:bookmarkStart w:id="1" w:name="_Toc30517"/>
      <w:bookmarkStart w:id="2" w:name="_Toc31857"/>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0"/>
      <w:bookmarkEnd w:id="1"/>
      <w:r>
        <w:rPr>
          <w:rFonts w:hint="eastAsia" w:ascii="仿宋" w:hAnsi="仿宋" w:eastAsia="仿宋" w:cs="仿宋"/>
          <w:b/>
          <w:bCs/>
          <w:color w:val="auto"/>
          <w:sz w:val="28"/>
          <w:szCs w:val="28"/>
          <w:highlight w:val="none"/>
          <w:lang w:val="en-US" w:eastAsia="zh-CN"/>
        </w:rPr>
        <w:t>及合同价款</w:t>
      </w:r>
      <w:bookmarkEnd w:id="2"/>
    </w:p>
    <w:p w14:paraId="3AD6D66C">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FF0000"/>
          <w:sz w:val="28"/>
          <w:szCs w:val="28"/>
          <w:highlight w:val="none"/>
        </w:rPr>
        <w:t>（</w:t>
      </w:r>
      <w:r>
        <w:rPr>
          <w:rFonts w:hint="eastAsia" w:ascii="仿宋" w:hAnsi="仿宋" w:eastAsia="仿宋" w:cs="仿宋"/>
          <w:color w:val="FF0000"/>
          <w:sz w:val="28"/>
          <w:szCs w:val="28"/>
          <w:highlight w:val="none"/>
          <w:lang w:val="en-US" w:eastAsia="zh-CN"/>
        </w:rPr>
        <w:t>产品内容及</w:t>
      </w:r>
      <w:r>
        <w:rPr>
          <w:rFonts w:hint="eastAsia" w:ascii="仿宋" w:hAnsi="仿宋" w:eastAsia="仿宋" w:cs="仿宋"/>
          <w:color w:val="FF0000"/>
          <w:sz w:val="28"/>
          <w:szCs w:val="28"/>
          <w:highlight w:val="none"/>
        </w:rPr>
        <w:t>单价详见附件清单）</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w:t>
      </w:r>
      <w:r>
        <w:rPr>
          <w:rFonts w:hint="eastAsia" w:ascii="仿宋" w:hAnsi="仿宋" w:eastAsia="仿宋" w:cs="仿宋"/>
          <w:b/>
          <w:bCs/>
          <w:color w:val="auto"/>
          <w:sz w:val="28"/>
          <w:szCs w:val="28"/>
          <w:highlight w:val="none"/>
          <w:vertAlign w:val="baseline"/>
          <w:lang w:val="en-US" w:eastAsia="zh-CN"/>
        </w:rPr>
        <w:t>深化设计费</w:t>
      </w:r>
      <w:r>
        <w:rPr>
          <w:rFonts w:hint="eastAsia" w:ascii="仿宋" w:hAnsi="仿宋" w:eastAsia="仿宋" w:cs="仿宋"/>
          <w:b/>
          <w:bCs/>
          <w:color w:val="FF0000"/>
          <w:sz w:val="28"/>
          <w:szCs w:val="28"/>
          <w:highlight w:val="none"/>
          <w:vertAlign w:val="baseline"/>
          <w:lang w:val="en-US" w:eastAsia="zh-CN"/>
        </w:rPr>
        <w:t>（</w:t>
      </w:r>
      <w:r>
        <w:rPr>
          <w:rFonts w:hint="eastAsia" w:ascii="仿宋" w:hAnsi="仿宋" w:eastAsia="仿宋" w:cs="仿宋"/>
          <w:b/>
          <w:bCs/>
          <w:color w:val="FF0000"/>
          <w:sz w:val="28"/>
          <w:szCs w:val="28"/>
          <w:highlight w:val="none"/>
        </w:rPr>
        <w:t>包叠合板的图纸深化设计，优化设计，且包本项目建学设计公司对深化，优化设计同意并签名，盖章</w:t>
      </w:r>
      <w:r>
        <w:rPr>
          <w:rFonts w:hint="eastAsia" w:ascii="仿宋" w:hAnsi="仿宋" w:eastAsia="仿宋" w:cs="仿宋"/>
          <w:b/>
          <w:bCs/>
          <w:color w:val="FF0000"/>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rPr>
        <w:t>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w:t>
      </w:r>
      <w:r>
        <w:rPr>
          <w:rFonts w:hint="eastAsia" w:ascii="仿宋" w:hAnsi="仿宋" w:eastAsia="仿宋" w:cs="仿宋"/>
          <w:color w:val="FF0000"/>
          <w:sz w:val="28"/>
          <w:szCs w:val="28"/>
          <w:highlight w:val="none"/>
          <w:vertAlign w:val="baseline"/>
          <w:lang w:val="en-US" w:eastAsia="zh-CN"/>
        </w:rPr>
        <w:t>卸车由：</w:t>
      </w:r>
      <w:r>
        <w:rPr>
          <w:rFonts w:hint="eastAsia" w:ascii="仿宋" w:hAnsi="仿宋" w:eastAsia="仿宋" w:cs="仿宋"/>
          <w:b w:val="0"/>
          <w:bCs w:val="0"/>
          <w:color w:val="FF0000"/>
          <w:kern w:val="2"/>
          <w:sz w:val="28"/>
          <w:szCs w:val="28"/>
          <w:highlight w:val="none"/>
          <w:u w:val="none"/>
          <w:lang w:val="en-US" w:eastAsia="zh-CN" w:bidi="ar-SA"/>
        </w:rPr>
        <w:sym w:font="Wingdings" w:char="00A8"/>
      </w:r>
      <w:r>
        <w:rPr>
          <w:rFonts w:hint="eastAsia" w:ascii="仿宋" w:hAnsi="仿宋" w:eastAsia="仿宋" w:cs="仿宋"/>
          <w:color w:val="FF0000"/>
          <w:sz w:val="28"/>
          <w:szCs w:val="28"/>
          <w:highlight w:val="none"/>
          <w:vertAlign w:val="baseline"/>
          <w:lang w:val="en-US" w:eastAsia="zh-CN"/>
        </w:rPr>
        <w:t>乙方负责/</w:t>
      </w:r>
      <w:r>
        <w:rPr>
          <w:rFonts w:hint="eastAsia" w:ascii="仿宋" w:hAnsi="仿宋" w:eastAsia="仿宋" w:cs="仿宋"/>
          <w:b w:val="0"/>
          <w:bCs w:val="0"/>
          <w:color w:val="FF0000"/>
          <w:kern w:val="2"/>
          <w:sz w:val="28"/>
          <w:szCs w:val="28"/>
          <w:highlight w:val="none"/>
          <w:u w:val="none"/>
          <w:lang w:val="en-US" w:eastAsia="zh-CN" w:bidi="ar-SA"/>
        </w:rPr>
        <w:sym w:font="Wingdings" w:char="00FE"/>
      </w:r>
      <w:r>
        <w:rPr>
          <w:rFonts w:hint="eastAsia" w:ascii="仿宋" w:hAnsi="仿宋" w:eastAsia="仿宋" w:cs="仿宋"/>
          <w:color w:val="FF0000"/>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检验检测所需的材料（数量按产品使用地点政府主管部门送检取样要求）及检验检测费（产品移交甲方前的所有检验检测费用，检验检测须符合产品使用地点政府主管部门要求）、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税额</w:t>
      </w:r>
      <w:r>
        <w:rPr>
          <w:rFonts w:hint="eastAsia" w:ascii="仿宋" w:hAnsi="仿宋" w:eastAsia="仿宋" w:cs="仿宋"/>
          <w:color w:val="auto"/>
          <w:sz w:val="28"/>
          <w:szCs w:val="28"/>
          <w:highlight w:val="none"/>
          <w:vertAlign w:val="baseline"/>
        </w:rPr>
        <w:t>随之调整）等，含乙方承担合同义务、责任、风险的费用，除合同另有约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合同</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val="en-US" w:eastAsia="zh-CN"/>
        </w:rPr>
        <w:t>做</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53EF2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u w:val="none"/>
          <w:vertAlign w:val="baseline"/>
          <w:lang w:val="en-US" w:eastAsia="zh-CN"/>
        </w:rPr>
        <w:t>1.2</w:t>
      </w:r>
      <w:r>
        <w:rPr>
          <w:rFonts w:hint="eastAsia" w:ascii="仿宋" w:hAnsi="仿宋" w:eastAsia="仿宋" w:cs="仿宋"/>
          <w:color w:val="auto"/>
          <w:sz w:val="28"/>
          <w:szCs w:val="28"/>
          <w:highlight w:val="none"/>
          <w:u w:val="none"/>
          <w:vertAlign w:val="baseline"/>
        </w:rPr>
        <w:t>乙方的送货数量</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品牌</w:t>
      </w:r>
      <w:r>
        <w:rPr>
          <w:rFonts w:hint="eastAsia" w:ascii="仿宋" w:hAnsi="仿宋" w:eastAsia="仿宋" w:cs="仿宋"/>
          <w:color w:val="auto"/>
          <w:sz w:val="28"/>
          <w:szCs w:val="28"/>
          <w:highlight w:val="none"/>
          <w:u w:val="none"/>
          <w:vertAlign w:val="baseline"/>
        </w:rPr>
        <w:t>由甲方决定，</w:t>
      </w:r>
      <w:r>
        <w:rPr>
          <w:rFonts w:hint="eastAsia" w:ascii="仿宋" w:hAnsi="仿宋" w:eastAsia="仿宋" w:cs="仿宋"/>
          <w:color w:val="auto"/>
          <w:sz w:val="28"/>
          <w:szCs w:val="28"/>
          <w:highlight w:val="none"/>
          <w:u w:val="none"/>
          <w:vertAlign w:val="baseline"/>
          <w:lang w:val="en-US" w:eastAsia="zh-CN"/>
        </w:rPr>
        <w:t>如甲方要求分批次送货的，</w:t>
      </w:r>
      <w:r>
        <w:rPr>
          <w:rFonts w:hint="eastAsia" w:ascii="仿宋" w:hAnsi="仿宋" w:eastAsia="仿宋" w:cs="仿宋"/>
          <w:color w:val="auto"/>
          <w:sz w:val="28"/>
          <w:szCs w:val="28"/>
          <w:highlight w:val="none"/>
          <w:u w:val="none"/>
          <w:vertAlign w:val="baseline"/>
        </w:rPr>
        <w:t>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所产生的费用已经包含在合同单价内，不再另外增补任何费用</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477FD6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1.3根据产品暂定数量计算，本合同暂定总价为人民币</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元整，其中不含税总价为人民币</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元，增值税税额为人民币</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元。</w:t>
      </w:r>
      <w:r>
        <w:rPr>
          <w:rFonts w:hint="eastAsia" w:ascii="仿宋" w:hAnsi="仿宋" w:eastAsia="仿宋" w:cs="仿宋"/>
          <w:color w:val="auto"/>
          <w:sz w:val="28"/>
          <w:szCs w:val="28"/>
          <w:highlight w:val="none"/>
          <w:vertAlign w:val="baseline"/>
        </w:rPr>
        <w:t>合同暂定总价仅供参考，不作结算用途。</w:t>
      </w:r>
    </w:p>
    <w:p w14:paraId="754BB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48D01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4E222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1.4.2其他要求：/。</w:t>
      </w:r>
    </w:p>
    <w:p w14:paraId="460A1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0BA7C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3FBA0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1.8乙方根据甲方需要提供现场临时指导和培训，费用已包含在合同单价中</w:t>
      </w:r>
      <w:bookmarkStart w:id="3" w:name="_Toc13709"/>
      <w:r>
        <w:rPr>
          <w:rFonts w:hint="eastAsia" w:ascii="仿宋" w:hAnsi="仿宋" w:eastAsia="仿宋" w:cs="仿宋"/>
          <w:color w:val="auto"/>
          <w:sz w:val="28"/>
          <w:szCs w:val="28"/>
          <w:highlight w:val="none"/>
          <w:u w:val="none"/>
          <w:vertAlign w:val="baseline"/>
          <w:lang w:val="en-US" w:eastAsia="zh-CN"/>
        </w:rPr>
        <w:t>。</w:t>
      </w:r>
    </w:p>
    <w:p w14:paraId="2E60A320">
      <w:pPr>
        <w:keepNext w:val="0"/>
        <w:keepLines w:val="0"/>
        <w:pageBreakBefore w:val="0"/>
        <w:widowControl w:val="0"/>
        <w:numPr>
          <w:ilvl w:val="0"/>
          <w:numId w:val="0"/>
        </w:numPr>
        <w:kinsoku/>
        <w:wordWrap/>
        <w:overflowPunct/>
        <w:topLinePunct w:val="0"/>
        <w:autoSpaceDE/>
        <w:autoSpaceDN/>
        <w:bidi w:val="0"/>
        <w:adjustRightInd/>
        <w:snapToGrid/>
        <w:spacing w:line="498" w:lineRule="exact"/>
        <w:textAlignment w:val="auto"/>
        <w:outlineLvl w:val="0"/>
        <w:rPr>
          <w:rFonts w:hint="default" w:ascii="仿宋" w:hAnsi="仿宋" w:eastAsia="仿宋" w:cs="仿宋"/>
          <w:color w:val="auto"/>
          <w:sz w:val="28"/>
          <w:szCs w:val="28"/>
          <w:highlight w:val="none"/>
          <w:u w:val="none"/>
          <w:vertAlign w:val="baseline"/>
          <w:lang w:val="en-US" w:eastAsia="zh-CN"/>
        </w:rPr>
      </w:pPr>
      <w:bookmarkStart w:id="4" w:name="_Toc22686"/>
      <w:bookmarkStart w:id="5" w:name="_Toc2446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4"/>
      <w:bookmarkEnd w:id="5"/>
    </w:p>
    <w:p w14:paraId="4F2C3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03176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2407D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9C1B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rPr>
      </w:pPr>
      <w:r>
        <w:rPr>
          <w:rFonts w:hint="eastAsia" w:ascii="仿宋" w:hAnsi="仿宋" w:eastAsia="仿宋" w:cs="仿宋"/>
          <w:color w:val="auto"/>
          <w:sz w:val="28"/>
          <w:highlight w:val="none"/>
          <w:u w:val="none"/>
          <w:lang w:val="en-US" w:eastAsia="zh-CN"/>
        </w:rPr>
        <w:t>2.1.2产品到齐甲方指定交货地点经甲方验收合格并移交甲方，甲方收齐金额等于结算款的全额发票等相关资料后付至合同结算总价的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14:paraId="702499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color w:val="auto"/>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2C6447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办法二、其他方式</w:t>
      </w:r>
    </w:p>
    <w:p w14:paraId="79F0F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乙方供货每满两个自然月（即一个周期），甲乙双方在第三个自然月对该周期所供产品进行对账，对账一致后甲方支付该周期所供产品总价的70%；本项目所需产品完成供货后，甲乙双方就所供产品总额进行结算，双方就结算金额达成一致且甲方收齐金额等于结算总价100%的发票后，甲方付至结算总价的97%，结算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0BE4C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对账月的3日至8日，对账一致后当月10日前开票给甲方对账人员。乙方在对账月的3日前一次性交齐上一周期供货产品的对账资料至甲方项目部，双方在当月8日前（遇节假日则顺延）完成对账，如乙方逾期交齐对账资料，则对账日期顺延至下一对账月的3日至8日。下一对账月乙方对账时还须提供“延迟付款声明函”（格式详见附件）给甲方，以此类推。(例：乙方在6月3日前交齐4、5月份货款的对账资料给甲方项目部并在6月8日完成对账，且甲方在6月10日前收到对账金额70%的发票后，甲方在6月30日前支付4、5月份货款的</w:t>
      </w:r>
      <w:r>
        <w:rPr>
          <w:rFonts w:hint="eastAsia" w:ascii="仿宋" w:hAnsi="仿宋" w:eastAsia="仿宋" w:cs="仿宋"/>
          <w:color w:val="auto"/>
          <w:sz w:val="28"/>
          <w:highlight w:val="none"/>
          <w:u w:val="single"/>
          <w:lang w:val="en-US" w:eastAsia="zh-CN"/>
        </w:rPr>
        <w:t>70</w:t>
      </w:r>
      <w:r>
        <w:rPr>
          <w:rFonts w:hint="eastAsia" w:ascii="仿宋" w:hAnsi="仿宋" w:eastAsia="仿宋" w:cs="仿宋"/>
          <w:color w:val="auto"/>
          <w:sz w:val="28"/>
          <w:highlight w:val="none"/>
          <w:u w:val="none"/>
          <w:lang w:val="en-US" w:eastAsia="zh-CN"/>
        </w:rPr>
        <w:t>%；若乙方6月4日（或更迟）交齐4、5月份货款的对账资料给甲方，则4、5月份货款的对账时间顺延至8月3日至8日，付款时间顺延至8月31日前，以此类推。)</w:t>
      </w:r>
    </w:p>
    <w:p w14:paraId="5220B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乙方对账单（结算单）、本合同复印件（含调价函）、材料签收单、乙方送货单（发货单）、材料收货水印照片、材料款申报审批表、款项支付台账、供应商月度对账单、结清承诺书。</w:t>
      </w:r>
    </w:p>
    <w:p w14:paraId="295E1E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0D49B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574DE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6D56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52C11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34FE8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2C3EF52B">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3100B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w:t>
      </w:r>
    </w:p>
    <w:p w14:paraId="56148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4171A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7B2F0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办法三、其他办法</w:t>
      </w:r>
    </w:p>
    <w:p w14:paraId="33A14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7B8D7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23FAA0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w:t>
      </w:r>
      <w:r>
        <w:rPr>
          <w:rFonts w:hint="eastAsia" w:ascii="仿宋" w:hAnsi="仿宋" w:eastAsia="仿宋" w:cs="仿宋"/>
          <w:color w:val="auto"/>
          <w:sz w:val="28"/>
          <w:highlight w:val="none"/>
          <w:u w:val="none"/>
          <w:lang w:val="en-US" w:eastAsia="zh-CN"/>
        </w:rPr>
        <w:t>（乙方承担贴息费）</w:t>
      </w:r>
      <w:r>
        <w:rPr>
          <w:rFonts w:hint="default" w:ascii="仿宋" w:hAnsi="仿宋" w:eastAsia="仿宋" w:cs="仿宋"/>
          <w:color w:val="auto"/>
          <w:sz w:val="28"/>
          <w:highlight w:val="none"/>
          <w:u w:val="none"/>
          <w:lang w:val="en-US" w:eastAsia="zh-CN"/>
        </w:rPr>
        <w:t>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1DE4F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w:t>
      </w:r>
    </w:p>
    <w:p w14:paraId="437661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内容须与合同约定内容一致，并按甲方要求分项目、分地块、分楼栋分别开具，否则视为乙方逾期提供发票给甲方，属乙方违约，甲方有权不付款。乙方逾期提供合格发票的，在提供合格发票时须同时提供“延迟付款声明函”，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2B0A5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E95D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3D906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06AD9CE3">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3427D1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w:t>
      </w:r>
    </w:p>
    <w:p w14:paraId="38C1B2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甲方无需向乙方支付违约金或利息，直至双方达成一致意见后方可按甲方相应流程办理付款手续。</w:t>
      </w:r>
    </w:p>
    <w:p w14:paraId="68158C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收付事宜的全部权利消灭，乙方不得基于合同款收付事宜向甲方提出任何权利主张或追索其他任何费用。</w:t>
      </w:r>
    </w:p>
    <w:p w14:paraId="284F7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EC22C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6" w:name="_Toc20388"/>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3"/>
      <w:bookmarkEnd w:id="6"/>
    </w:p>
    <w:p w14:paraId="0293F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0B228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FF0000"/>
          <w:sz w:val="28"/>
          <w:highlight w:val="none"/>
        </w:rPr>
        <w:t>产品质量必须满足甲方要求，满足本项目图纸设计要求且符合产品使用</w:t>
      </w:r>
      <w:r>
        <w:rPr>
          <w:rFonts w:hint="eastAsia" w:ascii="仿宋" w:hAnsi="仿宋" w:eastAsia="仿宋" w:cs="仿宋"/>
          <w:color w:val="FF0000"/>
          <w:sz w:val="28"/>
          <w:highlight w:val="none"/>
          <w:lang w:eastAsia="zh-CN"/>
        </w:rPr>
        <w:t>地点</w:t>
      </w:r>
      <w:r>
        <w:rPr>
          <w:rFonts w:hint="eastAsia" w:ascii="仿宋" w:hAnsi="仿宋" w:eastAsia="仿宋" w:cs="仿宋"/>
          <w:color w:val="auto"/>
          <w:sz w:val="28"/>
          <w:highlight w:val="none"/>
          <w:lang w:eastAsia="zh-CN"/>
        </w:rPr>
        <w:t>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628ED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相关费用由乙方承担且每次向甲方承担违约金壹万元。各种标准、规范的质量表述不一致时，以质量要求最高的表述执行。</w:t>
      </w:r>
    </w:p>
    <w:p w14:paraId="4A152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p>
    <w:p w14:paraId="10B57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3.2产品包装要求：符合政府主管部门的要求</w:t>
      </w:r>
      <w:r>
        <w:rPr>
          <w:rFonts w:hint="eastAsia" w:ascii="仿宋" w:hAnsi="仿宋" w:eastAsia="仿宋" w:cs="仿宋"/>
          <w:color w:val="auto"/>
          <w:sz w:val="28"/>
          <w:highlight w:val="none"/>
          <w:u w:val="single"/>
          <w:vertAlign w:val="baseline"/>
          <w:lang w:val="en-US" w:eastAsia="zh-CN"/>
        </w:rPr>
        <w:t>。</w:t>
      </w:r>
    </w:p>
    <w:p w14:paraId="07FC5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3.3产品包装物归属：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004FCE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7" w:name="_Toc23033"/>
      <w:bookmarkStart w:id="8" w:name="_Toc4593"/>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u w:val="none"/>
          <w:lang w:val="en-US" w:eastAsia="zh-CN"/>
        </w:rPr>
        <w:t>与</w:t>
      </w:r>
      <w:r>
        <w:rPr>
          <w:rFonts w:hint="eastAsia" w:ascii="仿宋" w:hAnsi="仿宋" w:eastAsia="仿宋" w:cs="仿宋"/>
          <w:b/>
          <w:bCs/>
          <w:color w:val="auto"/>
          <w:sz w:val="28"/>
          <w:highlight w:val="none"/>
        </w:rPr>
        <w:t>交货</w:t>
      </w:r>
      <w:bookmarkEnd w:id="7"/>
      <w:bookmarkEnd w:id="8"/>
    </w:p>
    <w:p w14:paraId="182C74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w:t>
      </w:r>
      <w:r>
        <w:rPr>
          <w:rFonts w:hint="eastAsia" w:ascii="仿宋" w:hAnsi="仿宋" w:eastAsia="仿宋" w:cs="仿宋"/>
          <w:color w:val="auto"/>
          <w:sz w:val="28"/>
          <w:highlight w:val="none"/>
          <w:u w:val="single"/>
          <w:lang w:eastAsia="zh-CN"/>
        </w:rPr>
        <w:t>甲方</w:t>
      </w:r>
      <w:r>
        <w:rPr>
          <w:rFonts w:hint="eastAsia" w:ascii="仿宋" w:hAnsi="仿宋" w:eastAsia="仿宋" w:cs="仿宋"/>
          <w:color w:val="auto"/>
          <w:sz w:val="28"/>
          <w:highlight w:val="none"/>
          <w:u w:val="single"/>
          <w:lang w:val="en-US" w:eastAsia="zh-CN"/>
        </w:rPr>
        <w:t>合同</w:t>
      </w:r>
      <w:r>
        <w:rPr>
          <w:rFonts w:hint="eastAsia" w:ascii="仿宋" w:hAnsi="仿宋" w:eastAsia="仿宋" w:cs="仿宋"/>
          <w:color w:val="auto"/>
          <w:sz w:val="28"/>
          <w:highlight w:val="none"/>
          <w:u w:val="single"/>
          <w:lang w:eastAsia="zh-CN"/>
        </w:rPr>
        <w:t>执行联系人</w:t>
      </w:r>
      <w:r>
        <w:rPr>
          <w:rFonts w:hint="eastAsia" w:ascii="仿宋" w:hAnsi="仿宋" w:eastAsia="仿宋" w:cs="仿宋"/>
          <w:color w:val="auto"/>
          <w:sz w:val="28"/>
          <w:highlight w:val="none"/>
          <w:u w:val="single"/>
          <w:lang w:val="en-US" w:eastAsia="zh-CN"/>
        </w:rPr>
        <w:t>书面</w:t>
      </w:r>
      <w:r>
        <w:rPr>
          <w:rFonts w:hint="eastAsia" w:ascii="仿宋" w:hAnsi="仿宋" w:eastAsia="仿宋" w:cs="仿宋"/>
          <w:color w:val="auto"/>
          <w:sz w:val="28"/>
          <w:highlight w:val="none"/>
          <w:u w:val="single"/>
          <w:lang w:eastAsia="zh-CN"/>
        </w:rPr>
        <w:t>通知</w:t>
      </w:r>
      <w:r>
        <w:rPr>
          <w:rFonts w:hint="eastAsia" w:ascii="仿宋" w:hAnsi="仿宋" w:eastAsia="仿宋" w:cs="仿宋"/>
          <w:color w:val="auto"/>
          <w:sz w:val="28"/>
          <w:highlight w:val="none"/>
          <w:u w:val="single"/>
          <w:lang w:val="en-US" w:eastAsia="zh-CN"/>
        </w:rPr>
        <w:t>为准</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详见第4.4.1条约定。</w:t>
      </w:r>
    </w:p>
    <w:p w14:paraId="3B970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南京市六合区本项目甲方项目部指定的堆放位置</w:t>
      </w:r>
      <w:r>
        <w:rPr>
          <w:rFonts w:hint="eastAsia" w:ascii="仿宋" w:hAnsi="仿宋" w:eastAsia="仿宋" w:cs="仿宋"/>
          <w:b/>
          <w:bCs/>
          <w:color w:val="auto"/>
          <w:sz w:val="28"/>
          <w:highlight w:val="none"/>
          <w:u w:val="single"/>
          <w:lang w:val="en-US" w:eastAsia="zh-CN"/>
        </w:rPr>
        <w:t>。</w:t>
      </w:r>
    </w:p>
    <w:p w14:paraId="3D104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w:t>
      </w:r>
      <w:r>
        <w:rPr>
          <w:rFonts w:hint="eastAsia" w:ascii="仿宋" w:hAnsi="仿宋" w:eastAsia="仿宋" w:cs="仿宋"/>
          <w:b/>
          <w:bCs/>
          <w:color w:val="auto"/>
          <w:sz w:val="28"/>
          <w:highlight w:val="none"/>
          <w:u w:val="single"/>
          <w:lang w:val="en-US" w:eastAsia="zh-CN"/>
        </w:rPr>
        <w:t>15个日历天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w:t>
      </w:r>
      <w:r>
        <w:rPr>
          <w:rFonts w:hint="eastAsia" w:ascii="仿宋" w:hAnsi="仿宋" w:eastAsia="仿宋" w:cs="仿宋"/>
          <w:b w:val="0"/>
          <w:bCs w:val="0"/>
          <w:color w:val="auto"/>
          <w:sz w:val="28"/>
          <w:highlight w:val="none"/>
          <w:u w:val="single"/>
          <w:lang w:val="en-US" w:eastAsia="zh-CN"/>
        </w:rPr>
        <w:t>乙方</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该订单对应</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并移交给甲方。</w:t>
      </w:r>
    </w:p>
    <w:p w14:paraId="60686F35">
      <w:pPr>
        <w:keepNext w:val="0"/>
        <w:keepLines w:val="0"/>
        <w:pageBreakBefore w:val="0"/>
        <w:wordWrap/>
        <w:topLinePunct w:val="0"/>
        <w:bidi w:val="0"/>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b w:val="0"/>
          <w:bCs w:val="0"/>
          <w:color w:val="auto"/>
          <w:sz w:val="28"/>
          <w:highlight w:val="none"/>
          <w:u w:val="none"/>
          <w:lang w:val="en-US" w:eastAsia="zh-CN"/>
        </w:rPr>
        <w:t>4.4联系人及权限</w:t>
      </w:r>
    </w:p>
    <w:p w14:paraId="0628005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val="en-US" w:eastAsia="zh-CN"/>
        </w:rPr>
        <w:t>4.4.1甲方指定</w:t>
      </w:r>
      <w:r>
        <w:rPr>
          <w:rFonts w:hint="eastAsia" w:ascii="仿宋" w:hAnsi="仿宋" w:eastAsia="仿宋" w:cs="仿宋"/>
          <w:color w:val="auto"/>
          <w:sz w:val="28"/>
          <w:highlight w:val="none"/>
          <w:u w:val="single"/>
          <w:lang w:val="en-US" w:eastAsia="zh-CN"/>
        </w:rPr>
        <w:t xml:space="preserve"> 彭善海（联系电话：13592796498）</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杨军 (仓管</w:t>
      </w:r>
      <w:r>
        <w:rPr>
          <w:rFonts w:hint="eastAsia" w:ascii="仿宋" w:hAnsi="仿宋" w:eastAsia="仿宋" w:cs="仿宋"/>
          <w:color w:val="auto"/>
          <w:sz w:val="28"/>
          <w:highlight w:val="none"/>
          <w:u w:val="single"/>
          <w:shd w:val="clear" w:color="auto" w:fill="auto"/>
          <w:lang w:eastAsia="zh-CN"/>
        </w:rPr>
        <w:t xml:space="preserve">员) </w:t>
      </w:r>
      <w:r>
        <w:rPr>
          <w:rFonts w:hint="eastAsia" w:ascii="仿宋" w:hAnsi="仿宋" w:eastAsia="仿宋" w:cs="仿宋"/>
          <w:color w:val="auto"/>
          <w:sz w:val="28"/>
          <w:highlight w:val="none"/>
          <w:shd w:val="clear" w:color="auto" w:fill="auto"/>
          <w:lang w:eastAsia="zh-CN"/>
        </w:rPr>
        <w:t>为产品签收人，联系电话:</w:t>
      </w:r>
      <w:r>
        <w:rPr>
          <w:rFonts w:hint="eastAsia" w:ascii="仿宋" w:hAnsi="仿宋" w:eastAsia="仿宋" w:cs="仿宋"/>
          <w:color w:val="auto"/>
          <w:sz w:val="28"/>
          <w:highlight w:val="none"/>
          <w:u w:val="single"/>
          <w:shd w:val="clear" w:color="auto" w:fill="auto"/>
          <w:lang w:val="en-US" w:eastAsia="zh-CN"/>
        </w:rPr>
        <w:t>13652456602</w:t>
      </w:r>
      <w:r>
        <w:rPr>
          <w:rFonts w:hint="eastAsia" w:ascii="仿宋" w:hAnsi="仿宋" w:eastAsia="仿宋" w:cs="仿宋"/>
          <w:color w:val="auto"/>
          <w:sz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w:t>
      </w:r>
      <w:r>
        <w:rPr>
          <w:rFonts w:hint="eastAsia" w:ascii="仿宋" w:hAnsi="仿宋" w:eastAsia="仿宋" w:cs="仿宋"/>
          <w:color w:val="auto"/>
          <w:sz w:val="28"/>
          <w:highlight w:val="none"/>
          <w:shd w:val="clear" w:color="auto" w:fill="auto"/>
          <w:lang w:val="en-US" w:eastAsia="zh-CN"/>
        </w:rPr>
        <w:t>样式详见附件</w:t>
      </w:r>
      <w:r>
        <w:rPr>
          <w:rFonts w:hint="eastAsia" w:ascii="仿宋" w:hAnsi="仿宋" w:eastAsia="仿宋" w:cs="仿宋"/>
          <w:color w:val="auto"/>
          <w:sz w:val="28"/>
          <w:highlight w:val="none"/>
          <w:shd w:val="clear" w:color="auto" w:fill="auto"/>
          <w:lang w:eastAsia="zh-CN"/>
        </w:rPr>
        <w:t>）方为有效，否则为无效文件，仅盖章或者签名的文件亦无效。甲方项目负责人、执行联系人变更的，甲方将以书面形式通知乙方。</w:t>
      </w:r>
    </w:p>
    <w:p w14:paraId="5E28F8A7">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6A0D0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4.4.1.1签订合同；</w:t>
      </w:r>
    </w:p>
    <w:p w14:paraId="4E7E9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4.4.1.2任何类型的欠条或收据；</w:t>
      </w:r>
    </w:p>
    <w:p w14:paraId="05BCB4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4.4.1.3任何形式的经济结算凭证；</w:t>
      </w:r>
    </w:p>
    <w:p w14:paraId="2472C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4.4.1.4为他人或他单位提供任何形式的担保；</w:t>
      </w:r>
    </w:p>
    <w:p w14:paraId="1B9846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4.4.1.5确认任何形式的包含权利义务及责任承担的文件。</w:t>
      </w:r>
    </w:p>
    <w:p w14:paraId="0FCB5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4.4.2</w:t>
      </w:r>
      <w:r>
        <w:rPr>
          <w:rFonts w:hint="eastAsia" w:ascii="仿宋" w:hAnsi="仿宋" w:eastAsia="仿宋" w:cs="仿宋"/>
          <w:color w:val="auto"/>
          <w:sz w:val="28"/>
          <w:highlight w:val="none"/>
          <w:lang w:eastAsia="zh-CN"/>
        </w:rPr>
        <w:t>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；微信号：        ；电子邮箱：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eastAsia="zh-CN"/>
        </w:rPr>
        <w:t>作为其授权代表，在本合同有效期内执行与本合同有关的事项。乙方授权代表以乙方的名义处理</w:t>
      </w:r>
      <w:r>
        <w:rPr>
          <w:rFonts w:hint="eastAsia" w:ascii="仿宋" w:hAnsi="仿宋" w:eastAsia="仿宋" w:cs="仿宋"/>
          <w:color w:val="auto"/>
          <w:sz w:val="28"/>
          <w:highlight w:val="none"/>
          <w:shd w:val="clear" w:color="auto" w:fill="auto"/>
          <w:lang w:val="en-US" w:eastAsia="zh-CN"/>
        </w:rPr>
        <w:t>与</w:t>
      </w:r>
      <w:r>
        <w:rPr>
          <w:rFonts w:hint="eastAsia" w:ascii="仿宋" w:hAnsi="仿宋" w:eastAsia="仿宋" w:cs="仿宋"/>
          <w:color w:val="auto"/>
          <w:sz w:val="28"/>
          <w:highlight w:val="none"/>
          <w:shd w:val="clear" w:color="auto" w:fill="auto"/>
          <w:lang w:eastAsia="zh-CN"/>
        </w:rPr>
        <w:t>本合同相关的一切事务，乙方对其行为均认可并承担一切责任。</w:t>
      </w:r>
      <w:r>
        <w:rPr>
          <w:rFonts w:hint="eastAsia" w:ascii="仿宋" w:hAnsi="仿宋" w:eastAsia="仿宋" w:cs="仿宋"/>
          <w:color w:val="auto"/>
          <w:sz w:val="28"/>
          <w:highlight w:val="none"/>
          <w:u w:val="none"/>
          <w:shd w:val="clear" w:color="auto" w:fill="auto"/>
          <w:lang w:eastAsia="zh-CN"/>
        </w:rPr>
        <w:t>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p>
    <w:p w14:paraId="5A13A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除甲方本合同执行联系人外，甲方项目部其他人员对涉及费用的所有文件、资料无权进行确定、批准。甲方的本合同执行联系人在本合同有效期内，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C2A1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0"/>
        <w:rPr>
          <w:rFonts w:hint="eastAsia" w:ascii="仿宋" w:hAnsi="仿宋" w:eastAsia="仿宋" w:cs="仿宋"/>
          <w:color w:val="auto"/>
          <w:sz w:val="28"/>
          <w:highlight w:val="none"/>
          <w:lang w:val="en-US" w:eastAsia="zh-CN"/>
        </w:rPr>
      </w:pPr>
      <w:bookmarkStart w:id="9" w:name="_Toc14050"/>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130C5F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val="0"/>
          <w:bCs w:val="0"/>
          <w:color w:val="auto"/>
          <w:sz w:val="28"/>
          <w:highlight w:val="none"/>
          <w:u w:val="none"/>
          <w:lang w:eastAsia="zh-CN"/>
        </w:rPr>
      </w:pPr>
      <w:r>
        <w:rPr>
          <w:rFonts w:hint="eastAsia" w:ascii="仿宋" w:hAnsi="仿宋" w:eastAsia="仿宋" w:cs="仿宋"/>
          <w:b/>
          <w:bCs/>
          <w:color w:val="auto"/>
          <w:sz w:val="28"/>
          <w:highlight w:val="none"/>
          <w:u w:val="none"/>
          <w:lang w:val="en-US" w:eastAsia="zh-CN"/>
        </w:rPr>
        <w:t>第五章、</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val="en-US" w:eastAsia="zh-CN"/>
        </w:rPr>
        <w:t>与</w:t>
      </w:r>
      <w:r>
        <w:rPr>
          <w:rFonts w:hint="eastAsia" w:ascii="仿宋" w:hAnsi="仿宋" w:eastAsia="仿宋" w:cs="仿宋"/>
          <w:b/>
          <w:bCs/>
          <w:color w:val="auto"/>
          <w:sz w:val="28"/>
          <w:highlight w:val="none"/>
          <w:lang w:eastAsia="zh-CN"/>
        </w:rPr>
        <w:t>保修</w:t>
      </w:r>
      <w:bookmarkEnd w:id="9"/>
    </w:p>
    <w:p w14:paraId="7763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5.1验收</w:t>
      </w:r>
    </w:p>
    <w:p w14:paraId="773A91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5.1.1乙方送货单须准确填写车号、产品等级、立方量、使用地块、出厂时间且加盖乙方公章，甲方按送货单载明的产品及数量等进行核对、验收。乙方送货前须提前告知送货司机的姓名、车辆车牌号。本合同履行过程中发生的提货单、出入</w:t>
      </w:r>
    </w:p>
    <w:p w14:paraId="45A7E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库单等类似单据、小票仅作为确认双方产品数量的依据，单据，小票中对争议管辖、赔偿价格和违约责任等事项的表述无效，甲乙双方确定以本合同条款为准。</w:t>
      </w:r>
    </w:p>
    <w:p w14:paraId="22AE3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5.1.2产品进场时乙方须向甲方提供产品出厂合格证、出厂质量证明书等相关资料并在当天移交甲方存档。</w:t>
      </w:r>
    </w:p>
    <w:p w14:paraId="45B7DC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5.1.3甲方项目施工员在产品进场时，有权对品牌、规格、型号、质量等进行全检并拍照留存。</w:t>
      </w:r>
    </w:p>
    <w:p w14:paraId="70D4F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5.1.4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665A4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5.2</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w:t>
      </w:r>
    </w:p>
    <w:p w14:paraId="41273F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w:t>
      </w:r>
    </w:p>
    <w:p w14:paraId="159FE0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复查程序等要求按甲方规定执行。乙方指派人员配合、参与甲方验收，如乙方未指</w:t>
      </w:r>
    </w:p>
    <w:p w14:paraId="004949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56A92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5.3</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w:t>
      </w:r>
    </w:p>
    <w:p w14:paraId="4203F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47B711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5.4产品</w:t>
      </w:r>
      <w:r>
        <w:rPr>
          <w:rFonts w:hint="eastAsia" w:ascii="仿宋" w:hAnsi="仿宋" w:eastAsia="仿宋" w:cs="仿宋"/>
          <w:b w:val="0"/>
          <w:bCs w:val="0"/>
          <w:color w:val="auto"/>
          <w:sz w:val="28"/>
          <w:highlight w:val="none"/>
          <w:u w:val="none"/>
          <w:lang w:eastAsia="zh-CN"/>
        </w:rPr>
        <w:t>数量结算依据为甲方指定的本合同对应项目执行联系人和验收组人员共同签名的签收单及甲方认可的相关资料。</w:t>
      </w:r>
    </w:p>
    <w:p w14:paraId="2186A4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5.5由甲方仓管员对进场产品组织验收，如甲方栋号施工员不能第一时间进行验收，由甲方仓管员组织保安组长共同进行验收并签名，栋号施工员在产品进场12小时内进行复验，验收完成后在材料签收单签名。</w:t>
      </w:r>
    </w:p>
    <w:p w14:paraId="31E67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5.6甲方仓管员按甲方规定开具材料签收单，一式三联，白联由甲方项目部留底，红联交至甲方财务部，绿联交乙方用于请款。</w:t>
      </w:r>
    </w:p>
    <w:p w14:paraId="3FB74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5.7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75557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5.8保修</w:t>
      </w:r>
    </w:p>
    <w:p w14:paraId="72C13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b w:val="0"/>
          <w:bCs w:val="0"/>
          <w:color w:val="auto"/>
          <w:sz w:val="28"/>
          <w:highlight w:val="none"/>
          <w:lang w:val="en-US" w:eastAsia="zh-CN"/>
        </w:rPr>
        <w:t>5.8</w:t>
      </w:r>
      <w:r>
        <w:rPr>
          <w:rFonts w:hint="eastAsia" w:ascii="仿宋" w:hAnsi="仿宋" w:eastAsia="仿宋" w:cs="仿宋"/>
          <w:b w:val="0"/>
          <w:bCs w:val="0"/>
          <w:color w:val="auto"/>
          <w:sz w:val="28"/>
          <w:highlight w:val="none"/>
        </w:rPr>
        <w:t>.1</w:t>
      </w:r>
      <w:r>
        <w:rPr>
          <w:rFonts w:hint="eastAsia" w:ascii="仿宋" w:hAnsi="仿宋" w:eastAsia="仿宋" w:cs="仿宋"/>
          <w:b w:val="0"/>
          <w:bCs w:val="0"/>
          <w:color w:val="auto"/>
          <w:sz w:val="28"/>
          <w:highlight w:val="none"/>
          <w:lang w:eastAsia="zh-CN"/>
        </w:rPr>
        <w:t>乙方</w:t>
      </w:r>
      <w:r>
        <w:rPr>
          <w:rFonts w:hint="eastAsia" w:ascii="仿宋" w:hAnsi="仿宋" w:eastAsia="仿宋" w:cs="仿宋"/>
          <w:b w:val="0"/>
          <w:bCs w:val="0"/>
          <w:color w:val="auto"/>
          <w:sz w:val="28"/>
          <w:highlight w:val="none"/>
        </w:rPr>
        <w:t>按法律、法规和国家有关规定对产品在</w:t>
      </w:r>
      <w:r>
        <w:rPr>
          <w:rFonts w:hint="eastAsia" w:ascii="仿宋" w:hAnsi="仿宋" w:eastAsia="仿宋" w:cs="仿宋"/>
          <w:b w:val="0"/>
          <w:bCs w:val="0"/>
          <w:color w:val="auto"/>
          <w:sz w:val="28"/>
          <w:highlight w:val="none"/>
          <w:lang w:eastAsia="zh-CN"/>
        </w:rPr>
        <w:t>保修</w:t>
      </w:r>
      <w:r>
        <w:rPr>
          <w:rFonts w:hint="eastAsia" w:ascii="仿宋" w:hAnsi="仿宋" w:eastAsia="仿宋" w:cs="仿宋"/>
          <w:b w:val="0"/>
          <w:bCs w:val="0"/>
          <w:color w:val="auto"/>
          <w:sz w:val="28"/>
          <w:highlight w:val="none"/>
        </w:rPr>
        <w:t>期内承担</w:t>
      </w:r>
      <w:r>
        <w:rPr>
          <w:rFonts w:hint="eastAsia" w:ascii="仿宋" w:hAnsi="仿宋" w:eastAsia="仿宋" w:cs="仿宋"/>
          <w:color w:val="auto"/>
          <w:sz w:val="28"/>
          <w:highlight w:val="none"/>
        </w:rPr>
        <w:t>质量保修责任</w:t>
      </w:r>
      <w:r>
        <w:rPr>
          <w:rFonts w:hint="eastAsia" w:ascii="仿宋" w:hAnsi="仿宋" w:eastAsia="仿宋" w:cs="仿宋"/>
          <w:color w:val="auto"/>
          <w:sz w:val="28"/>
          <w:highlight w:val="none"/>
          <w:lang w:eastAsia="zh-CN"/>
        </w:rPr>
        <w:t>，本合同有更长期限约定或更高保修要求的，按本合同执行。保修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18C46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5.8</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w:t>
      </w:r>
      <w:r>
        <w:rPr>
          <w:rFonts w:hint="eastAsia" w:ascii="仿宋" w:hAnsi="仿宋" w:eastAsia="仿宋" w:cs="仿宋"/>
          <w:color w:val="auto"/>
          <w:sz w:val="28"/>
          <w:highlight w:val="none"/>
          <w:u w:val="none"/>
          <w:lang w:eastAsia="zh-CN"/>
        </w:rPr>
        <w:t>行</w:t>
      </w:r>
      <w:r>
        <w:rPr>
          <w:rFonts w:hint="eastAsia" w:ascii="仿宋" w:hAnsi="仿宋" w:eastAsia="仿宋" w:cs="仿宋"/>
          <w:color w:val="auto"/>
          <w:sz w:val="28"/>
          <w:highlight w:val="none"/>
          <w:u w:val="single"/>
          <w:lang w:val="en-US" w:eastAsia="zh-CN"/>
        </w:rPr>
        <w:t xml:space="preserve">   2  </w:t>
      </w:r>
      <w:r>
        <w:rPr>
          <w:rFonts w:hint="eastAsia" w:ascii="仿宋" w:hAnsi="仿宋" w:eastAsia="仿宋" w:cs="仿宋"/>
          <w:color w:val="auto"/>
          <w:sz w:val="28"/>
          <w:highlight w:val="none"/>
          <w:lang w:eastAsia="zh-CN"/>
        </w:rPr>
        <w:t>年免费保修(国家或甲方与本项目建设单位另有更长保修期限规定的，从其规定)，保修期自产品经甲方验收合格并移交</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lang w:eastAsia="zh-CN"/>
        </w:rPr>
        <w:t>之日起计。保修期内，</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42A1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5.8</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w:t>
      </w:r>
    </w:p>
    <w:p w14:paraId="46A47B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rPr>
        <w:t>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事故所产生的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w:t>
      </w:r>
    </w:p>
    <w:p w14:paraId="54457D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1E94B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5.8.4产品完成施工安装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02352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5.8.5保修期届满后，甲乙双方对产品进行全面检查。乙方自费负责对检查中发现的问题予以及时处理和解决后，甲方出具保修合格证明文件。</w:t>
      </w:r>
    </w:p>
    <w:p w14:paraId="41612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5.8.6如产品在保修期满后发现乙方原因导致的质量问题或缺陷，乙方仍须承担修复责任，必须按甲方要求无偿修复并赔偿甲方因此遭受的损失，否则甲方有权</w:t>
      </w:r>
    </w:p>
    <w:p w14:paraId="61BB15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另行安排第三方修复，同时乙方同意甲方从与乙方签订的其他合同款项中直接扣款用于抵扣上述修复费用和损失。甲乙双方特别约定本条款不因本合同的终止而失效。</w:t>
      </w:r>
    </w:p>
    <w:p w14:paraId="78FB26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0" w:name="_Toc11701"/>
      <w:bookmarkStart w:id="11" w:name="_Toc10040"/>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rPr>
        <w:t>违约责任</w:t>
      </w:r>
      <w:bookmarkEnd w:id="10"/>
      <w:bookmarkEnd w:id="11"/>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6B7D5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w:t>
      </w:r>
    </w:p>
    <w:p w14:paraId="71D27C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w:t>
      </w:r>
    </w:p>
    <w:p w14:paraId="1EAB49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eastAsia="zh-CN"/>
        </w:rPr>
        <w:t>甲方支付合同暂定总价的20%作为违约金，同时乙方赔偿甲方因此遭受的损失。</w:t>
      </w:r>
    </w:p>
    <w:p w14:paraId="0CAC67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6.2乙方产品出现质量问题或缺陷的，除按本合同约定进行更换、维修外，每出现一次，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59180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0066B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263E3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p>
    <w:p w14:paraId="567B5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3F03BB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w:t>
      </w:r>
    </w:p>
    <w:p w14:paraId="6F9F7F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3CBAC7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6.8基于本项目的特殊性，乙方已充分了解其供货责任并自愿承担相应风险，合同所约定的违约金标准经双方友好协商确定，乙方同意不对违约金标准提出任何</w:t>
      </w:r>
    </w:p>
    <w:p w14:paraId="6EEEC6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主张或抗辩。</w:t>
      </w:r>
    </w:p>
    <w:p w14:paraId="1FA56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BBD1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w:t>
      </w:r>
      <w:r>
        <w:rPr>
          <w:rFonts w:hint="eastAsia" w:ascii="仿宋" w:hAnsi="仿宋" w:eastAsia="仿宋" w:cs="仿宋"/>
          <w:b w:val="0"/>
          <w:bCs w:val="0"/>
          <w:color w:val="auto"/>
          <w:sz w:val="28"/>
          <w:highlight w:val="none"/>
          <w:u w:val="none"/>
          <w:lang w:val="en-US" w:eastAsia="zh-CN"/>
        </w:rPr>
        <w:t>措施</w:t>
      </w:r>
      <w:r>
        <w:rPr>
          <w:rFonts w:hint="eastAsia" w:ascii="仿宋" w:hAnsi="仿宋" w:eastAsia="仿宋" w:cs="仿宋"/>
          <w:b w:val="0"/>
          <w:bCs w:val="0"/>
          <w:color w:val="auto"/>
          <w:sz w:val="28"/>
          <w:highlight w:val="none"/>
          <w:u w:val="none"/>
          <w:lang w:eastAsia="zh-CN"/>
        </w:rPr>
        <w:t>等无法满足甲方及规范要求的，乙方须提供不属于其责任的证明并得到甲方的书面认可，否则视为乙方违约，全部责任、费用和损失由乙方承担。</w:t>
      </w:r>
    </w:p>
    <w:p w14:paraId="21C16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有效期内，乙方无条件执行甲方与建设单位签订的《江苏溢丰华创环保科技有限公司施工现场管理办法》，因乙方原因导致建设单位或其他部门对甲方进行处罚扣款的，乙方按该处罚金额的2倍向甲方承担违约金。</w:t>
      </w:r>
    </w:p>
    <w:p w14:paraId="6D331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51AF8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p>
    <w:p w14:paraId="332282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bookmarkStart w:id="12" w:name="_Toc29740"/>
      <w:bookmarkStart w:id="13" w:name="_Toc23737"/>
    </w:p>
    <w:p w14:paraId="0CFC97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u w:val="none"/>
        </w:rPr>
        <w:t>廉洁条款</w:t>
      </w:r>
      <w:bookmarkEnd w:id="12"/>
      <w:bookmarkEnd w:id="13"/>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A8BD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w:t>
      </w:r>
      <w:r>
        <w:rPr>
          <w:rFonts w:hint="eastAsia" w:ascii="仿宋" w:hAnsi="仿宋" w:eastAsia="仿宋" w:cs="仿宋"/>
          <w:color w:val="auto"/>
          <w:sz w:val="28"/>
          <w:highlight w:val="none"/>
          <w:u w:val="none"/>
          <w:lang w:val="en-US" w:eastAsia="zh-CN"/>
        </w:rPr>
        <w:t>不正当利益</w:t>
      </w:r>
      <w:r>
        <w:rPr>
          <w:rFonts w:hint="eastAsia" w:ascii="仿宋" w:hAnsi="仿宋" w:eastAsia="仿宋" w:cs="仿宋"/>
          <w:color w:val="auto"/>
          <w:sz w:val="28"/>
          <w:highlight w:val="none"/>
          <w:u w:val="none"/>
        </w:rPr>
        <w:t>，如有违反，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52D75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06170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7.3</w:t>
      </w:r>
      <w:r>
        <w:rPr>
          <w:rFonts w:hint="eastAsia" w:ascii="仿宋" w:hAnsi="仿宋" w:eastAsia="仿宋" w:cs="仿宋"/>
          <w:color w:val="auto"/>
          <w:sz w:val="28"/>
          <w:highlight w:val="none"/>
          <w:lang w:eastAsia="zh-CN"/>
        </w:rPr>
        <w:t>如甲方发现乙方可能存在违反本</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廉洁条款的行为时，甲方有权暂扣违约金/争议</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款/处罚款等对应</w:t>
      </w:r>
      <w:r>
        <w:rPr>
          <w:rFonts w:hint="eastAsia" w:ascii="仿宋" w:hAnsi="仿宋" w:eastAsia="仿宋" w:cs="仿宋"/>
          <w:color w:val="auto"/>
          <w:sz w:val="28"/>
          <w:highlight w:val="none"/>
          <w:lang w:val="en-US" w:eastAsia="zh-CN"/>
        </w:rPr>
        <w:t>金</w:t>
      </w:r>
      <w:r>
        <w:rPr>
          <w:rFonts w:hint="eastAsia" w:ascii="仿宋" w:hAnsi="仿宋" w:eastAsia="仿宋" w:cs="仿宋"/>
          <w:color w:val="auto"/>
          <w:sz w:val="28"/>
          <w:highlight w:val="none"/>
          <w:lang w:eastAsia="zh-CN"/>
        </w:rPr>
        <w:t>额的</w:t>
      </w:r>
      <w:r>
        <w:rPr>
          <w:rFonts w:hint="eastAsia" w:ascii="仿宋" w:hAnsi="仿宋" w:eastAsia="仿宋" w:cs="仿宋"/>
          <w:color w:val="auto"/>
          <w:sz w:val="28"/>
          <w:highlight w:val="none"/>
          <w:lang w:val="en-US" w:eastAsia="zh-CN"/>
        </w:rPr>
        <w:t>合同</w:t>
      </w:r>
      <w:r>
        <w:rPr>
          <w:rFonts w:hint="eastAsia" w:ascii="仿宋" w:hAnsi="仿宋" w:eastAsia="仿宋" w:cs="仿宋"/>
          <w:color w:val="auto"/>
          <w:sz w:val="28"/>
          <w:highlight w:val="none"/>
          <w:lang w:eastAsia="zh-CN"/>
        </w:rPr>
        <w:t>款，直至调查完毕后根据调查结果再作处理，甲方暂不付款的行为不违约。</w:t>
      </w:r>
    </w:p>
    <w:p w14:paraId="7795DE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14" w:name="_Toc2022"/>
      <w:bookmarkStart w:id="15" w:name="_Toc23013"/>
      <w:r>
        <w:rPr>
          <w:rFonts w:hint="eastAsia" w:ascii="仿宋" w:hAnsi="仿宋" w:eastAsia="仿宋" w:cs="仿宋"/>
          <w:b/>
          <w:bCs/>
          <w:color w:val="auto"/>
          <w:sz w:val="28"/>
          <w:highlight w:val="none"/>
          <w:lang w:val="en-US" w:eastAsia="zh-CN"/>
        </w:rPr>
        <w:t>第八章</w:t>
      </w:r>
      <w:r>
        <w:rPr>
          <w:rFonts w:hint="eastAsia" w:ascii="仿宋" w:hAnsi="仿宋" w:eastAsia="仿宋" w:cs="仿宋"/>
          <w:b/>
          <w:bCs/>
          <w:color w:val="auto"/>
          <w:sz w:val="28"/>
          <w:highlight w:val="none"/>
          <w:lang w:eastAsia="zh-CN"/>
        </w:rPr>
        <w:t>、其他</w:t>
      </w:r>
      <w:bookmarkEnd w:id="14"/>
      <w:bookmarkEnd w:id="15"/>
    </w:p>
    <w:p w14:paraId="7DD9B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b w:val="0"/>
          <w:bCs w:val="0"/>
          <w:color w:val="auto"/>
          <w:sz w:val="28"/>
          <w:highlight w:val="none"/>
          <w:lang w:val="en-US" w:eastAsia="zh-CN"/>
        </w:rPr>
        <w:t>8.1</w:t>
      </w:r>
      <w:r>
        <w:rPr>
          <w:rFonts w:hint="eastAsia" w:ascii="仿宋" w:hAnsi="仿宋" w:eastAsia="仿宋" w:cs="仿宋"/>
          <w:color w:val="auto"/>
          <w:sz w:val="28"/>
          <w:highlight w:val="none"/>
        </w:rPr>
        <w:t>合同价</w:t>
      </w:r>
      <w:r>
        <w:rPr>
          <w:rFonts w:hint="eastAsia" w:ascii="仿宋" w:hAnsi="仿宋" w:eastAsia="仿宋" w:cs="仿宋"/>
          <w:color w:val="auto"/>
          <w:sz w:val="28"/>
          <w:highlight w:val="none"/>
          <w:lang w:val="en-US" w:eastAsia="zh-CN"/>
        </w:rPr>
        <w:t>款</w:t>
      </w:r>
      <w:r>
        <w:rPr>
          <w:rFonts w:hint="eastAsia" w:ascii="仿宋" w:hAnsi="仿宋" w:eastAsia="仿宋" w:cs="仿宋"/>
          <w:color w:val="auto"/>
          <w:sz w:val="28"/>
          <w:highlight w:val="none"/>
        </w:rPr>
        <w:t>及合同条款</w:t>
      </w:r>
      <w:r>
        <w:rPr>
          <w:rFonts w:hint="eastAsia" w:ascii="仿宋" w:hAnsi="仿宋" w:eastAsia="仿宋" w:cs="仿宋"/>
          <w:b w:val="0"/>
          <w:bCs w:val="0"/>
          <w:color w:val="auto"/>
          <w:sz w:val="28"/>
          <w:highlight w:val="none"/>
          <w:lang w:val="en-US" w:eastAsia="zh-CN"/>
        </w:rPr>
        <w:t>已考虑各类疾病疫情影响</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不以疫情为由要求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对合同价款、结算办法及</w:t>
      </w:r>
      <w:r>
        <w:rPr>
          <w:rFonts w:hint="eastAsia" w:ascii="仿宋" w:hAnsi="仿宋" w:eastAsia="仿宋" w:cs="仿宋"/>
          <w:color w:val="auto"/>
          <w:sz w:val="28"/>
          <w:highlight w:val="none"/>
          <w:lang w:eastAsia="zh-CN"/>
        </w:rPr>
        <w:t>货</w:t>
      </w:r>
      <w:r>
        <w:rPr>
          <w:rFonts w:hint="eastAsia" w:ascii="仿宋" w:hAnsi="仿宋" w:eastAsia="仿宋" w:cs="仿宋"/>
          <w:color w:val="auto"/>
          <w:sz w:val="28"/>
          <w:highlight w:val="none"/>
        </w:rPr>
        <w:t>期等合同条款进行调整，防疫措施的一切费用由</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承担。</w:t>
      </w:r>
    </w:p>
    <w:p w14:paraId="7E8746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8.2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3F072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8.3甲、乙</w:t>
      </w:r>
      <w:r>
        <w:rPr>
          <w:rFonts w:hint="eastAsia" w:ascii="仿宋" w:hAnsi="仿宋" w:eastAsia="仿宋" w:cs="仿宋"/>
          <w:b w:val="0"/>
          <w:bCs w:val="0"/>
          <w:color w:val="auto"/>
          <w:sz w:val="28"/>
          <w:highlight w:val="none"/>
          <w:u w:val="none"/>
          <w:lang w:eastAsia="zh-CN"/>
        </w:rPr>
        <w:t>双方对产品质量有争议的，由产品使用地点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lang w:val="en-US" w:eastAsia="zh-CN"/>
        </w:rPr>
        <w:t>各自</w:t>
      </w:r>
      <w:r>
        <w:rPr>
          <w:rFonts w:hint="eastAsia" w:ascii="仿宋" w:hAnsi="仿宋" w:eastAsia="仿宋" w:cs="仿宋"/>
          <w:b w:val="0"/>
          <w:bCs w:val="0"/>
          <w:color w:val="auto"/>
          <w:sz w:val="28"/>
          <w:highlight w:val="none"/>
          <w:u w:val="none"/>
          <w:lang w:eastAsia="zh-CN"/>
        </w:rPr>
        <w:t>责任分别承担。</w:t>
      </w:r>
      <w:r>
        <w:rPr>
          <w:rFonts w:hint="eastAsia" w:ascii="仿宋" w:hAnsi="仿宋" w:eastAsia="仿宋" w:cs="仿宋"/>
          <w:color w:val="auto"/>
          <w:sz w:val="28"/>
          <w:highlight w:val="none"/>
          <w:u w:val="none"/>
          <w:lang w:eastAsia="zh-CN"/>
        </w:rPr>
        <w:t>不可抗力的情形按国家相应规定执行。</w:t>
      </w:r>
    </w:p>
    <w:p w14:paraId="4A2F2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8.4</w:t>
      </w:r>
      <w:r>
        <w:rPr>
          <w:rFonts w:hint="eastAsia" w:ascii="仿宋" w:hAnsi="仿宋" w:eastAsia="仿宋" w:cs="仿宋"/>
          <w:b w:val="0"/>
          <w:bCs w:val="0"/>
          <w:color w:val="auto"/>
          <w:sz w:val="28"/>
          <w:highlight w:val="none"/>
          <w:u w:val="none"/>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52223F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8.5本合同附件与合同正文具有同等法律效力，乙方须照章执行，此类文件格式以供应产品时甲方提供的最新版格式为准，最终解释权归甲方所有。</w:t>
      </w:r>
    </w:p>
    <w:p w14:paraId="4D0FD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8.6本合同执行期间，甲方制度文件如有更新，按甲方最新版要求执行，最终解释权归甲方所有。</w:t>
      </w:r>
    </w:p>
    <w:p w14:paraId="7E26D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8.7本合同条款相互矛盾、表达含糊的，以最有利于甲方的条款执行。</w:t>
      </w:r>
    </w:p>
    <w:p w14:paraId="59EC7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8.8专利技术及特殊工艺 </w:t>
      </w:r>
    </w:p>
    <w:p w14:paraId="2DF88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8.8.1乙方须保障甲方在使用其提供的产品、服务不受到第三方关于侵权的指控。如果出现此类情况，由乙方与第三方交涉并承担一切费用和责任，如造成甲方损失的，乙方向甲方赔偿。</w:t>
      </w:r>
    </w:p>
    <w:p w14:paraId="2B19AC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8.8.2乙方擅自使用他人专利技术，侵犯他人专利权的，乙方依法承担相应责任。</w:t>
      </w:r>
    </w:p>
    <w:p w14:paraId="03EA7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8.9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4BFB9D1D">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622A3D13">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5E74E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8.12签订本合同后，乙方只是取得供应资格且向甲方确定了可接受的交易条件，并不意味着双方的成交，能否向甲方销售产品以甲方发出的通知为准。甲方随时有权另向第三方交易。在甲方未向乙方发出具体的订货通知之前，乙方无权以本合同为由要求甲方进行交易及支付任何费用。</w:t>
      </w:r>
    </w:p>
    <w:p w14:paraId="38EA3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8.13本合同未尽事宜，双方另行签订补充协议进行明确。与本合同相关的争议，双方友好协商解决，协商不成则提交甲方所在地人民法院以诉讼方式解决。</w:t>
      </w:r>
    </w:p>
    <w:p w14:paraId="5B26B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叁</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本合同自甲乙双方签字、加盖公章（或合同章）之日起生效，在结算款支付完毕、乙方向甲方交付合格产品，双方履行完合同义务、责任之日起，本合同其余条款（保修条款除外）自动终止。</w:t>
      </w:r>
    </w:p>
    <w:p w14:paraId="5FE37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8.15以下文件均为合同有效组成部分，各文件互相解释，互为说明。当合同</w:t>
      </w:r>
    </w:p>
    <w:p w14:paraId="7456B4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文件中出现不一致时，除合同另有约定外，以下排列顺序就是各合同文件的优先解</w:t>
      </w:r>
    </w:p>
    <w:p w14:paraId="7759E8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释顺序：</w:t>
      </w:r>
    </w:p>
    <w:p w14:paraId="042E2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5AF683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0EAAC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482A9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6DA24E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51E6E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项目所在地现行的法律、法规、标准、规范。</w:t>
      </w:r>
    </w:p>
    <w:p w14:paraId="3823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8.16本合同正文为清洁打印文本，如双方对此合同有任何修改及补充均应另行签订补充协议。合同正文中任何非打印的文字或者图形，除非经双方确认同意，否则不产生约束力。</w:t>
      </w:r>
    </w:p>
    <w:p w14:paraId="70E3E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8.17甲乙双方均确认已经审阅并理解本合同的条款，且已经就条款相关的任何疑问得到满意的解释，并确认本合同的条款为双方本着诚信互利的原则友好协商</w:t>
      </w:r>
    </w:p>
    <w:p w14:paraId="7CC57E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一致的结果，不属于任何一方的格式条款。</w:t>
      </w:r>
    </w:p>
    <w:p w14:paraId="50342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54425D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1175BB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附件二：《延迟付款声明函》格式</w:t>
      </w:r>
    </w:p>
    <w:p w14:paraId="7E4CF1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w:t>
      </w:r>
      <w:r>
        <w:rPr>
          <w:rFonts w:hint="eastAsia" w:ascii="仿宋" w:hAnsi="仿宋" w:eastAsia="仿宋" w:cs="仿宋"/>
          <w:color w:val="auto"/>
          <w:kern w:val="2"/>
          <w:sz w:val="28"/>
          <w:szCs w:val="24"/>
          <w:highlight w:val="none"/>
          <w:u w:val="none"/>
          <w:lang w:val="en-US" w:eastAsia="zh-CN" w:bidi="ar-SA"/>
        </w:rPr>
        <w:t>审批</w:t>
      </w:r>
      <w:r>
        <w:rPr>
          <w:rFonts w:hint="eastAsia" w:ascii="仿宋" w:hAnsi="仿宋" w:eastAsia="仿宋" w:cs="仿宋"/>
          <w:color w:val="auto"/>
          <w:sz w:val="28"/>
          <w:highlight w:val="none"/>
          <w:u w:val="none"/>
          <w:lang w:val="en-US" w:eastAsia="zh-CN"/>
        </w:rPr>
        <w:t xml:space="preserve">表》格式      </w:t>
      </w:r>
    </w:p>
    <w:p w14:paraId="6E76C0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734769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188197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2D4CBF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0C3DB4C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甲  </w:t>
      </w:r>
      <w:r>
        <w:rPr>
          <w:rFonts w:hint="eastAsia" w:ascii="仿宋" w:hAnsi="仿宋" w:eastAsia="仿宋" w:cs="仿宋"/>
          <w:b/>
          <w:bCs/>
          <w:color w:val="auto"/>
          <w:sz w:val="24"/>
          <w:szCs w:val="24"/>
          <w:highlight w:val="none"/>
        </w:rPr>
        <w:t>方：东莞市中泰建安</w:t>
      </w:r>
      <w:r>
        <w:rPr>
          <w:rFonts w:hint="eastAsia" w:ascii="仿宋" w:hAnsi="仿宋" w:eastAsia="仿宋" w:cs="仿宋"/>
          <w:b/>
          <w:bCs/>
          <w:color w:val="auto"/>
          <w:sz w:val="24"/>
          <w:szCs w:val="24"/>
          <w:highlight w:val="none"/>
          <w:lang w:eastAsia="zh-CN"/>
        </w:rPr>
        <w:t>工程有限公司</w:t>
      </w:r>
      <w:r>
        <w:rPr>
          <w:rFonts w:hint="eastAsia" w:ascii="仿宋" w:hAnsi="仿宋" w:eastAsia="仿宋" w:cs="仿宋"/>
          <w:b/>
          <w:bCs/>
          <w:color w:val="auto"/>
          <w:sz w:val="24"/>
          <w:szCs w:val="24"/>
          <w:highlight w:val="none"/>
          <w:lang w:val="en-US" w:eastAsia="zh-CN"/>
        </w:rPr>
        <w:t xml:space="preserve">           乙  </w:t>
      </w:r>
      <w:r>
        <w:rPr>
          <w:rFonts w:hint="eastAsia" w:ascii="仿宋" w:hAnsi="仿宋" w:eastAsia="仿宋" w:cs="仿宋"/>
          <w:b/>
          <w:bCs/>
          <w:color w:val="auto"/>
          <w:sz w:val="24"/>
          <w:szCs w:val="24"/>
          <w:highlight w:val="none"/>
        </w:rPr>
        <w:t>方：</w:t>
      </w:r>
      <w:r>
        <w:rPr>
          <w:rFonts w:hint="eastAsia" w:ascii="仿宋" w:hAnsi="仿宋" w:eastAsia="仿宋" w:cs="仿宋"/>
          <w:b/>
          <w:bCs/>
          <w:color w:val="auto"/>
          <w:sz w:val="24"/>
          <w:szCs w:val="24"/>
          <w:highlight w:val="none"/>
          <w:lang w:val="en-US" w:eastAsia="zh-CN"/>
        </w:rPr>
        <w:t>XXX</w:t>
      </w:r>
    </w:p>
    <w:p w14:paraId="32A7792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（盖章）</w:t>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br w:type="textWrapping"/>
      </w: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XXX</w:t>
      </w:r>
    </w:p>
    <w:p w14:paraId="56073B9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统一社会信用代码：91441900732168546R</w:t>
      </w:r>
      <w:r>
        <w:rPr>
          <w:rFonts w:hint="eastAsia" w:ascii="仿宋" w:hAnsi="仿宋" w:eastAsia="仿宋" w:cs="仿宋"/>
          <w:b/>
          <w:bCs/>
          <w:color w:val="auto"/>
          <w:sz w:val="24"/>
          <w:szCs w:val="24"/>
          <w:highlight w:val="none"/>
          <w:lang w:val="en-US" w:eastAsia="zh-CN"/>
        </w:rPr>
        <w:t xml:space="preserve">         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XXX</w:t>
      </w:r>
    </w:p>
    <w:p w14:paraId="2647D51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账  号：548000013639239</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XXX</w:t>
      </w:r>
    </w:p>
    <w:p w14:paraId="581124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开户行：东莞银行股份有限公司元美支行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开户行：</w:t>
      </w:r>
      <w:r>
        <w:rPr>
          <w:rFonts w:hint="eastAsia" w:ascii="仿宋" w:hAnsi="仿宋" w:eastAsia="仿宋" w:cs="仿宋"/>
          <w:b/>
          <w:bCs/>
          <w:color w:val="auto"/>
          <w:sz w:val="24"/>
          <w:szCs w:val="24"/>
          <w:highlight w:val="none"/>
          <w:lang w:val="en-US" w:eastAsia="zh-CN"/>
        </w:rPr>
        <w:t>XXX</w:t>
      </w:r>
    </w:p>
    <w:p w14:paraId="69DA2B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地  址：</w:t>
      </w:r>
      <w:r>
        <w:rPr>
          <w:rFonts w:hint="eastAsia" w:ascii="仿宋" w:hAnsi="仿宋" w:eastAsia="仿宋" w:cs="仿宋"/>
          <w:b/>
          <w:bCs/>
          <w:color w:val="auto"/>
          <w:sz w:val="22"/>
          <w:szCs w:val="22"/>
          <w:highlight w:val="none"/>
        </w:rPr>
        <w:t>广东省东莞市南城街道鸿福路106号</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4"/>
          <w:szCs w:val="24"/>
          <w:highlight w:val="none"/>
          <w:lang w:val="en-US" w:eastAsia="zh-CN"/>
        </w:rPr>
        <w:t>地  址：XXX</w:t>
      </w:r>
    </w:p>
    <w:p w14:paraId="43573A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83"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2"/>
          <w:szCs w:val="22"/>
          <w:highlight w:val="none"/>
        </w:rPr>
        <w:t>1栋1712室01</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14:paraId="2D0BEF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298CAE3A">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kern w:val="2"/>
          <w:sz w:val="28"/>
          <w:szCs w:val="28"/>
          <w:highlight w:val="none"/>
          <w:lang w:val="en-US" w:eastAsia="zh-CN" w:bidi="ar-SA"/>
        </w:rPr>
        <w:t>【甲方人员如有营私舞弊、吃拿卡要等损害乙方合法权益的行为，乙方可拨打投诉专线4000968086或发邮件至投诉邮箱：zhglzx@nanfeng.cn，也可至广东省东莞市南城街道鸿福路 106 号南峰中心12楼内控中心办公室面诉。】</w:t>
      </w:r>
    </w:p>
    <w:p w14:paraId="64537AD1">
      <w:pPr>
        <w:jc w:val="right"/>
        <w:rPr>
          <w:rFonts w:hint="eastAsia" w:ascii="仿宋" w:hAnsi="仿宋" w:eastAsia="仿宋" w:cs="仿宋"/>
          <w:b/>
          <w:bCs/>
          <w:color w:val="auto"/>
          <w:sz w:val="44"/>
          <w:szCs w:val="44"/>
          <w:highlight w:val="none"/>
          <w:lang w:val="en-US" w:eastAsia="zh-CN"/>
        </w:rPr>
      </w:pPr>
    </w:p>
    <w:p w14:paraId="4A083570">
      <w:pPr>
        <w:jc w:val="right"/>
        <w:rPr>
          <w:rFonts w:hint="eastAsia" w:ascii="仿宋" w:hAnsi="仿宋" w:eastAsia="仿宋" w:cs="仿宋"/>
          <w:b/>
          <w:bCs/>
          <w:color w:val="auto"/>
          <w:sz w:val="44"/>
          <w:szCs w:val="44"/>
          <w:highlight w:val="none"/>
          <w:lang w:val="en-US" w:eastAsia="zh-CN"/>
        </w:rPr>
      </w:pPr>
    </w:p>
    <w:p w14:paraId="33229E6F">
      <w:pPr>
        <w:jc w:val="right"/>
        <w:rPr>
          <w:rFonts w:hint="eastAsia" w:ascii="仿宋" w:hAnsi="仿宋" w:eastAsia="仿宋" w:cs="仿宋"/>
          <w:b/>
          <w:bCs/>
          <w:color w:val="auto"/>
          <w:sz w:val="44"/>
          <w:szCs w:val="44"/>
          <w:highlight w:val="none"/>
          <w:lang w:val="en-US" w:eastAsia="zh-CN"/>
        </w:rPr>
      </w:pPr>
    </w:p>
    <w:p w14:paraId="4E1D0D1B">
      <w:pPr>
        <w:jc w:val="right"/>
        <w:rPr>
          <w:rFonts w:hint="eastAsia" w:ascii="仿宋" w:hAnsi="仿宋" w:eastAsia="仿宋" w:cs="仿宋"/>
          <w:b/>
          <w:bCs/>
          <w:color w:val="auto"/>
          <w:sz w:val="44"/>
          <w:szCs w:val="44"/>
          <w:highlight w:val="none"/>
          <w:lang w:val="en-US" w:eastAsia="zh-CN"/>
        </w:rPr>
      </w:pPr>
    </w:p>
    <w:p w14:paraId="2C479221">
      <w:pPr>
        <w:jc w:val="right"/>
        <w:rPr>
          <w:rFonts w:hint="eastAsia" w:ascii="仿宋" w:hAnsi="仿宋" w:eastAsia="仿宋" w:cs="仿宋"/>
          <w:b/>
          <w:bCs/>
          <w:color w:val="auto"/>
          <w:sz w:val="44"/>
          <w:szCs w:val="44"/>
          <w:highlight w:val="none"/>
          <w:lang w:val="en-US" w:eastAsia="zh-CN"/>
        </w:rPr>
      </w:pPr>
    </w:p>
    <w:p w14:paraId="02048190">
      <w:pPr>
        <w:jc w:val="right"/>
        <w:rPr>
          <w:rFonts w:hint="eastAsia" w:ascii="仿宋" w:hAnsi="仿宋" w:eastAsia="仿宋" w:cs="仿宋"/>
          <w:b/>
          <w:bCs/>
          <w:color w:val="auto"/>
          <w:sz w:val="44"/>
          <w:szCs w:val="44"/>
          <w:highlight w:val="none"/>
          <w:lang w:val="en-US" w:eastAsia="zh-CN"/>
        </w:rPr>
      </w:pPr>
    </w:p>
    <w:p w14:paraId="03557F63">
      <w:pPr>
        <w:jc w:val="right"/>
        <w:rPr>
          <w:rFonts w:hint="eastAsia" w:ascii="仿宋" w:hAnsi="仿宋" w:eastAsia="仿宋" w:cs="仿宋"/>
          <w:b/>
          <w:bCs/>
          <w:color w:val="auto"/>
          <w:sz w:val="44"/>
          <w:szCs w:val="44"/>
          <w:highlight w:val="none"/>
          <w:lang w:val="en-US" w:eastAsia="zh-CN"/>
        </w:rPr>
      </w:pPr>
    </w:p>
    <w:p w14:paraId="6AC3A831">
      <w:pPr>
        <w:jc w:val="right"/>
        <w:rPr>
          <w:rFonts w:hint="eastAsia" w:ascii="仿宋" w:hAnsi="仿宋" w:eastAsia="仿宋" w:cs="仿宋"/>
          <w:b/>
          <w:bCs/>
          <w:color w:val="auto"/>
          <w:sz w:val="44"/>
          <w:szCs w:val="44"/>
          <w:highlight w:val="none"/>
          <w:lang w:val="en-US" w:eastAsia="zh-CN"/>
        </w:rPr>
      </w:pPr>
      <w:bookmarkStart w:id="17" w:name="_GoBack"/>
      <w:bookmarkEnd w:id="17"/>
      <w:r>
        <w:rPr>
          <w:rFonts w:hint="eastAsia" w:ascii="仿宋" w:hAnsi="仿宋" w:eastAsia="仿宋" w:cs="仿宋"/>
          <w:b/>
          <w:bCs/>
          <w:color w:val="auto"/>
          <w:sz w:val="44"/>
          <w:szCs w:val="44"/>
          <w:highlight w:val="none"/>
          <w:lang w:val="en-US" w:eastAsia="zh-CN"/>
        </w:rPr>
        <w:t>附件一</w:t>
      </w:r>
    </w:p>
    <w:p w14:paraId="2040984B">
      <w:pPr>
        <w:jc w:val="right"/>
        <w:rPr>
          <w:rFonts w:hint="default" w:ascii="仿宋" w:hAnsi="仿宋" w:eastAsia="仿宋" w:cs="仿宋"/>
          <w:b/>
          <w:bCs/>
          <w:color w:val="auto"/>
          <w:sz w:val="44"/>
          <w:szCs w:val="44"/>
          <w:highlight w:val="none"/>
          <w:lang w:val="en-US" w:eastAsia="zh-CN"/>
        </w:rPr>
      </w:pPr>
    </w:p>
    <w:p w14:paraId="44CDF585">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AADFCF4">
      <w:pPr>
        <w:pStyle w:val="3"/>
        <w:spacing w:before="97" w:line="222" w:lineRule="auto"/>
        <w:ind w:left="23"/>
        <w:rPr>
          <w:color w:val="auto"/>
          <w:sz w:val="28"/>
          <w:szCs w:val="28"/>
        </w:rPr>
      </w:pPr>
      <w:r>
        <w:rPr>
          <w:color w:val="auto"/>
          <w:spacing w:val="-2"/>
          <w:sz w:val="28"/>
          <w:szCs w:val="28"/>
        </w:rPr>
        <w:t>致：东莞市中泰建安工程有限公司</w:t>
      </w:r>
    </w:p>
    <w:p w14:paraId="77F41553">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供应商，履约期间的材料费</w:t>
      </w:r>
      <w:r>
        <w:rPr>
          <w:rFonts w:hint="eastAsia" w:cs="仿宋"/>
          <w:color w:val="auto"/>
          <w:kern w:val="2"/>
          <w:sz w:val="30"/>
          <w:szCs w:val="30"/>
          <w:highlight w:val="none"/>
          <w:lang w:val="en-US" w:eastAsia="zh-CN" w:bidi="ar-SA"/>
        </w:rPr>
        <w:t>等合同款共</w:t>
      </w:r>
      <w:r>
        <w:rPr>
          <w:rFonts w:hint="eastAsia" w:ascii="仿宋" w:hAnsi="仿宋" w:eastAsia="仿宋" w:cs="仿宋"/>
          <w:color w:val="auto"/>
          <w:kern w:val="2"/>
          <w:sz w:val="30"/>
          <w:szCs w:val="30"/>
          <w:highlight w:val="none"/>
          <w:lang w:val="en-US" w:eastAsia="zh-CN" w:bidi="ar-SA"/>
        </w:rPr>
        <w:t>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B29682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w:t>
      </w:r>
      <w:r>
        <w:rPr>
          <w:rFonts w:hint="eastAsia" w:cs="仿宋"/>
          <w:color w:val="auto"/>
          <w:kern w:val="2"/>
          <w:sz w:val="30"/>
          <w:szCs w:val="30"/>
          <w:highlight w:val="none"/>
          <w:lang w:val="en-US" w:eastAsia="zh-CN" w:bidi="ar-SA"/>
        </w:rPr>
        <w:t>等合同款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全部结清，我司合同中的所有权利全部消灭，我司将不以任何理由、任何方式就该项目的合作向贵司提出任何权利主张或追索其他任何费用，同时我司相应的义务和责任按照合同执行。</w:t>
      </w:r>
    </w:p>
    <w:p w14:paraId="40A017AF">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14E91357">
      <w:pPr>
        <w:spacing w:line="261" w:lineRule="auto"/>
        <w:rPr>
          <w:rFonts w:ascii="Arial"/>
          <w:color w:val="auto"/>
          <w:sz w:val="20"/>
          <w:szCs w:val="22"/>
        </w:rPr>
      </w:pPr>
    </w:p>
    <w:p w14:paraId="28380724">
      <w:pPr>
        <w:spacing w:line="261" w:lineRule="auto"/>
        <w:rPr>
          <w:rFonts w:ascii="Arial"/>
          <w:color w:val="auto"/>
          <w:sz w:val="20"/>
          <w:szCs w:val="22"/>
        </w:rPr>
      </w:pPr>
    </w:p>
    <w:p w14:paraId="6E889EFC">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1D416C43">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E6A39C2">
      <w:pPr>
        <w:spacing w:line="281" w:lineRule="auto"/>
        <w:rPr>
          <w:rFonts w:ascii="Arial"/>
          <w:color w:val="auto"/>
          <w:sz w:val="20"/>
          <w:szCs w:val="22"/>
        </w:rPr>
      </w:pPr>
    </w:p>
    <w:p w14:paraId="6F80C1BA">
      <w:pPr>
        <w:spacing w:line="281" w:lineRule="auto"/>
        <w:rPr>
          <w:rFonts w:ascii="Arial"/>
          <w:color w:val="auto"/>
          <w:sz w:val="20"/>
          <w:szCs w:val="22"/>
        </w:rPr>
      </w:pPr>
    </w:p>
    <w:p w14:paraId="43BD43FD">
      <w:pPr>
        <w:spacing w:line="281" w:lineRule="auto"/>
        <w:rPr>
          <w:rFonts w:ascii="Arial"/>
          <w:color w:val="auto"/>
          <w:sz w:val="20"/>
          <w:szCs w:val="22"/>
        </w:rPr>
      </w:pPr>
      <w:r>
        <w:rPr>
          <w:color w:val="auto"/>
          <w:sz w:val="20"/>
          <w:szCs w:val="2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1312;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Cgtvp0PAIAAJUEAAAOAAAAZHJzL2Uyb0RvYy54bWytVM2O0zAQ&#10;viPxDpbvNG233SVR0z1QlguClXZ5ANd2Ekv+k+0m7Z07d46Il0AreBoW8RiMnfSH5dIDOSRjz/ib&#10;bz7PZHG9VRK13HlhdIknozFGXFPDhK5L/OH+5sVLjHwgmhFpNC/xjnt8vXz+bNHZgk9NYyTjDgGI&#10;9kVnS9yEYIss87ThiviRsVyDszJOkQBLV2fMkQ7Qlcym4/Fl1hnHrDOUew+7q96JB0R3DqCpKkH5&#10;ytCN4jr0qI5LEqAk3wjr8TKxrSpOw/uq8jwgWWKoNKQ3JAF7Hd/ZckGK2hHbCDpQIOdQeFKTIkJD&#10;0gPUigSCNk78A6UEdcabKoyoUVlfSFIEqpiMn2hz1xDLUy0gtbcH0f3/g6Xv2luHBCvxDCNNFFz4&#10;z4eHXx8/PX79/PvHt8fvX9AsitRZX0Dsnb11w8qDGSveVk7FL9SCtknY3UFYvg2IwublxcU4n4Pm&#10;FHz5fDqPkNnxLN348IabhEPatz7018L2Fmn2Ft3qvWlJiNsxdzRRB9D5FSRpoK3n6TaUafm9SRHh&#10;SO5qyH70Sn0aleeXOUbAdB/Yu4FvzJOIH3LD5il5bW6ElIm91InRZAbCUgKDUkGDgqksiO11nQh6&#10;IwWLRyJH7+r1K+lQS2Kzpmdg+leYdT6siG/6OAZWjCLFmre8T91wwl5rhsLOwn1qGGMcuSjOMJIc&#10;pj5a6UwgQp4TCWVKDZXHNugvPlprw3bQPRvrRN3AaE0S3eiBbk0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Cgtvp0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56774D06">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66471D2A">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2DCB0CD2">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 中泰建安 ”支付该合同最后一笔款前完成本承诺书签章，且 原件交给“ 中泰建安 ”作为支付最后一笔款的前提条件。</w:t>
      </w:r>
    </w:p>
    <w:p w14:paraId="2618B8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16D4EA9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1EEE41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431568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17F92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延迟付款声明函</w:t>
      </w:r>
    </w:p>
    <w:p w14:paraId="6681D0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49271C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27ED427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5E3B69B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77EA60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54CD59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E32A5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36B282A5">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7AB2AA2E">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E5698B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（加盖公章及公司法人代表或授权代表签字）     </w:t>
      </w:r>
    </w:p>
    <w:p w14:paraId="6BC6D2B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bookmarkStart w:id="16" w:name="_Toc86334254"/>
    </w:p>
    <w:p w14:paraId="71896B7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0E2C7CD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3DEB378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17387A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5D169E6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2B0AB1F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p>
    <w:p w14:paraId="6A0B39F5">
      <w:pPr>
        <w:keepNext/>
        <w:keepLines/>
        <w:widowControl w:val="0"/>
        <w:spacing w:before="120"/>
        <w:jc w:val="right"/>
        <w:outlineLvl w:val="2"/>
        <w:rPr>
          <w:rFonts w:cs="宋体"/>
          <w:color w:val="auto"/>
          <w:sz w:val="28"/>
          <w:szCs w:val="36"/>
          <w:highlight w:val="none"/>
        </w:rPr>
      </w:pPr>
      <w:r>
        <w:rPr>
          <w:rFonts w:hint="eastAsia" w:ascii="Calibri" w:hAnsi="Calibri" w:eastAsia="宋体" w:cs="宋体"/>
          <w:b/>
          <w:bCs/>
          <w:color w:val="auto"/>
          <w:kern w:val="2"/>
          <w:sz w:val="40"/>
          <w:szCs w:val="44"/>
          <w:highlight w:val="none"/>
          <w:lang w:val="en-US" w:eastAsia="zh-CN" w:bidi="ar-SA"/>
        </w:rPr>
        <w:t>附件三</w:t>
      </w:r>
      <w:bookmarkEnd w:id="16"/>
    </w:p>
    <w:p w14:paraId="52EE6ED3">
      <w:pPr>
        <w:tabs>
          <w:tab w:val="left" w:pos="720"/>
        </w:tabs>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0F1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noWrap w:val="0"/>
            <w:vAlign w:val="top"/>
          </w:tcPr>
          <w:p w14:paraId="77855047">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4EF89F7C">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72FD22BD">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73E348B4">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42B4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DF782B">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62569A91">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FC79F81">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1C8B9F08">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4181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noWrap w:val="0"/>
            <w:vAlign w:val="top"/>
          </w:tcPr>
          <w:p w14:paraId="44D6DCB5">
            <w:pPr>
              <w:tabs>
                <w:tab w:val="left" w:pos="720"/>
              </w:tabs>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3C9AE079">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FCF214E">
            <w:pPr>
              <w:tabs>
                <w:tab w:val="left" w:pos="720"/>
              </w:tabs>
              <w:adjustRightInd w:val="0"/>
              <w:snapToGrid w:val="0"/>
              <w:spacing w:line="360" w:lineRule="auto"/>
              <w:jc w:val="left"/>
              <w:rPr>
                <w:rFonts w:hint="eastAsia" w:ascii="仿宋" w:hAnsi="仿宋" w:eastAsia="仿宋" w:cs="仿宋"/>
                <w:b/>
                <w:color w:val="auto"/>
                <w:sz w:val="24"/>
                <w:highlight w:val="none"/>
              </w:rPr>
            </w:pPr>
          </w:p>
          <w:p w14:paraId="4EE46822">
            <w:pPr>
              <w:tabs>
                <w:tab w:val="left" w:pos="720"/>
              </w:tabs>
              <w:adjustRightInd w:val="0"/>
              <w:snapToGrid w:val="0"/>
              <w:spacing w:line="360" w:lineRule="auto"/>
              <w:jc w:val="left"/>
              <w:rPr>
                <w:rFonts w:hint="eastAsia" w:ascii="仿宋" w:hAnsi="仿宋" w:eastAsia="仿宋" w:cs="仿宋"/>
                <w:b/>
                <w:color w:val="auto"/>
                <w:sz w:val="24"/>
                <w:highlight w:val="none"/>
              </w:rPr>
            </w:pPr>
          </w:p>
          <w:p w14:paraId="42ACF2DF">
            <w:pPr>
              <w:tabs>
                <w:tab w:val="left" w:pos="720"/>
              </w:tabs>
              <w:adjustRightInd w:val="0"/>
              <w:snapToGrid w:val="0"/>
              <w:spacing w:line="360" w:lineRule="auto"/>
              <w:jc w:val="left"/>
              <w:rPr>
                <w:rFonts w:hint="eastAsia" w:ascii="仿宋" w:hAnsi="仿宋" w:eastAsia="仿宋" w:cs="仿宋"/>
                <w:b/>
                <w:color w:val="auto"/>
                <w:sz w:val="24"/>
                <w:highlight w:val="none"/>
              </w:rPr>
            </w:pPr>
          </w:p>
          <w:p w14:paraId="451A40FF">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43228EBA">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2D45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noWrap w:val="0"/>
            <w:vAlign w:val="top"/>
          </w:tcPr>
          <w:p w14:paraId="36FABF68">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4DC84788">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0791924E">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5213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noWrap w:val="0"/>
            <w:vAlign w:val="top"/>
          </w:tcPr>
          <w:p w14:paraId="12867C7C">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54E11DE3">
            <w:pPr>
              <w:tabs>
                <w:tab w:val="left" w:pos="720"/>
              </w:tabs>
              <w:adjustRightInd w:val="0"/>
              <w:snapToGrid w:val="0"/>
              <w:spacing w:line="360" w:lineRule="auto"/>
              <w:jc w:val="left"/>
              <w:rPr>
                <w:rFonts w:hint="eastAsia" w:ascii="仿宋" w:hAnsi="仿宋" w:eastAsia="仿宋" w:cs="仿宋"/>
                <w:b/>
                <w:color w:val="auto"/>
                <w:sz w:val="24"/>
                <w:highlight w:val="none"/>
              </w:rPr>
            </w:pPr>
          </w:p>
          <w:p w14:paraId="4FF261E1">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322A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noWrap w:val="0"/>
            <w:vAlign w:val="top"/>
          </w:tcPr>
          <w:p w14:paraId="4982C9F7">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1551CE20">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C8366F2">
            <w:pPr>
              <w:tabs>
                <w:tab w:val="left" w:pos="720"/>
              </w:tabs>
              <w:adjustRightInd w:val="0"/>
              <w:snapToGrid w:val="0"/>
              <w:spacing w:line="360" w:lineRule="auto"/>
              <w:jc w:val="left"/>
              <w:rPr>
                <w:rFonts w:hint="eastAsia" w:ascii="仿宋" w:hAnsi="仿宋" w:eastAsia="仿宋" w:cs="仿宋"/>
                <w:b/>
                <w:color w:val="auto"/>
                <w:sz w:val="24"/>
                <w:highlight w:val="none"/>
              </w:rPr>
            </w:pPr>
          </w:p>
          <w:p w14:paraId="554F00CE">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9F0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noWrap w:val="0"/>
            <w:vAlign w:val="top"/>
          </w:tcPr>
          <w:p w14:paraId="0295FA7B">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3849CBBE">
            <w:pPr>
              <w:tabs>
                <w:tab w:val="left" w:pos="720"/>
              </w:tabs>
              <w:adjustRightInd w:val="0"/>
              <w:snapToGrid w:val="0"/>
              <w:spacing w:line="360" w:lineRule="auto"/>
              <w:jc w:val="left"/>
              <w:rPr>
                <w:rFonts w:hint="eastAsia" w:ascii="仿宋" w:hAnsi="仿宋" w:eastAsia="仿宋" w:cs="仿宋"/>
                <w:b/>
                <w:color w:val="auto"/>
                <w:sz w:val="24"/>
                <w:highlight w:val="none"/>
              </w:rPr>
            </w:pPr>
          </w:p>
          <w:p w14:paraId="294F3806">
            <w:pPr>
              <w:tabs>
                <w:tab w:val="left" w:pos="720"/>
              </w:tabs>
              <w:adjustRightInd w:val="0"/>
              <w:snapToGrid w:val="0"/>
              <w:spacing w:line="360" w:lineRule="auto"/>
              <w:jc w:val="left"/>
              <w:rPr>
                <w:rFonts w:hint="eastAsia" w:ascii="仿宋" w:hAnsi="仿宋" w:eastAsia="仿宋" w:cs="仿宋"/>
                <w:b/>
                <w:color w:val="auto"/>
                <w:sz w:val="24"/>
                <w:highlight w:val="none"/>
              </w:rPr>
            </w:pPr>
          </w:p>
          <w:p w14:paraId="1B2720B1">
            <w:pPr>
              <w:tabs>
                <w:tab w:val="left" w:pos="720"/>
              </w:tabs>
              <w:adjustRightInd w:val="0"/>
              <w:snapToGrid w:val="0"/>
              <w:spacing w:line="360" w:lineRule="auto"/>
              <w:jc w:val="left"/>
              <w:rPr>
                <w:rFonts w:hint="eastAsia" w:ascii="仿宋" w:hAnsi="仿宋" w:eastAsia="仿宋" w:cs="仿宋"/>
                <w:b/>
                <w:color w:val="auto"/>
                <w:sz w:val="24"/>
                <w:highlight w:val="none"/>
              </w:rPr>
            </w:pPr>
          </w:p>
          <w:p w14:paraId="42AFE8F7">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7D563E76">
      <w:pPr>
        <w:tabs>
          <w:tab w:val="left" w:pos="720"/>
        </w:tabs>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57A030B3">
      <w:pPr>
        <w:numPr>
          <w:ilvl w:val="0"/>
          <w:numId w:val="2"/>
        </w:numPr>
        <w:tabs>
          <w:tab w:val="left" w:pos="720"/>
        </w:tabs>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此确认表作为向</w:t>
      </w:r>
      <w:r>
        <w:rPr>
          <w:rFonts w:hint="eastAsia" w:ascii="仿宋" w:hAnsi="仿宋" w:eastAsia="仿宋" w:cs="仿宋"/>
          <w:b/>
          <w:color w:val="auto"/>
          <w:sz w:val="18"/>
          <w:szCs w:val="18"/>
          <w:highlight w:val="none"/>
          <w:lang w:val="en-US" w:eastAsia="zh-CN"/>
        </w:rPr>
        <w:t>中泰建安</w:t>
      </w:r>
      <w:r>
        <w:rPr>
          <w:rFonts w:hint="eastAsia" w:ascii="仿宋" w:hAnsi="仿宋" w:eastAsia="仿宋" w:cs="仿宋"/>
          <w:b/>
          <w:color w:val="auto"/>
          <w:sz w:val="18"/>
          <w:szCs w:val="18"/>
          <w:highlight w:val="none"/>
        </w:rPr>
        <w:t>公司申报款项支付审批单的附件。</w:t>
      </w:r>
    </w:p>
    <w:p w14:paraId="33DD8AC4">
      <w:pPr>
        <w:numPr>
          <w:ilvl w:val="0"/>
          <w:numId w:val="2"/>
        </w:numPr>
        <w:tabs>
          <w:tab w:val="left" w:pos="720"/>
        </w:tabs>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p>
    <w:p w14:paraId="1912A8E8">
      <w:pPr>
        <w:numPr>
          <w:ilvl w:val="0"/>
          <w:numId w:val="0"/>
        </w:numPr>
        <w:tabs>
          <w:tab w:val="left" w:pos="720"/>
        </w:tabs>
        <w:adjustRightInd w:val="0"/>
        <w:snapToGrid w:val="0"/>
        <w:spacing w:line="360" w:lineRule="auto"/>
        <w:ind w:right="-630" w:rightChars="-300"/>
        <w:jc w:val="left"/>
        <w:rPr>
          <w:rFonts w:hint="eastAsia" w:ascii="仿宋" w:hAnsi="仿宋" w:eastAsia="仿宋" w:cs="仿宋"/>
          <w:b/>
          <w:color w:val="auto"/>
          <w:sz w:val="18"/>
          <w:szCs w:val="18"/>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450"/>
        <w:gridCol w:w="1093"/>
        <w:gridCol w:w="1093"/>
        <w:gridCol w:w="1533"/>
        <w:gridCol w:w="1972"/>
        <w:gridCol w:w="1093"/>
        <w:gridCol w:w="1117"/>
      </w:tblGrid>
      <w:tr w14:paraId="2424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683D90F4">
            <w:pPr>
              <w:keepNext w:val="0"/>
              <w:keepLines w:val="0"/>
              <w:widowControl/>
              <w:suppressLineNumbers w:val="0"/>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0600DF6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57BE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3B3EE1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27A3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1AB254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0B01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058A09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4F5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D5C7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702E23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A4F04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10308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8E66F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6A7EB4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1B89A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882D8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47CA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7838E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D10780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8485E0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9C1181">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E2C785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840C61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6FB85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589ACBE">
            <w:pPr>
              <w:jc w:val="center"/>
              <w:rPr>
                <w:rFonts w:hint="eastAsia" w:ascii="仿宋" w:hAnsi="仿宋" w:eastAsia="仿宋" w:cs="仿宋"/>
                <w:i w:val="0"/>
                <w:iCs w:val="0"/>
                <w:color w:val="auto"/>
                <w:sz w:val="22"/>
                <w:szCs w:val="22"/>
                <w:highlight w:val="none"/>
                <w:u w:val="none"/>
              </w:rPr>
            </w:pPr>
          </w:p>
        </w:tc>
      </w:tr>
      <w:tr w14:paraId="2729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3393B6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6733C4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E662B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BE52617">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D8155A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A0B2FE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A0E9164">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8EB1047">
            <w:pPr>
              <w:jc w:val="center"/>
              <w:rPr>
                <w:rFonts w:hint="eastAsia" w:ascii="仿宋" w:hAnsi="仿宋" w:eastAsia="仿宋" w:cs="仿宋"/>
                <w:i w:val="0"/>
                <w:iCs w:val="0"/>
                <w:color w:val="auto"/>
                <w:sz w:val="22"/>
                <w:szCs w:val="22"/>
                <w:highlight w:val="none"/>
                <w:u w:val="none"/>
              </w:rPr>
            </w:pPr>
          </w:p>
        </w:tc>
      </w:tr>
      <w:tr w14:paraId="7B82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96331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6D8FFC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3AC0CB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2403DF">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48EDF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771217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E4310FB">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9F0DB0A">
            <w:pPr>
              <w:jc w:val="center"/>
              <w:rPr>
                <w:rFonts w:hint="eastAsia" w:ascii="仿宋" w:hAnsi="仿宋" w:eastAsia="仿宋" w:cs="仿宋"/>
                <w:i w:val="0"/>
                <w:iCs w:val="0"/>
                <w:color w:val="auto"/>
                <w:sz w:val="22"/>
                <w:szCs w:val="22"/>
                <w:highlight w:val="none"/>
                <w:u w:val="none"/>
              </w:rPr>
            </w:pPr>
          </w:p>
        </w:tc>
      </w:tr>
      <w:tr w14:paraId="2E65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A10DF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518D0C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60D30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74411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03B4125">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D11B45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7A47E2F">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F23BC2">
            <w:pPr>
              <w:jc w:val="center"/>
              <w:rPr>
                <w:rFonts w:hint="eastAsia" w:ascii="仿宋" w:hAnsi="仿宋" w:eastAsia="仿宋" w:cs="仿宋"/>
                <w:i w:val="0"/>
                <w:iCs w:val="0"/>
                <w:color w:val="auto"/>
                <w:sz w:val="22"/>
                <w:szCs w:val="22"/>
                <w:highlight w:val="none"/>
                <w:u w:val="none"/>
              </w:rPr>
            </w:pPr>
          </w:p>
        </w:tc>
      </w:tr>
      <w:tr w14:paraId="3CB9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12ECB3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210B07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65A78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71F4FC">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4E58395">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BA8410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6223E7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9F6B65D">
            <w:pPr>
              <w:jc w:val="center"/>
              <w:rPr>
                <w:rFonts w:hint="eastAsia" w:ascii="仿宋" w:hAnsi="仿宋" w:eastAsia="仿宋" w:cs="仿宋"/>
                <w:i w:val="0"/>
                <w:iCs w:val="0"/>
                <w:color w:val="auto"/>
                <w:sz w:val="22"/>
                <w:szCs w:val="22"/>
                <w:highlight w:val="none"/>
                <w:u w:val="none"/>
              </w:rPr>
            </w:pPr>
          </w:p>
        </w:tc>
      </w:tr>
      <w:tr w14:paraId="15B7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DD236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86CD7C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3361DE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0EE120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C756308">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03FF01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2E25D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0286A6D">
            <w:pPr>
              <w:jc w:val="center"/>
              <w:rPr>
                <w:rFonts w:hint="eastAsia" w:ascii="仿宋" w:hAnsi="仿宋" w:eastAsia="仿宋" w:cs="仿宋"/>
                <w:i w:val="0"/>
                <w:iCs w:val="0"/>
                <w:color w:val="auto"/>
                <w:sz w:val="22"/>
                <w:szCs w:val="22"/>
                <w:highlight w:val="none"/>
                <w:u w:val="none"/>
              </w:rPr>
            </w:pPr>
          </w:p>
        </w:tc>
      </w:tr>
      <w:tr w14:paraId="287E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27D2436">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2EEF9C5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711CD0A">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9647AD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497EDA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D4EEBAF">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788F0F4">
            <w:pPr>
              <w:jc w:val="center"/>
              <w:rPr>
                <w:rFonts w:hint="eastAsia" w:ascii="仿宋" w:hAnsi="仿宋" w:eastAsia="仿宋" w:cs="仿宋"/>
                <w:i w:val="0"/>
                <w:iCs w:val="0"/>
                <w:color w:val="auto"/>
                <w:sz w:val="22"/>
                <w:szCs w:val="22"/>
                <w:highlight w:val="none"/>
                <w:u w:val="none"/>
              </w:rPr>
            </w:pPr>
          </w:p>
        </w:tc>
      </w:tr>
      <w:tr w14:paraId="2891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A052C90">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ADC7CE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CEBCF30">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BEA3696">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D121CC7">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F82330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093BDBF">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66F8934C">
            <w:pPr>
              <w:jc w:val="center"/>
              <w:rPr>
                <w:rFonts w:hint="eastAsia" w:ascii="仿宋" w:hAnsi="仿宋" w:eastAsia="仿宋" w:cs="仿宋"/>
                <w:i w:val="0"/>
                <w:iCs w:val="0"/>
                <w:color w:val="auto"/>
                <w:sz w:val="22"/>
                <w:szCs w:val="22"/>
                <w:highlight w:val="none"/>
                <w:u w:val="none"/>
              </w:rPr>
            </w:pPr>
          </w:p>
        </w:tc>
      </w:tr>
      <w:tr w14:paraId="6BB6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B5F977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323F7B7">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203E96">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A032F27">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6BDF750">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0FEBA0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70453805">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46CFDCC">
            <w:pPr>
              <w:rPr>
                <w:rFonts w:hint="eastAsia" w:ascii="仿宋" w:hAnsi="仿宋" w:eastAsia="仿宋" w:cs="仿宋"/>
                <w:i w:val="0"/>
                <w:iCs w:val="0"/>
                <w:color w:val="auto"/>
                <w:sz w:val="22"/>
                <w:szCs w:val="22"/>
                <w:highlight w:val="none"/>
                <w:u w:val="none"/>
              </w:rPr>
            </w:pPr>
          </w:p>
        </w:tc>
      </w:tr>
      <w:tr w14:paraId="061C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DFD4D7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3FB7EF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03242A7">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2AE3299">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3BA955E">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64C4A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547ADEA3">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217FB15">
            <w:pPr>
              <w:rPr>
                <w:rFonts w:hint="eastAsia" w:ascii="仿宋" w:hAnsi="仿宋" w:eastAsia="仿宋" w:cs="仿宋"/>
                <w:i w:val="0"/>
                <w:iCs w:val="0"/>
                <w:color w:val="auto"/>
                <w:sz w:val="22"/>
                <w:szCs w:val="22"/>
                <w:highlight w:val="none"/>
                <w:u w:val="none"/>
              </w:rPr>
            </w:pPr>
          </w:p>
        </w:tc>
      </w:tr>
      <w:tr w14:paraId="1F4D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26968C3F">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2D3C68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EBAF97">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71B7CF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700F805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92D910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39365010">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7652E6DD">
            <w:pPr>
              <w:rPr>
                <w:rFonts w:hint="eastAsia" w:ascii="仿宋" w:hAnsi="仿宋" w:eastAsia="仿宋" w:cs="仿宋"/>
                <w:i w:val="0"/>
                <w:iCs w:val="0"/>
                <w:color w:val="auto"/>
                <w:sz w:val="22"/>
                <w:szCs w:val="22"/>
                <w:highlight w:val="none"/>
                <w:u w:val="none"/>
              </w:rPr>
            </w:pPr>
          </w:p>
        </w:tc>
      </w:tr>
      <w:tr w14:paraId="59E2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5EE4D433">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CCD227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5BD121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18A29CC">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8A28871">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803AA9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2CABBA25">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B44D47C">
            <w:pPr>
              <w:rPr>
                <w:rFonts w:hint="eastAsia" w:ascii="仿宋" w:hAnsi="仿宋" w:eastAsia="仿宋" w:cs="仿宋"/>
                <w:i w:val="0"/>
                <w:iCs w:val="0"/>
                <w:color w:val="auto"/>
                <w:sz w:val="22"/>
                <w:szCs w:val="22"/>
                <w:highlight w:val="none"/>
                <w:u w:val="none"/>
              </w:rPr>
            </w:pPr>
          </w:p>
        </w:tc>
      </w:tr>
    </w:tbl>
    <w:p w14:paraId="7DEC7679">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5CBA60EA">
      <w:pPr>
        <w:spacing w:line="480" w:lineRule="auto"/>
        <w:jc w:val="both"/>
        <w:rPr>
          <w:rFonts w:hint="eastAsia" w:ascii="Times New Roman" w:hAnsi="Times New Roman" w:cs="Times New Roman"/>
          <w:b w:val="0"/>
          <w:bCs w:val="0"/>
          <w:color w:val="auto"/>
          <w:sz w:val="40"/>
          <w:szCs w:val="40"/>
          <w:highlight w:val="none"/>
          <w:lang w:val="en-US" w:eastAsia="zh-CN"/>
        </w:rPr>
      </w:pPr>
    </w:p>
    <w:p w14:paraId="1F410A87">
      <w:pPr>
        <w:spacing w:line="480" w:lineRule="auto"/>
        <w:jc w:val="both"/>
        <w:rPr>
          <w:rFonts w:hint="eastAsia" w:ascii="Times New Roman" w:hAnsi="Times New Roman" w:cs="Times New Roman"/>
          <w:b w:val="0"/>
          <w:bCs w:val="0"/>
          <w:color w:val="auto"/>
          <w:sz w:val="40"/>
          <w:szCs w:val="40"/>
          <w:highlight w:val="none"/>
          <w:lang w:val="en-US" w:eastAsia="zh-CN"/>
        </w:rPr>
      </w:pPr>
    </w:p>
    <w:p w14:paraId="02D6E2BB">
      <w:pPr>
        <w:spacing w:line="480" w:lineRule="auto"/>
        <w:jc w:val="both"/>
        <w:rPr>
          <w:rFonts w:hint="eastAsia" w:ascii="Times New Roman" w:hAnsi="Times New Roman" w:cs="Times New Roman"/>
          <w:b w:val="0"/>
          <w:bCs w:val="0"/>
          <w:color w:val="auto"/>
          <w:sz w:val="40"/>
          <w:szCs w:val="40"/>
          <w:highlight w:val="none"/>
          <w:lang w:val="en-US" w:eastAsia="zh-CN"/>
        </w:rPr>
      </w:pPr>
    </w:p>
    <w:p w14:paraId="482946BD">
      <w:pPr>
        <w:spacing w:line="480" w:lineRule="auto"/>
        <w:jc w:val="both"/>
        <w:rPr>
          <w:rFonts w:hint="eastAsia" w:ascii="Times New Roman" w:hAnsi="Times New Roman" w:cs="Times New Roman"/>
          <w:b w:val="0"/>
          <w:bCs w:val="0"/>
          <w:color w:val="auto"/>
          <w:sz w:val="40"/>
          <w:szCs w:val="40"/>
          <w:highlight w:val="none"/>
          <w:lang w:val="en-US" w:eastAsia="zh-CN"/>
        </w:rPr>
      </w:pPr>
    </w:p>
    <w:p w14:paraId="13F07950">
      <w:pPr>
        <w:spacing w:line="480" w:lineRule="auto"/>
        <w:jc w:val="both"/>
        <w:rPr>
          <w:rFonts w:hint="eastAsia" w:ascii="Times New Roman" w:hAnsi="Times New Roman" w:cs="Times New Roman"/>
          <w:b w:val="0"/>
          <w:bCs w:val="0"/>
          <w:color w:val="auto"/>
          <w:sz w:val="40"/>
          <w:szCs w:val="40"/>
          <w:highlight w:val="none"/>
          <w:lang w:val="en-US" w:eastAsia="zh-CN"/>
        </w:rPr>
      </w:pPr>
    </w:p>
    <w:p w14:paraId="2E4E2A29">
      <w:pPr>
        <w:spacing w:line="480" w:lineRule="auto"/>
        <w:jc w:val="both"/>
        <w:rPr>
          <w:rFonts w:hint="eastAsia" w:ascii="Times New Roman" w:hAnsi="Times New Roman" w:cs="Times New Roman"/>
          <w:b w:val="0"/>
          <w:bCs w:val="0"/>
          <w:color w:val="auto"/>
          <w:sz w:val="40"/>
          <w:szCs w:val="40"/>
          <w:highlight w:val="none"/>
          <w:lang w:val="en-US" w:eastAsia="zh-CN"/>
        </w:rPr>
      </w:pPr>
    </w:p>
    <w:p w14:paraId="3C588899">
      <w:pPr>
        <w:spacing w:line="480" w:lineRule="auto"/>
        <w:jc w:val="both"/>
        <w:rPr>
          <w:rFonts w:hint="eastAsia" w:ascii="Times New Roman" w:hAnsi="Times New Roman" w:cs="Times New Roman"/>
          <w:b w:val="0"/>
          <w:bCs w:val="0"/>
          <w:color w:val="auto"/>
          <w:sz w:val="40"/>
          <w:szCs w:val="40"/>
          <w:highlight w:val="none"/>
          <w:lang w:val="en-US" w:eastAsia="zh-CN"/>
        </w:rPr>
      </w:pPr>
    </w:p>
    <w:p w14:paraId="7F300177">
      <w:pPr>
        <w:spacing w:line="480" w:lineRule="auto"/>
        <w:jc w:val="both"/>
        <w:rPr>
          <w:rFonts w:hint="eastAsia" w:ascii="Times New Roman" w:hAnsi="Times New Roman" w:cs="Times New Roman"/>
          <w:b w:val="0"/>
          <w:bCs w:val="0"/>
          <w:color w:val="auto"/>
          <w:sz w:val="40"/>
          <w:szCs w:val="40"/>
          <w:highlight w:val="none"/>
          <w:lang w:val="en-US" w:eastAsia="zh-CN"/>
        </w:rPr>
      </w:pPr>
    </w:p>
    <w:p w14:paraId="6B61F895">
      <w:pPr>
        <w:spacing w:line="480" w:lineRule="auto"/>
        <w:jc w:val="both"/>
        <w:rPr>
          <w:rFonts w:hint="eastAsia" w:ascii="宋体" w:hAnsi="宋体" w:eastAsia="宋体" w:cs="宋体"/>
          <w:b/>
          <w:bCs/>
          <w:color w:val="auto"/>
          <w:sz w:val="22"/>
          <w:szCs w:val="22"/>
          <w:highlight w:val="none"/>
          <w:lang w:val="en-US" w:eastAsia="zh-CN"/>
        </w:rPr>
        <w:sectPr>
          <w:footerReference r:id="rId6" w:type="default"/>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75B39CC">
      <w:pPr>
        <w:spacing w:before="63" w:line="219" w:lineRule="auto"/>
        <w:jc w:val="right"/>
        <w:rPr>
          <w:rFonts w:ascii="Arial"/>
          <w:color w:val="auto"/>
          <w:sz w:val="24"/>
          <w:szCs w:val="32"/>
        </w:rPr>
      </w:pPr>
      <w:r>
        <w:rPr>
          <w:rFonts w:ascii="宋体" w:hAnsi="宋体" w:eastAsia="宋体" w:cs="宋体"/>
          <w:color w:val="auto"/>
          <w:spacing w:val="-13"/>
          <w:sz w:val="40"/>
          <w:szCs w:val="40"/>
          <w14:textOutline w14:w="5803" w14:cap="flat" w14:cmpd="sng">
            <w14:solidFill>
              <w14:srgbClr w14:val="000000"/>
            </w14:solidFill>
            <w14:prstDash w14:val="solid"/>
            <w14:miter w14:val="0"/>
          </w14:textOutline>
        </w:rPr>
        <w:t>附件五</w:t>
      </w:r>
    </w:p>
    <w:p w14:paraId="4F1502FA">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u w:val="single" w:color="auto"/>
        </w:rPr>
        <w:tab/>
      </w:r>
      <w:r>
        <w:rPr>
          <w:rFonts w:hint="eastAsia" w:ascii="宋体" w:hAnsi="宋体" w:eastAsia="宋体" w:cs="宋体"/>
          <w:color w:val="auto"/>
          <w:sz w:val="32"/>
          <w:szCs w:val="32"/>
          <w:u w:val="single" w:color="auto"/>
          <w:lang w:val="en-US" w:eastAsia="zh-CN"/>
        </w:rPr>
        <w:t xml:space="preserve">     </w:t>
      </w:r>
      <w:r>
        <w:rPr>
          <w:rFonts w:hint="eastAsia" w:ascii="宋体" w:hAnsi="宋体" w:eastAsia="宋体" w:cs="宋体"/>
          <w:b/>
          <w:bCs/>
          <w:color w:val="auto"/>
          <w:sz w:val="32"/>
          <w:szCs w:val="32"/>
        </w:rPr>
        <w:t>有限公司</w:t>
      </w:r>
      <w:r>
        <w:rPr>
          <w:rFonts w:hint="eastAsia" w:ascii="宋体" w:hAnsi="宋体" w:eastAsia="宋体" w:cs="宋体"/>
          <w:b/>
          <w:bCs/>
          <w:color w:val="auto"/>
          <w:sz w:val="32"/>
          <w:szCs w:val="32"/>
          <w:u w:val="single" w:color="auto"/>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pacing w:val="4"/>
          <w:sz w:val="32"/>
          <w:szCs w:val="32"/>
          <w:u w:val="single" w:color="auto"/>
        </w:rPr>
        <w:t xml:space="preserve">   </w:t>
      </w:r>
      <w:r>
        <w:rPr>
          <w:rFonts w:hint="eastAsia" w:ascii="宋体" w:hAnsi="宋体" w:eastAsia="宋体" w:cs="宋体"/>
          <w:b/>
          <w:bCs/>
          <w:color w:val="auto"/>
          <w:spacing w:val="-72"/>
          <w:sz w:val="32"/>
          <w:szCs w:val="32"/>
        </w:rPr>
        <w:t xml:space="preserve"> </w:t>
      </w:r>
      <w:r>
        <w:rPr>
          <w:rFonts w:hint="eastAsia" w:ascii="宋体" w:hAnsi="宋体" w:eastAsia="宋体" w:cs="宋体"/>
          <w:b/>
          <w:bCs/>
          <w:color w:val="auto"/>
          <w:sz w:val="32"/>
          <w:szCs w:val="32"/>
        </w:rPr>
        <w:t>月对账单</w:t>
      </w:r>
    </w:p>
    <w:p w14:paraId="005A58E6">
      <w:pPr>
        <w:rPr>
          <w:rFonts w:hint="default"/>
          <w:color w:val="auto"/>
          <w:lang w:val="en-US" w:eastAsia="zh-CN"/>
        </w:rPr>
      </w:pPr>
    </w:p>
    <w:p w14:paraId="09AD1F74">
      <w:pPr>
        <w:pStyle w:val="3"/>
        <w:spacing w:before="35" w:line="309" w:lineRule="exact"/>
        <w:ind w:left="67"/>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项目名称：</w:t>
      </w:r>
    </w:p>
    <w:p w14:paraId="7EAEC207">
      <w:pPr>
        <w:pStyle w:val="3"/>
        <w:spacing w:before="35" w:line="309" w:lineRule="exact"/>
        <w:ind w:left="67"/>
        <w:rPr>
          <w:rFonts w:hint="eastAsia" w:ascii="宋体" w:hAnsi="宋体" w:eastAsia="宋体" w:cs="宋体"/>
          <w:color w:val="auto"/>
          <w:spacing w:val="8"/>
          <w:position w:val="10"/>
          <w:sz w:val="20"/>
          <w:szCs w:val="20"/>
        </w:rPr>
      </w:pPr>
    </w:p>
    <w:p w14:paraId="67362DEA">
      <w:pPr>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752C9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50DC73A8">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5009C340">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5F0C02D6">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4A756A4E">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7D73A959">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7337A54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5EE6FEBE">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261D5F07">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74768102">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309E221C">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5BB7D5BD">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1DE2B7B8">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23EC5851">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7B4A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619CF3F">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78B5FB87">
            <w:pPr>
              <w:pStyle w:val="15"/>
              <w:rPr>
                <w:color w:val="auto"/>
                <w:highlight w:val="none"/>
              </w:rPr>
            </w:pPr>
          </w:p>
        </w:tc>
        <w:tc>
          <w:tcPr>
            <w:tcW w:w="930" w:type="dxa"/>
            <w:vAlign w:val="top"/>
          </w:tcPr>
          <w:p w14:paraId="7FD70C04">
            <w:pPr>
              <w:pStyle w:val="15"/>
              <w:rPr>
                <w:color w:val="auto"/>
                <w:highlight w:val="none"/>
              </w:rPr>
            </w:pPr>
          </w:p>
        </w:tc>
        <w:tc>
          <w:tcPr>
            <w:tcW w:w="931" w:type="dxa"/>
            <w:vAlign w:val="top"/>
          </w:tcPr>
          <w:p w14:paraId="43660346">
            <w:pPr>
              <w:pStyle w:val="15"/>
              <w:rPr>
                <w:color w:val="auto"/>
                <w:highlight w:val="none"/>
              </w:rPr>
            </w:pPr>
          </w:p>
        </w:tc>
        <w:tc>
          <w:tcPr>
            <w:tcW w:w="900" w:type="dxa"/>
            <w:vAlign w:val="top"/>
          </w:tcPr>
          <w:p w14:paraId="2FF4A9A4">
            <w:pPr>
              <w:pStyle w:val="15"/>
              <w:rPr>
                <w:color w:val="auto"/>
                <w:highlight w:val="none"/>
              </w:rPr>
            </w:pPr>
          </w:p>
        </w:tc>
        <w:tc>
          <w:tcPr>
            <w:tcW w:w="1065" w:type="dxa"/>
            <w:vAlign w:val="top"/>
          </w:tcPr>
          <w:p w14:paraId="7C45041E">
            <w:pPr>
              <w:pStyle w:val="15"/>
              <w:rPr>
                <w:color w:val="auto"/>
                <w:highlight w:val="none"/>
              </w:rPr>
            </w:pPr>
          </w:p>
        </w:tc>
        <w:tc>
          <w:tcPr>
            <w:tcW w:w="854" w:type="dxa"/>
            <w:vAlign w:val="top"/>
          </w:tcPr>
          <w:p w14:paraId="296FEB43">
            <w:pPr>
              <w:pStyle w:val="15"/>
              <w:rPr>
                <w:color w:val="auto"/>
                <w:highlight w:val="none"/>
              </w:rPr>
            </w:pPr>
          </w:p>
        </w:tc>
        <w:tc>
          <w:tcPr>
            <w:tcW w:w="1201" w:type="dxa"/>
            <w:vAlign w:val="top"/>
          </w:tcPr>
          <w:p w14:paraId="1A1BE3E1">
            <w:pPr>
              <w:pStyle w:val="15"/>
              <w:rPr>
                <w:color w:val="auto"/>
                <w:highlight w:val="none"/>
              </w:rPr>
            </w:pPr>
          </w:p>
        </w:tc>
        <w:tc>
          <w:tcPr>
            <w:tcW w:w="846" w:type="dxa"/>
            <w:vAlign w:val="top"/>
          </w:tcPr>
          <w:p w14:paraId="7E95E495">
            <w:pPr>
              <w:pStyle w:val="15"/>
              <w:rPr>
                <w:color w:val="auto"/>
                <w:highlight w:val="none"/>
              </w:rPr>
            </w:pPr>
          </w:p>
        </w:tc>
        <w:tc>
          <w:tcPr>
            <w:tcW w:w="916" w:type="dxa"/>
            <w:vAlign w:val="top"/>
          </w:tcPr>
          <w:p w14:paraId="6B9600D5">
            <w:pPr>
              <w:pStyle w:val="15"/>
              <w:rPr>
                <w:color w:val="auto"/>
                <w:highlight w:val="none"/>
              </w:rPr>
            </w:pPr>
          </w:p>
        </w:tc>
        <w:tc>
          <w:tcPr>
            <w:tcW w:w="1142" w:type="dxa"/>
            <w:vAlign w:val="top"/>
          </w:tcPr>
          <w:p w14:paraId="48DA044D">
            <w:pPr>
              <w:pStyle w:val="15"/>
              <w:rPr>
                <w:color w:val="auto"/>
                <w:highlight w:val="none"/>
              </w:rPr>
            </w:pPr>
          </w:p>
        </w:tc>
        <w:tc>
          <w:tcPr>
            <w:tcW w:w="1142" w:type="dxa"/>
            <w:vAlign w:val="top"/>
          </w:tcPr>
          <w:p w14:paraId="37348D14">
            <w:pPr>
              <w:pStyle w:val="15"/>
              <w:rPr>
                <w:color w:val="auto"/>
                <w:highlight w:val="none"/>
              </w:rPr>
            </w:pPr>
          </w:p>
        </w:tc>
        <w:tc>
          <w:tcPr>
            <w:tcW w:w="2777" w:type="dxa"/>
            <w:vAlign w:val="top"/>
          </w:tcPr>
          <w:p w14:paraId="28B63662">
            <w:pPr>
              <w:pStyle w:val="15"/>
              <w:rPr>
                <w:color w:val="auto"/>
                <w:highlight w:val="none"/>
              </w:rPr>
            </w:pPr>
          </w:p>
        </w:tc>
      </w:tr>
      <w:tr w14:paraId="4462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FE77294">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58A4B6AD">
            <w:pPr>
              <w:pStyle w:val="15"/>
              <w:rPr>
                <w:color w:val="auto"/>
                <w:highlight w:val="none"/>
              </w:rPr>
            </w:pPr>
          </w:p>
        </w:tc>
        <w:tc>
          <w:tcPr>
            <w:tcW w:w="930" w:type="dxa"/>
            <w:vAlign w:val="top"/>
          </w:tcPr>
          <w:p w14:paraId="2ABF9A2D">
            <w:pPr>
              <w:pStyle w:val="15"/>
              <w:rPr>
                <w:color w:val="auto"/>
                <w:highlight w:val="none"/>
              </w:rPr>
            </w:pPr>
          </w:p>
        </w:tc>
        <w:tc>
          <w:tcPr>
            <w:tcW w:w="931" w:type="dxa"/>
            <w:vAlign w:val="top"/>
          </w:tcPr>
          <w:p w14:paraId="42F3A3E9">
            <w:pPr>
              <w:pStyle w:val="15"/>
              <w:rPr>
                <w:color w:val="auto"/>
                <w:highlight w:val="none"/>
              </w:rPr>
            </w:pPr>
          </w:p>
        </w:tc>
        <w:tc>
          <w:tcPr>
            <w:tcW w:w="900" w:type="dxa"/>
            <w:vAlign w:val="top"/>
          </w:tcPr>
          <w:p w14:paraId="6A924368">
            <w:pPr>
              <w:pStyle w:val="15"/>
              <w:rPr>
                <w:color w:val="auto"/>
                <w:highlight w:val="none"/>
              </w:rPr>
            </w:pPr>
          </w:p>
        </w:tc>
        <w:tc>
          <w:tcPr>
            <w:tcW w:w="1065" w:type="dxa"/>
            <w:vAlign w:val="top"/>
          </w:tcPr>
          <w:p w14:paraId="2320D0B2">
            <w:pPr>
              <w:pStyle w:val="15"/>
              <w:rPr>
                <w:color w:val="auto"/>
                <w:highlight w:val="none"/>
              </w:rPr>
            </w:pPr>
          </w:p>
        </w:tc>
        <w:tc>
          <w:tcPr>
            <w:tcW w:w="854" w:type="dxa"/>
            <w:vAlign w:val="top"/>
          </w:tcPr>
          <w:p w14:paraId="62DA92AD">
            <w:pPr>
              <w:pStyle w:val="15"/>
              <w:rPr>
                <w:color w:val="auto"/>
                <w:highlight w:val="none"/>
              </w:rPr>
            </w:pPr>
          </w:p>
        </w:tc>
        <w:tc>
          <w:tcPr>
            <w:tcW w:w="1201" w:type="dxa"/>
            <w:vAlign w:val="top"/>
          </w:tcPr>
          <w:p w14:paraId="0466C8A0">
            <w:pPr>
              <w:pStyle w:val="15"/>
              <w:rPr>
                <w:color w:val="auto"/>
                <w:highlight w:val="none"/>
              </w:rPr>
            </w:pPr>
          </w:p>
        </w:tc>
        <w:tc>
          <w:tcPr>
            <w:tcW w:w="846" w:type="dxa"/>
            <w:vAlign w:val="top"/>
          </w:tcPr>
          <w:p w14:paraId="643C0A02">
            <w:pPr>
              <w:pStyle w:val="15"/>
              <w:rPr>
                <w:color w:val="auto"/>
                <w:highlight w:val="none"/>
              </w:rPr>
            </w:pPr>
          </w:p>
        </w:tc>
        <w:tc>
          <w:tcPr>
            <w:tcW w:w="916" w:type="dxa"/>
            <w:vAlign w:val="top"/>
          </w:tcPr>
          <w:p w14:paraId="1F407866">
            <w:pPr>
              <w:pStyle w:val="15"/>
              <w:rPr>
                <w:color w:val="auto"/>
                <w:highlight w:val="none"/>
              </w:rPr>
            </w:pPr>
          </w:p>
        </w:tc>
        <w:tc>
          <w:tcPr>
            <w:tcW w:w="1142" w:type="dxa"/>
            <w:vAlign w:val="top"/>
          </w:tcPr>
          <w:p w14:paraId="1EBFBC90">
            <w:pPr>
              <w:pStyle w:val="15"/>
              <w:rPr>
                <w:color w:val="auto"/>
                <w:highlight w:val="none"/>
              </w:rPr>
            </w:pPr>
          </w:p>
        </w:tc>
        <w:tc>
          <w:tcPr>
            <w:tcW w:w="1142" w:type="dxa"/>
            <w:vAlign w:val="top"/>
          </w:tcPr>
          <w:p w14:paraId="159254ED">
            <w:pPr>
              <w:pStyle w:val="15"/>
              <w:rPr>
                <w:color w:val="auto"/>
                <w:highlight w:val="none"/>
              </w:rPr>
            </w:pPr>
          </w:p>
        </w:tc>
        <w:tc>
          <w:tcPr>
            <w:tcW w:w="2777" w:type="dxa"/>
            <w:vAlign w:val="top"/>
          </w:tcPr>
          <w:p w14:paraId="102E3AAD">
            <w:pPr>
              <w:pStyle w:val="15"/>
              <w:rPr>
                <w:color w:val="auto"/>
                <w:highlight w:val="none"/>
              </w:rPr>
            </w:pPr>
          </w:p>
        </w:tc>
      </w:tr>
      <w:tr w14:paraId="4A72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E316C24">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1AE72DE5">
            <w:pPr>
              <w:pStyle w:val="15"/>
              <w:rPr>
                <w:color w:val="auto"/>
                <w:highlight w:val="none"/>
              </w:rPr>
            </w:pPr>
          </w:p>
        </w:tc>
        <w:tc>
          <w:tcPr>
            <w:tcW w:w="930" w:type="dxa"/>
            <w:vAlign w:val="top"/>
          </w:tcPr>
          <w:p w14:paraId="20AAA28C">
            <w:pPr>
              <w:pStyle w:val="15"/>
              <w:rPr>
                <w:color w:val="auto"/>
                <w:highlight w:val="none"/>
              </w:rPr>
            </w:pPr>
          </w:p>
        </w:tc>
        <w:tc>
          <w:tcPr>
            <w:tcW w:w="931" w:type="dxa"/>
            <w:vAlign w:val="top"/>
          </w:tcPr>
          <w:p w14:paraId="3E8228C7">
            <w:pPr>
              <w:pStyle w:val="15"/>
              <w:rPr>
                <w:color w:val="auto"/>
                <w:highlight w:val="none"/>
              </w:rPr>
            </w:pPr>
          </w:p>
        </w:tc>
        <w:tc>
          <w:tcPr>
            <w:tcW w:w="900" w:type="dxa"/>
            <w:vAlign w:val="top"/>
          </w:tcPr>
          <w:p w14:paraId="231094D2">
            <w:pPr>
              <w:pStyle w:val="15"/>
              <w:rPr>
                <w:color w:val="auto"/>
                <w:highlight w:val="none"/>
              </w:rPr>
            </w:pPr>
          </w:p>
        </w:tc>
        <w:tc>
          <w:tcPr>
            <w:tcW w:w="1065" w:type="dxa"/>
            <w:vAlign w:val="top"/>
          </w:tcPr>
          <w:p w14:paraId="50626360">
            <w:pPr>
              <w:pStyle w:val="15"/>
              <w:rPr>
                <w:color w:val="auto"/>
                <w:highlight w:val="none"/>
              </w:rPr>
            </w:pPr>
          </w:p>
        </w:tc>
        <w:tc>
          <w:tcPr>
            <w:tcW w:w="854" w:type="dxa"/>
            <w:vAlign w:val="top"/>
          </w:tcPr>
          <w:p w14:paraId="66ABF960">
            <w:pPr>
              <w:pStyle w:val="15"/>
              <w:rPr>
                <w:color w:val="auto"/>
                <w:highlight w:val="none"/>
              </w:rPr>
            </w:pPr>
          </w:p>
        </w:tc>
        <w:tc>
          <w:tcPr>
            <w:tcW w:w="1201" w:type="dxa"/>
            <w:vAlign w:val="top"/>
          </w:tcPr>
          <w:p w14:paraId="3E57F832">
            <w:pPr>
              <w:pStyle w:val="15"/>
              <w:rPr>
                <w:color w:val="auto"/>
                <w:highlight w:val="none"/>
              </w:rPr>
            </w:pPr>
          </w:p>
        </w:tc>
        <w:tc>
          <w:tcPr>
            <w:tcW w:w="846" w:type="dxa"/>
            <w:vAlign w:val="top"/>
          </w:tcPr>
          <w:p w14:paraId="69265D08">
            <w:pPr>
              <w:pStyle w:val="15"/>
              <w:rPr>
                <w:color w:val="auto"/>
                <w:highlight w:val="none"/>
              </w:rPr>
            </w:pPr>
          </w:p>
        </w:tc>
        <w:tc>
          <w:tcPr>
            <w:tcW w:w="916" w:type="dxa"/>
            <w:vAlign w:val="top"/>
          </w:tcPr>
          <w:p w14:paraId="235427A7">
            <w:pPr>
              <w:pStyle w:val="15"/>
              <w:rPr>
                <w:color w:val="auto"/>
                <w:highlight w:val="none"/>
              </w:rPr>
            </w:pPr>
          </w:p>
        </w:tc>
        <w:tc>
          <w:tcPr>
            <w:tcW w:w="1142" w:type="dxa"/>
            <w:vAlign w:val="top"/>
          </w:tcPr>
          <w:p w14:paraId="101C3BF9">
            <w:pPr>
              <w:pStyle w:val="15"/>
              <w:rPr>
                <w:color w:val="auto"/>
                <w:highlight w:val="none"/>
              </w:rPr>
            </w:pPr>
          </w:p>
        </w:tc>
        <w:tc>
          <w:tcPr>
            <w:tcW w:w="1142" w:type="dxa"/>
            <w:vAlign w:val="top"/>
          </w:tcPr>
          <w:p w14:paraId="2F67C54F">
            <w:pPr>
              <w:pStyle w:val="15"/>
              <w:rPr>
                <w:color w:val="auto"/>
                <w:highlight w:val="none"/>
              </w:rPr>
            </w:pPr>
          </w:p>
        </w:tc>
        <w:tc>
          <w:tcPr>
            <w:tcW w:w="2777" w:type="dxa"/>
            <w:vAlign w:val="top"/>
          </w:tcPr>
          <w:p w14:paraId="24E5BA96">
            <w:pPr>
              <w:pStyle w:val="15"/>
              <w:rPr>
                <w:color w:val="auto"/>
                <w:highlight w:val="none"/>
              </w:rPr>
            </w:pPr>
          </w:p>
        </w:tc>
      </w:tr>
      <w:tr w14:paraId="1C64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0F832B6C">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631F6E6F">
            <w:pPr>
              <w:pStyle w:val="15"/>
              <w:rPr>
                <w:color w:val="auto"/>
                <w:highlight w:val="none"/>
              </w:rPr>
            </w:pPr>
          </w:p>
        </w:tc>
        <w:tc>
          <w:tcPr>
            <w:tcW w:w="930" w:type="dxa"/>
            <w:vAlign w:val="top"/>
          </w:tcPr>
          <w:p w14:paraId="6CFD2E83">
            <w:pPr>
              <w:pStyle w:val="15"/>
              <w:rPr>
                <w:color w:val="auto"/>
                <w:highlight w:val="none"/>
              </w:rPr>
            </w:pPr>
          </w:p>
        </w:tc>
        <w:tc>
          <w:tcPr>
            <w:tcW w:w="931" w:type="dxa"/>
            <w:vAlign w:val="top"/>
          </w:tcPr>
          <w:p w14:paraId="6D202D2C">
            <w:pPr>
              <w:pStyle w:val="15"/>
              <w:rPr>
                <w:color w:val="auto"/>
                <w:highlight w:val="none"/>
              </w:rPr>
            </w:pPr>
          </w:p>
        </w:tc>
        <w:tc>
          <w:tcPr>
            <w:tcW w:w="900" w:type="dxa"/>
            <w:vAlign w:val="top"/>
          </w:tcPr>
          <w:p w14:paraId="07D8949E">
            <w:pPr>
              <w:pStyle w:val="15"/>
              <w:rPr>
                <w:color w:val="auto"/>
                <w:highlight w:val="none"/>
              </w:rPr>
            </w:pPr>
          </w:p>
        </w:tc>
        <w:tc>
          <w:tcPr>
            <w:tcW w:w="1065" w:type="dxa"/>
            <w:vAlign w:val="top"/>
          </w:tcPr>
          <w:p w14:paraId="42D7B4C4">
            <w:pPr>
              <w:pStyle w:val="15"/>
              <w:rPr>
                <w:color w:val="auto"/>
                <w:highlight w:val="none"/>
              </w:rPr>
            </w:pPr>
          </w:p>
        </w:tc>
        <w:tc>
          <w:tcPr>
            <w:tcW w:w="854" w:type="dxa"/>
            <w:vAlign w:val="top"/>
          </w:tcPr>
          <w:p w14:paraId="0A5D76B7">
            <w:pPr>
              <w:pStyle w:val="15"/>
              <w:rPr>
                <w:color w:val="auto"/>
                <w:highlight w:val="none"/>
              </w:rPr>
            </w:pPr>
          </w:p>
        </w:tc>
        <w:tc>
          <w:tcPr>
            <w:tcW w:w="1201" w:type="dxa"/>
            <w:vAlign w:val="top"/>
          </w:tcPr>
          <w:p w14:paraId="6D2AE20F">
            <w:pPr>
              <w:pStyle w:val="15"/>
              <w:rPr>
                <w:color w:val="auto"/>
                <w:highlight w:val="none"/>
              </w:rPr>
            </w:pPr>
          </w:p>
        </w:tc>
        <w:tc>
          <w:tcPr>
            <w:tcW w:w="846" w:type="dxa"/>
            <w:vAlign w:val="top"/>
          </w:tcPr>
          <w:p w14:paraId="6880B3EA">
            <w:pPr>
              <w:pStyle w:val="15"/>
              <w:rPr>
                <w:color w:val="auto"/>
                <w:highlight w:val="none"/>
              </w:rPr>
            </w:pPr>
          </w:p>
        </w:tc>
        <w:tc>
          <w:tcPr>
            <w:tcW w:w="916" w:type="dxa"/>
            <w:vAlign w:val="top"/>
          </w:tcPr>
          <w:p w14:paraId="3F327982">
            <w:pPr>
              <w:pStyle w:val="15"/>
              <w:rPr>
                <w:color w:val="auto"/>
                <w:highlight w:val="none"/>
              </w:rPr>
            </w:pPr>
          </w:p>
        </w:tc>
        <w:tc>
          <w:tcPr>
            <w:tcW w:w="1142" w:type="dxa"/>
            <w:vAlign w:val="top"/>
          </w:tcPr>
          <w:p w14:paraId="562D0137">
            <w:pPr>
              <w:pStyle w:val="15"/>
              <w:rPr>
                <w:color w:val="auto"/>
                <w:highlight w:val="none"/>
              </w:rPr>
            </w:pPr>
          </w:p>
        </w:tc>
        <w:tc>
          <w:tcPr>
            <w:tcW w:w="1142" w:type="dxa"/>
            <w:vAlign w:val="top"/>
          </w:tcPr>
          <w:p w14:paraId="1F718A9F">
            <w:pPr>
              <w:pStyle w:val="15"/>
              <w:rPr>
                <w:color w:val="auto"/>
                <w:highlight w:val="none"/>
              </w:rPr>
            </w:pPr>
          </w:p>
        </w:tc>
        <w:tc>
          <w:tcPr>
            <w:tcW w:w="2777" w:type="dxa"/>
            <w:vAlign w:val="top"/>
          </w:tcPr>
          <w:p w14:paraId="70529845">
            <w:pPr>
              <w:pStyle w:val="15"/>
              <w:rPr>
                <w:color w:val="auto"/>
                <w:highlight w:val="none"/>
              </w:rPr>
            </w:pPr>
          </w:p>
        </w:tc>
      </w:tr>
      <w:tr w14:paraId="5CD1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DA643F1">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0E1DAD23">
            <w:pPr>
              <w:pStyle w:val="15"/>
              <w:rPr>
                <w:color w:val="auto"/>
                <w:highlight w:val="none"/>
              </w:rPr>
            </w:pPr>
          </w:p>
        </w:tc>
        <w:tc>
          <w:tcPr>
            <w:tcW w:w="930" w:type="dxa"/>
            <w:vAlign w:val="top"/>
          </w:tcPr>
          <w:p w14:paraId="73722ACB">
            <w:pPr>
              <w:pStyle w:val="15"/>
              <w:rPr>
                <w:color w:val="auto"/>
                <w:highlight w:val="none"/>
              </w:rPr>
            </w:pPr>
          </w:p>
        </w:tc>
        <w:tc>
          <w:tcPr>
            <w:tcW w:w="931" w:type="dxa"/>
            <w:vAlign w:val="top"/>
          </w:tcPr>
          <w:p w14:paraId="0AEE23BB">
            <w:pPr>
              <w:pStyle w:val="15"/>
              <w:rPr>
                <w:color w:val="auto"/>
                <w:highlight w:val="none"/>
              </w:rPr>
            </w:pPr>
          </w:p>
        </w:tc>
        <w:tc>
          <w:tcPr>
            <w:tcW w:w="900" w:type="dxa"/>
            <w:vAlign w:val="top"/>
          </w:tcPr>
          <w:p w14:paraId="217AB2C2">
            <w:pPr>
              <w:pStyle w:val="15"/>
              <w:rPr>
                <w:color w:val="auto"/>
                <w:highlight w:val="none"/>
              </w:rPr>
            </w:pPr>
          </w:p>
        </w:tc>
        <w:tc>
          <w:tcPr>
            <w:tcW w:w="1065" w:type="dxa"/>
            <w:vAlign w:val="top"/>
          </w:tcPr>
          <w:p w14:paraId="5FA0470A">
            <w:pPr>
              <w:pStyle w:val="15"/>
              <w:rPr>
                <w:color w:val="auto"/>
                <w:highlight w:val="none"/>
              </w:rPr>
            </w:pPr>
          </w:p>
        </w:tc>
        <w:tc>
          <w:tcPr>
            <w:tcW w:w="854" w:type="dxa"/>
            <w:vAlign w:val="top"/>
          </w:tcPr>
          <w:p w14:paraId="7CD666F7">
            <w:pPr>
              <w:pStyle w:val="15"/>
              <w:rPr>
                <w:color w:val="auto"/>
                <w:highlight w:val="none"/>
              </w:rPr>
            </w:pPr>
          </w:p>
        </w:tc>
        <w:tc>
          <w:tcPr>
            <w:tcW w:w="1201" w:type="dxa"/>
            <w:vAlign w:val="top"/>
          </w:tcPr>
          <w:p w14:paraId="1EB3D7A9">
            <w:pPr>
              <w:pStyle w:val="15"/>
              <w:rPr>
                <w:color w:val="auto"/>
                <w:highlight w:val="none"/>
              </w:rPr>
            </w:pPr>
          </w:p>
        </w:tc>
        <w:tc>
          <w:tcPr>
            <w:tcW w:w="846" w:type="dxa"/>
            <w:vAlign w:val="top"/>
          </w:tcPr>
          <w:p w14:paraId="778CB31A">
            <w:pPr>
              <w:pStyle w:val="15"/>
              <w:rPr>
                <w:color w:val="auto"/>
                <w:highlight w:val="none"/>
              </w:rPr>
            </w:pPr>
          </w:p>
        </w:tc>
        <w:tc>
          <w:tcPr>
            <w:tcW w:w="916" w:type="dxa"/>
            <w:vAlign w:val="top"/>
          </w:tcPr>
          <w:p w14:paraId="0F9A6FFF">
            <w:pPr>
              <w:pStyle w:val="15"/>
              <w:rPr>
                <w:color w:val="auto"/>
                <w:highlight w:val="none"/>
              </w:rPr>
            </w:pPr>
          </w:p>
        </w:tc>
        <w:tc>
          <w:tcPr>
            <w:tcW w:w="1142" w:type="dxa"/>
            <w:vAlign w:val="top"/>
          </w:tcPr>
          <w:p w14:paraId="1431EE62">
            <w:pPr>
              <w:pStyle w:val="15"/>
              <w:rPr>
                <w:color w:val="auto"/>
                <w:highlight w:val="none"/>
              </w:rPr>
            </w:pPr>
          </w:p>
        </w:tc>
        <w:tc>
          <w:tcPr>
            <w:tcW w:w="1142" w:type="dxa"/>
            <w:vAlign w:val="top"/>
          </w:tcPr>
          <w:p w14:paraId="7B0F4A6C">
            <w:pPr>
              <w:pStyle w:val="15"/>
              <w:rPr>
                <w:color w:val="auto"/>
                <w:highlight w:val="none"/>
              </w:rPr>
            </w:pPr>
          </w:p>
        </w:tc>
        <w:tc>
          <w:tcPr>
            <w:tcW w:w="2777" w:type="dxa"/>
            <w:vAlign w:val="top"/>
          </w:tcPr>
          <w:p w14:paraId="5B205B91">
            <w:pPr>
              <w:pStyle w:val="15"/>
              <w:rPr>
                <w:color w:val="auto"/>
                <w:highlight w:val="none"/>
              </w:rPr>
            </w:pPr>
          </w:p>
        </w:tc>
      </w:tr>
      <w:tr w14:paraId="58D6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3EEA4B2F">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609E4E71">
            <w:pPr>
              <w:pStyle w:val="15"/>
              <w:rPr>
                <w:color w:val="auto"/>
                <w:highlight w:val="none"/>
              </w:rPr>
            </w:pPr>
          </w:p>
        </w:tc>
        <w:tc>
          <w:tcPr>
            <w:tcW w:w="930" w:type="dxa"/>
            <w:vAlign w:val="top"/>
          </w:tcPr>
          <w:p w14:paraId="37EFB33D">
            <w:pPr>
              <w:pStyle w:val="15"/>
              <w:rPr>
                <w:color w:val="auto"/>
                <w:highlight w:val="none"/>
              </w:rPr>
            </w:pPr>
          </w:p>
        </w:tc>
        <w:tc>
          <w:tcPr>
            <w:tcW w:w="931" w:type="dxa"/>
            <w:vAlign w:val="top"/>
          </w:tcPr>
          <w:p w14:paraId="08B79AA1">
            <w:pPr>
              <w:pStyle w:val="15"/>
              <w:rPr>
                <w:color w:val="auto"/>
                <w:highlight w:val="none"/>
              </w:rPr>
            </w:pPr>
          </w:p>
        </w:tc>
        <w:tc>
          <w:tcPr>
            <w:tcW w:w="900" w:type="dxa"/>
            <w:vAlign w:val="top"/>
          </w:tcPr>
          <w:p w14:paraId="232D657C">
            <w:pPr>
              <w:pStyle w:val="15"/>
              <w:rPr>
                <w:color w:val="auto"/>
                <w:highlight w:val="none"/>
              </w:rPr>
            </w:pPr>
          </w:p>
        </w:tc>
        <w:tc>
          <w:tcPr>
            <w:tcW w:w="1065" w:type="dxa"/>
            <w:vAlign w:val="top"/>
          </w:tcPr>
          <w:p w14:paraId="19A8C148">
            <w:pPr>
              <w:pStyle w:val="15"/>
              <w:rPr>
                <w:color w:val="auto"/>
                <w:highlight w:val="none"/>
              </w:rPr>
            </w:pPr>
          </w:p>
        </w:tc>
        <w:tc>
          <w:tcPr>
            <w:tcW w:w="854" w:type="dxa"/>
            <w:vAlign w:val="top"/>
          </w:tcPr>
          <w:p w14:paraId="2A7A9B34">
            <w:pPr>
              <w:pStyle w:val="15"/>
              <w:rPr>
                <w:color w:val="auto"/>
                <w:highlight w:val="none"/>
              </w:rPr>
            </w:pPr>
          </w:p>
        </w:tc>
        <w:tc>
          <w:tcPr>
            <w:tcW w:w="1201" w:type="dxa"/>
            <w:vAlign w:val="top"/>
          </w:tcPr>
          <w:p w14:paraId="31403951">
            <w:pPr>
              <w:pStyle w:val="15"/>
              <w:rPr>
                <w:color w:val="auto"/>
                <w:highlight w:val="none"/>
              </w:rPr>
            </w:pPr>
          </w:p>
        </w:tc>
        <w:tc>
          <w:tcPr>
            <w:tcW w:w="846" w:type="dxa"/>
            <w:vAlign w:val="top"/>
          </w:tcPr>
          <w:p w14:paraId="0B733085">
            <w:pPr>
              <w:pStyle w:val="15"/>
              <w:rPr>
                <w:color w:val="auto"/>
                <w:highlight w:val="none"/>
              </w:rPr>
            </w:pPr>
          </w:p>
        </w:tc>
        <w:tc>
          <w:tcPr>
            <w:tcW w:w="916" w:type="dxa"/>
            <w:vAlign w:val="top"/>
          </w:tcPr>
          <w:p w14:paraId="733FBFA7">
            <w:pPr>
              <w:pStyle w:val="15"/>
              <w:rPr>
                <w:color w:val="auto"/>
                <w:highlight w:val="none"/>
              </w:rPr>
            </w:pPr>
          </w:p>
        </w:tc>
        <w:tc>
          <w:tcPr>
            <w:tcW w:w="1142" w:type="dxa"/>
            <w:vAlign w:val="top"/>
          </w:tcPr>
          <w:p w14:paraId="085AAEB9">
            <w:pPr>
              <w:pStyle w:val="15"/>
              <w:rPr>
                <w:color w:val="auto"/>
                <w:highlight w:val="none"/>
              </w:rPr>
            </w:pPr>
          </w:p>
        </w:tc>
        <w:tc>
          <w:tcPr>
            <w:tcW w:w="1142" w:type="dxa"/>
            <w:vAlign w:val="top"/>
          </w:tcPr>
          <w:p w14:paraId="3A0B1134">
            <w:pPr>
              <w:pStyle w:val="15"/>
              <w:rPr>
                <w:color w:val="auto"/>
                <w:highlight w:val="none"/>
              </w:rPr>
            </w:pPr>
          </w:p>
        </w:tc>
        <w:tc>
          <w:tcPr>
            <w:tcW w:w="2777" w:type="dxa"/>
            <w:vAlign w:val="top"/>
          </w:tcPr>
          <w:p w14:paraId="71818E97">
            <w:pPr>
              <w:pStyle w:val="15"/>
              <w:rPr>
                <w:color w:val="auto"/>
                <w:highlight w:val="none"/>
              </w:rPr>
            </w:pPr>
          </w:p>
        </w:tc>
      </w:tr>
      <w:tr w14:paraId="13002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5464E08">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7D0A3E8D">
            <w:pPr>
              <w:pStyle w:val="15"/>
              <w:rPr>
                <w:color w:val="auto"/>
                <w:highlight w:val="none"/>
              </w:rPr>
            </w:pPr>
          </w:p>
        </w:tc>
        <w:tc>
          <w:tcPr>
            <w:tcW w:w="930" w:type="dxa"/>
            <w:vAlign w:val="top"/>
          </w:tcPr>
          <w:p w14:paraId="53F7A9D0">
            <w:pPr>
              <w:pStyle w:val="15"/>
              <w:rPr>
                <w:color w:val="auto"/>
                <w:highlight w:val="none"/>
              </w:rPr>
            </w:pPr>
          </w:p>
        </w:tc>
        <w:tc>
          <w:tcPr>
            <w:tcW w:w="931" w:type="dxa"/>
            <w:vAlign w:val="top"/>
          </w:tcPr>
          <w:p w14:paraId="0E5BA8C8">
            <w:pPr>
              <w:pStyle w:val="15"/>
              <w:rPr>
                <w:color w:val="auto"/>
                <w:highlight w:val="none"/>
              </w:rPr>
            </w:pPr>
          </w:p>
        </w:tc>
        <w:tc>
          <w:tcPr>
            <w:tcW w:w="900" w:type="dxa"/>
            <w:vAlign w:val="top"/>
          </w:tcPr>
          <w:p w14:paraId="62F81780">
            <w:pPr>
              <w:pStyle w:val="15"/>
              <w:rPr>
                <w:color w:val="auto"/>
                <w:highlight w:val="none"/>
              </w:rPr>
            </w:pPr>
          </w:p>
        </w:tc>
        <w:tc>
          <w:tcPr>
            <w:tcW w:w="1065" w:type="dxa"/>
            <w:vAlign w:val="top"/>
          </w:tcPr>
          <w:p w14:paraId="1CA9D18F">
            <w:pPr>
              <w:pStyle w:val="15"/>
              <w:rPr>
                <w:color w:val="auto"/>
                <w:highlight w:val="none"/>
              </w:rPr>
            </w:pPr>
          </w:p>
        </w:tc>
        <w:tc>
          <w:tcPr>
            <w:tcW w:w="854" w:type="dxa"/>
            <w:vAlign w:val="top"/>
          </w:tcPr>
          <w:p w14:paraId="5487604F">
            <w:pPr>
              <w:pStyle w:val="15"/>
              <w:rPr>
                <w:color w:val="auto"/>
                <w:highlight w:val="none"/>
              </w:rPr>
            </w:pPr>
          </w:p>
        </w:tc>
        <w:tc>
          <w:tcPr>
            <w:tcW w:w="1201" w:type="dxa"/>
            <w:vAlign w:val="top"/>
          </w:tcPr>
          <w:p w14:paraId="28482B0B">
            <w:pPr>
              <w:pStyle w:val="15"/>
              <w:rPr>
                <w:color w:val="auto"/>
                <w:highlight w:val="none"/>
              </w:rPr>
            </w:pPr>
          </w:p>
        </w:tc>
        <w:tc>
          <w:tcPr>
            <w:tcW w:w="846" w:type="dxa"/>
            <w:vAlign w:val="top"/>
          </w:tcPr>
          <w:p w14:paraId="4069CC9B">
            <w:pPr>
              <w:pStyle w:val="15"/>
              <w:rPr>
                <w:color w:val="auto"/>
                <w:highlight w:val="none"/>
              </w:rPr>
            </w:pPr>
          </w:p>
        </w:tc>
        <w:tc>
          <w:tcPr>
            <w:tcW w:w="916" w:type="dxa"/>
            <w:vAlign w:val="top"/>
          </w:tcPr>
          <w:p w14:paraId="1458C4FF">
            <w:pPr>
              <w:pStyle w:val="15"/>
              <w:rPr>
                <w:color w:val="auto"/>
                <w:highlight w:val="none"/>
              </w:rPr>
            </w:pPr>
          </w:p>
        </w:tc>
        <w:tc>
          <w:tcPr>
            <w:tcW w:w="1142" w:type="dxa"/>
            <w:vAlign w:val="top"/>
          </w:tcPr>
          <w:p w14:paraId="15B3AEF2">
            <w:pPr>
              <w:pStyle w:val="15"/>
              <w:rPr>
                <w:color w:val="auto"/>
                <w:highlight w:val="none"/>
              </w:rPr>
            </w:pPr>
          </w:p>
        </w:tc>
        <w:tc>
          <w:tcPr>
            <w:tcW w:w="1142" w:type="dxa"/>
            <w:vAlign w:val="top"/>
          </w:tcPr>
          <w:p w14:paraId="28B080B7">
            <w:pPr>
              <w:pStyle w:val="15"/>
              <w:rPr>
                <w:color w:val="auto"/>
                <w:highlight w:val="none"/>
              </w:rPr>
            </w:pPr>
          </w:p>
        </w:tc>
        <w:tc>
          <w:tcPr>
            <w:tcW w:w="2777" w:type="dxa"/>
            <w:vAlign w:val="top"/>
          </w:tcPr>
          <w:p w14:paraId="4BAE02F8">
            <w:pPr>
              <w:pStyle w:val="15"/>
              <w:rPr>
                <w:color w:val="auto"/>
                <w:highlight w:val="none"/>
              </w:rPr>
            </w:pPr>
          </w:p>
        </w:tc>
      </w:tr>
      <w:tr w14:paraId="3CD8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75CF9865">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0B365097">
            <w:pPr>
              <w:pStyle w:val="15"/>
              <w:rPr>
                <w:color w:val="auto"/>
                <w:highlight w:val="none"/>
              </w:rPr>
            </w:pPr>
          </w:p>
        </w:tc>
        <w:tc>
          <w:tcPr>
            <w:tcW w:w="930" w:type="dxa"/>
            <w:vAlign w:val="top"/>
          </w:tcPr>
          <w:p w14:paraId="320CFD4B">
            <w:pPr>
              <w:pStyle w:val="15"/>
              <w:rPr>
                <w:color w:val="auto"/>
                <w:highlight w:val="none"/>
              </w:rPr>
            </w:pPr>
          </w:p>
        </w:tc>
        <w:tc>
          <w:tcPr>
            <w:tcW w:w="931" w:type="dxa"/>
            <w:vAlign w:val="top"/>
          </w:tcPr>
          <w:p w14:paraId="7B225434">
            <w:pPr>
              <w:pStyle w:val="15"/>
              <w:rPr>
                <w:color w:val="auto"/>
                <w:highlight w:val="none"/>
              </w:rPr>
            </w:pPr>
          </w:p>
        </w:tc>
        <w:tc>
          <w:tcPr>
            <w:tcW w:w="900" w:type="dxa"/>
            <w:vAlign w:val="top"/>
          </w:tcPr>
          <w:p w14:paraId="44B9395F">
            <w:pPr>
              <w:pStyle w:val="15"/>
              <w:rPr>
                <w:color w:val="auto"/>
                <w:highlight w:val="none"/>
              </w:rPr>
            </w:pPr>
          </w:p>
        </w:tc>
        <w:tc>
          <w:tcPr>
            <w:tcW w:w="1065" w:type="dxa"/>
            <w:vAlign w:val="top"/>
          </w:tcPr>
          <w:p w14:paraId="248EE5AE">
            <w:pPr>
              <w:pStyle w:val="15"/>
              <w:rPr>
                <w:color w:val="auto"/>
                <w:highlight w:val="none"/>
              </w:rPr>
            </w:pPr>
          </w:p>
        </w:tc>
        <w:tc>
          <w:tcPr>
            <w:tcW w:w="854" w:type="dxa"/>
            <w:vAlign w:val="top"/>
          </w:tcPr>
          <w:p w14:paraId="0F667235">
            <w:pPr>
              <w:pStyle w:val="15"/>
              <w:rPr>
                <w:color w:val="auto"/>
                <w:highlight w:val="none"/>
              </w:rPr>
            </w:pPr>
          </w:p>
        </w:tc>
        <w:tc>
          <w:tcPr>
            <w:tcW w:w="1201" w:type="dxa"/>
            <w:vAlign w:val="top"/>
          </w:tcPr>
          <w:p w14:paraId="5371F177">
            <w:pPr>
              <w:pStyle w:val="15"/>
              <w:rPr>
                <w:color w:val="auto"/>
                <w:highlight w:val="none"/>
              </w:rPr>
            </w:pPr>
          </w:p>
        </w:tc>
        <w:tc>
          <w:tcPr>
            <w:tcW w:w="846" w:type="dxa"/>
            <w:vAlign w:val="top"/>
          </w:tcPr>
          <w:p w14:paraId="5B083CF3">
            <w:pPr>
              <w:pStyle w:val="15"/>
              <w:rPr>
                <w:color w:val="auto"/>
                <w:highlight w:val="none"/>
              </w:rPr>
            </w:pPr>
          </w:p>
        </w:tc>
        <w:tc>
          <w:tcPr>
            <w:tcW w:w="916" w:type="dxa"/>
            <w:vAlign w:val="top"/>
          </w:tcPr>
          <w:p w14:paraId="40ED983F">
            <w:pPr>
              <w:pStyle w:val="15"/>
              <w:rPr>
                <w:color w:val="auto"/>
                <w:highlight w:val="none"/>
              </w:rPr>
            </w:pPr>
          </w:p>
        </w:tc>
        <w:tc>
          <w:tcPr>
            <w:tcW w:w="1142" w:type="dxa"/>
            <w:vAlign w:val="top"/>
          </w:tcPr>
          <w:p w14:paraId="54DB4CF4">
            <w:pPr>
              <w:pStyle w:val="15"/>
              <w:rPr>
                <w:color w:val="auto"/>
                <w:highlight w:val="none"/>
              </w:rPr>
            </w:pPr>
          </w:p>
        </w:tc>
        <w:tc>
          <w:tcPr>
            <w:tcW w:w="1142" w:type="dxa"/>
            <w:vAlign w:val="top"/>
          </w:tcPr>
          <w:p w14:paraId="3B00BB93">
            <w:pPr>
              <w:pStyle w:val="15"/>
              <w:rPr>
                <w:color w:val="auto"/>
                <w:highlight w:val="none"/>
              </w:rPr>
            </w:pPr>
          </w:p>
        </w:tc>
        <w:tc>
          <w:tcPr>
            <w:tcW w:w="2777" w:type="dxa"/>
            <w:vAlign w:val="top"/>
          </w:tcPr>
          <w:p w14:paraId="1DBA50D1">
            <w:pPr>
              <w:pStyle w:val="15"/>
              <w:rPr>
                <w:color w:val="auto"/>
                <w:highlight w:val="none"/>
              </w:rPr>
            </w:pPr>
          </w:p>
        </w:tc>
      </w:tr>
      <w:tr w14:paraId="1F64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B522D5C">
            <w:pPr>
              <w:pStyle w:val="15"/>
              <w:rPr>
                <w:color w:val="auto"/>
                <w:highlight w:val="none"/>
              </w:rPr>
            </w:pPr>
          </w:p>
        </w:tc>
        <w:tc>
          <w:tcPr>
            <w:tcW w:w="831" w:type="dxa"/>
            <w:vAlign w:val="top"/>
          </w:tcPr>
          <w:p w14:paraId="1071A41D">
            <w:pPr>
              <w:pStyle w:val="15"/>
              <w:rPr>
                <w:color w:val="auto"/>
                <w:highlight w:val="none"/>
              </w:rPr>
            </w:pPr>
          </w:p>
        </w:tc>
        <w:tc>
          <w:tcPr>
            <w:tcW w:w="930" w:type="dxa"/>
            <w:vAlign w:val="top"/>
          </w:tcPr>
          <w:p w14:paraId="2B6CD395">
            <w:pPr>
              <w:pStyle w:val="15"/>
              <w:rPr>
                <w:color w:val="auto"/>
                <w:highlight w:val="none"/>
              </w:rPr>
            </w:pPr>
          </w:p>
        </w:tc>
        <w:tc>
          <w:tcPr>
            <w:tcW w:w="931" w:type="dxa"/>
            <w:vAlign w:val="top"/>
          </w:tcPr>
          <w:p w14:paraId="69F401EF">
            <w:pPr>
              <w:pStyle w:val="15"/>
              <w:rPr>
                <w:color w:val="auto"/>
                <w:highlight w:val="none"/>
              </w:rPr>
            </w:pPr>
          </w:p>
        </w:tc>
        <w:tc>
          <w:tcPr>
            <w:tcW w:w="900" w:type="dxa"/>
            <w:vAlign w:val="top"/>
          </w:tcPr>
          <w:p w14:paraId="5D163B0D">
            <w:pPr>
              <w:pStyle w:val="15"/>
              <w:rPr>
                <w:color w:val="auto"/>
                <w:highlight w:val="none"/>
              </w:rPr>
            </w:pPr>
          </w:p>
        </w:tc>
        <w:tc>
          <w:tcPr>
            <w:tcW w:w="1065" w:type="dxa"/>
            <w:vAlign w:val="top"/>
          </w:tcPr>
          <w:p w14:paraId="5D04D561">
            <w:pPr>
              <w:pStyle w:val="15"/>
              <w:rPr>
                <w:color w:val="auto"/>
                <w:highlight w:val="none"/>
              </w:rPr>
            </w:pPr>
          </w:p>
        </w:tc>
        <w:tc>
          <w:tcPr>
            <w:tcW w:w="854" w:type="dxa"/>
            <w:vAlign w:val="top"/>
          </w:tcPr>
          <w:p w14:paraId="58965163">
            <w:pPr>
              <w:pStyle w:val="15"/>
              <w:rPr>
                <w:color w:val="auto"/>
                <w:highlight w:val="none"/>
              </w:rPr>
            </w:pPr>
          </w:p>
        </w:tc>
        <w:tc>
          <w:tcPr>
            <w:tcW w:w="1201" w:type="dxa"/>
            <w:vAlign w:val="top"/>
          </w:tcPr>
          <w:p w14:paraId="0C02DAF9">
            <w:pPr>
              <w:pStyle w:val="15"/>
              <w:rPr>
                <w:color w:val="auto"/>
                <w:highlight w:val="none"/>
              </w:rPr>
            </w:pPr>
          </w:p>
        </w:tc>
        <w:tc>
          <w:tcPr>
            <w:tcW w:w="846" w:type="dxa"/>
            <w:vAlign w:val="top"/>
          </w:tcPr>
          <w:p w14:paraId="222EAF4D">
            <w:pPr>
              <w:pStyle w:val="15"/>
              <w:rPr>
                <w:color w:val="auto"/>
                <w:highlight w:val="none"/>
              </w:rPr>
            </w:pPr>
          </w:p>
        </w:tc>
        <w:tc>
          <w:tcPr>
            <w:tcW w:w="916" w:type="dxa"/>
            <w:vAlign w:val="top"/>
          </w:tcPr>
          <w:p w14:paraId="08ECACEF">
            <w:pPr>
              <w:pStyle w:val="15"/>
              <w:rPr>
                <w:color w:val="auto"/>
                <w:highlight w:val="none"/>
              </w:rPr>
            </w:pPr>
          </w:p>
        </w:tc>
        <w:tc>
          <w:tcPr>
            <w:tcW w:w="1142" w:type="dxa"/>
            <w:vAlign w:val="top"/>
          </w:tcPr>
          <w:p w14:paraId="3064A4C2">
            <w:pPr>
              <w:pStyle w:val="15"/>
              <w:rPr>
                <w:color w:val="auto"/>
                <w:highlight w:val="none"/>
              </w:rPr>
            </w:pPr>
          </w:p>
        </w:tc>
        <w:tc>
          <w:tcPr>
            <w:tcW w:w="1142" w:type="dxa"/>
            <w:vAlign w:val="top"/>
          </w:tcPr>
          <w:p w14:paraId="72A7DEB8">
            <w:pPr>
              <w:pStyle w:val="15"/>
              <w:rPr>
                <w:color w:val="auto"/>
                <w:highlight w:val="none"/>
              </w:rPr>
            </w:pPr>
          </w:p>
        </w:tc>
        <w:tc>
          <w:tcPr>
            <w:tcW w:w="2777" w:type="dxa"/>
            <w:vAlign w:val="top"/>
          </w:tcPr>
          <w:p w14:paraId="634A91A0">
            <w:pPr>
              <w:pStyle w:val="15"/>
              <w:rPr>
                <w:color w:val="auto"/>
                <w:highlight w:val="none"/>
              </w:rPr>
            </w:pPr>
          </w:p>
        </w:tc>
      </w:tr>
      <w:tr w14:paraId="2DE9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74726BF9">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1296F669">
            <w:pPr>
              <w:pStyle w:val="15"/>
              <w:rPr>
                <w:color w:val="auto"/>
                <w:highlight w:val="none"/>
              </w:rPr>
            </w:pPr>
          </w:p>
        </w:tc>
        <w:tc>
          <w:tcPr>
            <w:tcW w:w="930" w:type="dxa"/>
            <w:vAlign w:val="top"/>
          </w:tcPr>
          <w:p w14:paraId="63611128">
            <w:pPr>
              <w:pStyle w:val="15"/>
              <w:rPr>
                <w:color w:val="auto"/>
                <w:highlight w:val="none"/>
              </w:rPr>
            </w:pPr>
          </w:p>
        </w:tc>
        <w:tc>
          <w:tcPr>
            <w:tcW w:w="931" w:type="dxa"/>
            <w:vAlign w:val="top"/>
          </w:tcPr>
          <w:p w14:paraId="5E9F5073">
            <w:pPr>
              <w:pStyle w:val="15"/>
              <w:rPr>
                <w:color w:val="auto"/>
                <w:highlight w:val="none"/>
              </w:rPr>
            </w:pPr>
          </w:p>
        </w:tc>
        <w:tc>
          <w:tcPr>
            <w:tcW w:w="900" w:type="dxa"/>
            <w:vAlign w:val="top"/>
          </w:tcPr>
          <w:p w14:paraId="7BEC4A21">
            <w:pPr>
              <w:pStyle w:val="15"/>
              <w:rPr>
                <w:color w:val="auto"/>
                <w:highlight w:val="none"/>
              </w:rPr>
            </w:pPr>
          </w:p>
        </w:tc>
        <w:tc>
          <w:tcPr>
            <w:tcW w:w="1065" w:type="dxa"/>
            <w:vAlign w:val="top"/>
          </w:tcPr>
          <w:p w14:paraId="63BA94F5">
            <w:pPr>
              <w:pStyle w:val="15"/>
              <w:rPr>
                <w:color w:val="auto"/>
                <w:highlight w:val="none"/>
              </w:rPr>
            </w:pPr>
          </w:p>
        </w:tc>
        <w:tc>
          <w:tcPr>
            <w:tcW w:w="854" w:type="dxa"/>
            <w:vAlign w:val="top"/>
          </w:tcPr>
          <w:p w14:paraId="45F4F082">
            <w:pPr>
              <w:pStyle w:val="15"/>
              <w:rPr>
                <w:color w:val="auto"/>
                <w:highlight w:val="none"/>
              </w:rPr>
            </w:pPr>
          </w:p>
        </w:tc>
        <w:tc>
          <w:tcPr>
            <w:tcW w:w="1201" w:type="dxa"/>
            <w:vAlign w:val="top"/>
          </w:tcPr>
          <w:p w14:paraId="19BF04C1">
            <w:pPr>
              <w:pStyle w:val="15"/>
              <w:rPr>
                <w:color w:val="auto"/>
                <w:highlight w:val="none"/>
              </w:rPr>
            </w:pPr>
          </w:p>
        </w:tc>
        <w:tc>
          <w:tcPr>
            <w:tcW w:w="846" w:type="dxa"/>
            <w:vAlign w:val="top"/>
          </w:tcPr>
          <w:p w14:paraId="7DCDDEF3">
            <w:pPr>
              <w:pStyle w:val="15"/>
              <w:rPr>
                <w:color w:val="auto"/>
                <w:highlight w:val="none"/>
              </w:rPr>
            </w:pPr>
          </w:p>
        </w:tc>
        <w:tc>
          <w:tcPr>
            <w:tcW w:w="916" w:type="dxa"/>
            <w:vAlign w:val="top"/>
          </w:tcPr>
          <w:p w14:paraId="3F11FA6C">
            <w:pPr>
              <w:pStyle w:val="15"/>
              <w:rPr>
                <w:color w:val="auto"/>
                <w:highlight w:val="none"/>
              </w:rPr>
            </w:pPr>
          </w:p>
        </w:tc>
        <w:tc>
          <w:tcPr>
            <w:tcW w:w="1142" w:type="dxa"/>
            <w:vAlign w:val="top"/>
          </w:tcPr>
          <w:p w14:paraId="78CB8BA5">
            <w:pPr>
              <w:pStyle w:val="15"/>
              <w:rPr>
                <w:color w:val="auto"/>
                <w:highlight w:val="none"/>
              </w:rPr>
            </w:pPr>
          </w:p>
        </w:tc>
        <w:tc>
          <w:tcPr>
            <w:tcW w:w="1142" w:type="dxa"/>
            <w:vAlign w:val="top"/>
          </w:tcPr>
          <w:p w14:paraId="4F78F123">
            <w:pPr>
              <w:pStyle w:val="15"/>
              <w:rPr>
                <w:color w:val="auto"/>
                <w:highlight w:val="none"/>
              </w:rPr>
            </w:pPr>
          </w:p>
        </w:tc>
        <w:tc>
          <w:tcPr>
            <w:tcW w:w="2777" w:type="dxa"/>
            <w:vAlign w:val="top"/>
          </w:tcPr>
          <w:p w14:paraId="21382220">
            <w:pPr>
              <w:pStyle w:val="15"/>
              <w:rPr>
                <w:color w:val="auto"/>
                <w:highlight w:val="none"/>
              </w:rPr>
            </w:pPr>
          </w:p>
        </w:tc>
      </w:tr>
    </w:tbl>
    <w:p w14:paraId="40A50D49">
      <w:pPr>
        <w:pStyle w:val="3"/>
        <w:spacing w:before="46" w:line="534" w:lineRule="exact"/>
        <w:ind w:left="68"/>
        <w:rPr>
          <w:rFonts w:hint="default" w:ascii="宋体" w:hAnsi="宋体" w:eastAsia="宋体" w:cs="宋体"/>
          <w:color w:val="auto"/>
          <w:spacing w:val="8"/>
          <w:position w:val="10"/>
          <w:sz w:val="20"/>
          <w:szCs w:val="20"/>
          <w:lang w:val="en-US" w:eastAsia="zh-CN"/>
        </w:rPr>
      </w:pPr>
      <w:r>
        <w:rPr>
          <w:rFonts w:hint="eastAsia" w:ascii="宋体" w:hAnsi="宋体" w:eastAsia="宋体" w:cs="宋体"/>
          <w:color w:val="auto"/>
          <w:spacing w:val="3"/>
          <w:position w:val="29"/>
          <w:sz w:val="18"/>
          <w:szCs w:val="18"/>
        </w:rPr>
        <w:t>说明：供应商根据对账需求可增加表头内容，不得删减表头内</w:t>
      </w:r>
      <w:r>
        <w:rPr>
          <w:rFonts w:hint="eastAsia" w:ascii="宋体" w:hAnsi="宋体" w:eastAsia="宋体" w:cs="宋体"/>
          <w:color w:val="auto"/>
          <w:spacing w:val="2"/>
          <w:position w:val="29"/>
          <w:sz w:val="18"/>
          <w:szCs w:val="18"/>
        </w:rPr>
        <w:t>容。</w:t>
      </w:r>
    </w:p>
    <w:p w14:paraId="4CF328FF">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524310D8">
      <w:pPr>
        <w:pStyle w:val="8"/>
        <w:ind w:left="0" w:leftChars="0" w:firstLine="0" w:firstLineChars="0"/>
        <w:rPr>
          <w:rFonts w:hint="eastAsia" w:hAnsi="宋体" w:cs="宋体"/>
          <w:color w:val="auto"/>
          <w:spacing w:val="8"/>
          <w:position w:val="-1"/>
          <w:sz w:val="24"/>
          <w:szCs w:val="24"/>
          <w:highlight w:val="none"/>
          <w:lang w:val="en-US" w:eastAsia="zh-CN"/>
        </w:rPr>
        <w:sectPr>
          <w:pgSz w:w="16838" w:h="11906" w:orient="landscape"/>
          <w:pgMar w:top="981"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hAnsi="宋体" w:cs="宋体"/>
          <w:color w:val="auto"/>
          <w:spacing w:val="8"/>
          <w:position w:val="-1"/>
          <w:sz w:val="24"/>
          <w:szCs w:val="24"/>
          <w:highlight w:val="none"/>
          <w:lang w:val="en-US" w:eastAsia="zh-CN"/>
        </w:rPr>
        <w:t>日期：                                                               日期：</w:t>
      </w:r>
    </w:p>
    <w:p w14:paraId="646CD708">
      <w:pPr>
        <w:spacing w:line="26" w:lineRule="exact"/>
        <w:rPr>
          <w:color w:val="auto"/>
          <w:highlight w:val="none"/>
        </w:rPr>
      </w:pPr>
    </w:p>
    <w:p w14:paraId="7B490E3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附件六《甲方项目章》样式</w:t>
      </w:r>
    </w:p>
    <w:p w14:paraId="009D92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5EE2F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4733925" cy="3343275"/>
                    </a:xfrm>
                    <a:prstGeom prst="rect">
                      <a:avLst/>
                    </a:prstGeom>
                    <a:noFill/>
                    <a:ln>
                      <a:noFill/>
                    </a:ln>
                  </pic:spPr>
                </pic:pic>
              </a:graphicData>
            </a:graphic>
          </wp:inline>
        </w:drawing>
      </w:r>
    </w:p>
    <w:p w14:paraId="0F5A942B">
      <w:pPr>
        <w:pStyle w:val="8"/>
        <w:ind w:left="0" w:leftChars="0" w:firstLine="0" w:firstLineChars="0"/>
        <w:rPr>
          <w:rFonts w:hint="default" w:hAnsi="宋体" w:cs="宋体"/>
          <w:color w:val="auto"/>
          <w:spacing w:val="8"/>
          <w:position w:val="-1"/>
          <w:sz w:val="24"/>
          <w:szCs w:val="24"/>
          <w:highlight w:val="none"/>
          <w:lang w:val="en-US" w:eastAsia="zh-CN"/>
        </w:rPr>
      </w:pPr>
    </w:p>
    <w:sectPr>
      <w:pgSz w:w="11906" w:h="16838"/>
      <w:pgMar w:top="1134" w:right="958" w:bottom="850" w:left="98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98AD">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797C">
    <w:pPr>
      <w:pStyle w:val="5"/>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9FAF3">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61A9FA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95D4">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912D2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4D912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540F">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CB2DC"/>
    <w:multiLevelType w:val="singleLevel"/>
    <w:tmpl w:val="ECCCB2DC"/>
    <w:lvl w:ilvl="0" w:tentative="0">
      <w:start w:val="2"/>
      <w:numFmt w:val="decimal"/>
      <w:suff w:val="nothing"/>
      <w:lvlText w:val="%1、"/>
      <w:lvlJc w:val="left"/>
    </w:lvl>
  </w:abstractNum>
  <w:abstractNum w:abstractNumId="1">
    <w:nsid w:val="10DC8A7D"/>
    <w:multiLevelType w:val="multilevel"/>
    <w:tmpl w:val="10DC8A7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mFjY2M4NGE3NTNmYTZhMjQ2NWNhMzdjOTI1OWUifQ=="/>
    <w:docVar w:name="KSO_WPS_MARK_KEY" w:val="59d02c81-67fc-412f-bc5c-f3c84c8b44ce"/>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8C5315"/>
    <w:rsid w:val="00942D05"/>
    <w:rsid w:val="00A87DE8"/>
    <w:rsid w:val="00B0507A"/>
    <w:rsid w:val="00BC757B"/>
    <w:rsid w:val="00D72607"/>
    <w:rsid w:val="00DC2680"/>
    <w:rsid w:val="01037573"/>
    <w:rsid w:val="01286562"/>
    <w:rsid w:val="012F2443"/>
    <w:rsid w:val="012F2B13"/>
    <w:rsid w:val="01305439"/>
    <w:rsid w:val="01325A8F"/>
    <w:rsid w:val="01326F3B"/>
    <w:rsid w:val="01351803"/>
    <w:rsid w:val="013637D1"/>
    <w:rsid w:val="0156177E"/>
    <w:rsid w:val="015D207C"/>
    <w:rsid w:val="01665882"/>
    <w:rsid w:val="016814B1"/>
    <w:rsid w:val="01791910"/>
    <w:rsid w:val="017B7436"/>
    <w:rsid w:val="019978BC"/>
    <w:rsid w:val="01A71FD9"/>
    <w:rsid w:val="01AD3795"/>
    <w:rsid w:val="01F3230D"/>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CA3832"/>
    <w:rsid w:val="03D130C9"/>
    <w:rsid w:val="03D23A10"/>
    <w:rsid w:val="03EF5DB2"/>
    <w:rsid w:val="03F01D87"/>
    <w:rsid w:val="03FD05D6"/>
    <w:rsid w:val="04194CE4"/>
    <w:rsid w:val="041C3581"/>
    <w:rsid w:val="04206073"/>
    <w:rsid w:val="042711AF"/>
    <w:rsid w:val="044B7594"/>
    <w:rsid w:val="045301F6"/>
    <w:rsid w:val="047F2F94"/>
    <w:rsid w:val="04C9670A"/>
    <w:rsid w:val="04D05CEB"/>
    <w:rsid w:val="0515604A"/>
    <w:rsid w:val="05235E1B"/>
    <w:rsid w:val="05241B93"/>
    <w:rsid w:val="05254BA4"/>
    <w:rsid w:val="05571F68"/>
    <w:rsid w:val="055E32F7"/>
    <w:rsid w:val="055E648D"/>
    <w:rsid w:val="0563090D"/>
    <w:rsid w:val="058F1702"/>
    <w:rsid w:val="0598566E"/>
    <w:rsid w:val="05B00870"/>
    <w:rsid w:val="05B94582"/>
    <w:rsid w:val="05CF7D50"/>
    <w:rsid w:val="05DC29A4"/>
    <w:rsid w:val="05E7046B"/>
    <w:rsid w:val="062A142B"/>
    <w:rsid w:val="062A31D9"/>
    <w:rsid w:val="06456265"/>
    <w:rsid w:val="06485FA3"/>
    <w:rsid w:val="064C13A1"/>
    <w:rsid w:val="065F1493"/>
    <w:rsid w:val="066A43D4"/>
    <w:rsid w:val="06994288"/>
    <w:rsid w:val="069A3EBB"/>
    <w:rsid w:val="069D0714"/>
    <w:rsid w:val="06A96D7B"/>
    <w:rsid w:val="06B3319E"/>
    <w:rsid w:val="06B524FE"/>
    <w:rsid w:val="06CB49BC"/>
    <w:rsid w:val="06D90E7B"/>
    <w:rsid w:val="06DB3895"/>
    <w:rsid w:val="06DC0977"/>
    <w:rsid w:val="070B4DB8"/>
    <w:rsid w:val="071E2D3E"/>
    <w:rsid w:val="071F6AB6"/>
    <w:rsid w:val="07222102"/>
    <w:rsid w:val="072916E2"/>
    <w:rsid w:val="07351E35"/>
    <w:rsid w:val="074D44A4"/>
    <w:rsid w:val="076444C8"/>
    <w:rsid w:val="07751C27"/>
    <w:rsid w:val="078F7797"/>
    <w:rsid w:val="079B2A89"/>
    <w:rsid w:val="079C1EB4"/>
    <w:rsid w:val="07E838FA"/>
    <w:rsid w:val="08005A40"/>
    <w:rsid w:val="084762C4"/>
    <w:rsid w:val="08564322"/>
    <w:rsid w:val="085D5AE7"/>
    <w:rsid w:val="087A1BF2"/>
    <w:rsid w:val="088C6DAF"/>
    <w:rsid w:val="08E04023"/>
    <w:rsid w:val="08E80E7B"/>
    <w:rsid w:val="08EE7CFD"/>
    <w:rsid w:val="08EF01D5"/>
    <w:rsid w:val="08FD1E97"/>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3200A0"/>
    <w:rsid w:val="0C62191E"/>
    <w:rsid w:val="0C633D50"/>
    <w:rsid w:val="0CAD1696"/>
    <w:rsid w:val="0CB90E13"/>
    <w:rsid w:val="0CC25F19"/>
    <w:rsid w:val="0CD2303E"/>
    <w:rsid w:val="0CEC11E8"/>
    <w:rsid w:val="0CF2453E"/>
    <w:rsid w:val="0D042E1A"/>
    <w:rsid w:val="0D2839BE"/>
    <w:rsid w:val="0D4913C1"/>
    <w:rsid w:val="0D660F9A"/>
    <w:rsid w:val="0D6945E7"/>
    <w:rsid w:val="0D962F4D"/>
    <w:rsid w:val="0DBC6E0C"/>
    <w:rsid w:val="0DF77E44"/>
    <w:rsid w:val="0E1518A1"/>
    <w:rsid w:val="0E2350DD"/>
    <w:rsid w:val="0E255799"/>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B4855"/>
    <w:rsid w:val="0F8C08E3"/>
    <w:rsid w:val="0F8D06EA"/>
    <w:rsid w:val="0FA53BB8"/>
    <w:rsid w:val="0FC149A6"/>
    <w:rsid w:val="0FC1695C"/>
    <w:rsid w:val="0FDF4E93"/>
    <w:rsid w:val="0FE03B0E"/>
    <w:rsid w:val="0FE4089C"/>
    <w:rsid w:val="0FEE34C9"/>
    <w:rsid w:val="0FF90784"/>
    <w:rsid w:val="10093E5F"/>
    <w:rsid w:val="100D7DF3"/>
    <w:rsid w:val="101703E9"/>
    <w:rsid w:val="1054157E"/>
    <w:rsid w:val="105651B6"/>
    <w:rsid w:val="106A6FF4"/>
    <w:rsid w:val="10836E18"/>
    <w:rsid w:val="109C2F25"/>
    <w:rsid w:val="10AB142F"/>
    <w:rsid w:val="10AB4F16"/>
    <w:rsid w:val="10C06C14"/>
    <w:rsid w:val="10C36704"/>
    <w:rsid w:val="10CB4AD3"/>
    <w:rsid w:val="10E613C1"/>
    <w:rsid w:val="10EE19D3"/>
    <w:rsid w:val="11041F12"/>
    <w:rsid w:val="11095C2A"/>
    <w:rsid w:val="1110464B"/>
    <w:rsid w:val="1154735C"/>
    <w:rsid w:val="1158509E"/>
    <w:rsid w:val="115A0AD0"/>
    <w:rsid w:val="11630031"/>
    <w:rsid w:val="11763776"/>
    <w:rsid w:val="117A14B8"/>
    <w:rsid w:val="11A007F3"/>
    <w:rsid w:val="11AE31E0"/>
    <w:rsid w:val="11AE5258"/>
    <w:rsid w:val="11B147AE"/>
    <w:rsid w:val="11C646FD"/>
    <w:rsid w:val="11C9487C"/>
    <w:rsid w:val="11F56D91"/>
    <w:rsid w:val="12266F4A"/>
    <w:rsid w:val="12303925"/>
    <w:rsid w:val="12340406"/>
    <w:rsid w:val="123A0C48"/>
    <w:rsid w:val="124341AB"/>
    <w:rsid w:val="12521AED"/>
    <w:rsid w:val="12633CFA"/>
    <w:rsid w:val="12692EF2"/>
    <w:rsid w:val="12786986"/>
    <w:rsid w:val="12922832"/>
    <w:rsid w:val="12A3059B"/>
    <w:rsid w:val="12B375BA"/>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E44DAF"/>
    <w:rsid w:val="13FB325E"/>
    <w:rsid w:val="1470712F"/>
    <w:rsid w:val="147122D2"/>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B36931"/>
    <w:rsid w:val="15CF16A7"/>
    <w:rsid w:val="16017DF9"/>
    <w:rsid w:val="16197E6B"/>
    <w:rsid w:val="16281F12"/>
    <w:rsid w:val="16302145"/>
    <w:rsid w:val="16351E52"/>
    <w:rsid w:val="16492D73"/>
    <w:rsid w:val="167043DB"/>
    <w:rsid w:val="16717081"/>
    <w:rsid w:val="167209B0"/>
    <w:rsid w:val="16750D36"/>
    <w:rsid w:val="169F4AA0"/>
    <w:rsid w:val="16AA7E79"/>
    <w:rsid w:val="16B014D8"/>
    <w:rsid w:val="16C17241"/>
    <w:rsid w:val="170B3EB5"/>
    <w:rsid w:val="171952CF"/>
    <w:rsid w:val="1719707D"/>
    <w:rsid w:val="171D2EE0"/>
    <w:rsid w:val="1730504B"/>
    <w:rsid w:val="17361868"/>
    <w:rsid w:val="17515EC2"/>
    <w:rsid w:val="175C420C"/>
    <w:rsid w:val="17740758"/>
    <w:rsid w:val="178C5AA1"/>
    <w:rsid w:val="179D2E56"/>
    <w:rsid w:val="17A6044E"/>
    <w:rsid w:val="17BA0860"/>
    <w:rsid w:val="17BD20FF"/>
    <w:rsid w:val="17E44BFC"/>
    <w:rsid w:val="17E53404"/>
    <w:rsid w:val="17EF06F4"/>
    <w:rsid w:val="180A4C18"/>
    <w:rsid w:val="180D50C3"/>
    <w:rsid w:val="180D79FC"/>
    <w:rsid w:val="18233F71"/>
    <w:rsid w:val="18310418"/>
    <w:rsid w:val="1864558B"/>
    <w:rsid w:val="18702BAC"/>
    <w:rsid w:val="187B6274"/>
    <w:rsid w:val="189D783A"/>
    <w:rsid w:val="18B2778A"/>
    <w:rsid w:val="18B904BA"/>
    <w:rsid w:val="18C03544"/>
    <w:rsid w:val="18EB67F8"/>
    <w:rsid w:val="18F90F15"/>
    <w:rsid w:val="19063790"/>
    <w:rsid w:val="19120228"/>
    <w:rsid w:val="193F43C7"/>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3D6779"/>
    <w:rsid w:val="1A5823C6"/>
    <w:rsid w:val="1A9F78F8"/>
    <w:rsid w:val="1AA66E7A"/>
    <w:rsid w:val="1AB57683"/>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546B8"/>
    <w:rsid w:val="1B666609"/>
    <w:rsid w:val="1B724FAE"/>
    <w:rsid w:val="1B7A7441"/>
    <w:rsid w:val="1B83540D"/>
    <w:rsid w:val="1B8A78B2"/>
    <w:rsid w:val="1B9C202B"/>
    <w:rsid w:val="1BCD2B6C"/>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913BB8"/>
    <w:rsid w:val="1DB01F75"/>
    <w:rsid w:val="1DC92705"/>
    <w:rsid w:val="1DD51824"/>
    <w:rsid w:val="1DDA6E3B"/>
    <w:rsid w:val="1DDF12F2"/>
    <w:rsid w:val="1E0A5972"/>
    <w:rsid w:val="1E0A7720"/>
    <w:rsid w:val="1E0D58F9"/>
    <w:rsid w:val="1E0F4D36"/>
    <w:rsid w:val="1E291486"/>
    <w:rsid w:val="1E3824DF"/>
    <w:rsid w:val="1E4744D0"/>
    <w:rsid w:val="1E4C5F8A"/>
    <w:rsid w:val="1E4E0DEF"/>
    <w:rsid w:val="1E596F15"/>
    <w:rsid w:val="1E5D7DE9"/>
    <w:rsid w:val="1E5E59CA"/>
    <w:rsid w:val="1E6E5AF7"/>
    <w:rsid w:val="1E6E6048"/>
    <w:rsid w:val="1E881536"/>
    <w:rsid w:val="1E8A260F"/>
    <w:rsid w:val="1E952C15"/>
    <w:rsid w:val="1E967206"/>
    <w:rsid w:val="1EAA33EB"/>
    <w:rsid w:val="1EAE6AE9"/>
    <w:rsid w:val="1EB55AAE"/>
    <w:rsid w:val="1EDE6925"/>
    <w:rsid w:val="1F066139"/>
    <w:rsid w:val="1F130856"/>
    <w:rsid w:val="1F2C36C6"/>
    <w:rsid w:val="1F2E743E"/>
    <w:rsid w:val="1F416D3C"/>
    <w:rsid w:val="1F4E71EE"/>
    <w:rsid w:val="1F576995"/>
    <w:rsid w:val="1F5F550C"/>
    <w:rsid w:val="1F63358C"/>
    <w:rsid w:val="1F6D61B8"/>
    <w:rsid w:val="1F752CC0"/>
    <w:rsid w:val="1F871243"/>
    <w:rsid w:val="1F9F033C"/>
    <w:rsid w:val="1FBD2E59"/>
    <w:rsid w:val="1FBF278C"/>
    <w:rsid w:val="1FFE5062"/>
    <w:rsid w:val="2006231E"/>
    <w:rsid w:val="2007660D"/>
    <w:rsid w:val="200C6649"/>
    <w:rsid w:val="20124FB2"/>
    <w:rsid w:val="20191E9C"/>
    <w:rsid w:val="202A1281"/>
    <w:rsid w:val="204A02A8"/>
    <w:rsid w:val="20674C4C"/>
    <w:rsid w:val="20692753"/>
    <w:rsid w:val="206C1BB2"/>
    <w:rsid w:val="20752222"/>
    <w:rsid w:val="2080016D"/>
    <w:rsid w:val="208E288A"/>
    <w:rsid w:val="20D9162C"/>
    <w:rsid w:val="20E63F9F"/>
    <w:rsid w:val="20ED350F"/>
    <w:rsid w:val="21042B4C"/>
    <w:rsid w:val="21271BF9"/>
    <w:rsid w:val="212E1977"/>
    <w:rsid w:val="212E3725"/>
    <w:rsid w:val="21425423"/>
    <w:rsid w:val="21645399"/>
    <w:rsid w:val="21696E53"/>
    <w:rsid w:val="21920158"/>
    <w:rsid w:val="21927F47"/>
    <w:rsid w:val="21AD23A2"/>
    <w:rsid w:val="21AF4883"/>
    <w:rsid w:val="21CF315A"/>
    <w:rsid w:val="21DE514B"/>
    <w:rsid w:val="21E07116"/>
    <w:rsid w:val="21EF55AB"/>
    <w:rsid w:val="21EF63FF"/>
    <w:rsid w:val="21F20BF7"/>
    <w:rsid w:val="21FA5CFD"/>
    <w:rsid w:val="2217065D"/>
    <w:rsid w:val="22293AE7"/>
    <w:rsid w:val="22317971"/>
    <w:rsid w:val="223615FD"/>
    <w:rsid w:val="22461903"/>
    <w:rsid w:val="226E1396"/>
    <w:rsid w:val="22793056"/>
    <w:rsid w:val="22832569"/>
    <w:rsid w:val="22835CF3"/>
    <w:rsid w:val="22971AE5"/>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B22A38"/>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B12ABC"/>
    <w:rsid w:val="24C513B8"/>
    <w:rsid w:val="24F80254"/>
    <w:rsid w:val="25070E5D"/>
    <w:rsid w:val="250A6257"/>
    <w:rsid w:val="250E5D48"/>
    <w:rsid w:val="25165925"/>
    <w:rsid w:val="25294857"/>
    <w:rsid w:val="252F3F10"/>
    <w:rsid w:val="25382DC5"/>
    <w:rsid w:val="255614AE"/>
    <w:rsid w:val="255676EF"/>
    <w:rsid w:val="255A71DF"/>
    <w:rsid w:val="255D0A7D"/>
    <w:rsid w:val="25716194"/>
    <w:rsid w:val="25735262"/>
    <w:rsid w:val="257F4DF4"/>
    <w:rsid w:val="259B2F08"/>
    <w:rsid w:val="25AB2680"/>
    <w:rsid w:val="25AC3A6A"/>
    <w:rsid w:val="25D074A1"/>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7E46883"/>
    <w:rsid w:val="28292E99"/>
    <w:rsid w:val="283005FE"/>
    <w:rsid w:val="28327F9F"/>
    <w:rsid w:val="28331A56"/>
    <w:rsid w:val="28434849"/>
    <w:rsid w:val="28456613"/>
    <w:rsid w:val="286D202F"/>
    <w:rsid w:val="28956780"/>
    <w:rsid w:val="289B3715"/>
    <w:rsid w:val="28C52BC1"/>
    <w:rsid w:val="28C606E7"/>
    <w:rsid w:val="28CC69C1"/>
    <w:rsid w:val="28FD5ED9"/>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6E2802"/>
    <w:rsid w:val="2A76764D"/>
    <w:rsid w:val="2AA42CAA"/>
    <w:rsid w:val="2ABD3BC6"/>
    <w:rsid w:val="2ACD2201"/>
    <w:rsid w:val="2AE337D3"/>
    <w:rsid w:val="2AF7727E"/>
    <w:rsid w:val="2B04158B"/>
    <w:rsid w:val="2B150495"/>
    <w:rsid w:val="2B177920"/>
    <w:rsid w:val="2B312C19"/>
    <w:rsid w:val="2B5A1960"/>
    <w:rsid w:val="2B5E4A9B"/>
    <w:rsid w:val="2B637489"/>
    <w:rsid w:val="2B657A2D"/>
    <w:rsid w:val="2B6C01DB"/>
    <w:rsid w:val="2B726905"/>
    <w:rsid w:val="2B8209DE"/>
    <w:rsid w:val="2B8A5659"/>
    <w:rsid w:val="2B8D272F"/>
    <w:rsid w:val="2BA72A52"/>
    <w:rsid w:val="2BCD184C"/>
    <w:rsid w:val="2BD27F42"/>
    <w:rsid w:val="2BE94E19"/>
    <w:rsid w:val="2BE96E2D"/>
    <w:rsid w:val="2C3430DD"/>
    <w:rsid w:val="2C3A38C6"/>
    <w:rsid w:val="2C4C16FF"/>
    <w:rsid w:val="2C6721E1"/>
    <w:rsid w:val="2C8608B9"/>
    <w:rsid w:val="2C8B2374"/>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13A16"/>
    <w:rsid w:val="2F5922B5"/>
    <w:rsid w:val="2F6F3887"/>
    <w:rsid w:val="2F8224C5"/>
    <w:rsid w:val="2FA06136"/>
    <w:rsid w:val="2FA32702"/>
    <w:rsid w:val="2FC8743B"/>
    <w:rsid w:val="2FCA31B3"/>
    <w:rsid w:val="2FD44032"/>
    <w:rsid w:val="30044D24"/>
    <w:rsid w:val="30134B5A"/>
    <w:rsid w:val="302567CF"/>
    <w:rsid w:val="302723B3"/>
    <w:rsid w:val="30304DF6"/>
    <w:rsid w:val="303C40BD"/>
    <w:rsid w:val="3045283A"/>
    <w:rsid w:val="304E5B92"/>
    <w:rsid w:val="30590093"/>
    <w:rsid w:val="305D0DA8"/>
    <w:rsid w:val="305F7D9F"/>
    <w:rsid w:val="307B625B"/>
    <w:rsid w:val="307D6477"/>
    <w:rsid w:val="309D08C8"/>
    <w:rsid w:val="30A13F14"/>
    <w:rsid w:val="30AD28D7"/>
    <w:rsid w:val="30B30980"/>
    <w:rsid w:val="30C95C18"/>
    <w:rsid w:val="30E6401D"/>
    <w:rsid w:val="310C55BA"/>
    <w:rsid w:val="31224929"/>
    <w:rsid w:val="31376626"/>
    <w:rsid w:val="315224D4"/>
    <w:rsid w:val="316C2AD3"/>
    <w:rsid w:val="31717D8A"/>
    <w:rsid w:val="3176279D"/>
    <w:rsid w:val="319770C5"/>
    <w:rsid w:val="31A03C87"/>
    <w:rsid w:val="31A11CF2"/>
    <w:rsid w:val="31B55BDA"/>
    <w:rsid w:val="31C37EBA"/>
    <w:rsid w:val="31CD2A38"/>
    <w:rsid w:val="31D2099C"/>
    <w:rsid w:val="31D245A1"/>
    <w:rsid w:val="31D9148B"/>
    <w:rsid w:val="31E47BCC"/>
    <w:rsid w:val="320D6B1C"/>
    <w:rsid w:val="321109A1"/>
    <w:rsid w:val="321270E3"/>
    <w:rsid w:val="321E1594"/>
    <w:rsid w:val="32262A1B"/>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907F7A"/>
    <w:rsid w:val="33997124"/>
    <w:rsid w:val="33A65CE5"/>
    <w:rsid w:val="33AD7074"/>
    <w:rsid w:val="33B64277"/>
    <w:rsid w:val="33C76378"/>
    <w:rsid w:val="33D015E7"/>
    <w:rsid w:val="33D17B22"/>
    <w:rsid w:val="33D26ADA"/>
    <w:rsid w:val="33D62126"/>
    <w:rsid w:val="33DE722D"/>
    <w:rsid w:val="33E25A56"/>
    <w:rsid w:val="33E41C73"/>
    <w:rsid w:val="33F22209"/>
    <w:rsid w:val="340C3D9A"/>
    <w:rsid w:val="34190265"/>
    <w:rsid w:val="342A6B27"/>
    <w:rsid w:val="34360E17"/>
    <w:rsid w:val="344D7F0F"/>
    <w:rsid w:val="3469049A"/>
    <w:rsid w:val="346E6B7F"/>
    <w:rsid w:val="34766B9C"/>
    <w:rsid w:val="349F41F7"/>
    <w:rsid w:val="34F267D6"/>
    <w:rsid w:val="350022EF"/>
    <w:rsid w:val="35020CF9"/>
    <w:rsid w:val="35074561"/>
    <w:rsid w:val="35132F06"/>
    <w:rsid w:val="35163D29"/>
    <w:rsid w:val="351E4E06"/>
    <w:rsid w:val="3522139B"/>
    <w:rsid w:val="352B0250"/>
    <w:rsid w:val="352E1AEE"/>
    <w:rsid w:val="35325A82"/>
    <w:rsid w:val="35411821"/>
    <w:rsid w:val="3558300F"/>
    <w:rsid w:val="3566572C"/>
    <w:rsid w:val="3583585A"/>
    <w:rsid w:val="35904557"/>
    <w:rsid w:val="35935DF5"/>
    <w:rsid w:val="35987004"/>
    <w:rsid w:val="359C73A0"/>
    <w:rsid w:val="35AA4E9E"/>
    <w:rsid w:val="35B71AE4"/>
    <w:rsid w:val="35B75970"/>
    <w:rsid w:val="35C8513F"/>
    <w:rsid w:val="35D040D0"/>
    <w:rsid w:val="35D11499"/>
    <w:rsid w:val="35E03756"/>
    <w:rsid w:val="35F55074"/>
    <w:rsid w:val="3607320C"/>
    <w:rsid w:val="360E0992"/>
    <w:rsid w:val="36124267"/>
    <w:rsid w:val="361707D4"/>
    <w:rsid w:val="361E1B63"/>
    <w:rsid w:val="36271315"/>
    <w:rsid w:val="36296D8F"/>
    <w:rsid w:val="36394BEF"/>
    <w:rsid w:val="36454EF4"/>
    <w:rsid w:val="36480ED6"/>
    <w:rsid w:val="36486A09"/>
    <w:rsid w:val="3667784E"/>
    <w:rsid w:val="366E687E"/>
    <w:rsid w:val="368049F0"/>
    <w:rsid w:val="36897924"/>
    <w:rsid w:val="369B1405"/>
    <w:rsid w:val="36C46BAE"/>
    <w:rsid w:val="36C56482"/>
    <w:rsid w:val="36E608B7"/>
    <w:rsid w:val="36EA6229"/>
    <w:rsid w:val="36F9612C"/>
    <w:rsid w:val="372C02AF"/>
    <w:rsid w:val="37427DCD"/>
    <w:rsid w:val="374D6BA3"/>
    <w:rsid w:val="376161AB"/>
    <w:rsid w:val="376E062B"/>
    <w:rsid w:val="3793032E"/>
    <w:rsid w:val="379C0A32"/>
    <w:rsid w:val="37AB17B4"/>
    <w:rsid w:val="37C14E9C"/>
    <w:rsid w:val="38003C16"/>
    <w:rsid w:val="38037262"/>
    <w:rsid w:val="38211DDE"/>
    <w:rsid w:val="384B3A79"/>
    <w:rsid w:val="385B0E4C"/>
    <w:rsid w:val="386717C0"/>
    <w:rsid w:val="38723425"/>
    <w:rsid w:val="38974AF0"/>
    <w:rsid w:val="38C34C43"/>
    <w:rsid w:val="38C95885"/>
    <w:rsid w:val="38D714C0"/>
    <w:rsid w:val="390019F4"/>
    <w:rsid w:val="39070FD4"/>
    <w:rsid w:val="391D72CE"/>
    <w:rsid w:val="391F631E"/>
    <w:rsid w:val="39202096"/>
    <w:rsid w:val="39422DEA"/>
    <w:rsid w:val="395D29A2"/>
    <w:rsid w:val="39CE1AF2"/>
    <w:rsid w:val="39E676B1"/>
    <w:rsid w:val="39F257E0"/>
    <w:rsid w:val="39F96B6F"/>
    <w:rsid w:val="39FB0F21"/>
    <w:rsid w:val="3A030AC5"/>
    <w:rsid w:val="3A06128C"/>
    <w:rsid w:val="3A476A7B"/>
    <w:rsid w:val="3A542215"/>
    <w:rsid w:val="3A6F0BDF"/>
    <w:rsid w:val="3A931025"/>
    <w:rsid w:val="3AA82343"/>
    <w:rsid w:val="3AD924FC"/>
    <w:rsid w:val="3ADF1DF8"/>
    <w:rsid w:val="3AE315CD"/>
    <w:rsid w:val="3AEF1D20"/>
    <w:rsid w:val="3B072801"/>
    <w:rsid w:val="3B21511D"/>
    <w:rsid w:val="3B29323F"/>
    <w:rsid w:val="3B2C6AD0"/>
    <w:rsid w:val="3B3836C7"/>
    <w:rsid w:val="3B8033E1"/>
    <w:rsid w:val="3BA269FD"/>
    <w:rsid w:val="3BA86CAA"/>
    <w:rsid w:val="3BAB20EB"/>
    <w:rsid w:val="3BB379B1"/>
    <w:rsid w:val="3BBD3BCC"/>
    <w:rsid w:val="3BD11425"/>
    <w:rsid w:val="3BD6013A"/>
    <w:rsid w:val="3BF13876"/>
    <w:rsid w:val="3BFF2436"/>
    <w:rsid w:val="3C08753D"/>
    <w:rsid w:val="3C2C6246"/>
    <w:rsid w:val="3C6A3D54"/>
    <w:rsid w:val="3C9E1C4F"/>
    <w:rsid w:val="3CA67D65"/>
    <w:rsid w:val="3CCF40AD"/>
    <w:rsid w:val="3CE05AB2"/>
    <w:rsid w:val="3D1B504E"/>
    <w:rsid w:val="3D22018A"/>
    <w:rsid w:val="3D295E51"/>
    <w:rsid w:val="3D3B124C"/>
    <w:rsid w:val="3D3B2FFA"/>
    <w:rsid w:val="3D485717"/>
    <w:rsid w:val="3D657A24"/>
    <w:rsid w:val="3D6B7484"/>
    <w:rsid w:val="3D791D75"/>
    <w:rsid w:val="3D7D76FE"/>
    <w:rsid w:val="3D7F3977"/>
    <w:rsid w:val="3D967432"/>
    <w:rsid w:val="3DA17C5A"/>
    <w:rsid w:val="3DA94408"/>
    <w:rsid w:val="3DD82F3F"/>
    <w:rsid w:val="3DE610BF"/>
    <w:rsid w:val="3DE6565C"/>
    <w:rsid w:val="3DE6740A"/>
    <w:rsid w:val="3DE93FE1"/>
    <w:rsid w:val="3DEF2039"/>
    <w:rsid w:val="3E235C56"/>
    <w:rsid w:val="3E38014F"/>
    <w:rsid w:val="3E423068"/>
    <w:rsid w:val="3E483C21"/>
    <w:rsid w:val="3E5C147A"/>
    <w:rsid w:val="3E66477A"/>
    <w:rsid w:val="3E6B5B61"/>
    <w:rsid w:val="3E7F160D"/>
    <w:rsid w:val="3EAA6689"/>
    <w:rsid w:val="3EB65B58"/>
    <w:rsid w:val="3ECE4E3A"/>
    <w:rsid w:val="3F0E2A92"/>
    <w:rsid w:val="3F0F2990"/>
    <w:rsid w:val="3F253F62"/>
    <w:rsid w:val="3F2921E6"/>
    <w:rsid w:val="3F5356B7"/>
    <w:rsid w:val="3F5F6009"/>
    <w:rsid w:val="3F7857D1"/>
    <w:rsid w:val="3F7D5A4F"/>
    <w:rsid w:val="3F9A21C7"/>
    <w:rsid w:val="3FA07762"/>
    <w:rsid w:val="3FB13A48"/>
    <w:rsid w:val="3FBF43B6"/>
    <w:rsid w:val="3FCA68B7"/>
    <w:rsid w:val="3FD37E62"/>
    <w:rsid w:val="402D0145"/>
    <w:rsid w:val="403C77B5"/>
    <w:rsid w:val="407C15D8"/>
    <w:rsid w:val="407D1B7C"/>
    <w:rsid w:val="40802243"/>
    <w:rsid w:val="40884444"/>
    <w:rsid w:val="40A3112D"/>
    <w:rsid w:val="40A35A86"/>
    <w:rsid w:val="40A73B61"/>
    <w:rsid w:val="40BF3F42"/>
    <w:rsid w:val="40D03769"/>
    <w:rsid w:val="40D53EF1"/>
    <w:rsid w:val="40FB141E"/>
    <w:rsid w:val="41132F12"/>
    <w:rsid w:val="411B561D"/>
    <w:rsid w:val="412E12E8"/>
    <w:rsid w:val="4153338C"/>
    <w:rsid w:val="41581D4D"/>
    <w:rsid w:val="41656898"/>
    <w:rsid w:val="418D4040"/>
    <w:rsid w:val="41D028AB"/>
    <w:rsid w:val="41F95D14"/>
    <w:rsid w:val="42072045"/>
    <w:rsid w:val="42295B17"/>
    <w:rsid w:val="42307D25"/>
    <w:rsid w:val="42336996"/>
    <w:rsid w:val="42447849"/>
    <w:rsid w:val="426217EC"/>
    <w:rsid w:val="429D6505"/>
    <w:rsid w:val="42CC4BAF"/>
    <w:rsid w:val="42CE4911"/>
    <w:rsid w:val="42DC527F"/>
    <w:rsid w:val="42E171C0"/>
    <w:rsid w:val="42E2739A"/>
    <w:rsid w:val="42ED4D97"/>
    <w:rsid w:val="42F97BDF"/>
    <w:rsid w:val="432A5FEB"/>
    <w:rsid w:val="43452E25"/>
    <w:rsid w:val="434846C3"/>
    <w:rsid w:val="43503240"/>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8D3D33"/>
    <w:rsid w:val="449C4CC6"/>
    <w:rsid w:val="449F6565"/>
    <w:rsid w:val="44C304A5"/>
    <w:rsid w:val="44C85ABB"/>
    <w:rsid w:val="44CD1324"/>
    <w:rsid w:val="45187B20"/>
    <w:rsid w:val="451C5E07"/>
    <w:rsid w:val="45237196"/>
    <w:rsid w:val="45275A63"/>
    <w:rsid w:val="4538249B"/>
    <w:rsid w:val="453942C3"/>
    <w:rsid w:val="453C0257"/>
    <w:rsid w:val="453E3FCF"/>
    <w:rsid w:val="454711D7"/>
    <w:rsid w:val="45513D03"/>
    <w:rsid w:val="4565673D"/>
    <w:rsid w:val="45714467"/>
    <w:rsid w:val="4574077E"/>
    <w:rsid w:val="45765517"/>
    <w:rsid w:val="45795008"/>
    <w:rsid w:val="459E4A6E"/>
    <w:rsid w:val="45AA241A"/>
    <w:rsid w:val="45B349A0"/>
    <w:rsid w:val="45BE0C6C"/>
    <w:rsid w:val="45C30031"/>
    <w:rsid w:val="46192347"/>
    <w:rsid w:val="464F6181"/>
    <w:rsid w:val="46671304"/>
    <w:rsid w:val="467342B8"/>
    <w:rsid w:val="46963997"/>
    <w:rsid w:val="46B02CAB"/>
    <w:rsid w:val="46B9453C"/>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B50C26"/>
    <w:rsid w:val="47C50090"/>
    <w:rsid w:val="47CB7671"/>
    <w:rsid w:val="47D41743"/>
    <w:rsid w:val="47E25E36"/>
    <w:rsid w:val="47FB7A82"/>
    <w:rsid w:val="48172BDB"/>
    <w:rsid w:val="48223734"/>
    <w:rsid w:val="483B2A48"/>
    <w:rsid w:val="48424F33"/>
    <w:rsid w:val="485960BF"/>
    <w:rsid w:val="486C71BD"/>
    <w:rsid w:val="4873378B"/>
    <w:rsid w:val="488A12DA"/>
    <w:rsid w:val="488E2B78"/>
    <w:rsid w:val="489A151D"/>
    <w:rsid w:val="48B40105"/>
    <w:rsid w:val="48B87BF5"/>
    <w:rsid w:val="48D72771"/>
    <w:rsid w:val="48E56510"/>
    <w:rsid w:val="48ED3905"/>
    <w:rsid w:val="48FD385A"/>
    <w:rsid w:val="493A4AAE"/>
    <w:rsid w:val="495C057F"/>
    <w:rsid w:val="497004D0"/>
    <w:rsid w:val="497E0E3E"/>
    <w:rsid w:val="49836455"/>
    <w:rsid w:val="498668DA"/>
    <w:rsid w:val="49A10689"/>
    <w:rsid w:val="49A85EBB"/>
    <w:rsid w:val="49AB1508"/>
    <w:rsid w:val="49D7054F"/>
    <w:rsid w:val="49EA0597"/>
    <w:rsid w:val="49F41101"/>
    <w:rsid w:val="4A0961E3"/>
    <w:rsid w:val="4A183041"/>
    <w:rsid w:val="4A205A52"/>
    <w:rsid w:val="4A5B4CDC"/>
    <w:rsid w:val="4A5E3F5D"/>
    <w:rsid w:val="4A6A1427"/>
    <w:rsid w:val="4A730277"/>
    <w:rsid w:val="4A8C758B"/>
    <w:rsid w:val="4A965D14"/>
    <w:rsid w:val="4AC44707"/>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0D72"/>
    <w:rsid w:val="4B814C16"/>
    <w:rsid w:val="4B893ACB"/>
    <w:rsid w:val="4B9F32EE"/>
    <w:rsid w:val="4BA9719D"/>
    <w:rsid w:val="4BAB3530"/>
    <w:rsid w:val="4BB548C0"/>
    <w:rsid w:val="4BC36D42"/>
    <w:rsid w:val="4BD50B94"/>
    <w:rsid w:val="4BE40D01"/>
    <w:rsid w:val="4BEB6533"/>
    <w:rsid w:val="4BEC408D"/>
    <w:rsid w:val="4BF076A6"/>
    <w:rsid w:val="4C0A1121"/>
    <w:rsid w:val="4C161AF1"/>
    <w:rsid w:val="4C161DCB"/>
    <w:rsid w:val="4C222B32"/>
    <w:rsid w:val="4C285091"/>
    <w:rsid w:val="4C416153"/>
    <w:rsid w:val="4C417B78"/>
    <w:rsid w:val="4C5365B2"/>
    <w:rsid w:val="4C5A7BB8"/>
    <w:rsid w:val="4C924E2D"/>
    <w:rsid w:val="4C9D5A7F"/>
    <w:rsid w:val="4CDA7F9E"/>
    <w:rsid w:val="4CE74F4D"/>
    <w:rsid w:val="4CF474DF"/>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84632"/>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02BAE"/>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ED5"/>
    <w:rsid w:val="51274A79"/>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B52C0"/>
    <w:rsid w:val="536E3CD2"/>
    <w:rsid w:val="5373753A"/>
    <w:rsid w:val="537D5CC3"/>
    <w:rsid w:val="53BB4A3D"/>
    <w:rsid w:val="53E24C4B"/>
    <w:rsid w:val="53F37C05"/>
    <w:rsid w:val="53FF1FAA"/>
    <w:rsid w:val="54075AA5"/>
    <w:rsid w:val="540B7EB5"/>
    <w:rsid w:val="540E1011"/>
    <w:rsid w:val="54297BF9"/>
    <w:rsid w:val="5436445F"/>
    <w:rsid w:val="543F7869"/>
    <w:rsid w:val="544B5DC1"/>
    <w:rsid w:val="545033D7"/>
    <w:rsid w:val="54D20290"/>
    <w:rsid w:val="54D27ABC"/>
    <w:rsid w:val="54D67D81"/>
    <w:rsid w:val="54E2482B"/>
    <w:rsid w:val="54E56216"/>
    <w:rsid w:val="54F47B28"/>
    <w:rsid w:val="550F6DEF"/>
    <w:rsid w:val="553B73E2"/>
    <w:rsid w:val="553D3D0A"/>
    <w:rsid w:val="554051FA"/>
    <w:rsid w:val="55473338"/>
    <w:rsid w:val="55833339"/>
    <w:rsid w:val="559429E6"/>
    <w:rsid w:val="55D807CC"/>
    <w:rsid w:val="55FC07CB"/>
    <w:rsid w:val="56007C10"/>
    <w:rsid w:val="560721BC"/>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1038E"/>
    <w:rsid w:val="571C3A45"/>
    <w:rsid w:val="571C57F3"/>
    <w:rsid w:val="571D1826"/>
    <w:rsid w:val="57362D58"/>
    <w:rsid w:val="573963A5"/>
    <w:rsid w:val="573C5E95"/>
    <w:rsid w:val="5743331B"/>
    <w:rsid w:val="574C656E"/>
    <w:rsid w:val="57541431"/>
    <w:rsid w:val="575431DF"/>
    <w:rsid w:val="576462DE"/>
    <w:rsid w:val="576F4B9E"/>
    <w:rsid w:val="57737EC4"/>
    <w:rsid w:val="5785783C"/>
    <w:rsid w:val="57947A7F"/>
    <w:rsid w:val="57A86BE1"/>
    <w:rsid w:val="57CB5B25"/>
    <w:rsid w:val="57E44562"/>
    <w:rsid w:val="57EB4490"/>
    <w:rsid w:val="57EC1669"/>
    <w:rsid w:val="580449F9"/>
    <w:rsid w:val="582C5F09"/>
    <w:rsid w:val="58311772"/>
    <w:rsid w:val="58337298"/>
    <w:rsid w:val="584F47F1"/>
    <w:rsid w:val="58873140"/>
    <w:rsid w:val="58935F89"/>
    <w:rsid w:val="58A63441"/>
    <w:rsid w:val="58BF28DA"/>
    <w:rsid w:val="58C70BDE"/>
    <w:rsid w:val="58D00AF4"/>
    <w:rsid w:val="58DE1D8C"/>
    <w:rsid w:val="58F06F37"/>
    <w:rsid w:val="58F44C79"/>
    <w:rsid w:val="5919648E"/>
    <w:rsid w:val="591A5DA5"/>
    <w:rsid w:val="59337D32"/>
    <w:rsid w:val="598A550B"/>
    <w:rsid w:val="599C09DC"/>
    <w:rsid w:val="599D70BF"/>
    <w:rsid w:val="59BA6FCD"/>
    <w:rsid w:val="59CC3500"/>
    <w:rsid w:val="59D14FBA"/>
    <w:rsid w:val="59EE3017"/>
    <w:rsid w:val="59F1323B"/>
    <w:rsid w:val="5A0D0436"/>
    <w:rsid w:val="5A2C0443"/>
    <w:rsid w:val="5A5B2AD6"/>
    <w:rsid w:val="5A7B0A82"/>
    <w:rsid w:val="5A86410C"/>
    <w:rsid w:val="5A937A8D"/>
    <w:rsid w:val="5A9B2ED2"/>
    <w:rsid w:val="5AAE0E58"/>
    <w:rsid w:val="5AC32B55"/>
    <w:rsid w:val="5ADF3707"/>
    <w:rsid w:val="5AF56A87"/>
    <w:rsid w:val="5AFE1DDF"/>
    <w:rsid w:val="5B0F564F"/>
    <w:rsid w:val="5B1433B1"/>
    <w:rsid w:val="5B1E5FDD"/>
    <w:rsid w:val="5B264B73"/>
    <w:rsid w:val="5B2A2BD4"/>
    <w:rsid w:val="5B5F1393"/>
    <w:rsid w:val="5B5F2152"/>
    <w:rsid w:val="5B6B6D49"/>
    <w:rsid w:val="5B9535F4"/>
    <w:rsid w:val="5B991B08"/>
    <w:rsid w:val="5B9938B6"/>
    <w:rsid w:val="5BC528FD"/>
    <w:rsid w:val="5BC8419B"/>
    <w:rsid w:val="5BC86087"/>
    <w:rsid w:val="5BD26DC8"/>
    <w:rsid w:val="5BDE576D"/>
    <w:rsid w:val="5C0B4CB9"/>
    <w:rsid w:val="5C0D0AE7"/>
    <w:rsid w:val="5C2018E1"/>
    <w:rsid w:val="5C2C0286"/>
    <w:rsid w:val="5C2C297C"/>
    <w:rsid w:val="5C2E2250"/>
    <w:rsid w:val="5C753B41"/>
    <w:rsid w:val="5C7D31D8"/>
    <w:rsid w:val="5C870D7B"/>
    <w:rsid w:val="5CC76A05"/>
    <w:rsid w:val="5CE05C01"/>
    <w:rsid w:val="5CF74D38"/>
    <w:rsid w:val="5D1C654D"/>
    <w:rsid w:val="5D2015DA"/>
    <w:rsid w:val="5D213B63"/>
    <w:rsid w:val="5D226CFA"/>
    <w:rsid w:val="5D2C2695"/>
    <w:rsid w:val="5D2D69AC"/>
    <w:rsid w:val="5D912C18"/>
    <w:rsid w:val="5D9702C9"/>
    <w:rsid w:val="5DB91FED"/>
    <w:rsid w:val="5DBA7A74"/>
    <w:rsid w:val="5DC07B22"/>
    <w:rsid w:val="5DC2175C"/>
    <w:rsid w:val="5DF618C7"/>
    <w:rsid w:val="5DF63972"/>
    <w:rsid w:val="5DFC012C"/>
    <w:rsid w:val="5E080D42"/>
    <w:rsid w:val="5E0A45F7"/>
    <w:rsid w:val="5E2E0A91"/>
    <w:rsid w:val="5E345B18"/>
    <w:rsid w:val="5E36132D"/>
    <w:rsid w:val="5E451AD3"/>
    <w:rsid w:val="5E7D1DD5"/>
    <w:rsid w:val="5E84092E"/>
    <w:rsid w:val="5ED6597D"/>
    <w:rsid w:val="5EDD61AF"/>
    <w:rsid w:val="5EFC6636"/>
    <w:rsid w:val="5F076D88"/>
    <w:rsid w:val="5F5F532C"/>
    <w:rsid w:val="5F6D308F"/>
    <w:rsid w:val="5F7466FE"/>
    <w:rsid w:val="5F7A755A"/>
    <w:rsid w:val="5F863542"/>
    <w:rsid w:val="5FAE4D62"/>
    <w:rsid w:val="5FB20274"/>
    <w:rsid w:val="5FE11A5B"/>
    <w:rsid w:val="5FEB709A"/>
    <w:rsid w:val="5FFC7BC4"/>
    <w:rsid w:val="60182CB2"/>
    <w:rsid w:val="60287A9B"/>
    <w:rsid w:val="60326810"/>
    <w:rsid w:val="6042451C"/>
    <w:rsid w:val="60687CFB"/>
    <w:rsid w:val="60835BF8"/>
    <w:rsid w:val="60D62EB6"/>
    <w:rsid w:val="60F021CA"/>
    <w:rsid w:val="60FB0B6F"/>
    <w:rsid w:val="610619ED"/>
    <w:rsid w:val="610E4430"/>
    <w:rsid w:val="611C5BF0"/>
    <w:rsid w:val="61334C6C"/>
    <w:rsid w:val="613C6465"/>
    <w:rsid w:val="613D4CE3"/>
    <w:rsid w:val="61442516"/>
    <w:rsid w:val="614D13CA"/>
    <w:rsid w:val="61776447"/>
    <w:rsid w:val="618D5C6B"/>
    <w:rsid w:val="61A63E4C"/>
    <w:rsid w:val="61CD42B9"/>
    <w:rsid w:val="61F555BE"/>
    <w:rsid w:val="62035F2D"/>
    <w:rsid w:val="62057D23"/>
    <w:rsid w:val="621C5BA9"/>
    <w:rsid w:val="62427522"/>
    <w:rsid w:val="624F23FA"/>
    <w:rsid w:val="62514EEA"/>
    <w:rsid w:val="62736350"/>
    <w:rsid w:val="62763D02"/>
    <w:rsid w:val="628506F0"/>
    <w:rsid w:val="62CC2BB0"/>
    <w:rsid w:val="62EB3A25"/>
    <w:rsid w:val="63185A08"/>
    <w:rsid w:val="6320666B"/>
    <w:rsid w:val="63294BAD"/>
    <w:rsid w:val="632C5010"/>
    <w:rsid w:val="63712083"/>
    <w:rsid w:val="63936E3D"/>
    <w:rsid w:val="63BA479C"/>
    <w:rsid w:val="63BC4FF7"/>
    <w:rsid w:val="63C139AA"/>
    <w:rsid w:val="63D00091"/>
    <w:rsid w:val="63F35B2D"/>
    <w:rsid w:val="640A5918"/>
    <w:rsid w:val="640D6BEF"/>
    <w:rsid w:val="64265F03"/>
    <w:rsid w:val="6432550D"/>
    <w:rsid w:val="64371EBE"/>
    <w:rsid w:val="6440422E"/>
    <w:rsid w:val="64426DE8"/>
    <w:rsid w:val="644F5459"/>
    <w:rsid w:val="64686B51"/>
    <w:rsid w:val="647C1FC7"/>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6D35FB"/>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40920"/>
    <w:rsid w:val="670A2DA3"/>
    <w:rsid w:val="67257E2B"/>
    <w:rsid w:val="67472418"/>
    <w:rsid w:val="676273A8"/>
    <w:rsid w:val="677A0EB9"/>
    <w:rsid w:val="67B101D9"/>
    <w:rsid w:val="67B75B18"/>
    <w:rsid w:val="67B850C4"/>
    <w:rsid w:val="67C972D1"/>
    <w:rsid w:val="67CC0B6F"/>
    <w:rsid w:val="67DD2D7C"/>
    <w:rsid w:val="67E91721"/>
    <w:rsid w:val="67F5225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8A113C"/>
    <w:rsid w:val="69995ECF"/>
    <w:rsid w:val="699D0A15"/>
    <w:rsid w:val="69A00505"/>
    <w:rsid w:val="69A2427D"/>
    <w:rsid w:val="69BA1345"/>
    <w:rsid w:val="69D07FD1"/>
    <w:rsid w:val="69DB2A2C"/>
    <w:rsid w:val="69F566F5"/>
    <w:rsid w:val="69FA7C16"/>
    <w:rsid w:val="6A170B7C"/>
    <w:rsid w:val="6A2151A2"/>
    <w:rsid w:val="6A2627B9"/>
    <w:rsid w:val="6A2702BC"/>
    <w:rsid w:val="6A331379"/>
    <w:rsid w:val="6A3C1FDC"/>
    <w:rsid w:val="6A570BC4"/>
    <w:rsid w:val="6A577A5F"/>
    <w:rsid w:val="6A647785"/>
    <w:rsid w:val="6A6A1EA4"/>
    <w:rsid w:val="6A701C86"/>
    <w:rsid w:val="6A822134"/>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ED2021"/>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004A6"/>
    <w:rsid w:val="6E751F61"/>
    <w:rsid w:val="6E756370"/>
    <w:rsid w:val="6E810366"/>
    <w:rsid w:val="6E881C94"/>
    <w:rsid w:val="6EC364B5"/>
    <w:rsid w:val="6EC407F2"/>
    <w:rsid w:val="6EE449F0"/>
    <w:rsid w:val="6EF62128"/>
    <w:rsid w:val="6F3239AE"/>
    <w:rsid w:val="6F4C2993"/>
    <w:rsid w:val="6F5F0599"/>
    <w:rsid w:val="6F765F90"/>
    <w:rsid w:val="6F7B35A7"/>
    <w:rsid w:val="6FB22D40"/>
    <w:rsid w:val="6FDC1B6B"/>
    <w:rsid w:val="6FE0165C"/>
    <w:rsid w:val="6FE90800"/>
    <w:rsid w:val="6FF01951"/>
    <w:rsid w:val="701D465E"/>
    <w:rsid w:val="7023779A"/>
    <w:rsid w:val="702754DC"/>
    <w:rsid w:val="70281CF1"/>
    <w:rsid w:val="702F4391"/>
    <w:rsid w:val="704D6F3E"/>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445F9C"/>
    <w:rsid w:val="72533BCF"/>
    <w:rsid w:val="725620A9"/>
    <w:rsid w:val="725B146D"/>
    <w:rsid w:val="725D3437"/>
    <w:rsid w:val="72CB03A1"/>
    <w:rsid w:val="72D03C09"/>
    <w:rsid w:val="72E47C42"/>
    <w:rsid w:val="72F37EB8"/>
    <w:rsid w:val="72F71196"/>
    <w:rsid w:val="73190D85"/>
    <w:rsid w:val="731F693F"/>
    <w:rsid w:val="73243F55"/>
    <w:rsid w:val="732E6B82"/>
    <w:rsid w:val="734A5720"/>
    <w:rsid w:val="734C3D25"/>
    <w:rsid w:val="73634A7D"/>
    <w:rsid w:val="736425A4"/>
    <w:rsid w:val="7372081D"/>
    <w:rsid w:val="738343C3"/>
    <w:rsid w:val="73F90F3E"/>
    <w:rsid w:val="7419338E"/>
    <w:rsid w:val="74341F76"/>
    <w:rsid w:val="74485A21"/>
    <w:rsid w:val="745D7A02"/>
    <w:rsid w:val="746E5488"/>
    <w:rsid w:val="7471036B"/>
    <w:rsid w:val="74BE7A92"/>
    <w:rsid w:val="74D42813"/>
    <w:rsid w:val="750D2EF3"/>
    <w:rsid w:val="751F654B"/>
    <w:rsid w:val="752D5343"/>
    <w:rsid w:val="75322959"/>
    <w:rsid w:val="753C5586"/>
    <w:rsid w:val="75592349"/>
    <w:rsid w:val="75686BCC"/>
    <w:rsid w:val="75693EA1"/>
    <w:rsid w:val="75752846"/>
    <w:rsid w:val="75842A89"/>
    <w:rsid w:val="75932CCC"/>
    <w:rsid w:val="75AF45AE"/>
    <w:rsid w:val="75B275F6"/>
    <w:rsid w:val="75BE2275"/>
    <w:rsid w:val="75D237F5"/>
    <w:rsid w:val="75D87DEB"/>
    <w:rsid w:val="75DE03EB"/>
    <w:rsid w:val="7608191D"/>
    <w:rsid w:val="760D7FB3"/>
    <w:rsid w:val="76391AC6"/>
    <w:rsid w:val="764346F2"/>
    <w:rsid w:val="7645046A"/>
    <w:rsid w:val="764C557E"/>
    <w:rsid w:val="765C57B4"/>
    <w:rsid w:val="767174B1"/>
    <w:rsid w:val="76780840"/>
    <w:rsid w:val="76783F68"/>
    <w:rsid w:val="76793892"/>
    <w:rsid w:val="76941B1A"/>
    <w:rsid w:val="76AD7DBE"/>
    <w:rsid w:val="76DE441B"/>
    <w:rsid w:val="76E45ED5"/>
    <w:rsid w:val="76F471AE"/>
    <w:rsid w:val="770D1EB1"/>
    <w:rsid w:val="77147E3D"/>
    <w:rsid w:val="771A3ADA"/>
    <w:rsid w:val="7725204A"/>
    <w:rsid w:val="7730111A"/>
    <w:rsid w:val="77391FC6"/>
    <w:rsid w:val="773D3837"/>
    <w:rsid w:val="7746449A"/>
    <w:rsid w:val="77551879"/>
    <w:rsid w:val="776963DA"/>
    <w:rsid w:val="776D0DB5"/>
    <w:rsid w:val="779104F2"/>
    <w:rsid w:val="779C40BA"/>
    <w:rsid w:val="779F1CDF"/>
    <w:rsid w:val="77AB69F3"/>
    <w:rsid w:val="77B07A95"/>
    <w:rsid w:val="77C6382D"/>
    <w:rsid w:val="77E048EF"/>
    <w:rsid w:val="78052DD9"/>
    <w:rsid w:val="780C3B22"/>
    <w:rsid w:val="787D038F"/>
    <w:rsid w:val="78960636"/>
    <w:rsid w:val="789F0530"/>
    <w:rsid w:val="78AC169E"/>
    <w:rsid w:val="78B96EEE"/>
    <w:rsid w:val="78C0027C"/>
    <w:rsid w:val="78CA55CE"/>
    <w:rsid w:val="78D850E6"/>
    <w:rsid w:val="78DC11E9"/>
    <w:rsid w:val="78EF46BD"/>
    <w:rsid w:val="78F9488B"/>
    <w:rsid w:val="78FB12B4"/>
    <w:rsid w:val="79074B53"/>
    <w:rsid w:val="790E7239"/>
    <w:rsid w:val="79257DFE"/>
    <w:rsid w:val="793A6280"/>
    <w:rsid w:val="794C5FB4"/>
    <w:rsid w:val="79716072"/>
    <w:rsid w:val="797A667D"/>
    <w:rsid w:val="797D43BF"/>
    <w:rsid w:val="79870D9A"/>
    <w:rsid w:val="79993610"/>
    <w:rsid w:val="79A441B1"/>
    <w:rsid w:val="79A81592"/>
    <w:rsid w:val="79B81A3C"/>
    <w:rsid w:val="79C478F8"/>
    <w:rsid w:val="79DD60B2"/>
    <w:rsid w:val="79EA1A55"/>
    <w:rsid w:val="79EF0E81"/>
    <w:rsid w:val="79FA5A10"/>
    <w:rsid w:val="79FF6B82"/>
    <w:rsid w:val="7A2274E5"/>
    <w:rsid w:val="7A2D118F"/>
    <w:rsid w:val="7A356A48"/>
    <w:rsid w:val="7A454EDD"/>
    <w:rsid w:val="7A551C2F"/>
    <w:rsid w:val="7A5769BE"/>
    <w:rsid w:val="7A8157E9"/>
    <w:rsid w:val="7A833F3B"/>
    <w:rsid w:val="7A9A64AE"/>
    <w:rsid w:val="7AE26947"/>
    <w:rsid w:val="7AF661D7"/>
    <w:rsid w:val="7AF75AAB"/>
    <w:rsid w:val="7B220D7A"/>
    <w:rsid w:val="7B2F3497"/>
    <w:rsid w:val="7B2F5245"/>
    <w:rsid w:val="7B3416C5"/>
    <w:rsid w:val="7B39216C"/>
    <w:rsid w:val="7B430CF1"/>
    <w:rsid w:val="7B5237E2"/>
    <w:rsid w:val="7B786BEC"/>
    <w:rsid w:val="7B940C71"/>
    <w:rsid w:val="7BA7127F"/>
    <w:rsid w:val="7BBA7D61"/>
    <w:rsid w:val="7BC24845"/>
    <w:rsid w:val="7C430CD5"/>
    <w:rsid w:val="7C4371FA"/>
    <w:rsid w:val="7C796B83"/>
    <w:rsid w:val="7C7C270C"/>
    <w:rsid w:val="7C820097"/>
    <w:rsid w:val="7C913580"/>
    <w:rsid w:val="7CA659DB"/>
    <w:rsid w:val="7CCB222D"/>
    <w:rsid w:val="7CD24A22"/>
    <w:rsid w:val="7CD930BA"/>
    <w:rsid w:val="7CEE215C"/>
    <w:rsid w:val="7CFE0C47"/>
    <w:rsid w:val="7D006E99"/>
    <w:rsid w:val="7D4F5B8A"/>
    <w:rsid w:val="7D517499"/>
    <w:rsid w:val="7D6F401F"/>
    <w:rsid w:val="7D752025"/>
    <w:rsid w:val="7D9D0B8C"/>
    <w:rsid w:val="7D9F1E09"/>
    <w:rsid w:val="7DA168CE"/>
    <w:rsid w:val="7DA56368"/>
    <w:rsid w:val="7DA8292D"/>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autoRedefine/>
    <w:qFormat/>
    <w:uiPriority w:val="0"/>
    <w:pPr>
      <w:tabs>
        <w:tab w:val="left" w:pos="-116"/>
        <w:tab w:val="left" w:pos="420"/>
      </w:tabs>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11268</Words>
  <Characters>11733</Characters>
  <Lines>0</Lines>
  <Paragraphs>0</Paragraphs>
  <TotalTime>182</TotalTime>
  <ScaleCrop>false</ScaleCrop>
  <LinksUpToDate>false</LinksUpToDate>
  <CharactersWithSpaces>12239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2024-05-27T07:29:00Z</cp:lastPrinted>
  <dcterms:modified xsi:type="dcterms:W3CDTF">2025-09-01T01:42:03Z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31BACE0BE875432EA420E85BFF5F7901_13</vt:lpwstr>
  </property>
  <property fmtid="{D5CDD505-2E9C-101B-9397-08002B2CF9AE}" pid="4" name="KSOTemplateDocerSaveRecord">
    <vt:lpwstr>eyJoZGlkIjoiOTBmNjMxZTQxOTk3ZWE0OGM0NTRmMThiNjRlNmQyZDgiLCJ1c2VySWQiOiIzMjYyOTIwOTcifQ==</vt:lpwstr>
  </property>
</Properties>
</file>