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EE067C">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r>
        <w:rPr>
          <w:rFonts w:hint="eastAsia" w:ascii="仿宋" w:hAnsi="仿宋" w:eastAsia="仿宋" w:cs="仿宋"/>
          <w:color w:val="auto"/>
          <w:kern w:val="0"/>
          <w:sz w:val="24"/>
          <w:szCs w:val="24"/>
          <w:highlight w:val="none"/>
          <w:shd w:val="clear" w:color="auto" w:fill="auto"/>
        </w:rPr>
        <w:drawing>
          <wp:anchor distT="0" distB="0" distL="114300" distR="114300" simplePos="0" relativeHeight="251660288" behindDoc="0" locked="0" layoutInCell="1" allowOverlap="1">
            <wp:simplePos x="0" y="0"/>
            <wp:positionH relativeFrom="column">
              <wp:posOffset>1153160</wp:posOffset>
            </wp:positionH>
            <wp:positionV relativeFrom="paragraph">
              <wp:posOffset>85090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9"/>
                    <a:stretch>
                      <a:fillRect/>
                    </a:stretch>
                  </pic:blipFill>
                  <pic:spPr>
                    <a:xfrm>
                      <a:off x="0" y="0"/>
                      <a:ext cx="4288790" cy="690245"/>
                    </a:xfrm>
                    <a:prstGeom prst="rect">
                      <a:avLst/>
                    </a:prstGeom>
                    <a:noFill/>
                    <a:ln>
                      <a:noFill/>
                    </a:ln>
                  </pic:spPr>
                </pic:pic>
              </a:graphicData>
            </a:graphic>
          </wp:anchor>
        </w:drawing>
      </w:r>
      <w:r>
        <w:rPr>
          <w:rFonts w:hint="eastAsia" w:ascii="仿宋" w:hAnsi="仿宋" w:eastAsia="仿宋" w:cs="仿宋"/>
          <w:color w:val="auto"/>
          <w:highlight w:val="none"/>
          <w:shd w:val="clear" w:color="auto" w:fill="auto"/>
          <w:lang w:val="en-US" w:eastAsia="zh-CN"/>
        </w:rPr>
        <w:t xml:space="preserve"> </w:t>
      </w:r>
    </w:p>
    <w:p w14:paraId="4315B033">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0BB7AA22">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640619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u w:val="single"/>
          <w:shd w:val="clear" w:color="auto" w:fill="auto"/>
          <w:lang w:val="en-US" w:eastAsia="zh-CN"/>
        </w:rPr>
      </w:pPr>
      <w:bookmarkStart w:id="0" w:name="_Toc10535"/>
      <w:bookmarkStart w:id="1" w:name="_Toc32493"/>
      <w:bookmarkStart w:id="2" w:name="_Toc19409"/>
    </w:p>
    <w:p w14:paraId="3C28265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single"/>
          <w:shd w:val="clear" w:color="auto" w:fill="auto"/>
          <w:lang w:val="en-US" w:eastAsia="zh-CN"/>
        </w:rPr>
      </w:pPr>
    </w:p>
    <w:bookmarkEnd w:id="0"/>
    <w:bookmarkEnd w:id="1"/>
    <w:bookmarkEnd w:id="2"/>
    <w:p w14:paraId="785B544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u w:val="none"/>
          <w:shd w:val="clear" w:color="auto" w:fill="auto"/>
          <w:lang w:val="en-US" w:eastAsia="zh-CN"/>
        </w:rPr>
      </w:pPr>
      <w:bookmarkStart w:id="3" w:name="_Toc1909"/>
      <w:bookmarkStart w:id="4" w:name="_Toc19336"/>
      <w:bookmarkStart w:id="5" w:name="_Toc31924"/>
      <w:bookmarkStart w:id="6" w:name="_Toc8826"/>
      <w:bookmarkStart w:id="7" w:name="_Toc10358"/>
      <w:bookmarkStart w:id="8" w:name="_Toc24212"/>
      <w:bookmarkStart w:id="9" w:name="_Toc14634"/>
      <w:bookmarkStart w:id="10" w:name="_Toc6217"/>
      <w:bookmarkStart w:id="11" w:name="_Toc2067"/>
      <w:bookmarkStart w:id="12" w:name="_Toc24567"/>
      <w:bookmarkStart w:id="13" w:name="_Toc18118"/>
      <w:r>
        <w:rPr>
          <w:rFonts w:hint="eastAsia" w:ascii="仿宋" w:hAnsi="仿宋" w:eastAsia="仿宋" w:cs="仿宋"/>
          <w:b/>
          <w:color w:val="auto"/>
          <w:sz w:val="48"/>
          <w:szCs w:val="48"/>
          <w:highlight w:val="none"/>
          <w:u w:val="none"/>
          <w:shd w:val="clear" w:color="auto" w:fill="auto"/>
          <w:lang w:val="en-US" w:eastAsia="zh-CN"/>
        </w:rPr>
        <w:t>玉林（福绵）节能环保产业园南部工业供水厂建设（二期5万吨/天）土方工程</w:t>
      </w:r>
    </w:p>
    <w:p w14:paraId="372E33F2">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lang w:val="en-US" w:eastAsia="zh-CN"/>
        </w:rPr>
      </w:pPr>
      <w:r>
        <w:rPr>
          <w:rFonts w:hint="eastAsia" w:ascii="仿宋" w:hAnsi="仿宋" w:eastAsia="仿宋" w:cs="仿宋"/>
          <w:b/>
          <w:color w:val="auto"/>
          <w:sz w:val="48"/>
          <w:szCs w:val="48"/>
          <w:highlight w:val="none"/>
          <w:lang w:val="en-US" w:eastAsia="zh-CN"/>
        </w:rPr>
        <w:t>施</w:t>
      </w:r>
      <w:bookmarkEnd w:id="3"/>
      <w:bookmarkEnd w:id="4"/>
      <w:bookmarkEnd w:id="5"/>
      <w:bookmarkEnd w:id="6"/>
      <w:bookmarkEnd w:id="7"/>
      <w:bookmarkEnd w:id="8"/>
      <w:bookmarkEnd w:id="9"/>
      <w:bookmarkEnd w:id="10"/>
      <w:bookmarkEnd w:id="11"/>
      <w:bookmarkEnd w:id="12"/>
      <w:bookmarkEnd w:id="13"/>
    </w:p>
    <w:p w14:paraId="0D9957A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lang w:val="en-US" w:eastAsia="zh-CN"/>
        </w:rPr>
      </w:pPr>
      <w:bookmarkStart w:id="14" w:name="_Toc3908"/>
      <w:bookmarkStart w:id="15" w:name="_Toc12678"/>
      <w:bookmarkStart w:id="16" w:name="_Toc30225"/>
      <w:bookmarkStart w:id="17" w:name="_Toc28560"/>
      <w:bookmarkStart w:id="18" w:name="_Toc27315"/>
      <w:bookmarkStart w:id="19" w:name="_Toc97"/>
      <w:bookmarkStart w:id="20" w:name="_Toc24146"/>
      <w:bookmarkStart w:id="21" w:name="_Toc11701"/>
      <w:bookmarkStart w:id="22" w:name="_Toc4393"/>
      <w:bookmarkStart w:id="23" w:name="_Toc9520"/>
      <w:bookmarkStart w:id="24" w:name="_Toc32424"/>
      <w:r>
        <w:rPr>
          <w:rFonts w:hint="eastAsia" w:ascii="仿宋" w:hAnsi="仿宋" w:eastAsia="仿宋" w:cs="仿宋"/>
          <w:b/>
          <w:color w:val="auto"/>
          <w:sz w:val="48"/>
          <w:szCs w:val="48"/>
          <w:highlight w:val="none"/>
          <w:lang w:val="en-US" w:eastAsia="zh-CN"/>
        </w:rPr>
        <w:t>工</w:t>
      </w:r>
      <w:bookmarkEnd w:id="14"/>
      <w:bookmarkEnd w:id="15"/>
      <w:bookmarkEnd w:id="16"/>
      <w:bookmarkEnd w:id="17"/>
      <w:bookmarkEnd w:id="18"/>
      <w:bookmarkEnd w:id="19"/>
      <w:bookmarkEnd w:id="20"/>
      <w:bookmarkEnd w:id="21"/>
      <w:bookmarkEnd w:id="22"/>
      <w:bookmarkEnd w:id="23"/>
      <w:bookmarkEnd w:id="24"/>
    </w:p>
    <w:p w14:paraId="5145F8B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48"/>
          <w:szCs w:val="48"/>
          <w:highlight w:val="none"/>
          <w:lang w:val="en-US" w:eastAsia="zh-CN"/>
        </w:rPr>
      </w:pPr>
      <w:bookmarkStart w:id="25" w:name="_Toc3791"/>
      <w:bookmarkStart w:id="26" w:name="_Toc6056"/>
      <w:bookmarkStart w:id="27" w:name="_Toc18181"/>
      <w:bookmarkStart w:id="28" w:name="_Toc26242"/>
      <w:bookmarkStart w:id="29" w:name="_Toc2432"/>
      <w:bookmarkStart w:id="30" w:name="_Toc15712"/>
      <w:bookmarkStart w:id="31" w:name="_Toc2197"/>
      <w:bookmarkStart w:id="32" w:name="_Toc2295"/>
      <w:bookmarkStart w:id="33" w:name="_Toc9022"/>
      <w:bookmarkStart w:id="34" w:name="_Toc4950"/>
      <w:bookmarkStart w:id="35" w:name="_Toc17792"/>
      <w:r>
        <w:rPr>
          <w:rFonts w:hint="eastAsia" w:ascii="仿宋" w:hAnsi="仿宋" w:eastAsia="仿宋" w:cs="仿宋"/>
          <w:b/>
          <w:color w:val="auto"/>
          <w:sz w:val="48"/>
          <w:szCs w:val="48"/>
          <w:highlight w:val="none"/>
          <w:lang w:val="en-US" w:eastAsia="zh-CN"/>
        </w:rPr>
        <w:t>合</w:t>
      </w:r>
      <w:bookmarkEnd w:id="25"/>
      <w:bookmarkEnd w:id="26"/>
      <w:bookmarkEnd w:id="27"/>
      <w:bookmarkEnd w:id="28"/>
      <w:bookmarkEnd w:id="29"/>
      <w:bookmarkEnd w:id="30"/>
      <w:bookmarkEnd w:id="31"/>
      <w:bookmarkEnd w:id="32"/>
      <w:bookmarkEnd w:id="33"/>
      <w:bookmarkEnd w:id="34"/>
      <w:bookmarkEnd w:id="35"/>
    </w:p>
    <w:p w14:paraId="36950808">
      <w:pPr>
        <w:keepNext w:val="0"/>
        <w:keepLines w:val="0"/>
        <w:pageBreakBefore w:val="0"/>
        <w:overflowPunct/>
        <w:topLinePunct w:val="0"/>
        <w:bidi w:val="0"/>
        <w:adjustRightInd w:val="0"/>
        <w:snapToGrid w:val="0"/>
        <w:spacing w:line="360" w:lineRule="auto"/>
        <w:jc w:val="center"/>
        <w:rPr>
          <w:rFonts w:hint="eastAsia" w:ascii="仿宋" w:hAnsi="仿宋" w:eastAsia="仿宋" w:cs="仿宋"/>
          <w:b/>
          <w:bCs/>
          <w:color w:val="auto"/>
          <w:sz w:val="48"/>
          <w:szCs w:val="48"/>
          <w:highlight w:val="none"/>
          <w:shd w:val="clear" w:color="auto" w:fill="auto"/>
          <w:lang w:val="en-US" w:eastAsia="zh-CN"/>
        </w:rPr>
      </w:pPr>
      <w:bookmarkStart w:id="36" w:name="_Toc15392"/>
      <w:bookmarkStart w:id="37" w:name="_Toc19297"/>
      <w:bookmarkStart w:id="38" w:name="_Toc5666"/>
      <w:bookmarkStart w:id="39" w:name="_Toc15857"/>
      <w:bookmarkStart w:id="40" w:name="_Toc3433"/>
      <w:bookmarkStart w:id="41" w:name="_Toc923"/>
      <w:bookmarkStart w:id="42" w:name="_Toc9857"/>
      <w:bookmarkStart w:id="43" w:name="_Toc8334"/>
      <w:bookmarkStart w:id="44" w:name="_Toc10166"/>
      <w:r>
        <w:rPr>
          <w:rFonts w:hint="eastAsia" w:ascii="仿宋" w:hAnsi="仿宋" w:eastAsia="仿宋" w:cs="仿宋"/>
          <w:b/>
          <w:color w:val="auto"/>
          <w:sz w:val="48"/>
          <w:szCs w:val="48"/>
          <w:highlight w:val="none"/>
          <w:lang w:val="en-US" w:eastAsia="zh-CN"/>
        </w:rPr>
        <w:t>同</w:t>
      </w:r>
      <w:bookmarkEnd w:id="36"/>
      <w:bookmarkEnd w:id="37"/>
      <w:bookmarkEnd w:id="38"/>
      <w:bookmarkEnd w:id="39"/>
      <w:bookmarkEnd w:id="40"/>
      <w:bookmarkEnd w:id="41"/>
      <w:bookmarkEnd w:id="42"/>
      <w:bookmarkEnd w:id="43"/>
      <w:bookmarkEnd w:id="44"/>
      <w:r>
        <w:rPr>
          <w:rFonts w:hint="eastAsia" w:ascii="仿宋" w:hAnsi="仿宋" w:eastAsia="仿宋" w:cs="仿宋"/>
          <w:b/>
          <w:bCs/>
          <w:color w:val="auto"/>
          <w:sz w:val="48"/>
          <w:szCs w:val="48"/>
          <w:highlight w:val="none"/>
          <w:shd w:val="clear" w:color="auto" w:fill="auto"/>
          <w:lang w:val="en-US" w:eastAsia="zh-CN"/>
        </w:rPr>
        <w:t xml:space="preserve"> </w:t>
      </w:r>
    </w:p>
    <w:p w14:paraId="078DC770">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00A5B211">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55527CD0">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3C1B4BC5">
      <w:pPr>
        <w:keepNext w:val="0"/>
        <w:keepLines w:val="0"/>
        <w:pageBreakBefore w:val="0"/>
        <w:overflowPunct/>
        <w:topLinePunct w:val="0"/>
        <w:bidi w:val="0"/>
        <w:adjustRightInd w:val="0"/>
        <w:snapToGrid w:val="0"/>
        <w:spacing w:line="360" w:lineRule="auto"/>
        <w:jc w:val="both"/>
        <w:rPr>
          <w:rFonts w:hint="eastAsia" w:ascii="仿宋" w:hAnsi="仿宋" w:eastAsia="仿宋" w:cs="仿宋"/>
          <w:color w:val="auto"/>
          <w:highlight w:val="none"/>
          <w:shd w:val="clear" w:color="auto" w:fill="auto"/>
          <w:lang w:val="en-US" w:eastAsia="zh-CN"/>
        </w:rPr>
      </w:pPr>
    </w:p>
    <w:p w14:paraId="6FF55CF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合同编号：</w:t>
      </w:r>
    </w:p>
    <w:p w14:paraId="66E385D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发包</w:t>
      </w:r>
      <w:r>
        <w:rPr>
          <w:rFonts w:hint="eastAsia" w:ascii="仿宋" w:hAnsi="仿宋" w:eastAsia="仿宋" w:cs="仿宋"/>
          <w:b w:val="0"/>
          <w:bCs w:val="0"/>
          <w:color w:val="auto"/>
          <w:sz w:val="28"/>
          <w:szCs w:val="28"/>
          <w:highlight w:val="none"/>
          <w:shd w:val="clear" w:color="auto" w:fill="auto"/>
          <w:lang w:val="en-US" w:eastAsia="zh-CN"/>
        </w:rPr>
        <w:t>方）：东莞市中泰建安工程有限公司</w:t>
      </w:r>
    </w:p>
    <w:p w14:paraId="76B9E79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single"/>
          <w:shd w:val="clear" w:color="auto" w:fill="auto"/>
          <w:lang w:val="en-US" w:eastAsia="zh-CN"/>
        </w:rPr>
      </w:pPr>
      <w:r>
        <w:rPr>
          <w:rFonts w:hint="eastAsia" w:ascii="仿宋" w:hAnsi="仿宋" w:eastAsia="仿宋" w:cs="仿宋"/>
          <w:b w:val="0"/>
          <w:bCs w:val="0"/>
          <w:color w:val="auto"/>
          <w:sz w:val="28"/>
          <w:szCs w:val="28"/>
          <w:highlight w:val="none"/>
          <w:shd w:val="clear" w:color="auto" w:fill="auto"/>
          <w:lang w:val="en-US" w:eastAsia="zh-CN"/>
        </w:rPr>
        <w:t>乙方（承包方）：</w:t>
      </w:r>
    </w:p>
    <w:p w14:paraId="119D52D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val="0"/>
          <w:bCs w:val="0"/>
          <w:color w:val="auto"/>
          <w:sz w:val="28"/>
          <w:szCs w:val="28"/>
          <w:highlight w:val="none"/>
          <w:u w:val="none"/>
          <w:shd w:val="clear" w:color="auto" w:fill="auto"/>
          <w:lang w:val="en-US" w:eastAsia="zh-CN"/>
        </w:rPr>
      </w:pPr>
      <w:r>
        <w:rPr>
          <w:rFonts w:hint="eastAsia" w:ascii="仿宋" w:hAnsi="仿宋" w:eastAsia="仿宋" w:cs="仿宋"/>
          <w:b w:val="0"/>
          <w:bCs w:val="0"/>
          <w:color w:val="auto"/>
          <w:sz w:val="28"/>
          <w:szCs w:val="28"/>
          <w:highlight w:val="none"/>
          <w:u w:val="none"/>
          <w:shd w:val="clear" w:color="auto" w:fill="auto"/>
          <w:lang w:val="en-US" w:eastAsia="zh-CN"/>
        </w:rPr>
        <w:t>签订日期：</w:t>
      </w:r>
      <w:r>
        <w:rPr>
          <w:rFonts w:hint="eastAsia" w:ascii="仿宋" w:hAnsi="仿宋" w:eastAsia="仿宋" w:cs="仿宋"/>
          <w:b w:val="0"/>
          <w:bCs w:val="0"/>
          <w:color w:val="auto"/>
          <w:sz w:val="28"/>
          <w:szCs w:val="28"/>
          <w:highlight w:val="none"/>
          <w:u w:val="single"/>
          <w:shd w:val="clear" w:color="auto" w:fill="auto"/>
          <w:lang w:val="en-US" w:eastAsia="zh-CN"/>
        </w:rPr>
        <w:t>2025</w:t>
      </w:r>
      <w:r>
        <w:rPr>
          <w:rFonts w:hint="eastAsia" w:ascii="仿宋" w:hAnsi="仿宋" w:eastAsia="仿宋" w:cs="仿宋"/>
          <w:b w:val="0"/>
          <w:bCs w:val="0"/>
          <w:color w:val="auto"/>
          <w:sz w:val="28"/>
          <w:szCs w:val="28"/>
          <w:highlight w:val="none"/>
          <w:u w:val="none"/>
          <w:shd w:val="clear" w:color="auto" w:fill="auto"/>
          <w:lang w:val="en-US" w:eastAsia="zh-CN"/>
        </w:rPr>
        <w:t>年</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月</w:t>
      </w:r>
      <w:r>
        <w:rPr>
          <w:rFonts w:hint="eastAsia" w:ascii="仿宋" w:hAnsi="仿宋" w:eastAsia="仿宋" w:cs="仿宋"/>
          <w:b w:val="0"/>
          <w:b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color w:val="auto"/>
          <w:sz w:val="28"/>
          <w:szCs w:val="28"/>
          <w:highlight w:val="none"/>
          <w:u w:val="none"/>
          <w:shd w:val="clear" w:color="auto" w:fill="auto"/>
          <w:lang w:val="en-US" w:eastAsia="zh-CN"/>
        </w:rPr>
        <w:t>日</w:t>
      </w:r>
    </w:p>
    <w:p w14:paraId="5D95EA6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898" w:firstLineChars="678"/>
        <w:jc w:val="both"/>
        <w:textAlignment w:val="auto"/>
        <w:rPr>
          <w:rFonts w:hint="eastAsia" w:ascii="仿宋" w:hAnsi="仿宋" w:eastAsia="仿宋" w:cs="仿宋"/>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1134"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 w:hAnsi="仿宋" w:eastAsia="仿宋" w:cs="仿宋"/>
          <w:b w:val="0"/>
          <w:bCs w:val="0"/>
          <w:color w:val="auto"/>
          <w:sz w:val="28"/>
          <w:szCs w:val="28"/>
          <w:highlight w:val="none"/>
          <w:u w:val="none"/>
          <w:shd w:val="clear" w:color="auto" w:fill="auto"/>
          <w:lang w:val="en-US" w:eastAsia="zh-CN"/>
        </w:rPr>
        <w:t>签订地点：广东东莞南城。</w:t>
      </w:r>
    </w:p>
    <w:p w14:paraId="78B71477">
      <w:pPr>
        <w:keepNext w:val="0"/>
        <w:keepLines w:val="0"/>
        <w:pageBreakBefore w:val="0"/>
        <w:overflowPunct/>
        <w:topLinePunct w:val="0"/>
        <w:bidi w:val="0"/>
        <w:adjustRightInd w:val="0"/>
        <w:snapToGrid w:val="0"/>
        <w:spacing w:before="0" w:beforeLines="0" w:after="0" w:afterLines="0" w:line="360" w:lineRule="auto"/>
        <w:ind w:left="0" w:leftChars="0" w:right="0" w:rightChars="0" w:firstLine="0" w:firstLineChars="0"/>
        <w:jc w:val="center"/>
        <w:rPr>
          <w:rFonts w:hint="eastAsia" w:ascii="仿宋" w:hAnsi="仿宋" w:eastAsia="仿宋" w:cs="仿宋"/>
          <w:color w:val="auto"/>
          <w:sz w:val="28"/>
          <w:szCs w:val="28"/>
          <w:highlight w:val="none"/>
        </w:rPr>
      </w:pPr>
      <w:bookmarkStart w:id="45" w:name="_Toc21482"/>
      <w:r>
        <w:rPr>
          <w:rFonts w:hint="eastAsia" w:ascii="仿宋" w:hAnsi="仿宋" w:eastAsia="仿宋" w:cs="仿宋"/>
          <w:color w:val="auto"/>
          <w:sz w:val="28"/>
          <w:szCs w:val="28"/>
          <w:highlight w:val="none"/>
        </w:rPr>
        <w:t>目</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录</w:t>
      </w:r>
    </w:p>
    <w:p w14:paraId="675E6E4B">
      <w:pPr>
        <w:pStyle w:val="10"/>
        <w:tabs>
          <w:tab w:val="right" w:leader="middleDot" w:pos="9638"/>
        </w:tabs>
        <w:rPr>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"1-2" \h \u </w:instrText>
      </w:r>
      <w:r>
        <w:rPr>
          <w:rFonts w:hint="eastAsia" w:ascii="仿宋" w:hAnsi="仿宋" w:eastAsia="仿宋" w:cs="仿宋"/>
          <w:color w:val="auto"/>
          <w:highlight w:val="none"/>
        </w:rPr>
        <w:fldChar w:fldCharType="separate"/>
      </w:r>
    </w:p>
    <w:p w14:paraId="795465B7">
      <w:pPr>
        <w:pStyle w:val="10"/>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_Toc30185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kern w:val="0"/>
          <w:sz w:val="24"/>
          <w:szCs w:val="24"/>
          <w:highlight w:val="none"/>
          <w:shd w:val="clear" w:fill="auto"/>
          <w:lang w:val="en-US" w:eastAsia="zh-CN"/>
        </w:rPr>
        <w:t xml:space="preserve">第一部分 </w:t>
      </w:r>
      <w:r>
        <w:rPr>
          <w:rFonts w:hint="eastAsia" w:ascii="仿宋" w:hAnsi="仿宋" w:eastAsia="仿宋" w:cs="仿宋"/>
          <w:bCs/>
          <w:i w:val="0"/>
          <w:iCs w:val="0"/>
          <w:kern w:val="0"/>
          <w:sz w:val="24"/>
          <w:szCs w:val="24"/>
          <w:highlight w:val="none"/>
          <w:shd w:val="clear" w:color="auto" w:fill="auto"/>
          <w:lang w:val="en-US" w:eastAsia="zh-CN"/>
        </w:rPr>
        <w:t>合同专用条款</w:t>
      </w:r>
      <w:r>
        <w:rPr>
          <w:sz w:val="24"/>
          <w:szCs w:val="24"/>
          <w:highlight w:val="none"/>
        </w:rPr>
        <w:tab/>
      </w:r>
      <w:r>
        <w:rPr>
          <w:sz w:val="24"/>
          <w:szCs w:val="24"/>
          <w:highlight w:val="none"/>
        </w:rPr>
        <w:fldChar w:fldCharType="begin"/>
      </w:r>
      <w:r>
        <w:rPr>
          <w:sz w:val="24"/>
          <w:szCs w:val="24"/>
          <w:highlight w:val="none"/>
        </w:rPr>
        <w:instrText xml:space="preserve"> PAGEREF _Toc30185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A62358B">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_Toc13008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rPr>
        <w:t xml:space="preserve">第一章、 </w:t>
      </w:r>
      <w:r>
        <w:rPr>
          <w:rFonts w:hint="eastAsia" w:ascii="仿宋" w:hAnsi="仿宋" w:eastAsia="仿宋" w:cs="仿宋"/>
          <w:bCs/>
          <w:i w:val="0"/>
          <w:iCs w:val="0"/>
          <w:sz w:val="24"/>
          <w:szCs w:val="24"/>
          <w:highlight w:val="none"/>
          <w:shd w:val="clear" w:color="auto" w:fill="auto"/>
        </w:rPr>
        <w:t>项目概况</w:t>
      </w:r>
      <w:r>
        <w:rPr>
          <w:sz w:val="24"/>
          <w:szCs w:val="24"/>
          <w:highlight w:val="none"/>
        </w:rPr>
        <w:tab/>
      </w:r>
      <w:r>
        <w:rPr>
          <w:sz w:val="24"/>
          <w:szCs w:val="24"/>
          <w:highlight w:val="none"/>
        </w:rPr>
        <w:fldChar w:fldCharType="begin"/>
      </w:r>
      <w:r>
        <w:rPr>
          <w:sz w:val="24"/>
          <w:szCs w:val="24"/>
          <w:highlight w:val="none"/>
        </w:rPr>
        <w:instrText xml:space="preserve"> PAGEREF _Toc13008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3CB40E9">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_Toc20796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第二章、 </w:t>
      </w:r>
      <w:r>
        <w:rPr>
          <w:rFonts w:hint="eastAsia" w:ascii="仿宋" w:hAnsi="仿宋" w:eastAsia="仿宋" w:cs="仿宋"/>
          <w:bCs/>
          <w:i w:val="0"/>
          <w:iCs w:val="0"/>
          <w:sz w:val="24"/>
          <w:szCs w:val="24"/>
          <w:highlight w:val="none"/>
          <w:shd w:val="clear" w:color="auto" w:fill="auto"/>
          <w:lang w:val="en-US" w:eastAsia="zh-CN"/>
        </w:rPr>
        <w:t>承包方式</w:t>
      </w:r>
      <w:r>
        <w:rPr>
          <w:sz w:val="24"/>
          <w:szCs w:val="24"/>
          <w:highlight w:val="none"/>
        </w:rPr>
        <w:tab/>
      </w:r>
      <w:r>
        <w:rPr>
          <w:sz w:val="24"/>
          <w:szCs w:val="24"/>
          <w:highlight w:val="none"/>
        </w:rPr>
        <w:fldChar w:fldCharType="begin"/>
      </w:r>
      <w:r>
        <w:rPr>
          <w:sz w:val="24"/>
          <w:szCs w:val="24"/>
          <w:highlight w:val="none"/>
        </w:rPr>
        <w:instrText xml:space="preserve"> PAGEREF _Toc20796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44A415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_Toc16326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第三章、 </w:t>
      </w:r>
      <w:r>
        <w:rPr>
          <w:rFonts w:hint="eastAsia" w:ascii="仿宋" w:hAnsi="仿宋" w:eastAsia="仿宋" w:cs="仿宋"/>
          <w:bCs/>
          <w:i w:val="0"/>
          <w:iCs w:val="0"/>
          <w:sz w:val="24"/>
          <w:szCs w:val="24"/>
          <w:highlight w:val="none"/>
          <w:shd w:val="clear" w:color="auto" w:fill="auto"/>
          <w:lang w:val="en-US" w:eastAsia="zh-CN"/>
        </w:rPr>
        <w:t>承包范围及主要工程内容</w:t>
      </w:r>
      <w:r>
        <w:rPr>
          <w:sz w:val="24"/>
          <w:szCs w:val="24"/>
          <w:highlight w:val="none"/>
        </w:rPr>
        <w:tab/>
      </w:r>
      <w:r>
        <w:rPr>
          <w:sz w:val="24"/>
          <w:szCs w:val="24"/>
          <w:highlight w:val="none"/>
        </w:rPr>
        <w:fldChar w:fldCharType="begin"/>
      </w:r>
      <w:r>
        <w:rPr>
          <w:sz w:val="24"/>
          <w:szCs w:val="24"/>
          <w:highlight w:val="none"/>
        </w:rPr>
        <w:instrText xml:space="preserve"> PAGEREF _Toc16326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D40B17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_Toc31532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第四章、 </w:t>
      </w:r>
      <w:r>
        <w:rPr>
          <w:rFonts w:hint="eastAsia" w:ascii="仿宋" w:hAnsi="仿宋" w:eastAsia="仿宋" w:cs="仿宋"/>
          <w:bCs/>
          <w:i w:val="0"/>
          <w:iCs w:val="0"/>
          <w:sz w:val="24"/>
          <w:szCs w:val="24"/>
          <w:highlight w:val="none"/>
          <w:shd w:val="clear" w:color="auto" w:fill="auto"/>
          <w:lang w:val="en-US" w:eastAsia="zh-CN"/>
        </w:rPr>
        <w:t>工期</w:t>
      </w:r>
      <w:r>
        <w:rPr>
          <w:sz w:val="24"/>
          <w:szCs w:val="24"/>
          <w:highlight w:val="none"/>
        </w:rPr>
        <w:tab/>
      </w:r>
      <w:r>
        <w:rPr>
          <w:rFonts w:hint="eastAsia"/>
          <w:sz w:val="24"/>
          <w:szCs w:val="24"/>
          <w:highlight w:val="none"/>
          <w:lang w:val="en-US" w:eastAsia="zh-CN"/>
        </w:rPr>
        <w:t>5</w:t>
      </w:r>
      <w:r>
        <w:rPr>
          <w:rFonts w:hint="eastAsia" w:ascii="仿宋" w:hAnsi="仿宋" w:eastAsia="仿宋" w:cs="仿宋"/>
          <w:color w:val="auto"/>
          <w:sz w:val="24"/>
          <w:szCs w:val="24"/>
          <w:highlight w:val="none"/>
        </w:rPr>
        <w:fldChar w:fldCharType="end"/>
      </w:r>
    </w:p>
    <w:p w14:paraId="04D89396">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_Toc18075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第五章、 </w:t>
      </w:r>
      <w:r>
        <w:rPr>
          <w:rFonts w:hint="eastAsia" w:ascii="仿宋" w:hAnsi="仿宋" w:eastAsia="仿宋" w:cs="仿宋"/>
          <w:bCs/>
          <w:i w:val="0"/>
          <w:iCs w:val="0"/>
          <w:sz w:val="24"/>
          <w:szCs w:val="24"/>
          <w:highlight w:val="none"/>
          <w:shd w:val="clear" w:color="auto" w:fill="auto"/>
          <w:lang w:val="en-US" w:eastAsia="zh-CN"/>
        </w:rPr>
        <w:t>工程质量标准</w:t>
      </w:r>
      <w:r>
        <w:rPr>
          <w:sz w:val="24"/>
          <w:szCs w:val="24"/>
          <w:highlight w:val="none"/>
        </w:rPr>
        <w:tab/>
      </w:r>
      <w:r>
        <w:rPr>
          <w:sz w:val="24"/>
          <w:szCs w:val="24"/>
          <w:highlight w:val="none"/>
        </w:rPr>
        <w:fldChar w:fldCharType="begin"/>
      </w:r>
      <w:r>
        <w:rPr>
          <w:sz w:val="24"/>
          <w:szCs w:val="24"/>
          <w:highlight w:val="none"/>
        </w:rPr>
        <w:instrText xml:space="preserve"> PAGEREF _Toc18075 \h </w:instrText>
      </w:r>
      <w:r>
        <w:rPr>
          <w:sz w:val="24"/>
          <w:szCs w:val="24"/>
          <w:highlight w:val="none"/>
        </w:rPr>
        <w:fldChar w:fldCharType="separate"/>
      </w:r>
      <w:r>
        <w:rPr>
          <w:sz w:val="24"/>
          <w:szCs w:val="24"/>
          <w:highlight w:val="none"/>
        </w:rPr>
        <w:t>5</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4E78B24">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_Toc29531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第六章、 </w:t>
      </w:r>
      <w:r>
        <w:rPr>
          <w:rFonts w:hint="eastAsia" w:ascii="仿宋" w:hAnsi="仿宋" w:eastAsia="仿宋" w:cs="仿宋"/>
          <w:bCs/>
          <w:i w:val="0"/>
          <w:iCs w:val="0"/>
          <w:sz w:val="24"/>
          <w:szCs w:val="24"/>
          <w:highlight w:val="none"/>
          <w:shd w:val="clear" w:color="auto" w:fill="auto"/>
          <w:lang w:val="en-US" w:eastAsia="zh-CN"/>
        </w:rPr>
        <w:t>合同价款</w:t>
      </w:r>
      <w:r>
        <w:rPr>
          <w:sz w:val="24"/>
          <w:szCs w:val="24"/>
          <w:highlight w:val="none"/>
        </w:rPr>
        <w:tab/>
      </w:r>
      <w:r>
        <w:rPr>
          <w:rFonts w:hint="eastAsia"/>
          <w:sz w:val="24"/>
          <w:szCs w:val="24"/>
          <w:highlight w:val="none"/>
          <w:lang w:val="en-US" w:eastAsia="zh-CN"/>
        </w:rPr>
        <w:t>6</w:t>
      </w:r>
      <w:r>
        <w:rPr>
          <w:rFonts w:hint="eastAsia" w:ascii="仿宋" w:hAnsi="仿宋" w:eastAsia="仿宋" w:cs="仿宋"/>
          <w:color w:val="auto"/>
          <w:sz w:val="24"/>
          <w:szCs w:val="24"/>
          <w:highlight w:val="none"/>
        </w:rPr>
        <w:fldChar w:fldCharType="end"/>
      </w:r>
    </w:p>
    <w:p w14:paraId="414282F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_Toc26663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第七章、 </w:t>
      </w:r>
      <w:r>
        <w:rPr>
          <w:rFonts w:hint="eastAsia" w:ascii="仿宋" w:hAnsi="仿宋" w:eastAsia="仿宋" w:cs="仿宋"/>
          <w:bCs/>
          <w:i w:val="0"/>
          <w:iCs w:val="0"/>
          <w:sz w:val="24"/>
          <w:szCs w:val="24"/>
          <w:highlight w:val="none"/>
          <w:shd w:val="clear" w:color="auto" w:fill="auto"/>
          <w:lang w:val="en-US" w:eastAsia="zh-CN"/>
        </w:rPr>
        <w:t>计量计价方式及结算方式</w:t>
      </w:r>
      <w:r>
        <w:rPr>
          <w:sz w:val="24"/>
          <w:szCs w:val="24"/>
          <w:highlight w:val="none"/>
        </w:rPr>
        <w:tab/>
      </w:r>
      <w:r>
        <w:rPr>
          <w:rFonts w:hint="eastAsia"/>
          <w:sz w:val="24"/>
          <w:szCs w:val="24"/>
          <w:highlight w:val="none"/>
          <w:lang w:val="en-US" w:eastAsia="zh-CN"/>
        </w:rPr>
        <w:t>7</w:t>
      </w:r>
      <w:r>
        <w:rPr>
          <w:rFonts w:hint="eastAsia" w:ascii="仿宋" w:hAnsi="仿宋" w:eastAsia="仿宋" w:cs="仿宋"/>
          <w:color w:val="auto"/>
          <w:sz w:val="24"/>
          <w:szCs w:val="24"/>
          <w:highlight w:val="none"/>
        </w:rPr>
        <w:fldChar w:fldCharType="end"/>
      </w:r>
    </w:p>
    <w:p w14:paraId="714AA6C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_Toc1836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第八章、 </w:t>
      </w:r>
      <w:r>
        <w:rPr>
          <w:rFonts w:hint="eastAsia" w:ascii="仿宋" w:hAnsi="仿宋" w:eastAsia="仿宋" w:cs="仿宋"/>
          <w:bCs/>
          <w:i w:val="0"/>
          <w:iCs w:val="0"/>
          <w:sz w:val="24"/>
          <w:szCs w:val="24"/>
          <w:highlight w:val="none"/>
          <w:shd w:val="clear" w:color="auto" w:fill="auto"/>
          <w:lang w:val="en-US" w:eastAsia="zh-CN"/>
        </w:rPr>
        <w:t>付款方式</w:t>
      </w:r>
      <w:r>
        <w:rPr>
          <w:sz w:val="24"/>
          <w:szCs w:val="24"/>
          <w:highlight w:val="none"/>
        </w:rPr>
        <w:tab/>
      </w:r>
      <w:r>
        <w:rPr>
          <w:sz w:val="24"/>
          <w:szCs w:val="24"/>
          <w:highlight w:val="none"/>
        </w:rPr>
        <w:fldChar w:fldCharType="begin"/>
      </w:r>
      <w:r>
        <w:rPr>
          <w:sz w:val="24"/>
          <w:szCs w:val="24"/>
          <w:highlight w:val="none"/>
        </w:rPr>
        <w:instrText xml:space="preserve"> PAGEREF _Toc1836 \h </w:instrText>
      </w:r>
      <w:r>
        <w:rPr>
          <w:sz w:val="24"/>
          <w:szCs w:val="24"/>
          <w:highlight w:val="none"/>
        </w:rPr>
        <w:fldChar w:fldCharType="separate"/>
      </w:r>
      <w:r>
        <w:rPr>
          <w:sz w:val="24"/>
          <w:szCs w:val="24"/>
          <w:highlight w:val="none"/>
        </w:rPr>
        <w:t>8</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EA431DA">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_Toc15443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第九章、 </w:t>
      </w:r>
      <w:r>
        <w:rPr>
          <w:rFonts w:hint="eastAsia" w:ascii="仿宋" w:hAnsi="仿宋" w:eastAsia="仿宋" w:cs="仿宋"/>
          <w:bCs/>
          <w:i w:val="0"/>
          <w:iCs w:val="0"/>
          <w:sz w:val="24"/>
          <w:szCs w:val="24"/>
          <w:highlight w:val="none"/>
          <w:shd w:val="clear" w:color="auto" w:fill="auto"/>
          <w:lang w:val="en-US" w:eastAsia="zh-CN"/>
        </w:rPr>
        <w:t>双方责任和权利</w:t>
      </w:r>
      <w:r>
        <w:rPr>
          <w:sz w:val="24"/>
          <w:szCs w:val="24"/>
          <w:highlight w:val="none"/>
        </w:rPr>
        <w:tab/>
      </w:r>
      <w:r>
        <w:rPr>
          <w:sz w:val="24"/>
          <w:szCs w:val="24"/>
          <w:highlight w:val="none"/>
        </w:rPr>
        <w:fldChar w:fldCharType="begin"/>
      </w:r>
      <w:r>
        <w:rPr>
          <w:sz w:val="24"/>
          <w:szCs w:val="24"/>
          <w:highlight w:val="none"/>
        </w:rPr>
        <w:instrText xml:space="preserve"> PAGEREF _Toc15443 \h </w:instrText>
      </w:r>
      <w:r>
        <w:rPr>
          <w:sz w:val="24"/>
          <w:szCs w:val="24"/>
          <w:highlight w:val="none"/>
        </w:rPr>
        <w:fldChar w:fldCharType="separate"/>
      </w:r>
      <w:r>
        <w:rPr>
          <w:sz w:val="24"/>
          <w:szCs w:val="24"/>
          <w:highlight w:val="none"/>
        </w:rPr>
        <w:t>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70C2CBE">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_Toc25504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第十章、 </w:t>
      </w:r>
      <w:r>
        <w:rPr>
          <w:rFonts w:hint="eastAsia" w:ascii="仿宋" w:hAnsi="仿宋" w:eastAsia="仿宋" w:cs="仿宋"/>
          <w:bCs/>
          <w:i w:val="0"/>
          <w:iCs w:val="0"/>
          <w:sz w:val="24"/>
          <w:szCs w:val="24"/>
          <w:highlight w:val="none"/>
          <w:shd w:val="clear" w:color="auto" w:fill="auto"/>
          <w:lang w:val="en-US" w:eastAsia="zh-CN"/>
        </w:rPr>
        <w:t>验收及保修</w:t>
      </w:r>
      <w:r>
        <w:rPr>
          <w:sz w:val="24"/>
          <w:szCs w:val="24"/>
          <w:highlight w:val="none"/>
        </w:rPr>
        <w:tab/>
      </w:r>
      <w:r>
        <w:rPr>
          <w:sz w:val="24"/>
          <w:szCs w:val="24"/>
          <w:highlight w:val="none"/>
        </w:rPr>
        <w:fldChar w:fldCharType="begin"/>
      </w:r>
      <w:r>
        <w:rPr>
          <w:sz w:val="24"/>
          <w:szCs w:val="24"/>
          <w:highlight w:val="none"/>
        </w:rPr>
        <w:instrText xml:space="preserve"> PAGEREF _Toc25504 \h </w:instrText>
      </w:r>
      <w:r>
        <w:rPr>
          <w:sz w:val="24"/>
          <w:szCs w:val="24"/>
          <w:highlight w:val="none"/>
        </w:rPr>
        <w:fldChar w:fldCharType="separate"/>
      </w:r>
      <w:r>
        <w:rPr>
          <w:sz w:val="24"/>
          <w:szCs w:val="24"/>
          <w:highlight w:val="none"/>
        </w:rPr>
        <w:t>10</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7AA10A5">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_Toc1887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第十一章、 </w:t>
      </w:r>
      <w:r>
        <w:rPr>
          <w:rFonts w:hint="eastAsia" w:ascii="仿宋" w:hAnsi="仿宋" w:eastAsia="仿宋" w:cs="仿宋"/>
          <w:bCs/>
          <w:i w:val="0"/>
          <w:iCs w:val="0"/>
          <w:sz w:val="24"/>
          <w:szCs w:val="24"/>
          <w:highlight w:val="none"/>
          <w:shd w:val="clear" w:color="auto" w:fill="auto"/>
          <w:lang w:val="en-US" w:eastAsia="zh-CN"/>
        </w:rPr>
        <w:t>其他</w:t>
      </w:r>
      <w:r>
        <w:rPr>
          <w:sz w:val="24"/>
          <w:szCs w:val="24"/>
          <w:highlight w:val="none"/>
        </w:rPr>
        <w:tab/>
      </w:r>
      <w:r>
        <w:rPr>
          <w:sz w:val="24"/>
          <w:szCs w:val="24"/>
          <w:highlight w:val="none"/>
        </w:rPr>
        <w:fldChar w:fldCharType="begin"/>
      </w:r>
      <w:r>
        <w:rPr>
          <w:sz w:val="24"/>
          <w:szCs w:val="24"/>
          <w:highlight w:val="none"/>
        </w:rPr>
        <w:instrText xml:space="preserve"> PAGEREF _Toc1887 \h </w:instrText>
      </w:r>
      <w:r>
        <w:rPr>
          <w:sz w:val="24"/>
          <w:szCs w:val="24"/>
          <w:highlight w:val="none"/>
        </w:rPr>
        <w:fldChar w:fldCharType="separate"/>
      </w:r>
      <w:r>
        <w:rPr>
          <w:sz w:val="24"/>
          <w:szCs w:val="24"/>
          <w:highlight w:val="none"/>
        </w:rPr>
        <w:t>1</w:t>
      </w:r>
      <w:r>
        <w:rPr>
          <w:rFonts w:hint="eastAsia"/>
          <w:sz w:val="24"/>
          <w:szCs w:val="24"/>
          <w:highlight w:val="none"/>
          <w:lang w:val="en-US" w:eastAsia="zh-CN"/>
        </w:rPr>
        <w:t>1</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939439D">
      <w:pPr>
        <w:pStyle w:val="10"/>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_Toc17756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kern w:val="0"/>
          <w:sz w:val="24"/>
          <w:szCs w:val="24"/>
          <w:highlight w:val="none"/>
          <w:shd w:val="clear" w:fill="auto"/>
          <w:lang w:val="en-US" w:eastAsia="zh-CN"/>
        </w:rPr>
        <w:t xml:space="preserve">第二部分 </w:t>
      </w:r>
      <w:r>
        <w:rPr>
          <w:rFonts w:hint="eastAsia" w:ascii="仿宋" w:hAnsi="仿宋" w:eastAsia="仿宋" w:cs="仿宋"/>
          <w:bCs/>
          <w:i w:val="0"/>
          <w:iCs w:val="0"/>
          <w:kern w:val="0"/>
          <w:sz w:val="24"/>
          <w:szCs w:val="24"/>
          <w:highlight w:val="none"/>
          <w:shd w:val="clear" w:color="auto" w:fill="auto"/>
          <w:lang w:val="en-US" w:eastAsia="zh-CN"/>
        </w:rPr>
        <w:t>合同通用条款</w:t>
      </w:r>
      <w:r>
        <w:rPr>
          <w:sz w:val="24"/>
          <w:szCs w:val="24"/>
          <w:highlight w:val="none"/>
        </w:rPr>
        <w:tab/>
      </w:r>
      <w:r>
        <w:rPr>
          <w:sz w:val="24"/>
          <w:szCs w:val="24"/>
          <w:highlight w:val="none"/>
        </w:rPr>
        <w:fldChar w:fldCharType="begin"/>
      </w:r>
      <w:r>
        <w:rPr>
          <w:sz w:val="24"/>
          <w:szCs w:val="24"/>
          <w:highlight w:val="none"/>
        </w:rPr>
        <w:instrText xml:space="preserve"> PAGEREF _Toc17756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30A36A4B">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_Toc27946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第一章、 </w:t>
      </w:r>
      <w:r>
        <w:rPr>
          <w:rFonts w:hint="eastAsia" w:ascii="仿宋" w:hAnsi="仿宋" w:eastAsia="仿宋" w:cs="仿宋"/>
          <w:bCs/>
          <w:i w:val="0"/>
          <w:iCs w:val="0"/>
          <w:sz w:val="24"/>
          <w:szCs w:val="24"/>
          <w:highlight w:val="none"/>
          <w:shd w:val="clear" w:color="auto" w:fill="auto"/>
          <w:lang w:val="en-US" w:eastAsia="zh-CN"/>
        </w:rPr>
        <w:t>承包方式</w:t>
      </w:r>
      <w:r>
        <w:rPr>
          <w:sz w:val="24"/>
          <w:szCs w:val="24"/>
          <w:highlight w:val="none"/>
        </w:rPr>
        <w:tab/>
      </w:r>
      <w:r>
        <w:rPr>
          <w:sz w:val="24"/>
          <w:szCs w:val="24"/>
          <w:highlight w:val="none"/>
        </w:rPr>
        <w:fldChar w:fldCharType="begin"/>
      </w:r>
      <w:r>
        <w:rPr>
          <w:sz w:val="24"/>
          <w:szCs w:val="24"/>
          <w:highlight w:val="none"/>
        </w:rPr>
        <w:instrText xml:space="preserve"> PAGEREF _Toc27946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ED79177">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_Toc30750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第二章、 </w:t>
      </w:r>
      <w:r>
        <w:rPr>
          <w:rFonts w:hint="eastAsia" w:ascii="仿宋" w:hAnsi="仿宋" w:eastAsia="仿宋" w:cs="仿宋"/>
          <w:bCs/>
          <w:i w:val="0"/>
          <w:iCs w:val="0"/>
          <w:sz w:val="24"/>
          <w:szCs w:val="24"/>
          <w:highlight w:val="none"/>
          <w:shd w:val="clear" w:color="auto" w:fill="auto"/>
          <w:lang w:val="en-US" w:eastAsia="zh-CN"/>
        </w:rPr>
        <w:t>承包范围及主要工程内容</w:t>
      </w:r>
      <w:r>
        <w:rPr>
          <w:sz w:val="24"/>
          <w:szCs w:val="24"/>
          <w:highlight w:val="none"/>
        </w:rPr>
        <w:tab/>
      </w:r>
      <w:r>
        <w:rPr>
          <w:sz w:val="24"/>
          <w:szCs w:val="24"/>
          <w:highlight w:val="none"/>
        </w:rPr>
        <w:fldChar w:fldCharType="begin"/>
      </w:r>
      <w:r>
        <w:rPr>
          <w:sz w:val="24"/>
          <w:szCs w:val="24"/>
          <w:highlight w:val="none"/>
        </w:rPr>
        <w:instrText xml:space="preserve"> PAGEREF _Toc30750 \h </w:instrText>
      </w:r>
      <w:r>
        <w:rPr>
          <w:sz w:val="24"/>
          <w:szCs w:val="24"/>
          <w:highlight w:val="none"/>
        </w:rPr>
        <w:fldChar w:fldCharType="separate"/>
      </w:r>
      <w:r>
        <w:rPr>
          <w:sz w:val="24"/>
          <w:szCs w:val="24"/>
          <w:highlight w:val="none"/>
        </w:rPr>
        <w:t>13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588E55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_Toc6424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第三章、 </w:t>
      </w:r>
      <w:r>
        <w:rPr>
          <w:rFonts w:hint="eastAsia" w:ascii="仿宋" w:hAnsi="仿宋" w:eastAsia="仿宋" w:cs="仿宋"/>
          <w:bCs/>
          <w:i w:val="0"/>
          <w:iCs w:val="0"/>
          <w:sz w:val="24"/>
          <w:szCs w:val="24"/>
          <w:highlight w:val="none"/>
          <w:shd w:val="clear" w:color="auto" w:fill="auto"/>
          <w:lang w:val="en-US" w:eastAsia="zh-CN"/>
        </w:rPr>
        <w:t>工期</w:t>
      </w:r>
      <w:r>
        <w:rPr>
          <w:sz w:val="24"/>
          <w:szCs w:val="24"/>
          <w:highlight w:val="none"/>
        </w:rPr>
        <w:tab/>
      </w:r>
      <w:r>
        <w:rPr>
          <w:sz w:val="24"/>
          <w:szCs w:val="24"/>
          <w:highlight w:val="none"/>
        </w:rPr>
        <w:fldChar w:fldCharType="begin"/>
      </w:r>
      <w:r>
        <w:rPr>
          <w:sz w:val="24"/>
          <w:szCs w:val="24"/>
          <w:highlight w:val="none"/>
        </w:rPr>
        <w:instrText xml:space="preserve"> PAGEREF _Toc6424 \h </w:instrText>
      </w:r>
      <w:r>
        <w:rPr>
          <w:sz w:val="24"/>
          <w:szCs w:val="24"/>
          <w:highlight w:val="none"/>
        </w:rPr>
        <w:fldChar w:fldCharType="separate"/>
      </w:r>
      <w:r>
        <w:rPr>
          <w:sz w:val="24"/>
          <w:szCs w:val="24"/>
          <w:highlight w:val="none"/>
        </w:rPr>
        <w:t>14</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A8823B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_Toc21972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第四章、 </w:t>
      </w:r>
      <w:r>
        <w:rPr>
          <w:rFonts w:hint="eastAsia" w:ascii="仿宋" w:hAnsi="仿宋" w:eastAsia="仿宋" w:cs="仿宋"/>
          <w:bCs/>
          <w:i w:val="0"/>
          <w:iCs w:val="0"/>
          <w:sz w:val="24"/>
          <w:szCs w:val="24"/>
          <w:highlight w:val="none"/>
          <w:shd w:val="clear" w:color="auto" w:fill="auto"/>
          <w:lang w:val="en-US" w:eastAsia="zh-CN"/>
        </w:rPr>
        <w:t>工程质量标准</w:t>
      </w:r>
      <w:r>
        <w:rPr>
          <w:sz w:val="24"/>
          <w:szCs w:val="24"/>
          <w:highlight w:val="none"/>
        </w:rPr>
        <w:tab/>
      </w:r>
      <w:r>
        <w:rPr>
          <w:sz w:val="24"/>
          <w:szCs w:val="24"/>
          <w:highlight w:val="none"/>
        </w:rPr>
        <w:fldChar w:fldCharType="begin"/>
      </w:r>
      <w:r>
        <w:rPr>
          <w:sz w:val="24"/>
          <w:szCs w:val="24"/>
          <w:highlight w:val="none"/>
        </w:rPr>
        <w:instrText xml:space="preserve"> PAGEREF _Toc21972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6F6068F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_Toc20756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第五章、 </w:t>
      </w:r>
      <w:r>
        <w:rPr>
          <w:rFonts w:hint="eastAsia" w:ascii="仿宋" w:hAnsi="仿宋" w:eastAsia="仿宋" w:cs="仿宋"/>
          <w:bCs/>
          <w:i w:val="0"/>
          <w:iCs w:val="0"/>
          <w:sz w:val="24"/>
          <w:szCs w:val="24"/>
          <w:highlight w:val="none"/>
          <w:shd w:val="clear" w:color="auto" w:fill="auto"/>
          <w:lang w:val="en-US" w:eastAsia="zh-CN"/>
        </w:rPr>
        <w:t>合同价款</w:t>
      </w:r>
      <w:r>
        <w:rPr>
          <w:sz w:val="24"/>
          <w:szCs w:val="24"/>
          <w:highlight w:val="none"/>
        </w:rPr>
        <w:tab/>
      </w:r>
      <w:r>
        <w:rPr>
          <w:sz w:val="24"/>
          <w:szCs w:val="24"/>
          <w:highlight w:val="none"/>
        </w:rPr>
        <w:fldChar w:fldCharType="begin"/>
      </w:r>
      <w:r>
        <w:rPr>
          <w:sz w:val="24"/>
          <w:szCs w:val="24"/>
          <w:highlight w:val="none"/>
        </w:rPr>
        <w:instrText xml:space="preserve"> PAGEREF _Toc20756 \h </w:instrText>
      </w:r>
      <w:r>
        <w:rPr>
          <w:sz w:val="24"/>
          <w:szCs w:val="24"/>
          <w:highlight w:val="none"/>
        </w:rPr>
        <w:fldChar w:fldCharType="separate"/>
      </w:r>
      <w:r>
        <w:rPr>
          <w:sz w:val="24"/>
          <w:szCs w:val="24"/>
          <w:highlight w:val="none"/>
        </w:rPr>
        <w:t>17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8F1739C">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_Toc22953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第六章、 </w:t>
      </w:r>
      <w:r>
        <w:rPr>
          <w:rFonts w:hint="eastAsia" w:ascii="仿宋" w:hAnsi="仿宋" w:eastAsia="仿宋" w:cs="仿宋"/>
          <w:bCs/>
          <w:i w:val="0"/>
          <w:iCs w:val="0"/>
          <w:sz w:val="24"/>
          <w:szCs w:val="24"/>
          <w:highlight w:val="none"/>
          <w:shd w:val="clear" w:color="auto" w:fill="auto"/>
          <w:lang w:val="en-US" w:eastAsia="zh-CN"/>
        </w:rPr>
        <w:t>计量计价方式及结算方式</w:t>
      </w:r>
      <w:r>
        <w:rPr>
          <w:sz w:val="24"/>
          <w:szCs w:val="24"/>
          <w:highlight w:val="none"/>
        </w:rPr>
        <w:tab/>
      </w:r>
      <w:r>
        <w:rPr>
          <w:sz w:val="24"/>
          <w:szCs w:val="24"/>
          <w:highlight w:val="none"/>
        </w:rPr>
        <w:fldChar w:fldCharType="begin"/>
      </w:r>
      <w:r>
        <w:rPr>
          <w:sz w:val="24"/>
          <w:szCs w:val="24"/>
          <w:highlight w:val="none"/>
        </w:rPr>
        <w:instrText xml:space="preserve"> PAGEREF _Toc22953 \h </w:instrText>
      </w:r>
      <w:r>
        <w:rPr>
          <w:sz w:val="24"/>
          <w:szCs w:val="24"/>
          <w:highlight w:val="none"/>
        </w:rPr>
        <w:fldChar w:fldCharType="separate"/>
      </w:r>
      <w:r>
        <w:rPr>
          <w:sz w:val="24"/>
          <w:szCs w:val="24"/>
          <w:highlight w:val="none"/>
        </w:rPr>
        <w:t>18</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15ADF13">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_Toc25821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第七章、 </w:t>
      </w:r>
      <w:r>
        <w:rPr>
          <w:rFonts w:hint="eastAsia" w:ascii="仿宋" w:hAnsi="仿宋" w:eastAsia="仿宋" w:cs="仿宋"/>
          <w:bCs/>
          <w:i w:val="0"/>
          <w:iCs w:val="0"/>
          <w:sz w:val="24"/>
          <w:szCs w:val="24"/>
          <w:highlight w:val="none"/>
          <w:shd w:val="clear" w:color="auto" w:fill="auto"/>
          <w:lang w:val="en-US" w:eastAsia="zh-CN"/>
        </w:rPr>
        <w:t>付款方式</w:t>
      </w:r>
      <w:r>
        <w:rPr>
          <w:sz w:val="24"/>
          <w:szCs w:val="24"/>
          <w:highlight w:val="none"/>
        </w:rPr>
        <w:tab/>
      </w:r>
      <w:r>
        <w:rPr>
          <w:sz w:val="24"/>
          <w:szCs w:val="24"/>
          <w:highlight w:val="none"/>
        </w:rPr>
        <w:fldChar w:fldCharType="begin"/>
      </w:r>
      <w:r>
        <w:rPr>
          <w:sz w:val="24"/>
          <w:szCs w:val="24"/>
          <w:highlight w:val="none"/>
        </w:rPr>
        <w:instrText xml:space="preserve"> PAGEREF _Toc25821 \h </w:instrText>
      </w:r>
      <w:r>
        <w:rPr>
          <w:sz w:val="24"/>
          <w:szCs w:val="24"/>
          <w:highlight w:val="none"/>
        </w:rPr>
        <w:fldChar w:fldCharType="separate"/>
      </w:r>
      <w:r>
        <w:rPr>
          <w:sz w:val="24"/>
          <w:szCs w:val="24"/>
          <w:highlight w:val="none"/>
        </w:rPr>
        <w:t>23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2866465C">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_Toc22680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第八章、 </w:t>
      </w:r>
      <w:r>
        <w:rPr>
          <w:rFonts w:hint="eastAsia" w:ascii="仿宋" w:hAnsi="仿宋" w:eastAsia="仿宋" w:cs="仿宋"/>
          <w:bCs/>
          <w:i w:val="0"/>
          <w:iCs w:val="0"/>
          <w:sz w:val="24"/>
          <w:szCs w:val="24"/>
          <w:highlight w:val="none"/>
          <w:shd w:val="clear" w:color="auto" w:fill="auto"/>
          <w:lang w:val="en-US" w:eastAsia="zh-CN"/>
        </w:rPr>
        <w:t>双方责任和权利</w:t>
      </w:r>
      <w:r>
        <w:rPr>
          <w:sz w:val="24"/>
          <w:szCs w:val="24"/>
          <w:highlight w:val="none"/>
        </w:rPr>
        <w:tab/>
      </w:r>
      <w:r>
        <w:rPr>
          <w:sz w:val="24"/>
          <w:szCs w:val="24"/>
          <w:highlight w:val="none"/>
        </w:rPr>
        <w:fldChar w:fldCharType="begin"/>
      </w:r>
      <w:r>
        <w:rPr>
          <w:sz w:val="24"/>
          <w:szCs w:val="24"/>
          <w:highlight w:val="none"/>
        </w:rPr>
        <w:instrText xml:space="preserve"> PAGEREF _Toc22680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9F87727">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_Toc28885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第九章、 </w:t>
      </w:r>
      <w:r>
        <w:rPr>
          <w:rFonts w:hint="eastAsia" w:ascii="仿宋" w:hAnsi="仿宋" w:eastAsia="仿宋" w:cs="仿宋"/>
          <w:bCs/>
          <w:i w:val="0"/>
          <w:iCs w:val="0"/>
          <w:sz w:val="24"/>
          <w:szCs w:val="24"/>
          <w:highlight w:val="none"/>
          <w:shd w:val="clear" w:color="auto" w:fill="auto"/>
          <w:lang w:val="en-US" w:eastAsia="zh-CN"/>
        </w:rPr>
        <w:t>安全生产、文明施工要求</w:t>
      </w:r>
      <w:r>
        <w:rPr>
          <w:sz w:val="24"/>
          <w:szCs w:val="24"/>
          <w:highlight w:val="none"/>
        </w:rPr>
        <w:tab/>
      </w:r>
      <w:r>
        <w:rPr>
          <w:sz w:val="24"/>
          <w:szCs w:val="24"/>
          <w:highlight w:val="none"/>
        </w:rPr>
        <w:fldChar w:fldCharType="begin"/>
      </w:r>
      <w:r>
        <w:rPr>
          <w:sz w:val="24"/>
          <w:szCs w:val="24"/>
          <w:highlight w:val="none"/>
        </w:rPr>
        <w:instrText xml:space="preserve"> PAGEREF _Toc28885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73ED0C52">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_Toc29572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第十章、 </w:t>
      </w:r>
      <w:r>
        <w:rPr>
          <w:rFonts w:hint="eastAsia" w:ascii="仿宋" w:hAnsi="仿宋" w:eastAsia="仿宋" w:cs="仿宋"/>
          <w:bCs/>
          <w:i w:val="0"/>
          <w:iCs w:val="0"/>
          <w:sz w:val="24"/>
          <w:szCs w:val="24"/>
          <w:highlight w:val="none"/>
          <w:shd w:val="clear" w:color="auto" w:fill="auto"/>
          <w:lang w:val="en-US" w:eastAsia="zh-CN"/>
        </w:rPr>
        <w:t>甲供材料设备</w:t>
      </w:r>
      <w:r>
        <w:rPr>
          <w:sz w:val="24"/>
          <w:szCs w:val="24"/>
          <w:highlight w:val="none"/>
        </w:rPr>
        <w:tab/>
      </w:r>
      <w:r>
        <w:rPr>
          <w:sz w:val="24"/>
          <w:szCs w:val="24"/>
          <w:highlight w:val="none"/>
        </w:rPr>
        <w:fldChar w:fldCharType="begin"/>
      </w:r>
      <w:r>
        <w:rPr>
          <w:sz w:val="24"/>
          <w:szCs w:val="24"/>
          <w:highlight w:val="none"/>
        </w:rPr>
        <w:instrText xml:space="preserve"> PAGEREF _Toc29572 \h </w:instrText>
      </w:r>
      <w:r>
        <w:rPr>
          <w:sz w:val="24"/>
          <w:szCs w:val="24"/>
          <w:highlight w:val="none"/>
        </w:rPr>
        <w:fldChar w:fldCharType="separate"/>
      </w:r>
      <w:r>
        <w:rPr>
          <w:sz w:val="24"/>
          <w:szCs w:val="24"/>
          <w:highlight w:val="none"/>
        </w:rPr>
        <w:t>34</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8313156">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_Toc22578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第十一章、 </w:t>
      </w:r>
      <w:r>
        <w:rPr>
          <w:rFonts w:hint="eastAsia" w:ascii="仿宋" w:hAnsi="仿宋" w:eastAsia="仿宋" w:cs="仿宋"/>
          <w:bCs/>
          <w:i w:val="0"/>
          <w:iCs w:val="0"/>
          <w:sz w:val="24"/>
          <w:szCs w:val="24"/>
          <w:highlight w:val="none"/>
          <w:shd w:val="clear" w:color="auto" w:fill="auto"/>
          <w:lang w:val="en-US" w:eastAsia="zh-CN"/>
        </w:rPr>
        <w:t>验收及保修</w:t>
      </w:r>
      <w:r>
        <w:rPr>
          <w:sz w:val="24"/>
          <w:szCs w:val="24"/>
          <w:highlight w:val="none"/>
        </w:rPr>
        <w:tab/>
      </w:r>
      <w:r>
        <w:rPr>
          <w:sz w:val="24"/>
          <w:szCs w:val="24"/>
          <w:highlight w:val="none"/>
        </w:rPr>
        <w:fldChar w:fldCharType="begin"/>
      </w:r>
      <w:r>
        <w:rPr>
          <w:sz w:val="24"/>
          <w:szCs w:val="24"/>
          <w:highlight w:val="none"/>
        </w:rPr>
        <w:instrText xml:space="preserve"> PAGEREF _Toc22578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50149CA9">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_Toc14119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第十二章、 </w:t>
      </w:r>
      <w:r>
        <w:rPr>
          <w:rFonts w:hint="eastAsia" w:ascii="仿宋" w:hAnsi="仿宋" w:eastAsia="仿宋" w:cs="仿宋"/>
          <w:bCs/>
          <w:i w:val="0"/>
          <w:iCs w:val="0"/>
          <w:sz w:val="24"/>
          <w:szCs w:val="24"/>
          <w:highlight w:val="none"/>
          <w:shd w:val="clear" w:color="auto" w:fill="auto"/>
          <w:lang w:val="en-US" w:eastAsia="zh-CN"/>
        </w:rPr>
        <w:t>保险</w:t>
      </w:r>
      <w:r>
        <w:rPr>
          <w:sz w:val="24"/>
          <w:szCs w:val="24"/>
          <w:highlight w:val="none"/>
        </w:rPr>
        <w:tab/>
      </w:r>
      <w:r>
        <w:rPr>
          <w:sz w:val="24"/>
          <w:szCs w:val="24"/>
          <w:highlight w:val="none"/>
        </w:rPr>
        <w:fldChar w:fldCharType="begin"/>
      </w:r>
      <w:r>
        <w:rPr>
          <w:sz w:val="24"/>
          <w:szCs w:val="24"/>
          <w:highlight w:val="none"/>
        </w:rPr>
        <w:instrText xml:space="preserve"> PAGEREF _Toc14119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BFFC7DF">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_Toc14780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第十三章、 </w:t>
      </w:r>
      <w:r>
        <w:rPr>
          <w:rFonts w:hint="eastAsia" w:ascii="仿宋" w:hAnsi="仿宋" w:eastAsia="仿宋" w:cs="仿宋"/>
          <w:bCs/>
          <w:i w:val="0"/>
          <w:iCs w:val="0"/>
          <w:sz w:val="24"/>
          <w:szCs w:val="24"/>
          <w:highlight w:val="none"/>
          <w:shd w:val="clear" w:color="auto" w:fill="auto"/>
          <w:lang w:val="en-US" w:eastAsia="zh-CN"/>
        </w:rPr>
        <w:t>奖罚条款</w:t>
      </w:r>
      <w:r>
        <w:rPr>
          <w:sz w:val="24"/>
          <w:szCs w:val="24"/>
          <w:highlight w:val="none"/>
        </w:rPr>
        <w:tab/>
      </w:r>
      <w:r>
        <w:rPr>
          <w:sz w:val="24"/>
          <w:szCs w:val="24"/>
          <w:highlight w:val="none"/>
        </w:rPr>
        <w:fldChar w:fldCharType="begin"/>
      </w:r>
      <w:r>
        <w:rPr>
          <w:sz w:val="24"/>
          <w:szCs w:val="24"/>
          <w:highlight w:val="none"/>
        </w:rPr>
        <w:instrText xml:space="preserve"> PAGEREF _Toc14780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AD8B52D">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_Toc16465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第十四章、 </w:t>
      </w:r>
      <w:r>
        <w:rPr>
          <w:rFonts w:hint="eastAsia" w:ascii="仿宋" w:hAnsi="仿宋" w:eastAsia="仿宋" w:cs="仿宋"/>
          <w:bCs/>
          <w:i w:val="0"/>
          <w:iCs w:val="0"/>
          <w:sz w:val="24"/>
          <w:szCs w:val="24"/>
          <w:highlight w:val="none"/>
          <w:shd w:val="clear" w:color="auto" w:fill="auto"/>
          <w:lang w:val="en-US" w:eastAsia="zh-CN"/>
        </w:rPr>
        <w:t>违约条款</w:t>
      </w:r>
      <w:r>
        <w:rPr>
          <w:sz w:val="24"/>
          <w:szCs w:val="24"/>
          <w:highlight w:val="none"/>
        </w:rPr>
        <w:tab/>
      </w:r>
      <w:r>
        <w:rPr>
          <w:sz w:val="24"/>
          <w:szCs w:val="24"/>
          <w:highlight w:val="none"/>
        </w:rPr>
        <w:fldChar w:fldCharType="begin"/>
      </w:r>
      <w:r>
        <w:rPr>
          <w:sz w:val="24"/>
          <w:szCs w:val="24"/>
          <w:highlight w:val="none"/>
        </w:rPr>
        <w:instrText xml:space="preserve"> PAGEREF _Toc16465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166F726A">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_Toc31618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第十五章、 </w:t>
      </w:r>
      <w:r>
        <w:rPr>
          <w:rFonts w:hint="eastAsia" w:ascii="仿宋" w:hAnsi="仿宋" w:eastAsia="仿宋" w:cs="仿宋"/>
          <w:bCs/>
          <w:i w:val="0"/>
          <w:iCs w:val="0"/>
          <w:sz w:val="24"/>
          <w:szCs w:val="24"/>
          <w:highlight w:val="none"/>
          <w:shd w:val="clear" w:color="auto" w:fill="auto"/>
          <w:lang w:val="en-US" w:eastAsia="zh-CN"/>
        </w:rPr>
        <w:t>廉洁条款</w:t>
      </w:r>
      <w:r>
        <w:rPr>
          <w:sz w:val="24"/>
          <w:szCs w:val="24"/>
          <w:highlight w:val="none"/>
        </w:rPr>
        <w:tab/>
      </w:r>
      <w:r>
        <w:rPr>
          <w:sz w:val="24"/>
          <w:szCs w:val="24"/>
          <w:highlight w:val="none"/>
        </w:rPr>
        <w:fldChar w:fldCharType="begin"/>
      </w:r>
      <w:r>
        <w:rPr>
          <w:sz w:val="24"/>
          <w:szCs w:val="24"/>
          <w:highlight w:val="none"/>
        </w:rPr>
        <w:instrText xml:space="preserve"> PAGEREF _Toc31618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02F534B0">
      <w:pPr>
        <w:pStyle w:val="11"/>
        <w:tabs>
          <w:tab w:val="right" w:leader="middleDot" w:pos="9638"/>
        </w:tabs>
        <w:adjustRightInd w:val="0"/>
        <w:snapToGrid w:val="0"/>
        <w:spacing w:line="360" w:lineRule="auto"/>
        <w:rPr>
          <w:sz w:val="24"/>
          <w:szCs w:val="24"/>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sz w:val="24"/>
          <w:szCs w:val="24"/>
          <w:highlight w:val="none"/>
        </w:rPr>
        <w:instrText xml:space="preserve"> HYPERLINK \l _Toc15809 </w:instrText>
      </w:r>
      <w:r>
        <w:rPr>
          <w:rFonts w:hint="eastAsia" w:ascii="仿宋" w:hAnsi="仿宋" w:eastAsia="仿宋" w:cs="仿宋"/>
          <w:sz w:val="24"/>
          <w:szCs w:val="24"/>
          <w:highlight w:val="none"/>
        </w:rPr>
        <w:fldChar w:fldCharType="separate"/>
      </w:r>
      <w:r>
        <w:rPr>
          <w:rFonts w:hint="eastAsia" w:ascii="仿宋" w:hAnsi="仿宋" w:eastAsia="仿宋" w:cs="仿宋"/>
          <w:bCs/>
          <w:i w:val="0"/>
          <w:iCs w:val="0"/>
          <w:sz w:val="24"/>
          <w:szCs w:val="24"/>
          <w:highlight w:val="none"/>
          <w:shd w:val="clear" w:fill="auto"/>
          <w:lang w:val="en-US" w:eastAsia="zh-CN"/>
        </w:rPr>
        <w:t xml:space="preserve">第十六章、 </w:t>
      </w:r>
      <w:r>
        <w:rPr>
          <w:rFonts w:hint="eastAsia" w:ascii="仿宋" w:hAnsi="仿宋" w:eastAsia="仿宋" w:cs="仿宋"/>
          <w:bCs/>
          <w:i w:val="0"/>
          <w:iCs w:val="0"/>
          <w:sz w:val="24"/>
          <w:szCs w:val="24"/>
          <w:highlight w:val="none"/>
          <w:shd w:val="clear" w:color="auto" w:fill="auto"/>
          <w:lang w:val="en-US" w:eastAsia="zh-CN"/>
        </w:rPr>
        <w:t>其他</w:t>
      </w:r>
      <w:r>
        <w:rPr>
          <w:sz w:val="24"/>
          <w:szCs w:val="24"/>
          <w:highlight w:val="none"/>
        </w:rPr>
        <w:tab/>
      </w:r>
      <w:r>
        <w:rPr>
          <w:sz w:val="24"/>
          <w:szCs w:val="24"/>
          <w:highlight w:val="none"/>
        </w:rPr>
        <w:fldChar w:fldCharType="begin"/>
      </w:r>
      <w:r>
        <w:rPr>
          <w:sz w:val="24"/>
          <w:szCs w:val="24"/>
          <w:highlight w:val="none"/>
        </w:rPr>
        <w:instrText xml:space="preserve"> PAGEREF _Toc15809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仿宋" w:hAnsi="仿宋" w:eastAsia="仿宋" w:cs="仿宋"/>
          <w:color w:val="auto"/>
          <w:sz w:val="24"/>
          <w:szCs w:val="24"/>
          <w:highlight w:val="none"/>
        </w:rPr>
        <w:fldChar w:fldCharType="end"/>
      </w:r>
    </w:p>
    <w:p w14:paraId="448EDCEB">
      <w:pPr>
        <w:pStyle w:val="10"/>
        <w:tabs>
          <w:tab w:val="right" w:leader="middleDot" w:pos="9638"/>
        </w:tabs>
        <w:rPr>
          <w:highlight w:val="none"/>
        </w:rPr>
        <w:sectPr>
          <w:footerReference r:id="rId5" w:type="default"/>
          <w:pgSz w:w="11906" w:h="16839"/>
          <w:pgMar w:top="1361" w:right="1134" w:bottom="1247" w:left="1134" w:header="0" w:footer="0" w:gutter="0"/>
          <w:pgNumType w:fmt="decimal" w:start="1"/>
          <w:cols w:space="720" w:num="1"/>
        </w:sectPr>
      </w:pPr>
    </w:p>
    <w:p w14:paraId="1E033812">
      <w:pPr>
        <w:rPr>
          <w:highlight w:val="none"/>
        </w:rPr>
      </w:pPr>
    </w:p>
    <w:p w14:paraId="4024AFD5">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right="0" w:rightChars="0" w:firstLine="420"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r>
        <w:rPr>
          <w:rFonts w:hint="eastAsia" w:ascii="仿宋" w:hAnsi="仿宋" w:eastAsia="仿宋" w:cs="仿宋"/>
          <w:color w:val="auto"/>
          <w:highlight w:val="none"/>
        </w:rPr>
        <w:fldChar w:fldCharType="end"/>
      </w:r>
      <w:bookmarkStart w:id="46" w:name="_Toc20907"/>
      <w:bookmarkStart w:id="47" w:name="_Toc30185"/>
      <w:r>
        <w:rPr>
          <w:rFonts w:hint="eastAsia" w:ascii="仿宋" w:hAnsi="仿宋" w:eastAsia="仿宋" w:cs="仿宋"/>
          <w:b/>
          <w:bCs/>
          <w:i w:val="0"/>
          <w:iCs w:val="0"/>
          <w:color w:val="auto"/>
          <w:kern w:val="0"/>
          <w:sz w:val="28"/>
          <w:szCs w:val="28"/>
          <w:highlight w:val="none"/>
          <w:u w:val="none"/>
          <w:shd w:val="clear" w:color="auto" w:fill="auto"/>
          <w:lang w:val="en-US" w:eastAsia="zh-CN"/>
        </w:rPr>
        <w:t>合同专用条款</w:t>
      </w:r>
      <w:bookmarkEnd w:id="45"/>
      <w:bookmarkEnd w:id="46"/>
      <w:bookmarkEnd w:id="47"/>
    </w:p>
    <w:p w14:paraId="7F368EA5">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shd w:val="clear" w:color="auto" w:fill="auto"/>
        </w:rPr>
        <w:t>根据《中华人民共和国民法典》《中华人民共和国建筑法》《建设工程质量管理条例》及有关</w:t>
      </w:r>
      <w:r>
        <w:rPr>
          <w:rFonts w:hint="eastAsia" w:ascii="仿宋" w:hAnsi="仿宋" w:eastAsia="仿宋" w:cs="仿宋"/>
          <w:i w:val="0"/>
          <w:iCs w:val="0"/>
          <w:color w:val="auto"/>
          <w:kern w:val="0"/>
          <w:sz w:val="28"/>
          <w:szCs w:val="28"/>
          <w:highlight w:val="none"/>
          <w:shd w:val="clear" w:color="auto" w:fill="auto"/>
          <w:lang w:eastAsia="zh-CN"/>
        </w:rPr>
        <w:t>法律法规</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在乙方确认并承诺自身满足本项目所在地住建主管部门的资质要求的前提下，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甲乙双方在平等、自愿、公平和诚实信用的基础上，就乙方承包</w:t>
      </w:r>
      <w:r>
        <w:rPr>
          <w:rFonts w:hint="eastAsia" w:ascii="仿宋" w:hAnsi="仿宋" w:eastAsia="仿宋" w:cs="仿宋"/>
          <w:i w:val="0"/>
          <w:iCs w:val="0"/>
          <w:color w:val="auto"/>
          <w:sz w:val="28"/>
          <w:szCs w:val="28"/>
          <w:highlight w:val="none"/>
          <w:u w:val="single"/>
          <w:shd w:val="clear" w:color="auto" w:fill="auto"/>
          <w:lang w:eastAsia="zh-CN"/>
        </w:rPr>
        <w:t>玉林（福绵）节能环保产业园南部工业供水厂建设项目（二期5万吨/天）土方工程</w:t>
      </w:r>
      <w:r>
        <w:rPr>
          <w:rFonts w:hint="eastAsia" w:ascii="仿宋" w:hAnsi="仿宋" w:eastAsia="仿宋" w:cs="仿宋"/>
          <w:i w:val="0"/>
          <w:iCs w:val="0"/>
          <w:color w:val="auto"/>
          <w:kern w:val="0"/>
          <w:sz w:val="28"/>
          <w:szCs w:val="28"/>
          <w:highlight w:val="none"/>
          <w:shd w:val="clear" w:color="auto" w:fill="auto"/>
        </w:rPr>
        <w:t>（以下简称“</w:t>
      </w:r>
      <w:r>
        <w:rPr>
          <w:rFonts w:hint="eastAsia" w:ascii="仿宋" w:hAnsi="仿宋" w:eastAsia="仿宋" w:cs="仿宋"/>
          <w:i w:val="0"/>
          <w:iCs w:val="0"/>
          <w:color w:val="auto"/>
          <w:kern w:val="0"/>
          <w:sz w:val="28"/>
          <w:szCs w:val="28"/>
          <w:highlight w:val="none"/>
          <w:shd w:val="clear" w:color="auto" w:fill="auto"/>
          <w:lang w:eastAsia="zh-CN"/>
        </w:rPr>
        <w:t>本</w:t>
      </w:r>
      <w:r>
        <w:rPr>
          <w:rFonts w:hint="eastAsia" w:ascii="仿宋" w:hAnsi="仿宋" w:eastAsia="仿宋" w:cs="仿宋"/>
          <w:i w:val="0"/>
          <w:iCs w:val="0"/>
          <w:color w:val="auto"/>
          <w:kern w:val="0"/>
          <w:sz w:val="28"/>
          <w:szCs w:val="28"/>
          <w:highlight w:val="none"/>
          <w:shd w:val="clear" w:color="auto" w:fill="auto"/>
          <w:lang w:val="en-US" w:eastAsia="zh-CN"/>
        </w:rPr>
        <w:t>工程</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的</w:t>
      </w:r>
      <w:r>
        <w:rPr>
          <w:rFonts w:hint="eastAsia" w:ascii="仿宋" w:hAnsi="仿宋" w:eastAsia="仿宋" w:cs="仿宋"/>
          <w:i w:val="0"/>
          <w:iCs w:val="0"/>
          <w:color w:val="auto"/>
          <w:kern w:val="0"/>
          <w:sz w:val="28"/>
          <w:szCs w:val="28"/>
          <w:highlight w:val="none"/>
          <w:shd w:val="clear" w:color="auto" w:fill="auto"/>
        </w:rPr>
        <w:t>有关事项协商一致，特签订本合同以共同遵守。</w:t>
      </w:r>
      <w:r>
        <w:rPr>
          <w:rFonts w:hint="eastAsia" w:ascii="仿宋" w:hAnsi="仿宋" w:eastAsia="仿宋" w:cs="仿宋"/>
          <w:i w:val="0"/>
          <w:iCs w:val="0"/>
          <w:color w:val="auto"/>
          <w:kern w:val="0"/>
          <w:sz w:val="28"/>
          <w:szCs w:val="28"/>
          <w:highlight w:val="none"/>
          <w:shd w:val="clear" w:color="auto" w:fill="auto"/>
          <w:lang w:eastAsia="zh-CN"/>
        </w:rPr>
        <w:t>（</w:t>
      </w:r>
      <w:r>
        <w:rPr>
          <w:rFonts w:hint="eastAsia" w:ascii="仿宋" w:hAnsi="仿宋" w:eastAsia="仿宋" w:cs="仿宋"/>
          <w:i w:val="0"/>
          <w:iCs w:val="0"/>
          <w:color w:val="auto"/>
          <w:kern w:val="0"/>
          <w:sz w:val="28"/>
          <w:szCs w:val="28"/>
          <w:highlight w:val="none"/>
          <w:shd w:val="clear" w:color="auto" w:fill="auto"/>
          <w:lang w:val="en-US" w:eastAsia="zh-CN"/>
        </w:rPr>
        <w:t>本合同范围内，对以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A3"/>
      </w:r>
      <w:r>
        <w:rPr>
          <w:rFonts w:hint="eastAsia" w:ascii="仿宋" w:hAnsi="仿宋" w:eastAsia="仿宋" w:cs="仿宋"/>
          <w:i w:val="0"/>
          <w:iCs w:val="0"/>
          <w:color w:val="auto"/>
          <w:kern w:val="0"/>
          <w:sz w:val="28"/>
          <w:szCs w:val="28"/>
          <w:highlight w:val="none"/>
          <w:shd w:val="clear" w:color="auto" w:fill="auto"/>
          <w:lang w:val="en-US" w:eastAsia="zh-CN"/>
        </w:rPr>
        <w:t>或</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开头的内容，以</w:t>
      </w:r>
      <w:r>
        <w:rPr>
          <w:rFonts w:hint="eastAsia" w:ascii="仿宋" w:hAnsi="仿宋" w:eastAsia="仿宋" w:cs="仿宋"/>
          <w:i w:val="0"/>
          <w:iCs w:val="0"/>
          <w:color w:val="auto"/>
          <w:kern w:val="0"/>
          <w:sz w:val="28"/>
          <w:szCs w:val="28"/>
          <w:highlight w:val="none"/>
          <w:shd w:val="clear" w:color="auto" w:fill="auto"/>
          <w:lang w:val="en-US" w:eastAsia="zh-CN"/>
        </w:rPr>
        <w:sym w:font="Wingdings 2" w:char="0052"/>
      </w:r>
      <w:r>
        <w:rPr>
          <w:rFonts w:hint="eastAsia" w:ascii="仿宋" w:hAnsi="仿宋" w:eastAsia="仿宋" w:cs="仿宋"/>
          <w:i w:val="0"/>
          <w:iCs w:val="0"/>
          <w:color w:val="auto"/>
          <w:kern w:val="0"/>
          <w:sz w:val="28"/>
          <w:szCs w:val="28"/>
          <w:highlight w:val="none"/>
          <w:shd w:val="clear" w:color="auto" w:fill="auto"/>
          <w:lang w:val="en-US" w:eastAsia="zh-CN"/>
        </w:rPr>
        <w:t>开头的内容为准。</w:t>
      </w:r>
      <w:r>
        <w:rPr>
          <w:rFonts w:hint="eastAsia" w:ascii="仿宋" w:hAnsi="仿宋" w:eastAsia="仿宋" w:cs="仿宋"/>
          <w:i w:val="0"/>
          <w:iCs w:val="0"/>
          <w:color w:val="auto"/>
          <w:kern w:val="0"/>
          <w:sz w:val="28"/>
          <w:szCs w:val="28"/>
          <w:highlight w:val="none"/>
          <w:shd w:val="clear" w:color="auto" w:fill="auto"/>
          <w:lang w:eastAsia="zh-CN"/>
        </w:rPr>
        <w:t>）</w:t>
      </w:r>
    </w:p>
    <w:p w14:paraId="6308C267">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rPr>
      </w:pPr>
      <w:bookmarkStart w:id="48" w:name="_Toc7986"/>
      <w:bookmarkStart w:id="49" w:name="_Toc13008"/>
      <w:bookmarkStart w:id="50" w:name="_Toc26146"/>
      <w:bookmarkStart w:id="51" w:name="_Toc1208"/>
      <w:r>
        <w:rPr>
          <w:rFonts w:hint="eastAsia" w:ascii="仿宋" w:hAnsi="仿宋" w:eastAsia="仿宋" w:cs="仿宋"/>
          <w:b/>
          <w:bCs/>
          <w:i w:val="0"/>
          <w:iCs w:val="0"/>
          <w:color w:val="auto"/>
          <w:sz w:val="28"/>
          <w:szCs w:val="28"/>
          <w:highlight w:val="none"/>
          <w:shd w:val="clear" w:color="auto" w:fill="auto"/>
        </w:rPr>
        <w:t>项目概况</w:t>
      </w:r>
      <w:bookmarkEnd w:id="48"/>
      <w:bookmarkEnd w:id="49"/>
    </w:p>
    <w:p w14:paraId="47D4CEF7">
      <w:pPr>
        <w:keepNext w:val="0"/>
        <w:keepLines w:val="0"/>
        <w:pageBreakBefore w:val="0"/>
        <w:widowControl w:val="0"/>
        <w:kinsoku/>
        <w:wordWrap/>
        <w:overflowPunct/>
        <w:topLinePunct w:val="0"/>
        <w:autoSpaceDE/>
        <w:autoSpaceDN/>
        <w:bidi w:val="0"/>
        <w:adjustRightInd w:val="0"/>
        <w:snapToGrid w:val="0"/>
        <w:spacing w:line="360" w:lineRule="auto"/>
        <w:ind w:left="105" w:leftChars="50" w:right="0" w:rightChars="0" w:firstLine="560" w:firstLineChars="200"/>
        <w:rPr>
          <w:rFonts w:hint="eastAsia" w:ascii="仿宋" w:hAnsi="仿宋" w:eastAsia="仿宋" w:cs="仿宋"/>
          <w:i w:val="0"/>
          <w:iCs w:val="0"/>
          <w:color w:val="auto"/>
          <w:sz w:val="28"/>
          <w:szCs w:val="28"/>
          <w:highlight w:val="none"/>
          <w:u w:val="single"/>
          <w:shd w:val="clear" w:color="auto" w:fill="auto"/>
          <w:lang w:eastAsia="zh-CN"/>
        </w:rPr>
      </w:pPr>
      <w:r>
        <w:rPr>
          <w:rFonts w:hint="eastAsia" w:ascii="仿宋" w:hAnsi="仿宋" w:eastAsia="仿宋" w:cs="仿宋"/>
          <w:i w:val="0"/>
          <w:iCs w:val="0"/>
          <w:color w:val="auto"/>
          <w:sz w:val="28"/>
          <w:szCs w:val="28"/>
          <w:highlight w:val="none"/>
          <w:shd w:val="clear" w:color="auto" w:fill="auto"/>
        </w:rPr>
        <w:t>1.1项目名称：</w:t>
      </w:r>
      <w:r>
        <w:rPr>
          <w:rFonts w:hint="eastAsia" w:ascii="仿宋" w:hAnsi="仿宋" w:eastAsia="仿宋" w:cs="仿宋"/>
          <w:i w:val="0"/>
          <w:iCs w:val="0"/>
          <w:color w:val="auto"/>
          <w:sz w:val="28"/>
          <w:szCs w:val="28"/>
          <w:highlight w:val="none"/>
          <w:u w:val="single"/>
          <w:shd w:val="clear" w:color="auto" w:fill="auto"/>
          <w:lang w:val="en-US" w:eastAsia="zh-CN"/>
        </w:rPr>
        <w:t>玉林（福绵）节能环保产业园南部工业供水厂建设项目（二期5万吨/天）</w:t>
      </w:r>
      <w:r>
        <w:rPr>
          <w:rFonts w:hint="eastAsia" w:ascii="仿宋" w:hAnsi="仿宋" w:eastAsia="仿宋" w:cs="仿宋"/>
          <w:i w:val="0"/>
          <w:iCs w:val="0"/>
          <w:color w:val="auto"/>
          <w:kern w:val="0"/>
          <w:sz w:val="28"/>
          <w:szCs w:val="28"/>
          <w:highlight w:val="none"/>
          <w:u w:val="single"/>
          <w:shd w:val="clear" w:color="auto" w:fill="auto"/>
        </w:rPr>
        <w:t>（</w:t>
      </w:r>
      <w:r>
        <w:rPr>
          <w:rFonts w:hint="eastAsia" w:ascii="仿宋" w:hAnsi="仿宋" w:eastAsia="仿宋" w:cs="仿宋"/>
          <w:i w:val="0"/>
          <w:iCs w:val="0"/>
          <w:color w:val="auto"/>
          <w:kern w:val="0"/>
          <w:sz w:val="28"/>
          <w:szCs w:val="28"/>
          <w:highlight w:val="none"/>
          <w:u w:val="single"/>
          <w:shd w:val="clear" w:color="auto" w:fill="auto"/>
          <w:lang w:eastAsia="zh-CN"/>
        </w:rPr>
        <w:t>全文</w:t>
      </w:r>
      <w:r>
        <w:rPr>
          <w:rFonts w:hint="eastAsia" w:ascii="仿宋" w:hAnsi="仿宋" w:eastAsia="仿宋" w:cs="仿宋"/>
          <w:i w:val="0"/>
          <w:iCs w:val="0"/>
          <w:color w:val="auto"/>
          <w:kern w:val="0"/>
          <w:sz w:val="28"/>
          <w:szCs w:val="28"/>
          <w:highlight w:val="none"/>
          <w:u w:val="single"/>
          <w:shd w:val="clear" w:color="auto" w:fill="auto"/>
        </w:rPr>
        <w:t>简称“</w:t>
      </w:r>
      <w:r>
        <w:rPr>
          <w:rFonts w:hint="eastAsia" w:ascii="仿宋" w:hAnsi="仿宋" w:eastAsia="仿宋" w:cs="仿宋"/>
          <w:i w:val="0"/>
          <w:iCs w:val="0"/>
          <w:color w:val="auto"/>
          <w:kern w:val="0"/>
          <w:sz w:val="28"/>
          <w:szCs w:val="28"/>
          <w:highlight w:val="none"/>
          <w:u w:val="single"/>
          <w:shd w:val="clear" w:color="auto" w:fill="auto"/>
          <w:lang w:eastAsia="zh-CN"/>
        </w:rPr>
        <w:t>本</w:t>
      </w:r>
      <w:r>
        <w:rPr>
          <w:rFonts w:hint="eastAsia" w:ascii="仿宋" w:hAnsi="仿宋" w:eastAsia="仿宋" w:cs="仿宋"/>
          <w:i w:val="0"/>
          <w:iCs w:val="0"/>
          <w:color w:val="auto"/>
          <w:kern w:val="0"/>
          <w:sz w:val="28"/>
          <w:szCs w:val="28"/>
          <w:highlight w:val="none"/>
          <w:u w:val="single"/>
          <w:shd w:val="clear" w:color="auto" w:fill="auto"/>
          <w:lang w:val="en-US" w:eastAsia="zh-CN"/>
        </w:rPr>
        <w:t>项目</w:t>
      </w:r>
      <w:r>
        <w:rPr>
          <w:rFonts w:hint="eastAsia" w:ascii="仿宋" w:hAnsi="仿宋" w:eastAsia="仿宋" w:cs="仿宋"/>
          <w:i w:val="0"/>
          <w:iCs w:val="0"/>
          <w:color w:val="auto"/>
          <w:kern w:val="0"/>
          <w:sz w:val="28"/>
          <w:szCs w:val="28"/>
          <w:highlight w:val="none"/>
          <w:u w:val="single"/>
          <w:shd w:val="clear" w:color="auto" w:fill="auto"/>
        </w:rPr>
        <w:t>”</w:t>
      </w:r>
      <w:r>
        <w:rPr>
          <w:rFonts w:hint="eastAsia" w:ascii="仿宋" w:hAnsi="仿宋" w:eastAsia="仿宋" w:cs="仿宋"/>
          <w:i w:val="0"/>
          <w:iCs w:val="0"/>
          <w:color w:val="auto"/>
          <w:kern w:val="0"/>
          <w:sz w:val="28"/>
          <w:szCs w:val="28"/>
          <w:highlight w:val="none"/>
          <w:shd w:val="clear" w:color="auto" w:fill="auto"/>
        </w:rPr>
        <w:t>）</w:t>
      </w:r>
    </w:p>
    <w:p w14:paraId="3F98A55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shd w:val="clear" w:color="auto" w:fill="auto"/>
        </w:rPr>
        <w:t>1.2项目地址：</w:t>
      </w:r>
      <w:r>
        <w:rPr>
          <w:rFonts w:hint="eastAsia" w:ascii="仿宋" w:hAnsi="仿宋" w:eastAsia="仿宋" w:cs="仿宋"/>
          <w:i w:val="0"/>
          <w:iCs w:val="0"/>
          <w:color w:val="auto"/>
          <w:sz w:val="28"/>
          <w:szCs w:val="28"/>
          <w:highlight w:val="none"/>
          <w:u w:val="single"/>
          <w:shd w:val="clear" w:color="auto" w:fill="auto"/>
          <w:lang w:val="en-US" w:eastAsia="zh-CN"/>
        </w:rPr>
        <w:t>玉林市福绵区樟木镇村</w:t>
      </w:r>
      <w:r>
        <w:rPr>
          <w:rFonts w:hint="eastAsia" w:ascii="仿宋" w:hAnsi="仿宋" w:eastAsia="仿宋" w:cs="仿宋"/>
          <w:i w:val="0"/>
          <w:iCs w:val="0"/>
          <w:color w:val="auto"/>
          <w:sz w:val="28"/>
          <w:szCs w:val="28"/>
          <w:highlight w:val="none"/>
          <w:u w:val="single"/>
          <w:shd w:val="clear" w:color="auto" w:fill="auto"/>
          <w:lang w:eastAsia="zh-CN"/>
        </w:rPr>
        <w:t>节能环保产业园</w:t>
      </w:r>
      <w:r>
        <w:rPr>
          <w:rFonts w:hint="eastAsia" w:ascii="仿宋" w:hAnsi="仿宋" w:eastAsia="仿宋" w:cs="仿宋"/>
          <w:i w:val="0"/>
          <w:iCs w:val="0"/>
          <w:color w:val="auto"/>
          <w:sz w:val="28"/>
          <w:szCs w:val="28"/>
          <w:highlight w:val="none"/>
          <w:u w:val="single"/>
          <w:shd w:val="clear" w:color="auto" w:fill="auto"/>
          <w:lang w:val="en-US" w:eastAsia="zh-CN"/>
        </w:rPr>
        <w:t>横七路。</w:t>
      </w:r>
    </w:p>
    <w:p w14:paraId="7E3BA8F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1.3甲方提供的本工程施工条件、界面及主要设施：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乙方施工期间可使用甲方现场既有设施(含施工电源、水源)，甲方不另提供其他设施。本工程施工的水费电费由甲方承担(水电接线由乙方负责)。乙方人员在项目现场的生活电费由乙方承担</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w:t>
      </w:r>
    </w:p>
    <w:p w14:paraId="1B39C662">
      <w:pPr>
        <w:pStyle w:val="14"/>
        <w:ind w:left="0" w:leftChars="0" w:firstLine="560"/>
        <w:rPr>
          <w:rFonts w:hint="default"/>
          <w:lang w:val="en-US"/>
        </w:rPr>
      </w:pPr>
      <w:r>
        <w:rPr>
          <w:rFonts w:hint="eastAsia" w:ascii="仿宋" w:hAnsi="仿宋" w:eastAsia="仿宋" w:cs="仿宋"/>
          <w:i w:val="0"/>
          <w:iCs w:val="0"/>
          <w:color w:val="auto"/>
          <w:sz w:val="28"/>
          <w:szCs w:val="28"/>
          <w:highlight w:val="none"/>
          <w:u w:val="none"/>
          <w:shd w:val="clear" w:color="auto" w:fill="auto"/>
          <w:lang w:val="en-US" w:eastAsia="zh-CN"/>
        </w:rPr>
        <w:t>1.4甲供材：</w:t>
      </w:r>
      <w:r>
        <w:rPr>
          <w:rFonts w:hint="eastAsia" w:ascii="仿宋" w:hAnsi="仿宋" w:eastAsia="仿宋" w:cs="仿宋"/>
          <w:i w:val="0"/>
          <w:iCs w:val="0"/>
          <w:color w:val="auto"/>
          <w:sz w:val="28"/>
          <w:szCs w:val="28"/>
          <w:highlight w:val="none"/>
          <w:u w:val="single"/>
          <w:shd w:val="clear" w:color="auto" w:fill="auto"/>
          <w:lang w:val="en-US" w:eastAsia="zh-CN"/>
        </w:rPr>
        <w:t>无。</w:t>
      </w:r>
    </w:p>
    <w:bookmarkEnd w:id="50"/>
    <w:bookmarkEnd w:id="51"/>
    <w:p w14:paraId="4566030F">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2" w:name="_Toc6204"/>
      <w:bookmarkStart w:id="53" w:name="_Toc20796"/>
      <w:r>
        <w:rPr>
          <w:rFonts w:hint="eastAsia" w:ascii="仿宋" w:hAnsi="仿宋" w:eastAsia="仿宋" w:cs="仿宋"/>
          <w:b/>
          <w:bCs/>
          <w:i w:val="0"/>
          <w:iCs w:val="0"/>
          <w:color w:val="auto"/>
          <w:sz w:val="28"/>
          <w:szCs w:val="28"/>
          <w:highlight w:val="none"/>
          <w:shd w:val="clear" w:color="auto" w:fill="auto"/>
          <w:lang w:val="en-US" w:eastAsia="zh-CN"/>
        </w:rPr>
        <w:t>承包方式</w:t>
      </w:r>
      <w:bookmarkEnd w:id="52"/>
      <w:bookmarkEnd w:id="53"/>
    </w:p>
    <w:p w14:paraId="0DF87DA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2.1乙方对本工程</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u w:val="none"/>
          <w:shd w:val="clear" w:color="auto" w:fill="auto"/>
          <w:lang w:val="en-US" w:eastAsia="zh-CN"/>
        </w:rPr>
        <w:t>包工包料包机械/</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u w:val="none"/>
          <w:shd w:val="clear" w:color="auto" w:fill="auto"/>
          <w:lang w:val="en-US" w:eastAsia="zh-CN"/>
        </w:rPr>
        <w:t>包工包部分材料（仅不含甲供材）/</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u w:val="none"/>
          <w:shd w:val="clear" w:color="auto" w:fill="auto"/>
          <w:lang w:val="en-US" w:eastAsia="zh-CN"/>
        </w:rPr>
        <w:t>包工</w:t>
      </w:r>
      <w:r>
        <w:rPr>
          <w:rFonts w:hint="eastAsia" w:ascii="仿宋" w:hAnsi="仿宋" w:eastAsia="仿宋" w:cs="仿宋"/>
          <w:b w:val="0"/>
          <w:bCs w:val="0"/>
          <w:i w:val="0"/>
          <w:iCs w:val="0"/>
          <w:color w:val="auto"/>
          <w:sz w:val="28"/>
          <w:szCs w:val="28"/>
          <w:highlight w:val="none"/>
          <w:shd w:val="clear" w:color="auto" w:fill="auto"/>
          <w:lang w:val="en-US" w:eastAsia="zh-CN"/>
        </w:rPr>
        <w:t>。包洗车费、包质量、包安全与文明施工、包进度、包相关施工措施、包验收合格、包场地清理、包大门外路面清理、包管理费与利润、包成品保护、包市场价格波动风险、包大门外与各政府乡镇、社区、村委的各种关系协商、包不可抗力以外的所有风险及其他一切可预见或不可预见因素等全包方式将本工程分包给乙方。乙方负责协调、处理本工程涉及的各类关系（包括但不限于政府主管部门、周边居民等关系），确保进退场及施工过程中合法、合规、不扰民，相关费用已包含在合同单价内，不另行计取。</w:t>
      </w:r>
    </w:p>
    <w:p w14:paraId="51D3182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2.2本工程竣工图由</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color w:val="auto"/>
          <w:sz w:val="28"/>
          <w:szCs w:val="28"/>
          <w:highlight w:val="none"/>
          <w:lang w:val="en-US" w:eastAsia="zh-CN"/>
        </w:rPr>
        <w:t>甲方绘制/</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color w:val="auto"/>
          <w:sz w:val="28"/>
          <w:szCs w:val="28"/>
          <w:highlight w:val="none"/>
          <w:lang w:val="en-US" w:eastAsia="zh-CN"/>
        </w:rPr>
        <w:t>乙方绘制。</w:t>
      </w:r>
    </w:p>
    <w:p w14:paraId="435567D3">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54" w:name="_Toc9670"/>
      <w:bookmarkStart w:id="55" w:name="_Toc9456"/>
      <w:bookmarkStart w:id="56" w:name="_Toc16326"/>
      <w:bookmarkStart w:id="57" w:name="_Toc27213"/>
      <w:r>
        <w:rPr>
          <w:rFonts w:hint="eastAsia" w:ascii="仿宋" w:hAnsi="仿宋" w:eastAsia="仿宋" w:cs="仿宋"/>
          <w:b/>
          <w:bCs/>
          <w:i w:val="0"/>
          <w:iCs w:val="0"/>
          <w:color w:val="auto"/>
          <w:sz w:val="28"/>
          <w:szCs w:val="28"/>
          <w:highlight w:val="none"/>
          <w:shd w:val="clear" w:color="auto" w:fill="auto"/>
          <w:lang w:val="en-US" w:eastAsia="zh-CN"/>
        </w:rPr>
        <w:t>承包范围及主要工程内容</w:t>
      </w:r>
      <w:bookmarkEnd w:id="54"/>
      <w:bookmarkEnd w:id="55"/>
      <w:bookmarkEnd w:id="56"/>
      <w:bookmarkEnd w:id="57"/>
    </w:p>
    <w:p w14:paraId="6BFD924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本项目及所辖范围包括用地红线范围内及本工程图纸（即甲方确认的本工程施工图）内的全部土方工程由乙方施工（具体施工范围按甲方要求），过程中产生的全部人员报酬、材料（本合同约定的甲供材除外）、机具、施工管理等由乙方解决。</w:t>
      </w:r>
    </w:p>
    <w:p w14:paraId="30B228EA">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3.2</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提供</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图纸</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清单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所含内容由乙方施工，本合同另有约定的除外</w:t>
      </w:r>
      <w:r>
        <w:rPr>
          <w:rFonts w:hint="eastAsia" w:ascii="仿宋_GB2312" w:hAnsi="仿宋_GB2312" w:eastAsia="仿宋_GB2312" w:cs="仿宋_GB2312"/>
          <w:b w:val="0"/>
          <w:bCs w:val="0"/>
          <w:i w:val="0"/>
          <w:iCs w:val="0"/>
          <w:color w:val="auto"/>
          <w:sz w:val="28"/>
          <w:szCs w:val="28"/>
          <w:highlight w:val="none"/>
          <w:shd w:val="clear" w:color="auto" w:fill="auto"/>
        </w:rPr>
        <w:t>。甲方有权调整乙方的承包范围及内容，乙方不得以任何理由拒绝</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否则甲方有权单方解除合同。</w:t>
      </w:r>
    </w:p>
    <w:p w14:paraId="6F3F4673">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highlight w:val="none"/>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3.3</w:t>
      </w:r>
      <w:r>
        <w:rPr>
          <w:rFonts w:hint="eastAsia" w:ascii="仿宋_GB2312" w:hAnsi="仿宋_GB2312" w:eastAsia="仿宋_GB2312" w:cs="仿宋_GB2312"/>
          <w:b w:val="0"/>
          <w:bCs w:val="0"/>
          <w:i w:val="0"/>
          <w:iCs w:val="0"/>
          <w:color w:val="auto"/>
          <w:sz w:val="28"/>
          <w:szCs w:val="28"/>
          <w:highlight w:val="none"/>
          <w:shd w:val="clear" w:color="auto" w:fill="auto"/>
        </w:rPr>
        <w:t>乙方施工前，</w:t>
      </w:r>
      <w:r>
        <w:rPr>
          <w:rFonts w:hint="eastAsia" w:ascii="仿宋_GB2312" w:hAnsi="仿宋_GB2312" w:eastAsia="仿宋_GB2312" w:cs="仿宋_GB2312"/>
          <w:b w:val="0"/>
          <w:bCs w:val="0"/>
          <w:i w:val="0"/>
          <w:iCs w:val="0"/>
          <w:color w:val="auto"/>
          <w:sz w:val="28"/>
          <w:szCs w:val="28"/>
          <w:highlight w:val="none"/>
          <w:shd w:val="clear" w:color="auto" w:fill="auto"/>
          <w:lang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组织</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建设单位</w:t>
      </w:r>
      <w:r>
        <w:rPr>
          <w:rFonts w:hint="eastAsia" w:ascii="仿宋_GB2312" w:hAnsi="仿宋_GB2312" w:eastAsia="仿宋_GB2312" w:cs="仿宋_GB2312"/>
          <w:b w:val="0"/>
          <w:bCs w:val="0"/>
          <w:i w:val="0"/>
          <w:iCs w:val="0"/>
          <w:color w:val="auto"/>
          <w:sz w:val="28"/>
          <w:szCs w:val="28"/>
          <w:highlight w:val="none"/>
          <w:shd w:val="clear" w:color="auto" w:fill="auto"/>
        </w:rPr>
        <w:t>、监理单位以及</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共同对本工程的</w:t>
      </w:r>
      <w:r>
        <w:rPr>
          <w:rFonts w:hint="eastAsia" w:ascii="仿宋_GB2312" w:hAnsi="仿宋_GB2312" w:eastAsia="仿宋_GB2312" w:cs="仿宋_GB2312"/>
          <w:b w:val="0"/>
          <w:bCs w:val="0"/>
          <w:i w:val="0"/>
          <w:iCs w:val="0"/>
          <w:color w:val="auto"/>
          <w:sz w:val="28"/>
          <w:szCs w:val="28"/>
          <w:highlight w:val="none"/>
          <w:shd w:val="clear" w:color="auto" w:fill="auto"/>
          <w:lang w:eastAsia="zh-CN"/>
        </w:rPr>
        <w:t>原始地貌进行细部测量，并绘制土方网格图。</w:t>
      </w:r>
      <w:r>
        <w:rPr>
          <w:rFonts w:hint="eastAsia" w:ascii="仿宋_GB2312" w:hAnsi="仿宋_GB2312" w:eastAsia="仿宋_GB2312" w:cs="仿宋_GB2312"/>
          <w:b w:val="0"/>
          <w:bCs w:val="0"/>
          <w:i w:val="0"/>
          <w:iCs w:val="0"/>
          <w:color w:val="auto"/>
          <w:sz w:val="28"/>
          <w:szCs w:val="28"/>
          <w:highlight w:val="none"/>
          <w:shd w:val="clear" w:color="auto" w:fill="auto"/>
        </w:rPr>
        <w:t>测量完成后，参与测量的单位及相关人员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须</w:t>
      </w:r>
      <w:r>
        <w:rPr>
          <w:rFonts w:hint="eastAsia" w:ascii="仿宋_GB2312" w:hAnsi="仿宋_GB2312" w:eastAsia="仿宋_GB2312" w:cs="仿宋_GB2312"/>
          <w:b w:val="0"/>
          <w:bCs w:val="0"/>
          <w:i w:val="0"/>
          <w:iCs w:val="0"/>
          <w:color w:val="auto"/>
          <w:sz w:val="28"/>
          <w:szCs w:val="28"/>
          <w:highlight w:val="none"/>
          <w:shd w:val="clear" w:color="auto" w:fill="auto"/>
        </w:rPr>
        <w:t>签名确认，此签名确认后的土方网格图作为</w:t>
      </w:r>
      <w:r>
        <w:rPr>
          <w:rFonts w:hint="eastAsia" w:ascii="仿宋_GB2312" w:hAnsi="仿宋_GB2312" w:eastAsia="仿宋_GB2312" w:cs="仿宋_GB2312"/>
          <w:b w:val="0"/>
          <w:bCs w:val="0"/>
          <w:i w:val="0"/>
          <w:iCs w:val="0"/>
          <w:color w:val="auto"/>
          <w:sz w:val="28"/>
          <w:szCs w:val="28"/>
          <w:highlight w:val="none"/>
          <w:shd w:val="clear" w:color="auto" w:fill="auto"/>
          <w:lang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与</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结算</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的重要依据</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之一。</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乙方施工前</w:t>
      </w:r>
      <w:r>
        <w:rPr>
          <w:rFonts w:hint="eastAsia" w:ascii="仿宋_GB2312" w:hAnsi="仿宋_GB2312" w:eastAsia="仿宋_GB2312" w:cs="仿宋_GB2312"/>
          <w:b w:val="0"/>
          <w:bCs w:val="0"/>
          <w:i w:val="0"/>
          <w:iCs w:val="0"/>
          <w:color w:val="auto"/>
          <w:sz w:val="28"/>
          <w:szCs w:val="28"/>
          <w:highlight w:val="none"/>
          <w:shd w:val="clear" w:color="auto" w:fill="auto"/>
        </w:rPr>
        <w:t>须对甲方（或其他施工单位）交付</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方施工的界面进行检查，判定是否适于进行施工，如不适于，须书面告知甲方原因并按甲方的决定办理；如乙方不检查（或不书面提出）即施工的，视乙方认为适于施工并作为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w:t>
      </w:r>
      <w:r>
        <w:rPr>
          <w:rFonts w:hint="eastAsia" w:ascii="仿宋_GB2312" w:hAnsi="仿宋_GB2312" w:eastAsia="仿宋_GB2312" w:cs="仿宋_GB2312"/>
          <w:b w:val="0"/>
          <w:bCs w:val="0"/>
          <w:i w:val="0"/>
          <w:iCs w:val="0"/>
          <w:color w:val="auto"/>
          <w:sz w:val="28"/>
          <w:szCs w:val="28"/>
          <w:highlight w:val="none"/>
          <w:shd w:val="clear" w:color="auto" w:fill="auto"/>
        </w:rPr>
        <w:t>方施工前提，因该界面导致乙方施工内容不符合合同要求的，乙方自费返工至符合合同要求且不向甲方（或其他施工单位）索赔。</w:t>
      </w:r>
    </w:p>
    <w:p w14:paraId="0515776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rPr>
        <w:t>乙方</w:t>
      </w:r>
      <w:r>
        <w:rPr>
          <w:rFonts w:hint="eastAsia" w:ascii="仿宋" w:hAnsi="仿宋" w:eastAsia="仿宋" w:cs="仿宋"/>
          <w:b w:val="0"/>
          <w:bCs w:val="0"/>
          <w:i w:val="0"/>
          <w:iCs w:val="0"/>
          <w:color w:val="auto"/>
          <w:sz w:val="28"/>
          <w:szCs w:val="28"/>
          <w:highlight w:val="none"/>
          <w:shd w:val="clear" w:color="auto" w:fill="auto"/>
          <w:lang w:val="en-US" w:eastAsia="zh-CN"/>
        </w:rPr>
        <w:t>承包</w:t>
      </w:r>
      <w:r>
        <w:rPr>
          <w:rFonts w:hint="eastAsia" w:ascii="仿宋" w:hAnsi="仿宋" w:eastAsia="仿宋" w:cs="仿宋"/>
          <w:b w:val="0"/>
          <w:bCs w:val="0"/>
          <w:i w:val="0"/>
          <w:iCs w:val="0"/>
          <w:color w:val="auto"/>
          <w:sz w:val="28"/>
          <w:szCs w:val="28"/>
          <w:highlight w:val="none"/>
          <w:shd w:val="clear" w:color="auto" w:fill="auto"/>
        </w:rPr>
        <w:t>的内容</w:t>
      </w:r>
      <w:r>
        <w:rPr>
          <w:rFonts w:hint="eastAsia" w:ascii="仿宋" w:hAnsi="仿宋" w:eastAsia="仿宋" w:cs="仿宋"/>
          <w:b w:val="0"/>
          <w:bCs w:val="0"/>
          <w:i w:val="0"/>
          <w:iCs w:val="0"/>
          <w:color w:val="auto"/>
          <w:sz w:val="28"/>
          <w:szCs w:val="28"/>
          <w:highlight w:val="none"/>
          <w:shd w:val="clear" w:color="auto" w:fill="auto"/>
          <w:lang w:val="en-US" w:eastAsia="zh-CN"/>
        </w:rPr>
        <w:t>包括但不限于</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场地平整，绿植和树桩清理，建筑垃圾清理，</w:t>
      </w:r>
      <w:r>
        <w:rPr>
          <w:rFonts w:hint="eastAsia" w:ascii="仿宋" w:hAnsi="仿宋" w:eastAsia="仿宋" w:cs="仿宋"/>
          <w:b w:val="0"/>
          <w:bCs w:val="0"/>
          <w:i w:val="0"/>
          <w:iCs w:val="0"/>
          <w:color w:val="auto"/>
          <w:sz w:val="28"/>
          <w:szCs w:val="28"/>
          <w:highlight w:val="none"/>
          <w:u w:val="none"/>
          <w:shd w:val="clear" w:color="auto" w:fill="auto"/>
        </w:rPr>
        <w:t>大土（石）方开挖及回填</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修边坡</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挖水沟</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场内修路</w:t>
      </w:r>
      <w:r>
        <w:rPr>
          <w:rFonts w:hint="eastAsia" w:ascii="仿宋_GB2312" w:hAnsi="仿宋_GB2312" w:eastAsia="仿宋_GB2312" w:cs="仿宋_GB2312"/>
          <w:b w:val="0"/>
          <w:bCs w:val="0"/>
          <w:i w:val="0"/>
          <w:iCs w:val="0"/>
          <w:color w:val="auto"/>
          <w:sz w:val="28"/>
          <w:szCs w:val="28"/>
          <w:highlight w:val="none"/>
          <w:u w:val="none"/>
          <w:shd w:val="clear" w:color="auto" w:fill="auto"/>
        </w:rPr>
        <w:t>（砖渣、石渣、钢板铺设等由乙方提供）</w:t>
      </w:r>
      <w:r>
        <w:rPr>
          <w:rFonts w:hint="eastAsia" w:ascii="仿宋" w:hAnsi="仿宋" w:eastAsia="仿宋" w:cs="仿宋"/>
          <w:b w:val="0"/>
          <w:bCs w:val="0"/>
          <w:i w:val="0"/>
          <w:iCs w:val="0"/>
          <w:color w:val="auto"/>
          <w:sz w:val="28"/>
          <w:szCs w:val="28"/>
          <w:highlight w:val="none"/>
          <w:u w:val="none"/>
          <w:shd w:val="clear" w:color="auto" w:fill="auto"/>
        </w:rPr>
        <w:t>及土方回填</w:t>
      </w:r>
      <w:r>
        <w:rPr>
          <w:rFonts w:hint="eastAsia" w:ascii="仿宋" w:hAnsi="仿宋" w:eastAsia="仿宋" w:cs="仿宋"/>
          <w:b w:val="0"/>
          <w:bCs w:val="0"/>
          <w:i w:val="0"/>
          <w:iCs w:val="0"/>
          <w:color w:val="auto"/>
          <w:sz w:val="28"/>
          <w:szCs w:val="28"/>
          <w:highlight w:val="none"/>
          <w:u w:val="none"/>
          <w:shd w:val="clear" w:color="auto" w:fill="auto"/>
          <w:lang w:eastAsia="zh-CN"/>
        </w:rPr>
        <w:t>，淤泥</w:t>
      </w:r>
      <w:r>
        <w:rPr>
          <w:rFonts w:hint="eastAsia" w:ascii="仿宋" w:hAnsi="仿宋" w:eastAsia="仿宋" w:cs="仿宋"/>
          <w:b w:val="0"/>
          <w:bCs w:val="0"/>
          <w:i w:val="0"/>
          <w:iCs w:val="0"/>
          <w:color w:val="auto"/>
          <w:sz w:val="28"/>
          <w:szCs w:val="28"/>
          <w:highlight w:val="none"/>
          <w:u w:val="none"/>
          <w:shd w:val="clear" w:color="auto" w:fill="auto"/>
          <w:lang w:val="en-US" w:eastAsia="zh-CN"/>
        </w:rPr>
        <w:t>挖运（外运），抽水，</w:t>
      </w:r>
      <w:r>
        <w:rPr>
          <w:rFonts w:hint="eastAsia" w:ascii="仿宋" w:hAnsi="仿宋" w:eastAsia="仿宋" w:cs="仿宋"/>
          <w:b w:val="0"/>
          <w:bCs w:val="0"/>
          <w:i w:val="0"/>
          <w:iCs w:val="0"/>
          <w:color w:val="auto"/>
          <w:sz w:val="28"/>
          <w:szCs w:val="28"/>
          <w:highlight w:val="none"/>
          <w:u w:val="none"/>
          <w:shd w:val="clear" w:color="auto" w:fill="auto"/>
        </w:rPr>
        <w:t>余方弃置（含运输及弃置场地，如因实际情况改变导致运输距离增减的，工程结算价不作调整，不属于增加工程）</w:t>
      </w:r>
      <w:r>
        <w:rPr>
          <w:rFonts w:hint="eastAsia" w:ascii="仿宋" w:hAnsi="仿宋" w:eastAsia="仿宋" w:cs="仿宋"/>
          <w:b w:val="0"/>
          <w:bCs w:val="0"/>
          <w:i w:val="0"/>
          <w:iCs w:val="0"/>
          <w:color w:val="auto"/>
          <w:sz w:val="28"/>
          <w:szCs w:val="28"/>
          <w:highlight w:val="none"/>
          <w:u w:val="none"/>
          <w:shd w:val="clear" w:color="auto" w:fill="auto"/>
          <w:lang w:eastAsia="zh-CN"/>
        </w:rPr>
        <w:t>，处理、解决</w:t>
      </w:r>
      <w:r>
        <w:rPr>
          <w:rFonts w:hint="eastAsia" w:ascii="仿宋" w:hAnsi="仿宋" w:eastAsia="仿宋" w:cs="仿宋"/>
          <w:b w:val="0"/>
          <w:bCs w:val="0"/>
          <w:i w:val="0"/>
          <w:iCs w:val="0"/>
          <w:color w:val="auto"/>
          <w:sz w:val="28"/>
          <w:szCs w:val="28"/>
          <w:highlight w:val="none"/>
          <w:u w:val="none"/>
          <w:shd w:val="clear" w:color="auto" w:fill="auto"/>
        </w:rPr>
        <w:t>乙方机械、车辆上路后的社会关系等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本工程图纸内出现漏项、错项、无重大工程量变更的图纸调整、图纸及清单未列明但属于本工程合理施工范围或基于完成本工程所需进行的施工范围等情形均属于乙方施工范围，上述所有内容产生的各项费用均包含在合同单价内，不属于增加工程，除非双方额外签证，否则结算时工程价款不作调整</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50F7354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singl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rPr>
        <w:t>乙方自备</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rPr>
        <w:t>施工材料</w:t>
      </w:r>
      <w:r>
        <w:rPr>
          <w:rFonts w:hint="eastAsia" w:ascii="仿宋" w:hAnsi="仿宋" w:eastAsia="仿宋" w:cs="仿宋"/>
          <w:b w:val="0"/>
          <w:bCs w:val="0"/>
          <w:i w:val="0"/>
          <w:iCs w:val="0"/>
          <w:color w:val="auto"/>
          <w:sz w:val="28"/>
          <w:szCs w:val="28"/>
          <w:highlight w:val="none"/>
          <w:shd w:val="clear" w:color="auto" w:fill="auto"/>
          <w:lang w:val="en-US" w:eastAsia="zh-CN"/>
        </w:rPr>
        <w:t>如下</w:t>
      </w:r>
      <w:r>
        <w:rPr>
          <w:rFonts w:hint="eastAsia" w:ascii="仿宋" w:hAnsi="仿宋" w:eastAsia="仿宋" w:cs="仿宋"/>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盖土网、铺路钢板及</w:t>
      </w:r>
      <w:r>
        <w:rPr>
          <w:rFonts w:hint="eastAsia" w:ascii="仿宋" w:hAnsi="仿宋" w:eastAsia="仿宋" w:cs="仿宋"/>
          <w:b w:val="0"/>
          <w:bCs w:val="0"/>
          <w:i w:val="0"/>
          <w:iCs w:val="0"/>
          <w:color w:val="auto"/>
          <w:sz w:val="28"/>
          <w:szCs w:val="28"/>
          <w:highlight w:val="none"/>
          <w:shd w:val="clear" w:color="auto" w:fill="auto"/>
          <w:lang w:val="en-US" w:eastAsia="zh-CN"/>
        </w:rPr>
        <w:t>完成</w:t>
      </w:r>
      <w:r>
        <w:rPr>
          <w:rFonts w:hint="eastAsia" w:ascii="仿宋" w:hAnsi="仿宋" w:eastAsia="仿宋" w:cs="仿宋"/>
          <w:b w:val="0"/>
          <w:bCs w:val="0"/>
          <w:i w:val="0"/>
          <w:iCs w:val="0"/>
          <w:color w:val="auto"/>
          <w:sz w:val="28"/>
          <w:szCs w:val="28"/>
          <w:highlight w:val="none"/>
          <w:u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u w:val="none"/>
          <w:shd w:val="clear" w:color="auto" w:fill="auto"/>
        </w:rPr>
        <w:t>所用材料</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本合同约定的甲供材除外</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rPr>
        <w:t>费用及二次搬运费已包</w:t>
      </w:r>
      <w:r>
        <w:rPr>
          <w:rFonts w:hint="eastAsia" w:ascii="仿宋" w:hAnsi="仿宋" w:eastAsia="仿宋" w:cs="仿宋"/>
          <w:b w:val="0"/>
          <w:bCs w:val="0"/>
          <w:i w:val="0"/>
          <w:iCs w:val="0"/>
          <w:color w:val="auto"/>
          <w:sz w:val="28"/>
          <w:szCs w:val="28"/>
          <w:highlight w:val="none"/>
          <w:shd w:val="clear" w:color="auto" w:fill="auto"/>
          <w:lang w:val="en-US" w:eastAsia="zh-CN"/>
        </w:rPr>
        <w:t>含</w:t>
      </w:r>
      <w:r>
        <w:rPr>
          <w:rFonts w:hint="eastAsia" w:ascii="仿宋" w:hAnsi="仿宋" w:eastAsia="仿宋" w:cs="仿宋"/>
          <w:b w:val="0"/>
          <w:bCs w:val="0"/>
          <w:i w:val="0"/>
          <w:iCs w:val="0"/>
          <w:color w:val="auto"/>
          <w:sz w:val="28"/>
          <w:szCs w:val="28"/>
          <w:highlight w:val="none"/>
          <w:shd w:val="clear" w:color="auto" w:fill="auto"/>
        </w:rPr>
        <w:t>在合同</w:t>
      </w:r>
      <w:r>
        <w:rPr>
          <w:rFonts w:hint="eastAsia" w:ascii="仿宋" w:hAnsi="仿宋" w:eastAsia="仿宋" w:cs="仿宋"/>
          <w:b w:val="0"/>
          <w:bCs w:val="0"/>
          <w:i w:val="0"/>
          <w:iCs w:val="0"/>
          <w:color w:val="auto"/>
          <w:sz w:val="28"/>
          <w:szCs w:val="28"/>
          <w:highlight w:val="none"/>
          <w:shd w:val="clear" w:color="auto" w:fill="auto"/>
          <w:lang w:val="en-US" w:eastAsia="zh-CN"/>
        </w:rPr>
        <w:t>单</w:t>
      </w:r>
      <w:r>
        <w:rPr>
          <w:rFonts w:hint="eastAsia" w:ascii="仿宋" w:hAnsi="仿宋" w:eastAsia="仿宋" w:cs="仿宋"/>
          <w:b w:val="0"/>
          <w:bCs w:val="0"/>
          <w:i w:val="0"/>
          <w:iCs w:val="0"/>
          <w:color w:val="auto"/>
          <w:sz w:val="28"/>
          <w:szCs w:val="28"/>
          <w:highlight w:val="none"/>
          <w:shd w:val="clear" w:color="auto" w:fill="auto"/>
        </w:rPr>
        <w:t>价内。</w:t>
      </w:r>
    </w:p>
    <w:p w14:paraId="71A8CDF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rPr>
        <w:t>乙方自备的施工机具</w:t>
      </w:r>
      <w:r>
        <w:rPr>
          <w:rFonts w:hint="eastAsia" w:ascii="仿宋" w:hAnsi="仿宋" w:eastAsia="仿宋" w:cs="仿宋"/>
          <w:b w:val="0"/>
          <w:bCs w:val="0"/>
          <w:i w:val="0"/>
          <w:iCs w:val="0"/>
          <w:color w:val="auto"/>
          <w:sz w:val="28"/>
          <w:szCs w:val="28"/>
          <w:highlight w:val="none"/>
          <w:shd w:val="clear" w:color="auto" w:fill="auto"/>
          <w:lang w:val="en-US" w:eastAsia="zh-CN"/>
        </w:rPr>
        <w:t>如下</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rPr>
        <w:t>推土机、铲运机、挖土机、挖掘机、装载机</w:t>
      </w:r>
      <w:r>
        <w:rPr>
          <w:rFonts w:hint="eastAsia" w:ascii="仿宋" w:hAnsi="仿宋" w:eastAsia="仿宋" w:cs="仿宋"/>
          <w:b w:val="0"/>
          <w:bCs w:val="0"/>
          <w:i w:val="0"/>
          <w:iCs w:val="0"/>
          <w:color w:val="auto"/>
          <w:sz w:val="28"/>
          <w:szCs w:val="28"/>
          <w:highlight w:val="none"/>
          <w:u w:val="none"/>
          <w:shd w:val="clear" w:color="auto" w:fill="auto"/>
          <w:lang w:val="en-US" w:eastAsia="zh-CN"/>
        </w:rPr>
        <w:t>及燃油、动力能源</w:t>
      </w:r>
      <w:r>
        <w:rPr>
          <w:rFonts w:hint="eastAsia" w:ascii="仿宋" w:hAnsi="仿宋" w:eastAsia="仿宋" w:cs="仿宋"/>
          <w:b w:val="0"/>
          <w:bCs w:val="0"/>
          <w:i w:val="0"/>
          <w:iCs w:val="0"/>
          <w:color w:val="auto"/>
          <w:sz w:val="28"/>
          <w:szCs w:val="28"/>
          <w:highlight w:val="none"/>
          <w:u w:val="none"/>
          <w:shd w:val="clear" w:color="auto" w:fill="auto"/>
        </w:rPr>
        <w:t>等一切与乙方承包范围相关所必须配备的设备与小型机具</w:t>
      </w:r>
      <w:r>
        <w:rPr>
          <w:rFonts w:hint="eastAsia" w:ascii="仿宋" w:hAnsi="仿宋" w:eastAsia="仿宋" w:cs="仿宋"/>
          <w:i w:val="0"/>
          <w:iCs w:val="0"/>
          <w:color w:val="auto"/>
          <w:sz w:val="28"/>
          <w:szCs w:val="28"/>
          <w:highlight w:val="none"/>
          <w:u w:val="none"/>
          <w:shd w:val="clear" w:color="auto" w:fill="auto"/>
        </w:rPr>
        <w:t>。其费用已包括在合同</w:t>
      </w:r>
      <w:r>
        <w:rPr>
          <w:rFonts w:hint="eastAsia" w:ascii="仿宋" w:hAnsi="仿宋" w:eastAsia="仿宋" w:cs="仿宋"/>
          <w:i w:val="0"/>
          <w:iCs w:val="0"/>
          <w:color w:val="auto"/>
          <w:sz w:val="28"/>
          <w:szCs w:val="28"/>
          <w:highlight w:val="none"/>
          <w:u w:val="none"/>
          <w:shd w:val="clear" w:color="auto" w:fill="auto"/>
          <w:lang w:val="en-US" w:eastAsia="zh-CN"/>
        </w:rPr>
        <w:t>单</w:t>
      </w:r>
      <w:r>
        <w:rPr>
          <w:rFonts w:hint="eastAsia" w:ascii="仿宋" w:hAnsi="仿宋" w:eastAsia="仿宋" w:cs="仿宋"/>
          <w:i w:val="0"/>
          <w:iCs w:val="0"/>
          <w:color w:val="auto"/>
          <w:sz w:val="28"/>
          <w:szCs w:val="28"/>
          <w:highlight w:val="none"/>
          <w:u w:val="none"/>
          <w:shd w:val="clear" w:color="auto" w:fill="auto"/>
        </w:rPr>
        <w:t>价内，乙方自带设备的维修保养及工具器的消耗、购置与租赁等费用由乙方自行承担。</w:t>
      </w:r>
    </w:p>
    <w:p w14:paraId="32E97E8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7</w:t>
      </w:r>
      <w:r>
        <w:rPr>
          <w:rFonts w:hint="eastAsia" w:ascii="仿宋" w:hAnsi="仿宋" w:eastAsia="仿宋" w:cs="仿宋"/>
          <w:i w:val="0"/>
          <w:iCs w:val="0"/>
          <w:color w:val="auto"/>
          <w:sz w:val="28"/>
          <w:szCs w:val="28"/>
          <w:highlight w:val="none"/>
          <w:shd w:val="clear" w:color="auto" w:fill="auto"/>
        </w:rPr>
        <w:t>具体开挖深度、宽度按甲方提供的施工图纸、相关文件要求及建设单位要求执行</w:t>
      </w:r>
      <w:r>
        <w:rPr>
          <w:rFonts w:hint="eastAsia" w:ascii="仿宋" w:hAnsi="仿宋" w:eastAsia="仿宋" w:cs="仿宋"/>
          <w:i w:val="0"/>
          <w:iCs w:val="0"/>
          <w:color w:val="auto"/>
          <w:sz w:val="28"/>
          <w:szCs w:val="28"/>
          <w:highlight w:val="none"/>
          <w:shd w:val="clear" w:color="auto" w:fill="auto"/>
          <w:lang w:eastAsia="zh-CN"/>
        </w:rPr>
        <w:t>。</w:t>
      </w:r>
    </w:p>
    <w:p w14:paraId="6956E1B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3.8本工程的土方回填作业前，乙方须对原地面实施碾压处理，要求压实系数不得小于0.94。针对回填区域，选用场内开挖的坚硬中风化岩、强风化岩或全风化岩作为回填土方，必须严格按照相关规范要求进行分层碾压操作且每层的压实系数均不得小于0.94。基坑开挖至接近坑底标高时,应尽量保护地基原状士，减少挠动,尽快做好垫层，经挠动的土应夯密实或换填砂石振实。基坑超挖部分采用砂性土回填,并用平板震动器振实,压实系数不得小于0.97。</w:t>
      </w:r>
    </w:p>
    <w:p w14:paraId="397B8D5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9</w:t>
      </w:r>
      <w:r>
        <w:rPr>
          <w:rFonts w:hint="eastAsia" w:ascii="仿宋" w:hAnsi="仿宋" w:eastAsia="仿宋" w:cs="仿宋"/>
          <w:i w:val="0"/>
          <w:iCs w:val="0"/>
          <w:color w:val="auto"/>
          <w:sz w:val="28"/>
          <w:szCs w:val="28"/>
          <w:highlight w:val="none"/>
          <w:shd w:val="clear" w:color="auto" w:fill="auto"/>
        </w:rPr>
        <w:t>施工过程中的</w:t>
      </w:r>
      <w:r>
        <w:rPr>
          <w:rFonts w:hint="eastAsia" w:ascii="仿宋" w:hAnsi="仿宋" w:eastAsia="仿宋" w:cs="仿宋"/>
          <w:i w:val="0"/>
          <w:iCs w:val="0"/>
          <w:color w:val="auto"/>
          <w:sz w:val="28"/>
          <w:szCs w:val="28"/>
          <w:highlight w:val="none"/>
          <w:shd w:val="clear" w:color="auto" w:fill="auto"/>
          <w:lang w:eastAsia="zh-CN"/>
        </w:rPr>
        <w:t>地表水、</w:t>
      </w:r>
      <w:r>
        <w:rPr>
          <w:rFonts w:hint="eastAsia" w:ascii="仿宋" w:hAnsi="仿宋" w:eastAsia="仿宋" w:cs="仿宋"/>
          <w:i w:val="0"/>
          <w:iCs w:val="0"/>
          <w:color w:val="auto"/>
          <w:sz w:val="28"/>
          <w:szCs w:val="28"/>
          <w:highlight w:val="none"/>
          <w:shd w:val="clear" w:color="auto" w:fill="auto"/>
        </w:rPr>
        <w:t>地下水</w:t>
      </w:r>
      <w:r>
        <w:rPr>
          <w:rFonts w:hint="eastAsia" w:ascii="仿宋" w:hAnsi="仿宋" w:eastAsia="仿宋" w:cs="仿宋"/>
          <w:i w:val="0"/>
          <w:iCs w:val="0"/>
          <w:color w:val="auto"/>
          <w:sz w:val="28"/>
          <w:szCs w:val="28"/>
          <w:highlight w:val="none"/>
          <w:shd w:val="clear" w:color="auto" w:fill="auto"/>
          <w:lang w:val="en-US" w:eastAsia="zh-CN"/>
        </w:rPr>
        <w:t>及天气原因造成乙方工作面需要抽水时</w:t>
      </w:r>
      <w:r>
        <w:rPr>
          <w:rFonts w:hint="eastAsia" w:ascii="仿宋" w:hAnsi="仿宋" w:eastAsia="仿宋" w:cs="仿宋"/>
          <w:i w:val="0"/>
          <w:iCs w:val="0"/>
          <w:color w:val="auto"/>
          <w:sz w:val="28"/>
          <w:szCs w:val="28"/>
          <w:highlight w:val="none"/>
          <w:shd w:val="clear" w:color="auto" w:fill="auto"/>
        </w:rPr>
        <w:t>，由乙方负责</w:t>
      </w:r>
      <w:r>
        <w:rPr>
          <w:rFonts w:hint="eastAsia" w:ascii="仿宋" w:hAnsi="仿宋" w:eastAsia="仿宋" w:cs="仿宋"/>
          <w:i w:val="0"/>
          <w:iCs w:val="0"/>
          <w:color w:val="auto"/>
          <w:sz w:val="28"/>
          <w:szCs w:val="28"/>
          <w:highlight w:val="none"/>
          <w:shd w:val="clear" w:color="auto" w:fill="auto"/>
          <w:lang w:eastAsia="zh-CN"/>
        </w:rPr>
        <w:t>，机械费用和人工</w:t>
      </w:r>
      <w:r>
        <w:rPr>
          <w:rFonts w:hint="eastAsia" w:ascii="仿宋" w:hAnsi="仿宋" w:eastAsia="仿宋" w:cs="仿宋"/>
          <w:i w:val="0"/>
          <w:iCs w:val="0"/>
          <w:color w:val="auto"/>
          <w:sz w:val="28"/>
          <w:szCs w:val="28"/>
          <w:highlight w:val="none"/>
          <w:u w:val="none"/>
          <w:shd w:val="clear" w:color="auto" w:fill="auto"/>
        </w:rPr>
        <w:t>费用已包括在合同</w:t>
      </w:r>
      <w:r>
        <w:rPr>
          <w:rFonts w:hint="eastAsia" w:ascii="仿宋" w:hAnsi="仿宋" w:eastAsia="仿宋" w:cs="仿宋"/>
          <w:i w:val="0"/>
          <w:iCs w:val="0"/>
          <w:color w:val="auto"/>
          <w:sz w:val="28"/>
          <w:szCs w:val="28"/>
          <w:highlight w:val="none"/>
          <w:u w:val="none"/>
          <w:shd w:val="clear" w:color="auto" w:fill="auto"/>
          <w:lang w:val="en-US" w:eastAsia="zh-CN"/>
        </w:rPr>
        <w:t>单</w:t>
      </w:r>
      <w:r>
        <w:rPr>
          <w:rFonts w:hint="eastAsia" w:ascii="仿宋" w:hAnsi="仿宋" w:eastAsia="仿宋" w:cs="仿宋"/>
          <w:i w:val="0"/>
          <w:iCs w:val="0"/>
          <w:color w:val="auto"/>
          <w:sz w:val="28"/>
          <w:szCs w:val="28"/>
          <w:highlight w:val="none"/>
          <w:u w:val="none"/>
          <w:shd w:val="clear" w:color="auto" w:fill="auto"/>
        </w:rPr>
        <w:t>价内</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不另计费。</w:t>
      </w:r>
      <w:r>
        <w:rPr>
          <w:rFonts w:hint="eastAsia" w:ascii="仿宋" w:hAnsi="仿宋" w:eastAsia="仿宋" w:cs="仿宋"/>
          <w:i w:val="0"/>
          <w:iCs w:val="0"/>
          <w:color w:val="auto"/>
          <w:sz w:val="28"/>
          <w:szCs w:val="28"/>
          <w:highlight w:val="none"/>
          <w:shd w:val="clear" w:color="auto" w:fill="auto"/>
        </w:rPr>
        <w:t xml:space="preserve">     </w:t>
      </w:r>
    </w:p>
    <w:p w14:paraId="1153724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10乙方</w:t>
      </w:r>
      <w:r>
        <w:rPr>
          <w:rFonts w:hint="eastAsia" w:ascii="仿宋" w:hAnsi="仿宋" w:eastAsia="仿宋" w:cs="仿宋"/>
          <w:i w:val="0"/>
          <w:iCs w:val="0"/>
          <w:color w:val="auto"/>
          <w:sz w:val="28"/>
          <w:szCs w:val="28"/>
          <w:highlight w:val="none"/>
          <w:shd w:val="clear" w:color="auto" w:fill="auto"/>
        </w:rPr>
        <w:t>挖运土方至园区内及园区外地点堆放并推平，该堆放地点必须合法并满足当地国土部门、村、镇、区等政府行政部门的要求，否则，因此导致甲方受到相关部门行政处分、处罚的，一切责任和费用及甲方损失由乙方承担。</w:t>
      </w:r>
      <w:r>
        <w:rPr>
          <w:rFonts w:hint="eastAsia" w:ascii="仿宋" w:hAnsi="仿宋" w:eastAsia="仿宋" w:cs="仿宋"/>
          <w:i w:val="0"/>
          <w:iCs w:val="0"/>
          <w:color w:val="auto"/>
          <w:sz w:val="28"/>
          <w:szCs w:val="28"/>
          <w:highlight w:val="none"/>
          <w:shd w:val="clear" w:color="auto" w:fill="auto"/>
          <w:lang w:val="en-US" w:eastAsia="zh-CN"/>
        </w:rPr>
        <w:t>挖运场地上的余有杂物运至符合环保要求的本项目用地红线外的场地堆放，因堆放所产生的各种风险和危害均属乙方责任，</w:t>
      </w:r>
      <w:r>
        <w:rPr>
          <w:rFonts w:hint="eastAsia" w:ascii="仿宋" w:hAnsi="仿宋" w:eastAsia="仿宋" w:cs="仿宋"/>
          <w:i w:val="0"/>
          <w:iCs w:val="0"/>
          <w:color w:val="auto"/>
          <w:sz w:val="28"/>
          <w:szCs w:val="28"/>
          <w:highlight w:val="none"/>
          <w:shd w:val="clear" w:color="auto" w:fill="auto"/>
        </w:rPr>
        <w:t>由乙方承担</w:t>
      </w:r>
      <w:r>
        <w:rPr>
          <w:rFonts w:hint="eastAsia" w:ascii="仿宋" w:hAnsi="仿宋" w:eastAsia="仿宋" w:cs="仿宋"/>
          <w:i w:val="0"/>
          <w:iCs w:val="0"/>
          <w:color w:val="auto"/>
          <w:sz w:val="28"/>
          <w:szCs w:val="28"/>
          <w:highlight w:val="none"/>
          <w:shd w:val="clear" w:color="auto" w:fill="auto"/>
          <w:lang w:val="en-US" w:eastAsia="zh-CN"/>
        </w:rPr>
        <w:t>所有费用及损失</w:t>
      </w:r>
      <w:r>
        <w:rPr>
          <w:rFonts w:hint="eastAsia" w:ascii="仿宋" w:hAnsi="仿宋" w:eastAsia="仿宋" w:cs="仿宋"/>
          <w:i w:val="0"/>
          <w:iCs w:val="0"/>
          <w:color w:val="auto"/>
          <w:sz w:val="28"/>
          <w:szCs w:val="28"/>
          <w:highlight w:val="none"/>
          <w:shd w:val="clear" w:color="auto" w:fill="auto"/>
          <w:lang w:eastAsia="zh-CN"/>
        </w:rPr>
        <w:t>。</w:t>
      </w:r>
    </w:p>
    <w:p w14:paraId="1D38CE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确保安全文明施工措施、市政道路运输满足当地政府主管部门的要求，弃土位置满足当地国土资源管理部门及村委的要求。弃土位置由乙方负责寻找并负责运输及依法处置弃土，乙方保证运输过程做好防护措施，不得出现沿路撒土等破坏环境等情况。若因乙方在弃土运输和处置过程中的不当行为</w:t>
      </w:r>
      <w:r>
        <w:rPr>
          <w:rFonts w:hint="eastAsia" w:ascii="仿宋" w:hAnsi="仿宋" w:eastAsia="仿宋" w:cs="仿宋"/>
          <w:i w:val="0"/>
          <w:iCs w:val="0"/>
          <w:color w:val="auto"/>
          <w:sz w:val="28"/>
          <w:szCs w:val="28"/>
          <w:highlight w:val="none"/>
          <w:shd w:val="clear" w:color="auto" w:fill="auto"/>
        </w:rPr>
        <w:t>导致甲方受到相关部门处分、处罚，一切责任和费用及甲方损失由乙方承担。</w:t>
      </w:r>
    </w:p>
    <w:p w14:paraId="0046400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w:t>
      </w:r>
      <w:r>
        <w:rPr>
          <w:rFonts w:hint="eastAsia" w:ascii="仿宋" w:hAnsi="仿宋" w:eastAsia="仿宋" w:cs="仿宋"/>
          <w:i w:val="0"/>
          <w:iCs w:val="0"/>
          <w:color w:val="auto"/>
          <w:sz w:val="28"/>
          <w:szCs w:val="28"/>
          <w:highlight w:val="none"/>
          <w:shd w:val="clear" w:color="auto" w:fill="auto"/>
        </w:rPr>
        <w:t>.</w:t>
      </w:r>
      <w:r>
        <w:rPr>
          <w:rFonts w:hint="eastAsia" w:ascii="仿宋" w:hAnsi="仿宋" w:eastAsia="仿宋" w:cs="仿宋"/>
          <w:i w:val="0"/>
          <w:iCs w:val="0"/>
          <w:color w:val="auto"/>
          <w:sz w:val="28"/>
          <w:szCs w:val="28"/>
          <w:highlight w:val="none"/>
          <w:shd w:val="clear" w:color="auto" w:fill="auto"/>
          <w:lang w:val="en-US" w:eastAsia="zh-CN"/>
        </w:rPr>
        <w:t>11乙方</w:t>
      </w:r>
      <w:r>
        <w:rPr>
          <w:rFonts w:hint="eastAsia" w:ascii="仿宋" w:hAnsi="仿宋" w:eastAsia="仿宋" w:cs="仿宋"/>
          <w:i w:val="0"/>
          <w:iCs w:val="0"/>
          <w:color w:val="auto"/>
          <w:sz w:val="28"/>
          <w:szCs w:val="28"/>
          <w:highlight w:val="none"/>
          <w:shd w:val="clear" w:color="auto" w:fill="auto"/>
        </w:rPr>
        <w:t>负责土方开挖、填埋、压实、内外运过程中对园区及周边市政道路的污染和粉、尘污染的防护、清洗以及协调处理，费用已包含在合同单价内，不另计费。</w:t>
      </w:r>
    </w:p>
    <w:p w14:paraId="3CE8B8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3.12土方挖运等本工程所需的路面洒水、降尘措施及费用已包含在合同单价内，不另计费。</w:t>
      </w:r>
    </w:p>
    <w:p w14:paraId="30343FE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3.13凡是甲方施工需要工作面的，乙方须无条件配合挖出工作面给甲方正常开工，无论乙方因任何原因不能出土，都必须配合甲方工程的连续、正常开工。</w:t>
      </w:r>
    </w:p>
    <w:p w14:paraId="6349AC2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3.14乙方对土坡有下道工序的部位进行土方开挖时，必须修整好土面，以满足下道工序的正常进行。</w:t>
      </w:r>
    </w:p>
    <w:p w14:paraId="2A41DF0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3.15乙方车辆在本工程场地与园区道路交接的相应位置必须进入洗车槽，洗车槽由乙方修建，车辆驶出施工现场前必须清洗干净，洗车所需人员、设备由乙方配备，相关</w:t>
      </w:r>
      <w:r>
        <w:rPr>
          <w:rFonts w:hint="eastAsia" w:ascii="仿宋" w:hAnsi="仿宋" w:eastAsia="仿宋" w:cs="仿宋"/>
          <w:i w:val="0"/>
          <w:iCs w:val="0"/>
          <w:color w:val="auto"/>
          <w:sz w:val="28"/>
          <w:szCs w:val="28"/>
          <w:highlight w:val="none"/>
          <w:shd w:val="clear" w:color="auto" w:fill="auto"/>
        </w:rPr>
        <w:t>费用已包含在合同单价内，不另计费。</w:t>
      </w:r>
    </w:p>
    <w:p w14:paraId="425241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3.16乙方在土方挖运过程中超挖的，甲方不予结算，乙方自担责任和费用。若因超挖造成其他损失，一概由乙方承担及赔偿甲方损失，同时甲方有权就此向乙方收齐违约金。由于甲方原因造成超挖的，甲方按合同单价结算给乙方。</w:t>
      </w:r>
    </w:p>
    <w:p w14:paraId="1362B79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3.17现场土方开挖及回填所需的临时道路，修建工作由乙方负责。乙方根据工程实际需求及相关安全标准进行临时道路的规划与建设，确保道路满足施工期间土方运输及各类施工设备通行的要求，相关费用已包含在合同单价中，不再另行计取。乙方须负责临时道路在施工期间的正常使用与维护，若因道路损坏未及时修复而影响施工进度或造成安全事故，乙方承担全部责任。</w:t>
      </w:r>
    </w:p>
    <w:p w14:paraId="6B37B1A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3.1</w:t>
      </w:r>
      <w:bookmarkStart w:id="58" w:name="_Toc15548"/>
      <w:bookmarkStart w:id="59" w:name="_Toc15468"/>
      <w:r>
        <w:rPr>
          <w:rFonts w:hint="eastAsia" w:ascii="仿宋" w:hAnsi="仿宋" w:eastAsia="仿宋" w:cs="仿宋"/>
          <w:i w:val="0"/>
          <w:iCs w:val="0"/>
          <w:color w:val="auto"/>
          <w:sz w:val="28"/>
          <w:szCs w:val="28"/>
          <w:highlight w:val="none"/>
          <w:shd w:val="clear" w:color="auto" w:fill="auto"/>
          <w:lang w:val="en-US" w:eastAsia="zh-CN"/>
        </w:rPr>
        <w:t>8在现场施工期间，乙方及时使用盖土网对现场裸露地面进行全面覆盖，以有效控制扬尘，降低施工活动对周边环境的影响，确保施工现场符合环保要求，相关</w:t>
      </w:r>
      <w:r>
        <w:rPr>
          <w:rFonts w:hint="eastAsia" w:ascii="仿宋" w:hAnsi="仿宋" w:eastAsia="仿宋" w:cs="仿宋"/>
          <w:i w:val="0"/>
          <w:iCs w:val="0"/>
          <w:color w:val="auto"/>
          <w:sz w:val="28"/>
          <w:szCs w:val="28"/>
          <w:highlight w:val="none"/>
          <w:shd w:val="clear" w:color="auto" w:fill="auto"/>
        </w:rPr>
        <w:t>费用已包含在合同单价内，不另计费。</w:t>
      </w:r>
    </w:p>
    <w:p w14:paraId="49F70D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val="en-US" w:eastAsia="zh-CN"/>
        </w:rPr>
      </w:pPr>
      <w:r>
        <w:rPr>
          <w:rFonts w:hint="eastAsia" w:ascii="仿宋" w:hAnsi="仿宋" w:eastAsia="仿宋" w:cs="仿宋"/>
          <w:i w:val="0"/>
          <w:iCs w:val="0"/>
          <w:color w:val="auto"/>
          <w:kern w:val="0"/>
          <w:sz w:val="28"/>
          <w:szCs w:val="28"/>
          <w:highlight w:val="none"/>
          <w:shd w:val="clear" w:color="auto" w:fill="auto"/>
          <w:lang w:val="en-US" w:eastAsia="zh-CN"/>
        </w:rPr>
        <w:t>3.19施工现场内，本工程所需材料、机具的运输不另计费。材料进、出场时，乙方派工人上、下车，上下车费用包含在</w:t>
      </w:r>
      <w:r>
        <w:rPr>
          <w:rFonts w:hint="eastAsia" w:ascii="仿宋" w:hAnsi="仿宋" w:eastAsia="仿宋" w:cs="仿宋"/>
          <w:i w:val="0"/>
          <w:iCs w:val="0"/>
          <w:color w:val="auto"/>
          <w:kern w:val="0"/>
          <w:sz w:val="28"/>
          <w:szCs w:val="28"/>
          <w:highlight w:val="none"/>
          <w:shd w:val="clear" w:color="auto" w:fill="auto"/>
          <w:lang w:val="en-US" w:eastAsia="zh-CN"/>
        </w:rPr>
        <w:sym w:font="Wingdings" w:char="00FE"/>
      </w:r>
      <w:r>
        <w:rPr>
          <w:rFonts w:hint="eastAsia" w:ascii="仿宋" w:hAnsi="仿宋" w:eastAsia="仿宋" w:cs="仿宋"/>
          <w:i w:val="0"/>
          <w:iCs w:val="0"/>
          <w:color w:val="auto"/>
          <w:kern w:val="0"/>
          <w:sz w:val="28"/>
          <w:szCs w:val="28"/>
          <w:highlight w:val="none"/>
          <w:shd w:val="clear" w:color="auto" w:fill="auto"/>
          <w:lang w:val="en-US" w:eastAsia="zh-CN"/>
        </w:rPr>
        <w:t>合同单价</w:t>
      </w:r>
      <w:r>
        <w:rPr>
          <w:rFonts w:hint="eastAsia" w:ascii="仿宋" w:hAnsi="仿宋" w:eastAsia="仿宋" w:cs="仿宋"/>
          <w:i w:val="0"/>
          <w:iCs w:val="0"/>
          <w:color w:val="auto"/>
          <w:kern w:val="0"/>
          <w:sz w:val="28"/>
          <w:szCs w:val="28"/>
          <w:highlight w:val="none"/>
          <w:shd w:val="clear" w:color="auto" w:fill="auto"/>
          <w:lang w:val="en-US" w:eastAsia="zh-CN"/>
        </w:rPr>
        <w:sym w:font="Wingdings" w:char="00A8"/>
      </w:r>
      <w:r>
        <w:rPr>
          <w:rFonts w:hint="eastAsia" w:ascii="仿宋" w:hAnsi="仿宋" w:eastAsia="仿宋" w:cs="仿宋"/>
          <w:i w:val="0"/>
          <w:iCs w:val="0"/>
          <w:color w:val="auto"/>
          <w:kern w:val="0"/>
          <w:sz w:val="28"/>
          <w:szCs w:val="28"/>
          <w:highlight w:val="none"/>
          <w:shd w:val="clear" w:color="auto" w:fill="auto"/>
          <w:lang w:val="en-US" w:eastAsia="zh-CN"/>
        </w:rPr>
        <w:t>合同总价内，不另行单列计费。</w:t>
      </w:r>
    </w:p>
    <w:p w14:paraId="48E98D9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kern w:val="0"/>
          <w:sz w:val="28"/>
          <w:szCs w:val="28"/>
          <w:highlight w:val="none"/>
          <w:shd w:val="clear" w:color="auto" w:fill="auto"/>
          <w:lang w:val="en-US" w:eastAsia="zh-CN"/>
        </w:rPr>
      </w:pPr>
      <w:r>
        <w:rPr>
          <w:rFonts w:hint="eastAsia" w:ascii="仿宋" w:hAnsi="仿宋" w:eastAsia="仿宋" w:cs="仿宋"/>
          <w:i w:val="0"/>
          <w:iCs w:val="0"/>
          <w:color w:val="auto"/>
          <w:kern w:val="0"/>
          <w:sz w:val="28"/>
          <w:szCs w:val="28"/>
          <w:highlight w:val="none"/>
          <w:shd w:val="clear" w:color="auto" w:fill="auto"/>
          <w:lang w:val="en-US" w:eastAsia="zh-CN"/>
        </w:rPr>
        <w:t>3.20乙方人员的食宿由乙方自行解决并承担费用。</w:t>
      </w:r>
    </w:p>
    <w:p w14:paraId="35B9273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i w:val="0"/>
          <w:iCs w:val="0"/>
          <w:color w:val="auto"/>
          <w:kern w:val="0"/>
          <w:sz w:val="28"/>
          <w:szCs w:val="28"/>
          <w:highlight w:val="none"/>
          <w:shd w:val="clear" w:color="auto" w:fill="auto"/>
          <w:lang w:val="en-US" w:eastAsia="zh-CN"/>
        </w:rPr>
      </w:pPr>
      <w:r>
        <w:rPr>
          <w:rFonts w:hint="default" w:ascii="仿宋" w:hAnsi="仿宋" w:eastAsia="仿宋" w:cs="仿宋"/>
          <w:i w:val="0"/>
          <w:iCs w:val="0"/>
          <w:color w:val="auto"/>
          <w:kern w:val="0"/>
          <w:sz w:val="28"/>
          <w:szCs w:val="28"/>
          <w:highlight w:val="none"/>
          <w:shd w:val="clear" w:color="auto" w:fill="auto"/>
          <w:lang w:val="en-US" w:eastAsia="zh-CN"/>
        </w:rPr>
        <w:t>3.</w:t>
      </w:r>
      <w:r>
        <w:rPr>
          <w:rFonts w:hint="eastAsia" w:ascii="仿宋" w:hAnsi="仿宋" w:eastAsia="仿宋" w:cs="仿宋"/>
          <w:i w:val="0"/>
          <w:iCs w:val="0"/>
          <w:color w:val="auto"/>
          <w:kern w:val="0"/>
          <w:sz w:val="28"/>
          <w:szCs w:val="28"/>
          <w:highlight w:val="none"/>
          <w:shd w:val="clear" w:color="auto" w:fill="auto"/>
          <w:lang w:val="en-US" w:eastAsia="zh-CN"/>
        </w:rPr>
        <w:t>21</w:t>
      </w:r>
      <w:r>
        <w:rPr>
          <w:rFonts w:hint="default" w:ascii="仿宋" w:hAnsi="仿宋" w:eastAsia="仿宋" w:cs="仿宋"/>
          <w:i w:val="0"/>
          <w:iCs w:val="0"/>
          <w:color w:val="auto"/>
          <w:kern w:val="0"/>
          <w:sz w:val="28"/>
          <w:szCs w:val="28"/>
          <w:highlight w:val="none"/>
          <w:shd w:val="clear" w:color="auto" w:fill="auto"/>
          <w:lang w:val="en-US" w:eastAsia="zh-CN"/>
        </w:rPr>
        <w:t>承台、地梁</w:t>
      </w:r>
      <w:r>
        <w:rPr>
          <w:rFonts w:hint="eastAsia" w:ascii="仿宋" w:hAnsi="仿宋" w:eastAsia="仿宋" w:cs="仿宋"/>
          <w:i w:val="0"/>
          <w:iCs w:val="0"/>
          <w:color w:val="auto"/>
          <w:kern w:val="0"/>
          <w:sz w:val="28"/>
          <w:szCs w:val="28"/>
          <w:highlight w:val="none"/>
          <w:shd w:val="clear" w:color="auto" w:fill="auto"/>
          <w:lang w:val="en-US" w:eastAsia="zh-CN"/>
        </w:rPr>
        <w:t>、地下基坑</w:t>
      </w:r>
      <w:r>
        <w:rPr>
          <w:rFonts w:hint="default" w:ascii="仿宋" w:hAnsi="仿宋" w:eastAsia="仿宋" w:cs="仿宋"/>
          <w:i w:val="0"/>
          <w:iCs w:val="0"/>
          <w:color w:val="auto"/>
          <w:kern w:val="0"/>
          <w:sz w:val="28"/>
          <w:szCs w:val="28"/>
          <w:highlight w:val="none"/>
          <w:shd w:val="clear" w:color="auto" w:fill="auto"/>
          <w:lang w:val="en-US" w:eastAsia="zh-CN"/>
        </w:rPr>
        <w:t>的土方开挖，须配合甲方的安排及在质量、进度上符合甲方的要求。</w:t>
      </w:r>
    </w:p>
    <w:p w14:paraId="53F81836">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0" w:name="_Toc31532"/>
      <w:bookmarkStart w:id="61" w:name="_Toc335"/>
      <w:r>
        <w:rPr>
          <w:rFonts w:hint="eastAsia" w:ascii="仿宋" w:hAnsi="仿宋" w:eastAsia="仿宋" w:cs="仿宋"/>
          <w:b/>
          <w:bCs/>
          <w:i w:val="0"/>
          <w:iCs w:val="0"/>
          <w:color w:val="auto"/>
          <w:sz w:val="28"/>
          <w:szCs w:val="28"/>
          <w:highlight w:val="none"/>
          <w:shd w:val="clear" w:color="auto" w:fill="auto"/>
          <w:lang w:val="en-US" w:eastAsia="zh-CN"/>
        </w:rPr>
        <w:t>工期</w:t>
      </w:r>
      <w:bookmarkEnd w:id="58"/>
      <w:bookmarkEnd w:id="59"/>
      <w:bookmarkEnd w:id="60"/>
      <w:bookmarkEnd w:id="61"/>
    </w:p>
    <w:p w14:paraId="7E3FA2C8">
      <w:pPr>
        <w:bidi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本工程</w:t>
      </w:r>
      <w:r>
        <w:rPr>
          <w:rFonts w:hint="eastAsia" w:ascii="仿宋" w:hAnsi="仿宋" w:eastAsia="仿宋" w:cs="仿宋"/>
          <w:sz w:val="28"/>
          <w:szCs w:val="28"/>
          <w:highlight w:val="none"/>
          <w:lang w:val="en-US" w:eastAsia="zh-CN"/>
        </w:rPr>
        <w:t>合同</w:t>
      </w:r>
      <w:r>
        <w:rPr>
          <w:rFonts w:hint="eastAsia" w:ascii="仿宋" w:hAnsi="仿宋" w:eastAsia="仿宋" w:cs="仿宋"/>
          <w:sz w:val="28"/>
          <w:szCs w:val="28"/>
          <w:highlight w:val="none"/>
        </w:rPr>
        <w:t>工期</w:t>
      </w:r>
      <w:r>
        <w:rPr>
          <w:rFonts w:hint="eastAsia" w:ascii="仿宋" w:hAnsi="仿宋" w:eastAsia="仿宋" w:cs="仿宋"/>
          <w:sz w:val="28"/>
          <w:szCs w:val="28"/>
          <w:highlight w:val="none"/>
          <w:lang w:val="en-US" w:eastAsia="zh-CN"/>
        </w:rPr>
        <w:t>详见下表</w:t>
      </w:r>
    </w:p>
    <w:tbl>
      <w:tblPr>
        <w:tblStyle w:val="15"/>
        <w:tblW w:w="517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215"/>
        <w:gridCol w:w="1393"/>
        <w:gridCol w:w="2497"/>
        <w:gridCol w:w="1963"/>
        <w:gridCol w:w="1379"/>
      </w:tblGrid>
      <w:tr w14:paraId="2AD93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33" w:type="pct"/>
            <w:tcBorders>
              <w:tl2br w:val="nil"/>
              <w:tr2bl w:val="nil"/>
            </w:tcBorders>
            <w:noWrap/>
            <w:tcMar>
              <w:top w:w="15" w:type="dxa"/>
              <w:left w:w="15" w:type="dxa"/>
              <w:right w:w="15" w:type="dxa"/>
            </w:tcMar>
            <w:vAlign w:val="center"/>
          </w:tcPr>
          <w:p w14:paraId="2814282D">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序号</w:t>
            </w:r>
          </w:p>
        </w:tc>
        <w:tc>
          <w:tcPr>
            <w:tcW w:w="1094" w:type="pct"/>
            <w:tcBorders>
              <w:tl2br w:val="nil"/>
              <w:tr2bl w:val="nil"/>
            </w:tcBorders>
            <w:noWrap/>
            <w:tcMar>
              <w:top w:w="15" w:type="dxa"/>
              <w:left w:w="15" w:type="dxa"/>
              <w:right w:w="15" w:type="dxa"/>
            </w:tcMar>
            <w:vAlign w:val="center"/>
          </w:tcPr>
          <w:p w14:paraId="0ED3EEE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工程名称</w:t>
            </w:r>
          </w:p>
        </w:tc>
        <w:tc>
          <w:tcPr>
            <w:tcW w:w="688" w:type="pct"/>
            <w:tcBorders>
              <w:tl2br w:val="nil"/>
              <w:tr2bl w:val="nil"/>
            </w:tcBorders>
            <w:noWrap/>
            <w:tcMar>
              <w:top w:w="15" w:type="dxa"/>
              <w:left w:w="15" w:type="dxa"/>
              <w:right w:w="15" w:type="dxa"/>
            </w:tcMar>
            <w:vAlign w:val="center"/>
          </w:tcPr>
          <w:p w14:paraId="0A675B0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合同工期（日历天）</w:t>
            </w:r>
          </w:p>
        </w:tc>
        <w:tc>
          <w:tcPr>
            <w:tcW w:w="1233" w:type="pct"/>
            <w:tcBorders>
              <w:tl2br w:val="nil"/>
              <w:tr2bl w:val="nil"/>
            </w:tcBorders>
            <w:noWrap/>
            <w:tcMar>
              <w:top w:w="15" w:type="dxa"/>
              <w:left w:w="15" w:type="dxa"/>
              <w:right w:w="15" w:type="dxa"/>
            </w:tcMar>
            <w:vAlign w:val="center"/>
          </w:tcPr>
          <w:p w14:paraId="2925CD8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rPr>
            </w:pPr>
            <w:r>
              <w:rPr>
                <w:rFonts w:hint="eastAsia" w:ascii="仿宋" w:hAnsi="仿宋" w:eastAsia="仿宋" w:cs="仿宋"/>
                <w:b w:val="0"/>
                <w:bCs w:val="0"/>
                <w:i w:val="0"/>
                <w:iCs w:val="0"/>
                <w:color w:val="auto"/>
                <w:sz w:val="24"/>
                <w:szCs w:val="24"/>
                <w:highlight w:val="none"/>
                <w:shd w:val="clear" w:color="auto" w:fill="auto"/>
                <w:lang w:val="en-US" w:eastAsia="zh-CN"/>
              </w:rPr>
              <w:t>暂定计划进场开工日期</w:t>
            </w:r>
          </w:p>
        </w:tc>
        <w:tc>
          <w:tcPr>
            <w:tcW w:w="969" w:type="pct"/>
            <w:tcBorders>
              <w:tl2br w:val="nil"/>
              <w:tr2bl w:val="nil"/>
            </w:tcBorders>
            <w:noWrap/>
            <w:tcMar>
              <w:top w:w="15" w:type="dxa"/>
              <w:left w:w="15" w:type="dxa"/>
              <w:right w:w="15" w:type="dxa"/>
            </w:tcMar>
            <w:vAlign w:val="center"/>
          </w:tcPr>
          <w:p w14:paraId="720B507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计划完工日期</w:t>
            </w:r>
          </w:p>
        </w:tc>
        <w:tc>
          <w:tcPr>
            <w:tcW w:w="681" w:type="pct"/>
            <w:tcBorders>
              <w:tl2br w:val="nil"/>
              <w:tr2bl w:val="nil"/>
            </w:tcBorders>
            <w:noWrap/>
            <w:tcMar>
              <w:top w:w="15" w:type="dxa"/>
              <w:left w:w="15" w:type="dxa"/>
              <w:right w:w="15" w:type="dxa"/>
            </w:tcMar>
            <w:vAlign w:val="center"/>
          </w:tcPr>
          <w:p w14:paraId="4D1D5D7B">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rPr>
            </w:pPr>
            <w:r>
              <w:rPr>
                <w:rFonts w:hint="eastAsia" w:ascii="仿宋" w:hAnsi="仿宋" w:eastAsia="仿宋" w:cs="仿宋"/>
                <w:b w:val="0"/>
                <w:bCs w:val="0"/>
                <w:i w:val="0"/>
                <w:iCs w:val="0"/>
                <w:color w:val="auto"/>
                <w:sz w:val="24"/>
                <w:szCs w:val="24"/>
                <w:highlight w:val="none"/>
                <w:shd w:val="clear" w:color="auto" w:fill="auto"/>
                <w:lang w:val="en-US" w:eastAsia="zh-CN"/>
              </w:rPr>
              <w:t>备 注</w:t>
            </w:r>
          </w:p>
        </w:tc>
      </w:tr>
      <w:tr w14:paraId="09D5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jc w:val="center"/>
        </w:trPr>
        <w:tc>
          <w:tcPr>
            <w:tcW w:w="333" w:type="pct"/>
            <w:tcBorders>
              <w:tl2br w:val="nil"/>
              <w:tr2bl w:val="nil"/>
            </w:tcBorders>
            <w:noWrap/>
            <w:tcMar>
              <w:top w:w="15" w:type="dxa"/>
              <w:left w:w="15" w:type="dxa"/>
              <w:right w:w="15" w:type="dxa"/>
            </w:tcMar>
            <w:vAlign w:val="center"/>
          </w:tcPr>
          <w:p w14:paraId="5625F2E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199" w:leftChars="-95" w:right="0" w:rightChars="0" w:firstLine="480" w:firstLineChars="200"/>
              <w:jc w:val="both"/>
              <w:textAlignment w:val="auto"/>
              <w:rPr>
                <w:rFonts w:hint="eastAsia" w:ascii="仿宋" w:hAnsi="仿宋" w:eastAsia="仿宋" w:cs="仿宋"/>
                <w:b w:val="0"/>
                <w:bCs w:val="0"/>
                <w:i w:val="0"/>
                <w:iCs w:val="0"/>
                <w:color w:val="auto"/>
                <w:sz w:val="24"/>
                <w:szCs w:val="24"/>
                <w:highlight w:val="none"/>
                <w:shd w:val="clear" w:color="auto" w:fill="auto"/>
              </w:rPr>
            </w:pPr>
            <w:r>
              <w:rPr>
                <w:rFonts w:hint="eastAsia" w:ascii="仿宋" w:hAnsi="仿宋" w:eastAsia="仿宋" w:cs="仿宋"/>
                <w:b w:val="0"/>
                <w:bCs w:val="0"/>
                <w:i w:val="0"/>
                <w:iCs w:val="0"/>
                <w:color w:val="auto"/>
                <w:sz w:val="24"/>
                <w:szCs w:val="24"/>
                <w:highlight w:val="none"/>
                <w:shd w:val="clear" w:color="auto" w:fill="auto"/>
                <w:lang w:val="en-US" w:eastAsia="zh-CN"/>
              </w:rPr>
              <w:t>1</w:t>
            </w:r>
          </w:p>
        </w:tc>
        <w:tc>
          <w:tcPr>
            <w:tcW w:w="1094" w:type="pct"/>
            <w:tcBorders>
              <w:tl2br w:val="nil"/>
              <w:tr2bl w:val="nil"/>
            </w:tcBorders>
            <w:noWrap/>
            <w:tcMar>
              <w:top w:w="15" w:type="dxa"/>
              <w:left w:w="15" w:type="dxa"/>
              <w:right w:w="15" w:type="dxa"/>
            </w:tcMar>
            <w:vAlign w:val="center"/>
          </w:tcPr>
          <w:p w14:paraId="04B0530D">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eastAsia"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玉林（福绵）节能环保产业园南部工业供水厂建设项目（二期5万吨/天）土方工程</w:t>
            </w:r>
          </w:p>
        </w:tc>
        <w:tc>
          <w:tcPr>
            <w:tcW w:w="688" w:type="pct"/>
            <w:tcBorders>
              <w:tl2br w:val="nil"/>
              <w:tr2bl w:val="nil"/>
            </w:tcBorders>
            <w:noWrap/>
            <w:tcMar>
              <w:top w:w="15" w:type="dxa"/>
              <w:left w:w="15" w:type="dxa"/>
              <w:right w:w="15" w:type="dxa"/>
            </w:tcMar>
            <w:vAlign w:val="center"/>
          </w:tcPr>
          <w:p w14:paraId="0CD7EC88">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30日历天</w:t>
            </w:r>
          </w:p>
        </w:tc>
        <w:tc>
          <w:tcPr>
            <w:tcW w:w="1233" w:type="pct"/>
            <w:tcBorders>
              <w:tl2br w:val="nil"/>
              <w:tr2bl w:val="nil"/>
            </w:tcBorders>
            <w:noWrap/>
            <w:tcMar>
              <w:top w:w="15" w:type="dxa"/>
              <w:left w:w="15" w:type="dxa"/>
              <w:right w:w="15" w:type="dxa"/>
            </w:tcMar>
            <w:vAlign w:val="center"/>
          </w:tcPr>
          <w:p w14:paraId="5B3F9085">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2025年7月16日</w:t>
            </w:r>
          </w:p>
        </w:tc>
        <w:tc>
          <w:tcPr>
            <w:tcW w:w="969" w:type="pct"/>
            <w:tcBorders>
              <w:tl2br w:val="nil"/>
              <w:tr2bl w:val="nil"/>
            </w:tcBorders>
            <w:noWrap/>
            <w:tcMar>
              <w:top w:w="15" w:type="dxa"/>
              <w:left w:w="15" w:type="dxa"/>
              <w:right w:w="15" w:type="dxa"/>
            </w:tcMar>
            <w:vAlign w:val="center"/>
          </w:tcPr>
          <w:p w14:paraId="6CCDC4C4">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center"/>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2025年8月14日</w:t>
            </w:r>
          </w:p>
        </w:tc>
        <w:tc>
          <w:tcPr>
            <w:tcW w:w="681" w:type="pct"/>
            <w:tcBorders>
              <w:tl2br w:val="nil"/>
              <w:tr2bl w:val="nil"/>
            </w:tcBorders>
            <w:noWrap/>
            <w:tcMar>
              <w:top w:w="15" w:type="dxa"/>
              <w:left w:w="15" w:type="dxa"/>
              <w:right w:w="15" w:type="dxa"/>
            </w:tcMar>
            <w:vAlign w:val="center"/>
          </w:tcPr>
          <w:p w14:paraId="525A388E">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right="0" w:rightChars="0"/>
              <w:jc w:val="both"/>
              <w:textAlignment w:val="auto"/>
              <w:rPr>
                <w:rFonts w:hint="default" w:ascii="仿宋" w:hAnsi="仿宋" w:eastAsia="仿宋" w:cs="仿宋"/>
                <w:b w:val="0"/>
                <w:bCs w:val="0"/>
                <w:i w:val="0"/>
                <w:iCs w:val="0"/>
                <w:color w:val="auto"/>
                <w:sz w:val="24"/>
                <w:szCs w:val="24"/>
                <w:highlight w:val="none"/>
                <w:shd w:val="clear" w:color="auto" w:fill="auto"/>
                <w:lang w:val="en-US" w:eastAsia="zh-CN"/>
              </w:rPr>
            </w:pPr>
            <w:r>
              <w:rPr>
                <w:rFonts w:hint="eastAsia" w:ascii="仿宋" w:hAnsi="仿宋" w:eastAsia="仿宋" w:cs="仿宋"/>
                <w:b w:val="0"/>
                <w:bCs w:val="0"/>
                <w:i w:val="0"/>
                <w:iCs w:val="0"/>
                <w:color w:val="auto"/>
                <w:sz w:val="24"/>
                <w:szCs w:val="24"/>
                <w:highlight w:val="none"/>
                <w:shd w:val="clear" w:color="auto" w:fill="auto"/>
                <w:lang w:val="en-US" w:eastAsia="zh-CN"/>
              </w:rPr>
              <w:t>具体工期以满足甲方要求为准</w:t>
            </w:r>
          </w:p>
        </w:tc>
      </w:tr>
    </w:tbl>
    <w:p w14:paraId="7BAE626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4.2甲方发出开工令起 24 小时内，乙方的项目现场负责人及主要工作人员须进驻施工现场开展工作，具体工作安排以甲方要求为准。乙方应根据工程实际需要，随时增加人员和机械设备，确保满足本工程要求。</w:t>
      </w:r>
    </w:p>
    <w:p w14:paraId="3F3EB30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lang w:val="en-US" w:eastAsia="zh-CN"/>
        </w:rPr>
        <w:t>4.3</w:t>
      </w:r>
      <w:r>
        <w:rPr>
          <w:rFonts w:hint="eastAsia" w:ascii="仿宋" w:hAnsi="仿宋" w:eastAsia="仿宋" w:cs="仿宋"/>
          <w:i w:val="0"/>
          <w:iCs w:val="0"/>
          <w:color w:val="auto"/>
          <w:sz w:val="28"/>
          <w:szCs w:val="28"/>
          <w:highlight w:val="none"/>
          <w:u w:val="none"/>
          <w:shd w:val="clear" w:color="auto" w:fill="auto"/>
          <w:lang w:val="en-US" w:eastAsia="zh-CN"/>
        </w:rPr>
        <w:t>因甲方原因引起的工期延误（无论时间长短）导致的相关费用和损失，乙方已综合考虑在合同单价里，不向甲方索赔也不要求甲方承担责任。</w:t>
      </w:r>
    </w:p>
    <w:p w14:paraId="2AE21A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single"/>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4.4</w:t>
      </w:r>
      <w:r>
        <w:rPr>
          <w:rFonts w:hint="eastAsia" w:ascii="仿宋" w:hAnsi="仿宋" w:eastAsia="仿宋" w:cs="仿宋"/>
          <w:i w:val="0"/>
          <w:iCs w:val="0"/>
          <w:color w:val="auto"/>
          <w:sz w:val="28"/>
          <w:szCs w:val="28"/>
          <w:highlight w:val="none"/>
          <w:lang w:val="en-US" w:eastAsia="zh-CN"/>
        </w:rPr>
        <w:t>其他要求：</w:t>
      </w:r>
      <w:r>
        <w:rPr>
          <w:rFonts w:hint="default" w:ascii="仿宋" w:hAnsi="仿宋" w:eastAsia="仿宋" w:cs="仿宋"/>
          <w:color w:val="auto"/>
          <w:sz w:val="28"/>
          <w:szCs w:val="28"/>
          <w:highlight w:val="none"/>
          <w:u w:val="single"/>
        </w:rPr>
        <w:t>乙方必须满足甲方的工期要求，配备符合本工程需求的</w:t>
      </w:r>
      <w:r>
        <w:rPr>
          <w:rFonts w:hint="eastAsia" w:ascii="仿宋" w:hAnsi="仿宋" w:eastAsia="仿宋" w:cs="仿宋"/>
          <w:color w:val="auto"/>
          <w:sz w:val="28"/>
          <w:szCs w:val="28"/>
          <w:highlight w:val="none"/>
          <w:u w:val="single"/>
          <w:lang w:val="en-US" w:eastAsia="zh-CN"/>
        </w:rPr>
        <w:t>机械设备和人员</w:t>
      </w:r>
      <w:r>
        <w:rPr>
          <w:rFonts w:hint="default" w:ascii="仿宋" w:hAnsi="仿宋" w:eastAsia="仿宋" w:cs="仿宋"/>
          <w:color w:val="auto"/>
          <w:sz w:val="28"/>
          <w:szCs w:val="28"/>
          <w:highlight w:val="none"/>
          <w:u w:val="single"/>
        </w:rPr>
        <w:t>，随时增减以满足</w:t>
      </w:r>
      <w:r>
        <w:rPr>
          <w:rFonts w:hint="eastAsia" w:ascii="仿宋" w:hAnsi="仿宋" w:eastAsia="仿宋" w:cs="仿宋"/>
          <w:color w:val="auto"/>
          <w:sz w:val="28"/>
          <w:szCs w:val="28"/>
          <w:highlight w:val="none"/>
          <w:u w:val="single"/>
          <w:lang w:val="en-US" w:eastAsia="zh-CN"/>
        </w:rPr>
        <w:t>甲方</w:t>
      </w:r>
      <w:r>
        <w:rPr>
          <w:rFonts w:hint="default" w:ascii="仿宋" w:hAnsi="仿宋" w:eastAsia="仿宋" w:cs="仿宋"/>
          <w:color w:val="auto"/>
          <w:sz w:val="28"/>
          <w:szCs w:val="28"/>
          <w:highlight w:val="none"/>
          <w:u w:val="single"/>
        </w:rPr>
        <w:t>要求</w:t>
      </w:r>
      <w:r>
        <w:rPr>
          <w:rFonts w:hint="eastAsia" w:ascii="仿宋" w:hAnsi="仿宋" w:eastAsia="仿宋" w:cs="仿宋"/>
          <w:i w:val="0"/>
          <w:iCs w:val="0"/>
          <w:color w:val="auto"/>
          <w:sz w:val="28"/>
          <w:szCs w:val="28"/>
          <w:highlight w:val="none"/>
          <w:u w:val="single"/>
          <w:lang w:val="en-US" w:eastAsia="zh-CN"/>
        </w:rPr>
        <w:t>。</w:t>
      </w:r>
    </w:p>
    <w:p w14:paraId="7212A6BD">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2" w:name="_Toc18075"/>
      <w:bookmarkStart w:id="63" w:name="_Toc3824"/>
      <w:bookmarkStart w:id="64" w:name="_Toc22079"/>
      <w:bookmarkStart w:id="65" w:name="_Toc26353"/>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62"/>
      <w:bookmarkEnd w:id="63"/>
      <w:bookmarkEnd w:id="64"/>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65"/>
    </w:p>
    <w:p w14:paraId="560226D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5.1本工程质量标准：达到国家、</w:t>
      </w:r>
      <w:r>
        <w:rPr>
          <w:rFonts w:hint="eastAsia" w:ascii="仿宋" w:hAnsi="仿宋" w:eastAsia="仿宋" w:cs="仿宋"/>
          <w:color w:val="auto"/>
          <w:sz w:val="28"/>
          <w:szCs w:val="28"/>
          <w:highlight w:val="none"/>
          <w:lang w:val="en-US" w:eastAsia="zh-CN"/>
        </w:rPr>
        <w:t>本工程所在地政府主管部门、</w:t>
      </w:r>
      <w:r>
        <w:rPr>
          <w:rFonts w:hint="eastAsia" w:ascii="仿宋" w:hAnsi="仿宋" w:eastAsia="仿宋" w:cs="仿宋"/>
          <w:i w:val="0"/>
          <w:iCs w:val="0"/>
          <w:color w:val="auto"/>
          <w:sz w:val="28"/>
          <w:szCs w:val="28"/>
          <w:highlight w:val="none"/>
          <w:shd w:val="clear" w:color="auto" w:fill="auto"/>
          <w:lang w:val="en-US" w:eastAsia="zh-CN"/>
        </w:rPr>
        <w:t>行业相关施工质量验收规范的</w:t>
      </w:r>
      <w:r>
        <w:rPr>
          <w:rFonts w:hint="eastAsia" w:ascii="仿宋" w:hAnsi="仿宋" w:eastAsia="仿宋" w:cs="仿宋"/>
          <w:i w:val="0"/>
          <w:iCs w:val="0"/>
          <w:color w:val="auto"/>
          <w:sz w:val="28"/>
          <w:szCs w:val="28"/>
          <w:highlight w:val="none"/>
          <w:u w:val="single"/>
          <w:shd w:val="clear" w:color="auto" w:fill="auto"/>
          <w:lang w:val="en-US" w:eastAsia="zh-CN"/>
        </w:rPr>
        <w:t xml:space="preserve"> 优良 </w:t>
      </w:r>
      <w:r>
        <w:rPr>
          <w:rFonts w:hint="eastAsia" w:ascii="仿宋" w:hAnsi="仿宋" w:eastAsia="仿宋" w:cs="仿宋"/>
          <w:i w:val="0"/>
          <w:iCs w:val="0"/>
          <w:color w:val="auto"/>
          <w:sz w:val="28"/>
          <w:szCs w:val="28"/>
          <w:highlight w:val="none"/>
          <w:shd w:val="clear" w:color="auto" w:fill="auto"/>
          <w:lang w:val="en-US" w:eastAsia="zh-CN"/>
        </w:rPr>
        <w:t>标准，本合同另有约定的亦须同时符合该约定。</w:t>
      </w:r>
    </w:p>
    <w:p w14:paraId="595EC0D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bookmarkStart w:id="66" w:name="_Toc2060"/>
      <w:bookmarkStart w:id="67" w:name="_Toc19252"/>
      <w:r>
        <w:rPr>
          <w:rFonts w:hint="eastAsia" w:ascii="仿宋" w:hAnsi="仿宋" w:eastAsia="仿宋" w:cs="仿宋"/>
          <w:i w:val="0"/>
          <w:iCs w:val="0"/>
          <w:color w:val="auto"/>
          <w:sz w:val="28"/>
          <w:szCs w:val="28"/>
          <w:highlight w:val="none"/>
          <w:shd w:val="clear" w:color="auto" w:fill="auto"/>
          <w:lang w:val="en-US" w:eastAsia="zh-CN"/>
        </w:rPr>
        <w:t>5.2 质量要点：</w:t>
      </w:r>
    </w:p>
    <w:p w14:paraId="5B1982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5.2.1乙方导致本工程任一部位质量达不到约定的质量标准或不符合施工规范的，该部位按相应的合同单价下浮10％结算且乙方无条件完成整改，所发生的一切费用由乙方自行承担。</w:t>
      </w:r>
    </w:p>
    <w:p w14:paraId="436805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5.2.2乙方必须以甲方验收合格为标准，无条件接受返工、整改，工期不得顺延。</w:t>
      </w:r>
    </w:p>
    <w:p w14:paraId="66F459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5.2.3其他：</w:t>
      </w:r>
      <w:r>
        <w:rPr>
          <w:rFonts w:hint="eastAsia" w:ascii="仿宋" w:hAnsi="仿宋" w:eastAsia="仿宋" w:cs="仿宋"/>
          <w:i w:val="0"/>
          <w:iCs w:val="0"/>
          <w:color w:val="auto"/>
          <w:sz w:val="28"/>
          <w:szCs w:val="28"/>
          <w:highlight w:val="none"/>
          <w:u w:val="single"/>
          <w:lang w:val="en-US" w:eastAsia="zh-CN"/>
        </w:rPr>
        <w:t>/</w:t>
      </w:r>
      <w:r>
        <w:rPr>
          <w:rFonts w:hint="eastAsia" w:ascii="仿宋" w:hAnsi="仿宋" w:eastAsia="仿宋" w:cs="仿宋"/>
          <w:i w:val="0"/>
          <w:iCs w:val="0"/>
          <w:color w:val="auto"/>
          <w:sz w:val="28"/>
          <w:szCs w:val="28"/>
          <w:highlight w:val="none"/>
          <w:shd w:val="clear" w:color="auto" w:fill="auto"/>
          <w:lang w:val="en-US" w:eastAsia="zh-CN"/>
        </w:rPr>
        <w:t>。</w:t>
      </w:r>
    </w:p>
    <w:p w14:paraId="54B61066">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68" w:name="_Toc32571"/>
      <w:bookmarkStart w:id="69" w:name="_Toc29531"/>
      <w:r>
        <w:rPr>
          <w:rFonts w:hint="eastAsia" w:ascii="仿宋" w:hAnsi="仿宋" w:eastAsia="仿宋" w:cs="仿宋"/>
          <w:b/>
          <w:bCs/>
          <w:i w:val="0"/>
          <w:iCs w:val="0"/>
          <w:color w:val="auto"/>
          <w:sz w:val="28"/>
          <w:szCs w:val="28"/>
          <w:highlight w:val="none"/>
          <w:shd w:val="clear" w:color="auto" w:fill="auto"/>
          <w:lang w:val="en-US" w:eastAsia="zh-CN"/>
        </w:rPr>
        <w:t>合同价款</w:t>
      </w:r>
      <w:bookmarkEnd w:id="66"/>
      <w:bookmarkEnd w:id="67"/>
      <w:bookmarkEnd w:id="68"/>
      <w:bookmarkEnd w:id="69"/>
    </w:p>
    <w:p w14:paraId="5320DF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6.1</w:t>
      </w:r>
      <w:r>
        <w:rPr>
          <w:rFonts w:hint="eastAsia" w:ascii="仿宋" w:hAnsi="仿宋" w:eastAsia="仿宋" w:cs="仿宋"/>
          <w:i w:val="0"/>
          <w:iCs w:val="0"/>
          <w:color w:val="auto"/>
          <w:sz w:val="28"/>
          <w:szCs w:val="28"/>
          <w:highlight w:val="none"/>
        </w:rPr>
        <w:t>乙方完成合同所述工作、实现</w:t>
      </w:r>
      <w:r>
        <w:rPr>
          <w:rFonts w:hint="eastAsia" w:ascii="仿宋" w:hAnsi="仿宋" w:eastAsia="仿宋" w:cs="仿宋"/>
          <w:i w:val="0"/>
          <w:iCs w:val="0"/>
          <w:color w:val="auto"/>
          <w:sz w:val="28"/>
          <w:szCs w:val="28"/>
          <w:highlight w:val="none"/>
          <w:lang w:val="en-US" w:eastAsia="zh-CN"/>
        </w:rPr>
        <w:t>合同</w:t>
      </w:r>
      <w:r>
        <w:rPr>
          <w:rFonts w:hint="eastAsia" w:ascii="仿宋" w:hAnsi="仿宋" w:eastAsia="仿宋" w:cs="仿宋"/>
          <w:i w:val="0"/>
          <w:iCs w:val="0"/>
          <w:color w:val="auto"/>
          <w:sz w:val="28"/>
          <w:szCs w:val="28"/>
          <w:highlight w:val="none"/>
        </w:rPr>
        <w:t>工期要求、质量要求及承担合同义务、责任、风险的费用已包括在下列合同价中。</w:t>
      </w:r>
    </w:p>
    <w:p w14:paraId="0D4594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shd w:val="clear" w:color="auto" w:fill="auto"/>
          <w:lang w:val="en-US" w:eastAsia="zh-CN"/>
        </w:rPr>
        <w:t>本合同为固定单价合同，工程量按合同约定的计量规则计算</w:t>
      </w:r>
      <w:r>
        <w:rPr>
          <w:rFonts w:hint="eastAsia" w:ascii="仿宋" w:hAnsi="仿宋" w:eastAsia="仿宋" w:cs="仿宋"/>
          <w:b/>
          <w:bCs/>
          <w:i w:val="0"/>
          <w:iCs w:val="0"/>
          <w:color w:val="auto"/>
          <w:kern w:val="0"/>
          <w:sz w:val="28"/>
          <w:szCs w:val="28"/>
          <w:highlight w:val="none"/>
          <w:shd w:val="clear" w:color="auto" w:fill="auto"/>
          <w:lang w:val="en-US" w:eastAsia="zh-CN"/>
        </w:rPr>
        <w:t>。</w:t>
      </w:r>
      <w:r>
        <w:rPr>
          <w:rFonts w:hint="eastAsia" w:ascii="仿宋" w:hAnsi="仿宋" w:eastAsia="仿宋" w:cs="仿宋"/>
          <w:b/>
          <w:bCs/>
          <w:i w:val="0"/>
          <w:iCs w:val="0"/>
          <w:color w:val="auto"/>
          <w:sz w:val="28"/>
          <w:szCs w:val="28"/>
          <w:highlight w:val="none"/>
          <w:shd w:val="clear" w:color="auto" w:fill="auto"/>
          <w:lang w:val="en-US" w:eastAsia="zh-CN"/>
        </w:rPr>
        <w:t>合同单价（详见附件《报价清单》）为全费用固定综合单价，乙方开具税率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（以定标结果为准） </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%的增值税专用发票（税率按国家政策执行，如税率调整，合同单价随之调整），除合同另有约定外，合同单价不作任何调整。合同单价包含乙方完成合同附件所述内容的费用。本合同暂定总价为人民币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（以定标结果为准） </w:t>
      </w:r>
      <w:r>
        <w:rPr>
          <w:rFonts w:hint="eastAsia" w:ascii="仿宋" w:hAnsi="仿宋" w:eastAsia="仿宋" w:cs="仿宋"/>
          <w:b/>
          <w:bCs/>
          <w:i w:val="0"/>
          <w:iCs w:val="0"/>
          <w:color w:val="auto"/>
          <w:sz w:val="28"/>
          <w:szCs w:val="28"/>
          <w:highlight w:val="none"/>
          <w:shd w:val="clear" w:color="auto" w:fill="auto"/>
          <w:lang w:val="en-US" w:eastAsia="zh-CN"/>
        </w:rPr>
        <w:t>，此价仅供参考，不作结算用途。</w:t>
      </w:r>
    </w:p>
    <w:p w14:paraId="79FA9A2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shd w:val="clear" w:color="auto" w:fill="auto"/>
          <w:lang w:val="en-US" w:eastAsia="zh-CN"/>
        </w:rPr>
        <w:t>本合同为固定总价合同，合同总价为人民币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（以定标结果为准）  元整（详见附件），</w:t>
      </w:r>
      <w:r>
        <w:rPr>
          <w:rFonts w:hint="eastAsia" w:ascii="仿宋" w:hAnsi="仿宋" w:eastAsia="仿宋" w:cs="仿宋"/>
          <w:b/>
          <w:bCs/>
          <w:i w:val="0"/>
          <w:iCs w:val="0"/>
          <w:color w:val="auto"/>
          <w:sz w:val="28"/>
          <w:szCs w:val="28"/>
          <w:highlight w:val="none"/>
          <w:shd w:val="clear" w:color="auto" w:fill="auto"/>
          <w:lang w:val="en-US" w:eastAsia="zh-CN"/>
        </w:rPr>
        <w:t>此价含税，乙方开具税率（</w:t>
      </w:r>
      <w:r>
        <w:rPr>
          <w:rFonts w:hint="eastAsia" w:ascii="仿宋" w:hAnsi="仿宋" w:eastAsia="仿宋" w:cs="仿宋"/>
          <w:b/>
          <w:bCs/>
          <w:i w:val="0"/>
          <w:iCs w:val="0"/>
          <w:color w:val="auto"/>
          <w:sz w:val="28"/>
          <w:szCs w:val="28"/>
          <w:highlight w:val="none"/>
          <w:u w:val="single"/>
          <w:shd w:val="clear" w:color="auto" w:fill="auto"/>
          <w:lang w:val="en-US" w:eastAsia="zh-CN"/>
        </w:rPr>
        <w:t>以定标结果为准）</w:t>
      </w:r>
      <w:r>
        <w:rPr>
          <w:rFonts w:hint="eastAsia" w:ascii="仿宋" w:hAnsi="仿宋" w:eastAsia="仿宋" w:cs="仿宋"/>
          <w:b/>
          <w:bCs/>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r>
        <w:rPr>
          <w:rFonts w:hint="eastAsia" w:ascii="仿宋" w:hAnsi="仿宋" w:eastAsia="仿宋" w:cs="仿宋"/>
          <w:b/>
          <w:bCs/>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bookmarkStart w:id="70" w:name="_Toc9761"/>
      <w:bookmarkStart w:id="71" w:name="_Toc32757"/>
    </w:p>
    <w:p w14:paraId="3E4DCDD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6.2乙方完成下述工作及应对下述情况、风险的费用已包含在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合同总价中，甲方无需另行付费给乙方：</w:t>
      </w:r>
    </w:p>
    <w:p w14:paraId="0BB5246A">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99" w:leftChars="-95"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完成土方开挖、运输、外运、回填、压实、夯实、防扬尘及本合同第一部分合同专用条款第三章所述内容。</w:t>
      </w:r>
    </w:p>
    <w:p w14:paraId="64FAAE68">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199" w:leftChars="-95"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外运土方由乙方运至园区外堆放，弃土位置由乙方提供并须符合合同及当地国土、城管、村镇的相关要求和环保要求。</w:t>
      </w:r>
    </w:p>
    <w:p w14:paraId="5AB369CE">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t>6.3</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是以全面完成承包范围的工作内容而定，已考虑雨季汛期挖土施工。合同单价包含土方（淤泥）开挖、运输、外运、清洗场地内外被乙方污染的道路所产生的费用；乙方已对现场进行了全面踏勘，充分且详细地了解了现场地下、地上的所有设施，以及现场的实际地形地貌、环境状况等真实情况，合同单价包含对地上、地下所有设施的保护及损坏修复费用。非乙方原因造成不能挖运土方而产生的二次倒运费用包含在合同单价内。</w:t>
      </w:r>
    </w:p>
    <w:p w14:paraId="6D78C8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6.4</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val="en-US" w:eastAsia="zh-CN"/>
        </w:rPr>
        <w:t>合同总价适用于本项目全部工程工作内容，已有价格的子目双方无需另行确定单价，均按已确定的合同价格执行。</w:t>
      </w:r>
    </w:p>
    <w:p w14:paraId="4BA345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6.5</w:t>
      </w:r>
      <w:r>
        <w:rPr>
          <w:rFonts w:hint="eastAsia" w:ascii="仿宋" w:hAnsi="仿宋" w:eastAsia="仿宋" w:cs="仿宋"/>
          <w:b w:val="0"/>
          <w:bCs w:val="0"/>
          <w:i w:val="0"/>
          <w:iCs w:val="0"/>
          <w:color w:val="auto"/>
          <w:sz w:val="28"/>
          <w:szCs w:val="28"/>
          <w:highlight w:val="none"/>
          <w:u w:val="none"/>
          <w:shd w:val="clear" w:color="auto" w:fill="auto"/>
          <w:lang w:val="en-US" w:eastAsia="zh-CN"/>
        </w:rPr>
        <w:t>在本合同对应的招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2B36CA71">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2" w:name="_Toc28282"/>
      <w:bookmarkStart w:id="73" w:name="_Toc26663"/>
      <w:bookmarkStart w:id="74" w:name="_Toc19006"/>
      <w:r>
        <w:rPr>
          <w:rFonts w:hint="eastAsia" w:ascii="仿宋" w:hAnsi="仿宋" w:eastAsia="仿宋" w:cs="仿宋"/>
          <w:b/>
          <w:bCs/>
          <w:i w:val="0"/>
          <w:iCs w:val="0"/>
          <w:color w:val="auto"/>
          <w:sz w:val="28"/>
          <w:szCs w:val="28"/>
          <w:highlight w:val="none"/>
          <w:shd w:val="clear" w:color="auto" w:fill="auto"/>
          <w:lang w:val="en-US" w:eastAsia="zh-CN"/>
        </w:rPr>
        <w:t>计量计价方式及结算方式</w:t>
      </w:r>
      <w:bookmarkEnd w:id="72"/>
      <w:bookmarkEnd w:id="73"/>
      <w:bookmarkEnd w:id="74"/>
    </w:p>
    <w:bookmarkEnd w:id="70"/>
    <w:bookmarkEnd w:id="71"/>
    <w:p w14:paraId="2CB8E19E">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560"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75" w:name="_Toc24593"/>
      <w:bookmarkStart w:id="76" w:name="_Toc32089"/>
      <w:bookmarkStart w:id="77" w:name="_Toc16700"/>
      <w:bookmarkStart w:id="78" w:name="_Toc26012"/>
      <w:r>
        <w:rPr>
          <w:rFonts w:hint="eastAsia" w:ascii="仿宋" w:hAnsi="仿宋" w:eastAsia="仿宋" w:cs="仿宋"/>
          <w:b w:val="0"/>
          <w:bCs w:val="0"/>
          <w:color w:val="auto"/>
          <w:sz w:val="28"/>
          <w:szCs w:val="28"/>
          <w:highlight w:val="none"/>
          <w:lang w:val="en-US" w:eastAsia="zh-CN"/>
        </w:rPr>
        <w:t>7.1工程量计算原则</w:t>
      </w:r>
      <w:bookmarkEnd w:id="75"/>
      <w:bookmarkEnd w:id="76"/>
    </w:p>
    <w:p w14:paraId="1B28CA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1"/>
        <w:rPr>
          <w:rFonts w:hint="eastAsia" w:ascii="仿宋" w:hAnsi="仿宋" w:eastAsia="仿宋" w:cs="仿宋"/>
          <w:b w:val="0"/>
          <w:bCs w:val="0"/>
          <w:color w:val="auto"/>
          <w:sz w:val="28"/>
          <w:szCs w:val="28"/>
          <w:highlight w:val="none"/>
          <w:lang w:val="en-US" w:eastAsia="zh-CN"/>
        </w:rPr>
      </w:pPr>
      <w:bookmarkStart w:id="79" w:name="_Toc24341"/>
      <w:bookmarkStart w:id="80" w:name="_Toc27675"/>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color w:val="auto"/>
          <w:sz w:val="28"/>
          <w:szCs w:val="28"/>
          <w:highlight w:val="none"/>
          <w:lang w:val="en-US" w:eastAsia="zh-CN"/>
        </w:rPr>
        <w:t>总价包干合同；合同范围内的按合同约定的计算原则执行，合同无约定或合同范围外的签证、变更工程计量方式按本合同相关条款执行。</w:t>
      </w:r>
      <w:bookmarkEnd w:id="79"/>
      <w:bookmarkEnd w:id="80"/>
    </w:p>
    <w:p w14:paraId="67F55A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1"/>
        <w:rPr>
          <w:rFonts w:hint="eastAsia" w:ascii="仿宋" w:hAnsi="仿宋" w:eastAsia="仿宋" w:cs="仿宋"/>
          <w:b w:val="0"/>
          <w:bCs w:val="0"/>
          <w:color w:val="auto"/>
          <w:sz w:val="28"/>
          <w:szCs w:val="28"/>
          <w:highlight w:val="none"/>
          <w:lang w:val="en-US" w:eastAsia="zh-CN"/>
        </w:rPr>
      </w:pPr>
      <w:bookmarkStart w:id="81" w:name="_Toc31267"/>
      <w:bookmarkStart w:id="82" w:name="_Toc12460"/>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color w:val="auto"/>
          <w:sz w:val="28"/>
          <w:szCs w:val="28"/>
          <w:highlight w:val="none"/>
          <w:lang w:val="en-US" w:eastAsia="zh-CN"/>
        </w:rPr>
        <w:t>固定单价合同：</w:t>
      </w:r>
      <w:bookmarkEnd w:id="81"/>
      <w:r>
        <w:rPr>
          <w:rFonts w:hint="eastAsia" w:ascii="仿宋" w:hAnsi="仿宋" w:eastAsia="仿宋" w:cs="仿宋"/>
          <w:b w:val="0"/>
          <w:bCs w:val="0"/>
          <w:color w:val="auto"/>
          <w:sz w:val="28"/>
          <w:szCs w:val="28"/>
          <w:highlight w:val="none"/>
          <w:lang w:val="en-US" w:eastAsia="zh-CN"/>
        </w:rPr>
        <w:t>合同范围内的按合同约定的计算原则执行，合同无约定或合同范围外的签证、变更工程计量方式按本合同7.2、7.3条款执行。</w:t>
      </w:r>
      <w:bookmarkEnd w:id="82"/>
    </w:p>
    <w:p w14:paraId="2726657E">
      <w:pPr>
        <w:keepNext w:val="0"/>
        <w:keepLines w:val="0"/>
        <w:pageBreakBefore w:val="0"/>
        <w:widowControl w:val="0"/>
        <w:shd w:val="clear" w:color="auto" w:fill="auto"/>
        <w:kinsoku/>
        <w:wordWrap/>
        <w:overflowPunct/>
        <w:topLinePunct w:val="0"/>
        <w:autoSpaceDE/>
        <w:autoSpaceDN/>
        <w:bidi w:val="0"/>
        <w:adjustRightInd w:val="0"/>
        <w:snapToGrid w:val="0"/>
        <w:spacing w:beforeLines="0" w:afterLines="0" w:line="360" w:lineRule="auto"/>
        <w:ind w:left="0" w:leftChars="0" w:right="-15" w:rightChars="-7"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w:t>
      </w:r>
      <w:r>
        <w:rPr>
          <w:rFonts w:hint="eastAsia" w:ascii="仿宋" w:hAnsi="仿宋" w:eastAsia="仿宋" w:cs="仿宋"/>
          <w:b w:val="0"/>
          <w:bCs w:val="0"/>
          <w:i w:val="0"/>
          <w:iCs w:val="0"/>
          <w:color w:val="auto"/>
          <w:sz w:val="28"/>
          <w:szCs w:val="28"/>
          <w:highlight w:val="none"/>
          <w:shd w:val="clear" w:color="auto" w:fill="auto"/>
          <w:lang w:val="en-US" w:eastAsia="zh-CN"/>
        </w:rPr>
        <w:t>工程量计量规则：执行《广东省建筑与装饰工程计价定额（2018年）》工程量计算规则、《广东省安装工程计价定额2018）》工程量计算规则、《广东省市政工程计价定额（2018年）》工程量计算规则、《广东省城市园林绿化养护管理计价定额（2018年）》工程量计算规则、《建筑工程建筑面积计算规范（GB50353-2013）》进行计算。</w:t>
      </w:r>
    </w:p>
    <w:p w14:paraId="31DB42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7.3计价依据</w:t>
      </w:r>
    </w:p>
    <w:p w14:paraId="319DA0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7.3.1合同范围内的工程，按合同单价执行；</w:t>
      </w:r>
    </w:p>
    <w:p w14:paraId="580BFE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7.3.2合同范围外的签证变更价款的调整方法：</w:t>
      </w:r>
    </w:p>
    <w:p w14:paraId="0DEB66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7.3.2.1合同中已有适用于变更工程的价格，按合同已有的价格执行；</w:t>
      </w:r>
    </w:p>
    <w:p w14:paraId="593310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7.3.2.2合同中只有类似于变更工程的价格，可在合理范围内参照类似价格执行；</w:t>
      </w:r>
    </w:p>
    <w:p w14:paraId="02E2FA4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7.3.2.3合同中没有适用或类似于变更工程的价格，按以下计价规则执行。</w:t>
      </w:r>
    </w:p>
    <w:p w14:paraId="6F3EB8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7.3.3计价规则</w:t>
      </w:r>
    </w:p>
    <w:p w14:paraId="3A1995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7.3.3.1</w:t>
      </w:r>
      <w:r>
        <w:rPr>
          <w:rFonts w:hint="eastAsia" w:ascii="仿宋" w:hAnsi="仿宋" w:eastAsia="仿宋" w:cs="仿宋"/>
          <w:b w:val="0"/>
          <w:bCs w:val="0"/>
          <w:i w:val="0"/>
          <w:iCs w:val="0"/>
          <w:color w:val="auto"/>
          <w:sz w:val="28"/>
          <w:szCs w:val="28"/>
          <w:highlight w:val="none"/>
          <w:u w:val="none"/>
          <w:shd w:val="clear" w:color="auto" w:fill="auto"/>
          <w:lang w:val="en-US" w:eastAsia="zh-CN"/>
        </w:rPr>
        <w:t>本工程执行《广东省建筑与装饰工程计价定额（2018年）》《广东省安装工程计价定额（2018年）》清单计价程序取费，绿化部分执行《广东省城市园林绿化养护管理计价定额（2018年）》清单计价程序取费。采用清单计价，执行《建设工程工程量清单计价规范》（GB50500—2013）；同时执行《广东省建设工程计价依据》： 《广东省建筑与装饰工程计价定额（2018年）》《广东省安装工程计价定额（2018年）》《广东省市政工程计价定额（2018年）》《广东省城市园林绿化养护管理计价定额（2018年）》《广东省工程量清单计价指引（2013年）》等以及国家行政主管部门颁布的相关规定文件</w:t>
      </w:r>
      <w:r>
        <w:rPr>
          <w:rFonts w:hint="eastAsia" w:ascii="仿宋" w:hAnsi="仿宋" w:eastAsia="仿宋" w:cs="仿宋"/>
          <w:b w:val="0"/>
          <w:bCs w:val="0"/>
          <w:i w:val="0"/>
          <w:iCs w:val="0"/>
          <w:color w:val="auto"/>
          <w:sz w:val="28"/>
          <w:szCs w:val="28"/>
          <w:highlight w:val="none"/>
          <w:lang w:val="en-US" w:eastAsia="zh-CN"/>
        </w:rPr>
        <w:t>。</w:t>
      </w:r>
    </w:p>
    <w:p w14:paraId="34178D2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7.3.3.2材料价、人工价：执行本项目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5F23F5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7.3.3.3计价中除仅计取人工费、材料费、机具费作为直接工程费外，其余按系数计取的各类取费均不计取，另外其他所有措施费均不单独计取费用。</w:t>
      </w:r>
    </w:p>
    <w:p w14:paraId="72F3B9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7.3.3.4税率：按国家建设行政主管部门及国家税务部门的最新规定执行。</w:t>
      </w:r>
    </w:p>
    <w:p w14:paraId="052F6B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left"/>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7.3.3.5上述计费方式得出价款后（甲方直接确认的综合单价不参与上下浮的除外）：</w:t>
      </w:r>
      <w:r>
        <w:rPr>
          <w:rFonts w:hint="eastAsia" w:ascii="仿宋" w:hAnsi="仿宋" w:eastAsia="仿宋" w:cs="仿宋"/>
          <w:b/>
          <w:bCs/>
          <w:i w:val="0"/>
          <w:iCs w:val="0"/>
          <w:color w:val="auto"/>
          <w:sz w:val="28"/>
          <w:szCs w:val="28"/>
          <w:highlight w:val="none"/>
          <w:shd w:val="clear" w:color="auto" w:fill="auto"/>
          <w:lang w:val="en-US" w:eastAsia="zh-CN"/>
        </w:rPr>
        <w:t>包工包部分材料（仅不含甲供材）的工程按以上计价方式（仅计取人工费和乙方提供的辅材和机械费）税前下浮</w:t>
      </w:r>
      <w:r>
        <w:rPr>
          <w:rFonts w:hint="eastAsia" w:ascii="仿宋" w:hAnsi="仿宋" w:eastAsia="仿宋" w:cs="仿宋"/>
          <w:b/>
          <w:bCs/>
          <w:i w:val="0"/>
          <w:iCs w:val="0"/>
          <w:color w:val="auto"/>
          <w:sz w:val="28"/>
          <w:szCs w:val="28"/>
          <w:highlight w:val="none"/>
          <w:u w:val="single"/>
          <w:shd w:val="clear" w:color="auto" w:fill="auto"/>
          <w:lang w:val="en-US" w:eastAsia="zh-CN"/>
        </w:rPr>
        <w:t>15%</w:t>
      </w:r>
      <w:r>
        <w:rPr>
          <w:rFonts w:hint="eastAsia" w:ascii="仿宋" w:hAnsi="仿宋" w:eastAsia="仿宋" w:cs="仿宋"/>
          <w:b/>
          <w:bCs/>
          <w:i w:val="0"/>
          <w:iCs w:val="0"/>
          <w:color w:val="auto"/>
          <w:sz w:val="28"/>
          <w:szCs w:val="28"/>
          <w:highlight w:val="none"/>
          <w:shd w:val="clear" w:color="auto" w:fill="auto"/>
          <w:lang w:val="en-US" w:eastAsia="zh-CN"/>
        </w:rPr>
        <w:t>后计取税金；包工包料的工</w:t>
      </w:r>
      <w:bookmarkStart w:id="602" w:name="_GoBack"/>
      <w:bookmarkEnd w:id="602"/>
      <w:r>
        <w:rPr>
          <w:rFonts w:hint="eastAsia" w:ascii="仿宋" w:hAnsi="仿宋" w:eastAsia="仿宋" w:cs="仿宋"/>
          <w:b/>
          <w:bCs/>
          <w:i w:val="0"/>
          <w:iCs w:val="0"/>
          <w:color w:val="auto"/>
          <w:sz w:val="28"/>
          <w:szCs w:val="28"/>
          <w:highlight w:val="none"/>
          <w:shd w:val="clear" w:color="auto" w:fill="auto"/>
          <w:lang w:val="en-US" w:eastAsia="zh-CN"/>
        </w:rPr>
        <w:t>程按以上计价方式（仅计取人工费、材料费和机械费）税前下浮</w:t>
      </w:r>
      <w:r>
        <w:rPr>
          <w:rFonts w:hint="eastAsia" w:ascii="仿宋" w:hAnsi="仿宋" w:eastAsia="仿宋" w:cs="仿宋"/>
          <w:b/>
          <w:bCs/>
          <w:i w:val="0"/>
          <w:iCs w:val="0"/>
          <w:color w:val="auto"/>
          <w:sz w:val="28"/>
          <w:szCs w:val="28"/>
          <w:highlight w:val="none"/>
          <w:u w:val="single"/>
          <w:shd w:val="clear" w:color="auto" w:fill="auto"/>
          <w:lang w:val="en-US" w:eastAsia="zh-CN"/>
        </w:rPr>
        <w:t>28%</w:t>
      </w:r>
      <w:r>
        <w:rPr>
          <w:rFonts w:hint="eastAsia" w:ascii="仿宋" w:hAnsi="仿宋" w:eastAsia="仿宋" w:cs="仿宋"/>
          <w:b/>
          <w:bCs/>
          <w:i w:val="0"/>
          <w:iCs w:val="0"/>
          <w:color w:val="auto"/>
          <w:sz w:val="28"/>
          <w:szCs w:val="28"/>
          <w:highlight w:val="none"/>
          <w:shd w:val="clear" w:color="auto" w:fill="auto"/>
          <w:lang w:val="en-US" w:eastAsia="zh-CN"/>
        </w:rPr>
        <w:t>后计取税金。</w:t>
      </w:r>
      <w:r>
        <w:rPr>
          <w:rFonts w:hint="eastAsia" w:ascii="仿宋" w:hAnsi="仿宋" w:eastAsia="仿宋" w:cs="仿宋"/>
          <w:b w:val="0"/>
          <w:bCs w:val="0"/>
          <w:i w:val="0"/>
          <w:iCs w:val="0"/>
          <w:color w:val="auto"/>
          <w:sz w:val="28"/>
          <w:szCs w:val="28"/>
          <w:highlight w:val="none"/>
          <w:shd w:val="clear" w:color="auto" w:fill="auto"/>
          <w:lang w:val="en-US" w:eastAsia="zh-CN"/>
        </w:rPr>
        <w:t>（结算时，如乙方已请款部分开具的发票税率与合同约定不同时，须提供已请款金额及相应税率，且须甲方财务签字确认）</w:t>
      </w:r>
    </w:p>
    <w:p w14:paraId="4B0C93BC">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83" w:name="_Toc1836"/>
      <w:bookmarkStart w:id="84" w:name="_Toc31696"/>
      <w:r>
        <w:rPr>
          <w:rFonts w:hint="eastAsia" w:ascii="仿宋" w:hAnsi="仿宋" w:eastAsia="仿宋" w:cs="仿宋"/>
          <w:b/>
          <w:bCs/>
          <w:i w:val="0"/>
          <w:iCs w:val="0"/>
          <w:color w:val="auto"/>
          <w:sz w:val="28"/>
          <w:szCs w:val="28"/>
          <w:highlight w:val="none"/>
          <w:shd w:val="clear" w:color="auto" w:fill="auto"/>
          <w:lang w:val="en-US" w:eastAsia="zh-CN"/>
        </w:rPr>
        <w:t>付款方式</w:t>
      </w:r>
      <w:bookmarkEnd w:id="77"/>
      <w:bookmarkEnd w:id="78"/>
      <w:bookmarkEnd w:id="83"/>
      <w:bookmarkEnd w:id="84"/>
    </w:p>
    <w:p w14:paraId="59557C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bCs/>
          <w:i w:val="0"/>
          <w:iCs w:val="0"/>
          <w:color w:val="auto"/>
          <w:sz w:val="28"/>
          <w:szCs w:val="28"/>
          <w:highlight w:val="none"/>
          <w:shd w:val="clear" w:color="auto" w:fill="auto"/>
          <w:lang w:val="en-US" w:eastAsia="zh-CN"/>
        </w:rPr>
        <w:t>8.1付款方式一</w:t>
      </w:r>
    </w:p>
    <w:p w14:paraId="02AB30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8.1.1本合同生效，乙方完成本工程全部工程量的30%以上并经甲方确认，且乙方提供齐款项审批资料给甲方，甲方审核无误后支付至本工程已完成合格工程量造价的60%作为进度款（含乙方工人工资）。</w:t>
      </w:r>
    </w:p>
    <w:p w14:paraId="45CD91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8.1.2乙方完成本工程全部工程量的60%以上并经甲方确认，且乙方提供齐款项审批资料给甲方，甲方审核无误后支付至本工程已完成合格工程量造价的60%作为进度款（含乙方工人工资）。</w:t>
      </w:r>
    </w:p>
    <w:p w14:paraId="6A9D5C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8.1.3本工程完工经甲方确认，乙方提供齐款项审批资料给甲方，甲方审核无误后支付至本工程已完成合格工程量造价的80%（含乙方工人工资）。</w:t>
      </w:r>
    </w:p>
    <w:p w14:paraId="3E4C174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8.1.4本工程经建设单位、监理单位、甲方、乙方等相关单位竣工验收合格，乙方人员、设备全部退场并向甲方移交施工场地，建设单位、监理单位和甲方共同确认竣工图编制完成且合格后，乙方方可提交本工程的结算申请。甲乙双方就结算金额达成书面一致且乙方开具金额等于结算总价100%的发票给甲方后，甲方向乙方付至本工程结算总价的97%（含乙方工人工资）。</w:t>
      </w:r>
    </w:p>
    <w:p w14:paraId="4F857F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8.1.5余款作为保修金，保修期满一年且乙方如实履行保修义务后，双方无息结清保修金。</w:t>
      </w:r>
    </w:p>
    <w:p w14:paraId="2C5CE726">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b/>
          <w:bCs/>
          <w:i w:val="0"/>
          <w:iCs w:val="0"/>
          <w:color w:val="auto"/>
          <w:sz w:val="28"/>
          <w:szCs w:val="28"/>
          <w:highlight w:val="none"/>
          <w:shd w:val="clear" w:color="auto" w:fill="auto"/>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bCs/>
          <w:i w:val="0"/>
          <w:iCs w:val="0"/>
          <w:color w:val="auto"/>
          <w:sz w:val="28"/>
          <w:szCs w:val="28"/>
          <w:highlight w:val="none"/>
          <w:shd w:val="clear" w:color="auto" w:fill="auto"/>
          <w:lang w:val="en-US" w:eastAsia="zh-CN"/>
        </w:rPr>
        <w:t>8.1付款方式二</w:t>
      </w:r>
    </w:p>
    <w:p w14:paraId="340129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u w:val="single"/>
          <w:shd w:val="clear" w:color="auto" w:fill="auto"/>
          <w:lang w:val="en-US" w:eastAsia="zh-CN"/>
        </w:rPr>
      </w:pPr>
      <w:r>
        <w:rPr>
          <w:rFonts w:hint="eastAsia" w:ascii="仿宋" w:hAnsi="仿宋" w:eastAsia="仿宋" w:cs="仿宋"/>
          <w:b w:val="0"/>
          <w:bCs w:val="0"/>
          <w:i w:val="0"/>
          <w:iCs w:val="0"/>
          <w:color w:val="auto"/>
          <w:sz w:val="28"/>
          <w:szCs w:val="28"/>
          <w:highlight w:val="none"/>
          <w:u w:val="single"/>
          <w:shd w:val="clear" w:color="auto" w:fill="auto"/>
          <w:lang w:val="en-US" w:eastAsia="zh-CN"/>
        </w:rPr>
        <w:t>（如定标结果的付款方式与上述“8.1条付款方式一”不一致，则将定标结果的付款方式填写在此处作为合同付款方式）</w:t>
      </w:r>
    </w:p>
    <w:p w14:paraId="2EF28AB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560" w:firstLineChars="200"/>
        <w:jc w:val="both"/>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8.2合同履约保证金为人民币</w:t>
      </w:r>
      <w:r>
        <w:rPr>
          <w:rFonts w:hint="eastAsia" w:ascii="仿宋" w:hAnsi="仿宋" w:eastAsia="仿宋" w:cs="仿宋"/>
          <w:b/>
          <w:bCs/>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shd w:val="clear" w:color="auto" w:fill="auto"/>
          <w:lang w:val="en-US" w:eastAsia="zh-CN"/>
        </w:rPr>
        <w:t>元整（由乙方的投标保证金无息转成）。</w:t>
      </w:r>
      <w:r>
        <w:rPr>
          <w:rFonts w:hint="eastAsia" w:ascii="仿宋" w:hAnsi="仿宋" w:eastAsia="仿宋" w:cs="仿宋"/>
          <w:color w:val="auto"/>
          <w:sz w:val="28"/>
          <w:szCs w:val="28"/>
          <w:highlight w:val="none"/>
          <w:u w:val="none"/>
          <w:lang w:val="en-US" w:eastAsia="zh-CN"/>
        </w:rPr>
        <w:t>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甲方支付第一笔合同款时，如乙方无违约行为</w:t>
      </w:r>
      <w:r>
        <w:rPr>
          <w:rFonts w:hint="eastAsia" w:ascii="仿宋" w:hAnsi="仿宋" w:eastAsia="仿宋" w:cs="仿宋"/>
          <w:i w:val="0"/>
          <w:iCs w:val="0"/>
          <w:color w:val="auto"/>
          <w:kern w:val="0"/>
          <w:sz w:val="28"/>
          <w:szCs w:val="28"/>
          <w:highlight w:val="none"/>
          <w:u w:val="none"/>
          <w:shd w:val="clear" w:color="auto" w:fill="auto"/>
          <w:lang w:val="en-US" w:eastAsia="zh-CN"/>
        </w:rPr>
        <w:t>，甲方</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同</w:t>
      </w:r>
      <w:r>
        <w:rPr>
          <w:rFonts w:hint="eastAsia" w:ascii="仿宋" w:hAnsi="仿宋" w:eastAsia="仿宋" w:cs="仿宋"/>
          <w:color w:val="auto"/>
          <w:sz w:val="28"/>
          <w:szCs w:val="28"/>
          <w:highlight w:val="none"/>
          <w:u w:val="none"/>
          <w:lang w:val="en-US" w:eastAsia="zh-CN"/>
        </w:rPr>
        <w:t>时无息原路退回剩余的履约保证金</w:t>
      </w:r>
      <w:r>
        <w:rPr>
          <w:rFonts w:hint="eastAsia" w:ascii="仿宋" w:hAnsi="仿宋" w:eastAsia="仿宋" w:cs="仿宋"/>
          <w:b w:val="0"/>
          <w:bCs w:val="0"/>
          <w:i w:val="0"/>
          <w:iCs w:val="0"/>
          <w:color w:val="auto"/>
          <w:sz w:val="28"/>
          <w:szCs w:val="28"/>
          <w:highlight w:val="none"/>
          <w:shd w:val="clear" w:color="auto" w:fill="auto"/>
          <w:lang w:val="en-US" w:eastAsia="zh-CN"/>
        </w:rPr>
        <w:t>。</w:t>
      </w:r>
    </w:p>
    <w:p w14:paraId="6959B9DF">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85" w:name="_Toc24215"/>
      <w:bookmarkStart w:id="86" w:name="_Toc15443"/>
      <w:bookmarkStart w:id="87" w:name="_Toc5830"/>
      <w:bookmarkStart w:id="88" w:name="_Toc878"/>
      <w:r>
        <w:rPr>
          <w:rFonts w:hint="eastAsia" w:ascii="仿宋" w:hAnsi="仿宋" w:eastAsia="仿宋" w:cs="仿宋"/>
          <w:b/>
          <w:bCs/>
          <w:i w:val="0"/>
          <w:iCs w:val="0"/>
          <w:color w:val="auto"/>
          <w:sz w:val="28"/>
          <w:szCs w:val="28"/>
          <w:highlight w:val="none"/>
          <w:shd w:val="clear" w:color="auto" w:fill="auto"/>
          <w:lang w:val="en-US" w:eastAsia="zh-CN"/>
        </w:rPr>
        <w:t>双方责任和权利</w:t>
      </w:r>
      <w:bookmarkEnd w:id="85"/>
      <w:bookmarkEnd w:id="86"/>
      <w:bookmarkEnd w:id="87"/>
      <w:bookmarkEnd w:id="88"/>
    </w:p>
    <w:p w14:paraId="70B4DF9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bookmarkStart w:id="89" w:name="_Toc26064"/>
      <w:bookmarkStart w:id="90" w:name="_Toc5199"/>
      <w:bookmarkStart w:id="91" w:name="_Toc15487"/>
      <w:bookmarkStart w:id="92" w:name="_Toc29715"/>
      <w:bookmarkStart w:id="93" w:name="_Toc11799"/>
      <w:r>
        <w:rPr>
          <w:rFonts w:hint="eastAsia" w:ascii="仿宋" w:hAnsi="仿宋" w:eastAsia="仿宋" w:cs="仿宋"/>
          <w:b w:val="0"/>
          <w:bCs w:val="0"/>
          <w:i w:val="0"/>
          <w:iCs w:val="0"/>
          <w:color w:val="auto"/>
          <w:sz w:val="28"/>
          <w:szCs w:val="28"/>
          <w:highlight w:val="none"/>
          <w:shd w:val="clear" w:color="auto" w:fill="auto"/>
          <w:lang w:val="en-US" w:eastAsia="zh-CN"/>
        </w:rPr>
        <w:t>9.1甲方责任和权利</w:t>
      </w:r>
      <w:bookmarkEnd w:id="89"/>
      <w:bookmarkEnd w:id="90"/>
      <w:bookmarkEnd w:id="91"/>
      <w:bookmarkEnd w:id="92"/>
      <w:bookmarkEnd w:id="93"/>
    </w:p>
    <w:p w14:paraId="08FC629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9.1.1</w:t>
      </w:r>
      <w:r>
        <w:rPr>
          <w:rFonts w:hint="eastAsia" w:ascii="仿宋" w:hAnsi="仿宋" w:eastAsia="仿宋" w:cs="仿宋"/>
          <w:b w:val="0"/>
          <w:bCs w:val="0"/>
          <w:i w:val="0"/>
          <w:iCs w:val="0"/>
          <w:color w:val="auto"/>
          <w:sz w:val="28"/>
          <w:szCs w:val="28"/>
          <w:highlight w:val="none"/>
          <w:u w:val="none"/>
          <w:shd w:val="clear" w:color="auto" w:fill="auto"/>
          <w:lang w:val="en-US" w:eastAsia="zh-CN"/>
        </w:rPr>
        <w:t>提供给乙方工程施工图纸1套。</w:t>
      </w:r>
    </w:p>
    <w:p w14:paraId="0C533B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9.2乙方责任和权利</w:t>
      </w:r>
    </w:p>
    <w:p w14:paraId="398238E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9.2.1</w:t>
      </w:r>
      <w:r>
        <w:rPr>
          <w:rFonts w:hint="eastAsia" w:ascii="仿宋" w:hAnsi="仿宋" w:eastAsia="仿宋" w:cs="仿宋"/>
          <w:i w:val="0"/>
          <w:iCs w:val="0"/>
          <w:color w:val="auto"/>
          <w:sz w:val="28"/>
          <w:szCs w:val="28"/>
          <w:highlight w:val="none"/>
          <w:lang w:val="en-US" w:eastAsia="zh-CN"/>
        </w:rPr>
        <w:t>施工前，乙方须仔细阅读本工程相关地质资料，并明确现场施工场地是否与地质资料相符，提出合理化建议。因乙方未对地质资料进行实际核查而导致的不良后果、责任及损失均由乙方承担</w:t>
      </w:r>
      <w:r>
        <w:rPr>
          <w:rFonts w:hint="eastAsia" w:ascii="仿宋" w:hAnsi="仿宋" w:eastAsia="仿宋" w:cs="仿宋"/>
          <w:b w:val="0"/>
          <w:bCs w:val="0"/>
          <w:i w:val="0"/>
          <w:iCs w:val="0"/>
          <w:color w:val="auto"/>
          <w:sz w:val="28"/>
          <w:szCs w:val="28"/>
          <w:highlight w:val="none"/>
          <w:lang w:val="en-US" w:eastAsia="zh-CN"/>
        </w:rPr>
        <w:t>。</w:t>
      </w:r>
    </w:p>
    <w:p w14:paraId="5A964C3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9.2.2</w:t>
      </w:r>
      <w:r>
        <w:rPr>
          <w:rFonts w:hint="eastAsia" w:ascii="仿宋" w:hAnsi="仿宋" w:eastAsia="仿宋" w:cs="仿宋"/>
          <w:sz w:val="28"/>
          <w:szCs w:val="28"/>
          <w:highlight w:val="none"/>
          <w:lang w:val="en-US" w:eastAsia="zh-CN"/>
        </w:rPr>
        <w:t>乙方负责建立健全施工安全管理体系，配备专业安全管理人员，制定并落实安全操作规程。为施工人员配备安全帽、安全带等防护用品，对开挖现场设置明显的安全警示标识，定期组织安全培训与应急演练，防止安全事故发生。</w:t>
      </w:r>
    </w:p>
    <w:p w14:paraId="153A34C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9.2.3乙方严格按照设计图纸和施工规范进行土方开挖作业，确保开挖的尺寸、坡度、平整度等符合要求。对每一道施工工序进行质量检验，如发现质量问题及时整改，保证工程质量达到合同约定标准。</w:t>
      </w:r>
    </w:p>
    <w:p w14:paraId="189DE6F7">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9.2.4乙方须采取有效措施减少土方开挖过程中对周边环境的影响，如控制粉尘、噪声污染，妥善处理施工弃渣，防止水土流失。当施工结束后，乙方应严格按照环保要求，对开挖区域的裸露地面及时覆盖防尘网，以减少扬尘。</w:t>
      </w:r>
    </w:p>
    <w:p w14:paraId="442CACD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9.2.5乙方根据合同约定的工期，制定合理的施工进度计划并严格执行。定期向甲方汇报工程进度，若因乙方原因导致工期延误，乙方承担违约责任。</w:t>
      </w:r>
    </w:p>
    <w:p w14:paraId="3E93EE9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9.2.6乙方合理组织和管理施工人员，确保人员具备相应资质和技能，对施工设备进行定期维护和保养，保证设备性能良好，安全运行。</w:t>
      </w:r>
    </w:p>
    <w:p w14:paraId="43E10D06">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9.2.7乙方收集、整理施工过程中的各类资料，包括施工记录、土质土样照片、安全检查记录等，在工程竣工后及时提交给甲方，作为工程验收和存档的依据。</w:t>
      </w:r>
    </w:p>
    <w:p w14:paraId="3BB45465">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highlight w:val="none"/>
          <w:lang w:val="en-US" w:eastAsia="zh-CN"/>
        </w:rPr>
      </w:pPr>
      <w:r>
        <w:rPr>
          <w:rFonts w:hint="eastAsia" w:ascii="仿宋" w:hAnsi="仿宋" w:eastAsia="仿宋" w:cs="仿宋"/>
          <w:b w:val="0"/>
          <w:bCs w:val="0"/>
          <w:i w:val="0"/>
          <w:iCs w:val="0"/>
          <w:color w:val="auto"/>
          <w:sz w:val="28"/>
          <w:szCs w:val="28"/>
          <w:highlight w:val="none"/>
          <w:lang w:val="en-US" w:eastAsia="zh-CN"/>
        </w:rPr>
        <w:t>9.2.8乙方须保护好自身施工的材料、机械等设备，如有被偷盗、损坏等现象发生，由乙方自行负责。</w:t>
      </w:r>
    </w:p>
    <w:p w14:paraId="46D44387">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left="0" w:leftChars="0"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94" w:name="_Toc25504"/>
      <w:bookmarkStart w:id="95" w:name="_Toc14868"/>
      <w:bookmarkStart w:id="96" w:name="_Toc10092"/>
      <w:bookmarkStart w:id="97" w:name="_Toc24202"/>
      <w:bookmarkStart w:id="98" w:name="_Toc3557"/>
      <w:bookmarkStart w:id="99" w:name="_Toc7932"/>
      <w:bookmarkStart w:id="100" w:name="_Toc15001"/>
      <w:bookmarkStart w:id="101" w:name="_Toc22226"/>
      <w:r>
        <w:rPr>
          <w:rFonts w:hint="eastAsia" w:ascii="仿宋" w:hAnsi="仿宋" w:eastAsia="仿宋" w:cs="仿宋"/>
          <w:b/>
          <w:bCs/>
          <w:i w:val="0"/>
          <w:iCs w:val="0"/>
          <w:color w:val="auto"/>
          <w:sz w:val="28"/>
          <w:szCs w:val="28"/>
          <w:highlight w:val="none"/>
          <w:shd w:val="clear" w:color="auto" w:fill="auto"/>
          <w:lang w:val="en-US" w:eastAsia="zh-CN"/>
        </w:rPr>
        <w:t>验收及保修</w:t>
      </w:r>
      <w:bookmarkEnd w:id="94"/>
    </w:p>
    <w:p w14:paraId="61D923F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0</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1</w:t>
      </w:r>
    </w:p>
    <w:p w14:paraId="29B516EB">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rPr>
        <w:sym w:font="Wingdings 2" w:char="00A3"/>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w:t>
      </w:r>
      <w:r>
        <w:rPr>
          <w:rFonts w:hint="eastAsia" w:ascii="仿宋" w:hAnsi="仿宋" w:eastAsia="仿宋" w:cs="仿宋"/>
          <w:b w:val="0"/>
          <w:bCs w:val="0"/>
          <w:i w:val="0"/>
          <w:iCs w:val="0"/>
          <w:color w:val="auto"/>
          <w:sz w:val="28"/>
          <w:szCs w:val="28"/>
          <w:highlight w:val="none"/>
          <w:shd w:val="clear" w:color="auto" w:fill="auto"/>
        </w:rPr>
        <w:t>内容全部完工，乙方自检符合质量要求后提请甲方及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b w:val="0"/>
          <w:bCs w:val="0"/>
          <w:i w:val="0"/>
          <w:iCs w:val="0"/>
          <w:color w:val="auto"/>
          <w:sz w:val="28"/>
          <w:szCs w:val="28"/>
          <w:highlight w:val="none"/>
          <w:shd w:val="clear" w:color="auto" w:fill="auto"/>
        </w:rPr>
        <w:t>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w:t>
      </w:r>
      <w:r>
        <w:rPr>
          <w:rFonts w:hint="eastAsia" w:ascii="仿宋" w:hAnsi="仿宋" w:eastAsia="仿宋" w:cs="仿宋"/>
          <w:b w:val="0"/>
          <w:bCs w:val="0"/>
          <w:i w:val="0"/>
          <w:iCs w:val="0"/>
          <w:color w:val="auto"/>
          <w:sz w:val="28"/>
          <w:szCs w:val="28"/>
          <w:highlight w:val="none"/>
          <w:shd w:val="clear" w:color="auto" w:fill="auto"/>
          <w:lang w:val="en-US" w:eastAsia="zh-CN"/>
        </w:rPr>
        <w:t>之</w:t>
      </w:r>
      <w:r>
        <w:rPr>
          <w:rFonts w:hint="eastAsia" w:ascii="仿宋" w:hAnsi="仿宋" w:eastAsia="仿宋" w:cs="仿宋"/>
          <w:b w:val="0"/>
          <w:bCs w:val="0"/>
          <w:i w:val="0"/>
          <w:iCs w:val="0"/>
          <w:color w:val="auto"/>
          <w:sz w:val="28"/>
          <w:szCs w:val="28"/>
          <w:highlight w:val="none"/>
          <w:shd w:val="clear" w:color="auto" w:fill="auto"/>
        </w:rPr>
        <w:t>日为</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lang w:val="en-US" w:eastAsia="zh-CN"/>
        </w:rPr>
        <w:t>该组团/批次</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。保修期内，该组团/批次如出现较大质量缺陷，乙方履行保修义务至验收合格后，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期自此时间开始顺延。</w:t>
      </w:r>
    </w:p>
    <w:p w14:paraId="5BFA436D">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sym w:font="Wingdings 2" w:char="0052"/>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全部完</w:t>
      </w:r>
      <w:r>
        <w:rPr>
          <w:rFonts w:hint="eastAsia" w:ascii="仿宋" w:hAnsi="仿宋" w:eastAsia="仿宋" w:cs="仿宋"/>
          <w:i w:val="0"/>
          <w:iCs w:val="0"/>
          <w:color w:val="auto"/>
          <w:sz w:val="28"/>
          <w:szCs w:val="28"/>
          <w:highlight w:val="none"/>
          <w:shd w:val="clear" w:color="auto" w:fill="auto"/>
          <w:lang w:val="en-US" w:eastAsia="zh-CN"/>
        </w:rPr>
        <w:t>成</w:t>
      </w:r>
      <w:r>
        <w:rPr>
          <w:rFonts w:hint="eastAsia" w:ascii="仿宋" w:hAnsi="仿宋" w:eastAsia="仿宋" w:cs="仿宋"/>
          <w:i w:val="0"/>
          <w:iCs w:val="0"/>
          <w:color w:val="auto"/>
          <w:sz w:val="28"/>
          <w:szCs w:val="28"/>
          <w:highlight w:val="none"/>
          <w:shd w:val="clear" w:color="auto" w:fill="auto"/>
        </w:rPr>
        <w:t>，乙方自检符合质量要求后提请甲方及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i w:val="0"/>
          <w:iCs w:val="0"/>
          <w:color w:val="auto"/>
          <w:sz w:val="28"/>
          <w:szCs w:val="28"/>
          <w:highlight w:val="none"/>
          <w:shd w:val="clear" w:color="auto" w:fill="auto"/>
        </w:rPr>
        <w:t>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验收合格后，移交给</w:t>
      </w:r>
      <w:r>
        <w:rPr>
          <w:rFonts w:hint="eastAsia" w:ascii="仿宋" w:hAnsi="仿宋" w:eastAsia="仿宋" w:cs="仿宋"/>
          <w:i w:val="0"/>
          <w:iCs w:val="0"/>
          <w:color w:val="auto"/>
          <w:sz w:val="28"/>
          <w:szCs w:val="28"/>
          <w:highlight w:val="none"/>
          <w:shd w:val="clear" w:color="auto" w:fill="auto"/>
          <w:lang w:val="en-US" w:eastAsia="zh-CN"/>
        </w:rPr>
        <w:t>甲方</w:t>
      </w:r>
      <w:r>
        <w:rPr>
          <w:rFonts w:hint="eastAsia" w:ascii="仿宋" w:hAnsi="仿宋" w:eastAsia="仿宋" w:cs="仿宋"/>
          <w:i w:val="0"/>
          <w:iCs w:val="0"/>
          <w:color w:val="auto"/>
          <w:sz w:val="28"/>
          <w:szCs w:val="28"/>
          <w:highlight w:val="none"/>
          <w:shd w:val="clear" w:color="auto" w:fill="auto"/>
        </w:rPr>
        <w:t>使用</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日为</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w:t>
      </w:r>
      <w:r>
        <w:rPr>
          <w:rFonts w:hint="eastAsia" w:ascii="仿宋" w:hAnsi="仿宋" w:eastAsia="仿宋" w:cs="仿宋"/>
          <w:i w:val="0"/>
          <w:iCs w:val="0"/>
          <w:color w:val="auto"/>
          <w:sz w:val="28"/>
          <w:szCs w:val="28"/>
          <w:highlight w:val="none"/>
          <w:shd w:val="clear" w:color="auto" w:fill="auto"/>
          <w:lang w:val="en-US" w:eastAsia="zh-CN"/>
        </w:rPr>
        <w:t>返</w:t>
      </w:r>
      <w:r>
        <w:rPr>
          <w:rFonts w:hint="eastAsia" w:ascii="仿宋" w:hAnsi="仿宋" w:eastAsia="仿宋" w:cs="仿宋"/>
          <w:i w:val="0"/>
          <w:iCs w:val="0"/>
          <w:color w:val="auto"/>
          <w:sz w:val="28"/>
          <w:szCs w:val="28"/>
          <w:highlight w:val="none"/>
          <w:shd w:val="clear" w:color="auto" w:fill="auto"/>
        </w:rPr>
        <w:t>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w:t>
      </w:r>
      <w:r>
        <w:rPr>
          <w:rFonts w:hint="eastAsia" w:ascii="仿宋" w:hAnsi="仿宋" w:eastAsia="仿宋" w:cs="仿宋"/>
          <w:i w:val="0"/>
          <w:iCs w:val="0"/>
          <w:color w:val="auto"/>
          <w:sz w:val="28"/>
          <w:szCs w:val="28"/>
          <w:highlight w:val="none"/>
          <w:shd w:val="clear" w:color="auto" w:fill="auto"/>
          <w:lang w:val="en-US" w:eastAsia="zh-CN"/>
        </w:rPr>
        <w:t>返修验收合格之日起</w:t>
      </w:r>
      <w:r>
        <w:rPr>
          <w:rFonts w:hint="eastAsia" w:ascii="仿宋" w:hAnsi="仿宋" w:eastAsia="仿宋" w:cs="仿宋"/>
          <w:i w:val="0"/>
          <w:iCs w:val="0"/>
          <w:color w:val="auto"/>
          <w:sz w:val="28"/>
          <w:szCs w:val="28"/>
          <w:highlight w:val="none"/>
          <w:shd w:val="clear" w:color="auto" w:fill="auto"/>
        </w:rPr>
        <w:t>顺延</w:t>
      </w:r>
      <w:r>
        <w:rPr>
          <w:rFonts w:hint="eastAsia" w:ascii="仿宋" w:hAnsi="仿宋" w:eastAsia="仿宋" w:cs="仿宋"/>
          <w:i w:val="0"/>
          <w:iCs w:val="0"/>
          <w:color w:val="auto"/>
          <w:sz w:val="28"/>
          <w:szCs w:val="28"/>
          <w:highlight w:val="none"/>
          <w:shd w:val="clear" w:color="auto" w:fill="auto"/>
          <w:lang w:eastAsia="zh-CN"/>
        </w:rPr>
        <w:t>。</w:t>
      </w:r>
    </w:p>
    <w:p w14:paraId="6E8DDF67">
      <w:pPr>
        <w:keepNext w:val="0"/>
        <w:keepLines w:val="0"/>
        <w:pageBreakBefore w:val="0"/>
        <w:widowControl w:val="0"/>
        <w:shd w:val="clear" w:color="auto" w:fill="auto"/>
        <w:kinsoku/>
        <w:wordWrap/>
        <w:overflowPunct/>
        <w:topLinePunct w:val="0"/>
        <w:autoSpaceDE/>
        <w:autoSpaceDN/>
        <w:bidi w:val="0"/>
        <w:adjustRightInd w:val="0"/>
        <w:snapToGrid w:val="0"/>
        <w:spacing w:line="520" w:lineRule="exact"/>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eastAsia="zh-CN"/>
        </w:rPr>
        <w:t>1</w:t>
      </w:r>
      <w:r>
        <w:rPr>
          <w:rFonts w:hint="eastAsia" w:ascii="仿宋" w:hAnsi="仿宋" w:eastAsia="仿宋" w:cs="仿宋"/>
          <w:i w:val="0"/>
          <w:iCs w:val="0"/>
          <w:color w:val="auto"/>
          <w:sz w:val="28"/>
          <w:szCs w:val="28"/>
          <w:highlight w:val="none"/>
          <w:shd w:val="clear" w:color="auto" w:fill="auto"/>
          <w:lang w:val="en-US" w:eastAsia="zh-CN"/>
        </w:rPr>
        <w:t>0</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保修期内，乙方对</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出现的质量问题免费进行维修或更换；</w:t>
      </w:r>
      <w:r>
        <w:rPr>
          <w:rFonts w:hint="eastAsia" w:ascii="仿宋" w:hAnsi="仿宋" w:eastAsia="仿宋" w:cs="仿宋"/>
          <w:i w:val="0"/>
          <w:iCs w:val="0"/>
          <w:color w:val="auto"/>
          <w:sz w:val="28"/>
          <w:szCs w:val="28"/>
          <w:highlight w:val="none"/>
          <w:shd w:val="clear" w:color="auto" w:fill="auto"/>
          <w:lang w:val="en-US" w:eastAsia="zh-CN"/>
        </w:rPr>
        <w:t>保修内容</w:t>
      </w:r>
      <w:r>
        <w:rPr>
          <w:rFonts w:hint="eastAsia" w:ascii="仿宋" w:hAnsi="仿宋" w:eastAsia="仿宋" w:cs="仿宋"/>
          <w:i w:val="0"/>
          <w:iCs w:val="0"/>
          <w:color w:val="auto"/>
          <w:sz w:val="28"/>
          <w:szCs w:val="28"/>
          <w:highlight w:val="none"/>
          <w:shd w:val="clear" w:color="auto" w:fill="auto"/>
        </w:rPr>
        <w:t>包括合同价款所包含的工程项目、设计变更或修改、现场签证或双方或多方会议纪要约定的全部内容；凡因乙方原因造成的质量事故和缺陷，如</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各部位、部件、整体或单件的损坏、脱落、开裂、变形等，均由乙方无偿保修。</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w:char="00A8"/>
      </w:r>
      <w:r>
        <w:rPr>
          <w:rFonts w:hint="eastAsia" w:ascii="仿宋" w:hAnsi="仿宋" w:eastAsia="仿宋" w:cs="仿宋"/>
          <w:b w:val="0"/>
          <w:bCs w:val="0"/>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内容的保修期</w:t>
      </w:r>
      <w:r>
        <w:rPr>
          <w:rFonts w:hint="eastAsia" w:ascii="仿宋" w:hAnsi="仿宋" w:eastAsia="仿宋" w:cs="仿宋"/>
          <w:b w:val="0"/>
          <w:bCs w:val="0"/>
          <w:i w:val="0"/>
          <w:iCs w:val="0"/>
          <w:color w:val="auto"/>
          <w:sz w:val="28"/>
          <w:szCs w:val="28"/>
          <w:highlight w:val="none"/>
          <w:shd w:val="clear" w:color="auto" w:fill="auto"/>
          <w:lang w:val="en-US" w:eastAsia="zh-CN"/>
        </w:rPr>
        <w:t>为</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1 </w:t>
      </w:r>
      <w:r>
        <w:rPr>
          <w:rFonts w:hint="eastAsia" w:ascii="仿宋" w:hAnsi="仿宋" w:eastAsia="仿宋" w:cs="仿宋"/>
          <w:b w:val="0"/>
          <w:bCs w:val="0"/>
          <w:i w:val="0"/>
          <w:iCs w:val="0"/>
          <w:color w:val="auto"/>
          <w:sz w:val="28"/>
          <w:szCs w:val="28"/>
          <w:highlight w:val="none"/>
          <w:shd w:val="clear" w:color="auto" w:fill="auto"/>
        </w:rPr>
        <w:t>年</w:t>
      </w:r>
      <w:r>
        <w:rPr>
          <w:rFonts w:hint="eastAsia" w:ascii="仿宋" w:hAnsi="仿宋" w:eastAsia="仿宋" w:cs="仿宋"/>
          <w:b w:val="0"/>
          <w:bCs w:val="0"/>
          <w:color w:val="auto"/>
          <w:sz w:val="28"/>
          <w:szCs w:val="28"/>
          <w:highlight w:val="none"/>
          <w:u w:val="none"/>
          <w:lang w:eastAsia="zh-CN"/>
        </w:rPr>
        <w:t>，</w:t>
      </w:r>
      <w:r>
        <w:rPr>
          <w:rFonts w:hint="eastAsia" w:ascii="仿宋" w:hAnsi="仿宋" w:eastAsia="仿宋" w:cs="仿宋"/>
          <w:b w:val="0"/>
          <w:bCs w:val="0"/>
          <w:color w:val="auto"/>
          <w:sz w:val="28"/>
          <w:szCs w:val="28"/>
          <w:highlight w:val="none"/>
          <w:u w:val="none"/>
          <w:lang w:val="en-US" w:eastAsia="zh-CN"/>
        </w:rPr>
        <w:t>国家或甲方与本项目建设单位另有更长保修期限规定的，从其规定。</w:t>
      </w:r>
      <w:r>
        <w:rPr>
          <w:rFonts w:hint="eastAsia" w:ascii="仿宋" w:hAnsi="仿宋" w:eastAsia="仿宋" w:cs="仿宋"/>
          <w:b w:val="0"/>
          <w:bCs w:val="0"/>
          <w:i w:val="0"/>
          <w:iCs w:val="0"/>
          <w:color w:val="auto"/>
          <w:sz w:val="28"/>
          <w:szCs w:val="28"/>
          <w:highlight w:val="none"/>
          <w:shd w:val="clear" w:color="auto" w:fill="auto"/>
          <w:lang w:val="en-US" w:eastAsia="zh-CN"/>
        </w:rPr>
        <w:t>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w:char="00A8"/>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组团/批次内容/</w:t>
      </w:r>
      <w:r>
        <w:rPr>
          <w:rFonts w:hint="eastAsia" w:ascii="仿宋" w:hAnsi="仿宋" w:eastAsia="仿宋" w:cs="仿宋"/>
          <w:b w:val="0"/>
          <w:bCs w:val="0"/>
          <w:i w:val="0"/>
          <w:iCs w:val="0"/>
          <w:color w:val="auto"/>
          <w:sz w:val="28"/>
          <w:szCs w:val="28"/>
          <w:highlight w:val="none"/>
          <w:shd w:val="clear" w:color="auto" w:fill="auto"/>
        </w:rPr>
        <w:sym w:font="Wingdings" w:char="00FE"/>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rPr>
        <w:t>使用之日起计。</w:t>
      </w:r>
    </w:p>
    <w:p w14:paraId="53DFB949">
      <w:pPr>
        <w:keepNext w:val="0"/>
        <w:keepLines w:val="0"/>
        <w:pageBreakBefore w:val="0"/>
        <w:widowControl w:val="0"/>
        <w:numPr>
          <w:ilvl w:val="0"/>
          <w:numId w:val="2"/>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2" w:name="_Toc1887"/>
      <w:r>
        <w:rPr>
          <w:rFonts w:hint="eastAsia" w:ascii="仿宋" w:hAnsi="仿宋" w:eastAsia="仿宋" w:cs="仿宋"/>
          <w:b/>
          <w:bCs/>
          <w:i w:val="0"/>
          <w:iCs w:val="0"/>
          <w:color w:val="auto"/>
          <w:sz w:val="28"/>
          <w:szCs w:val="28"/>
          <w:highlight w:val="none"/>
          <w:shd w:val="clear" w:color="auto" w:fill="auto"/>
          <w:lang w:val="en-US" w:eastAsia="zh-CN"/>
        </w:rPr>
        <w:t>其他</w:t>
      </w:r>
      <w:bookmarkEnd w:id="95"/>
      <w:bookmarkEnd w:id="96"/>
      <w:bookmarkEnd w:id="97"/>
      <w:bookmarkEnd w:id="98"/>
      <w:bookmarkEnd w:id="99"/>
      <w:bookmarkEnd w:id="100"/>
      <w:bookmarkEnd w:id="102"/>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101"/>
    </w:p>
    <w:p w14:paraId="4EBEE2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.1甲乙双方联系人</w:t>
      </w:r>
    </w:p>
    <w:p w14:paraId="263F18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.1.1甲方指定</w:t>
      </w:r>
      <w:r>
        <w:rPr>
          <w:rFonts w:hint="eastAsia" w:ascii="仿宋" w:hAnsi="仿宋" w:eastAsia="仿宋" w:cs="仿宋"/>
          <w:b w:val="0"/>
          <w:bCs w:val="0"/>
          <w:i w:val="0"/>
          <w:iCs w:val="0"/>
          <w:color w:val="auto"/>
          <w:sz w:val="28"/>
          <w:szCs w:val="28"/>
          <w:highlight w:val="none"/>
          <w:u w:val="single"/>
          <w:shd w:val="clear" w:color="auto" w:fill="auto"/>
          <w:lang w:eastAsia="zh-CN"/>
        </w:rPr>
        <w:t>莫龙（联系电话：</w:t>
      </w:r>
      <w:r>
        <w:rPr>
          <w:rFonts w:hint="eastAsia" w:ascii="仿宋" w:hAnsi="仿宋" w:eastAsia="仿宋" w:cs="仿宋"/>
          <w:b w:val="0"/>
          <w:bCs w:val="0"/>
          <w:i w:val="0"/>
          <w:iCs w:val="0"/>
          <w:color w:val="auto"/>
          <w:sz w:val="28"/>
          <w:szCs w:val="28"/>
          <w:highlight w:val="none"/>
          <w:u w:val="single"/>
          <w:shd w:val="clear" w:color="auto" w:fill="auto"/>
          <w:lang w:val="en-US" w:eastAsia="zh-CN"/>
        </w:rPr>
        <w:t>13751400863</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eastAsia="zh-CN"/>
        </w:rPr>
        <w:t>为本</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负责人及甲方</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未经甲方加盖公章确认，甲方项目负责人及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执行联系人签名并加盖</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项目章（样式详见附件）方为有效，否则为无效文件，仅盖章或者仅签名的文件亦无效。甲方变更</w:t>
      </w:r>
      <w:r>
        <w:rPr>
          <w:rFonts w:hint="eastAsia" w:ascii="仿宋" w:hAnsi="仿宋" w:eastAsia="仿宋" w:cs="仿宋"/>
          <w:b w:val="0"/>
          <w:bCs w:val="0"/>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shd w:val="clear" w:color="auto" w:fill="auto"/>
          <w:lang w:eastAsia="zh-CN"/>
        </w:rPr>
        <w:t>负责人、</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执行联系人的，将以书面形式通知乙方。</w:t>
      </w:r>
    </w:p>
    <w:p w14:paraId="51F828A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.1.2乙方指定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xxx</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xxxxxxxxxxxxxx</w:t>
      </w:r>
      <w:r>
        <w:rPr>
          <w:rFonts w:hint="eastAsia" w:ascii="仿宋" w:hAnsi="仿宋" w:eastAsia="仿宋" w:cs="仿宋"/>
          <w:b w:val="0"/>
          <w:bCs w:val="0"/>
          <w:i w:val="0"/>
          <w:iCs w:val="0"/>
          <w:color w:val="auto"/>
          <w:sz w:val="28"/>
          <w:szCs w:val="28"/>
          <w:highlight w:val="none"/>
          <w:shd w:val="clear" w:color="auto" w:fill="auto"/>
          <w:lang w:eastAsia="zh-CN"/>
        </w:rPr>
        <w:t xml:space="preserve">；手机号码：  </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shd w:val="clear" w:color="auto" w:fill="auto"/>
          <w:lang w:eastAsia="zh-CN"/>
        </w:rPr>
        <w:t>授权代表，</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w:t>
      </w:r>
      <w:r>
        <w:rPr>
          <w:rFonts w:hint="eastAsia" w:ascii="仿宋" w:hAnsi="仿宋" w:eastAsia="仿宋" w:cs="仿宋"/>
          <w:b w:val="0"/>
          <w:bCs w:val="0"/>
          <w:i w:val="0"/>
          <w:iCs w:val="0"/>
          <w:color w:val="auto"/>
          <w:sz w:val="28"/>
          <w:szCs w:val="28"/>
          <w:highlight w:val="none"/>
          <w:shd w:val="clear" w:color="auto" w:fill="auto"/>
          <w:lang w:eastAsia="zh-CN"/>
        </w:rPr>
        <w:t>为乙方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lang w:eastAsia="zh-CN"/>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lang w:eastAsia="zh-CN"/>
        </w:rPr>
        <w:t>事项</w:t>
      </w:r>
      <w:r>
        <w:rPr>
          <w:rFonts w:hint="eastAsia" w:ascii="仿宋" w:hAnsi="仿宋" w:eastAsia="仿宋" w:cs="仿宋"/>
          <w:b w:val="0"/>
          <w:bCs w:val="0"/>
          <w:i w:val="0"/>
          <w:iCs w:val="0"/>
          <w:color w:val="auto"/>
          <w:sz w:val="28"/>
          <w:szCs w:val="28"/>
          <w:highlight w:val="none"/>
          <w:shd w:val="clear" w:color="auto" w:fill="auto"/>
          <w:lang w:val="en-US" w:eastAsia="zh-CN"/>
        </w:rPr>
        <w:t>的合同执行代表，负责与甲方公司总部办理</w:t>
      </w:r>
      <w:r>
        <w:rPr>
          <w:rFonts w:hint="eastAsia" w:ascii="仿宋" w:hAnsi="仿宋" w:eastAsia="仿宋" w:cs="仿宋"/>
          <w:b w:val="0"/>
          <w:bCs w:val="0"/>
          <w:i w:val="0"/>
          <w:iCs w:val="0"/>
          <w:color w:val="auto"/>
          <w:sz w:val="28"/>
          <w:szCs w:val="28"/>
          <w:highlight w:val="none"/>
          <w:shd w:val="clear" w:color="auto" w:fill="auto"/>
          <w:lang w:eastAsia="zh-CN"/>
        </w:rPr>
        <w:t>相关事务（如负责双方来往</w:t>
      </w:r>
      <w:r>
        <w:rPr>
          <w:rFonts w:hint="eastAsia" w:ascii="仿宋" w:hAnsi="仿宋" w:eastAsia="仿宋" w:cs="仿宋"/>
          <w:b w:val="0"/>
          <w:bCs w:val="0"/>
          <w:i w:val="0"/>
          <w:iCs w:val="0"/>
          <w:color w:val="auto"/>
          <w:sz w:val="28"/>
          <w:szCs w:val="28"/>
          <w:highlight w:val="none"/>
          <w:shd w:val="clear" w:color="auto" w:fill="auto"/>
          <w:lang w:val="en-US" w:eastAsia="zh-CN"/>
        </w:rPr>
        <w:t>函件</w:t>
      </w:r>
      <w:r>
        <w:rPr>
          <w:rFonts w:hint="eastAsia" w:ascii="仿宋" w:hAnsi="仿宋" w:eastAsia="仿宋" w:cs="仿宋"/>
          <w:b w:val="0"/>
          <w:bCs w:val="0"/>
          <w:i w:val="0"/>
          <w:iCs w:val="0"/>
          <w:color w:val="auto"/>
          <w:sz w:val="28"/>
          <w:szCs w:val="28"/>
          <w:highlight w:val="none"/>
          <w:shd w:val="clear" w:color="auto" w:fill="auto"/>
          <w:lang w:eastAsia="zh-CN"/>
        </w:rPr>
        <w:t>签收、签字、验收、确定增减</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款、确定结算金额、领款、签收并签认甲方对乙方违约行为作出的处理通知等行为）。</w:t>
      </w:r>
    </w:p>
    <w:p w14:paraId="48B5485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11.1.3</w:t>
      </w:r>
      <w:r>
        <w:rPr>
          <w:rFonts w:hint="eastAsia" w:ascii="仿宋" w:hAnsi="仿宋" w:eastAsia="仿宋" w:cs="仿宋"/>
          <w:b w:val="0"/>
          <w:bCs w:val="0"/>
          <w:i w:val="0"/>
          <w:iCs w:val="0"/>
          <w:color w:val="auto"/>
          <w:sz w:val="28"/>
          <w:szCs w:val="28"/>
          <w:highlight w:val="none"/>
          <w:shd w:val="clear" w:color="auto" w:fill="auto"/>
          <w:lang w:eastAsia="zh-CN"/>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xxx</w:t>
      </w:r>
      <w:r>
        <w:rPr>
          <w:rFonts w:hint="eastAsia" w:ascii="仿宋" w:hAnsi="仿宋" w:eastAsia="仿宋" w:cs="仿宋"/>
          <w:b w:val="0"/>
          <w:bCs w:val="0"/>
          <w:i w:val="0"/>
          <w:iCs w:val="0"/>
          <w:color w:val="auto"/>
          <w:sz w:val="28"/>
          <w:szCs w:val="28"/>
          <w:highlight w:val="non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xxxxxxxxxxxxxx</w:t>
      </w:r>
      <w:r>
        <w:rPr>
          <w:rFonts w:hint="eastAsia" w:ascii="仿宋" w:hAnsi="仿宋" w:eastAsia="仿宋" w:cs="仿宋"/>
          <w:b w:val="0"/>
          <w:bCs w:val="0"/>
          <w:i w:val="0"/>
          <w:iCs w:val="0"/>
          <w:color w:val="auto"/>
          <w:sz w:val="28"/>
          <w:szCs w:val="28"/>
          <w:highlight w:val="none"/>
          <w:shd w:val="clear" w:color="auto" w:fill="auto"/>
          <w:lang w:eastAsia="zh-CN"/>
        </w:rPr>
        <w:t>；手机号码：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w:t>
      </w:r>
      <w:r>
        <w:rPr>
          <w:rFonts w:hint="eastAsia" w:ascii="仿宋" w:hAnsi="仿宋" w:eastAsia="仿宋" w:cs="仿宋"/>
          <w:b w:val="0"/>
          <w:bCs w:val="0"/>
          <w:i w:val="0"/>
          <w:iCs w:val="0"/>
          <w:color w:val="auto"/>
          <w:sz w:val="28"/>
          <w:szCs w:val="28"/>
          <w:highlight w:val="none"/>
          <w:shd w:val="clear" w:color="auto" w:fill="auto"/>
          <w:lang w:val="en-US" w:eastAsia="zh-CN"/>
        </w:rPr>
        <w:t>微信号：</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val="en-US" w:eastAsia="zh-CN"/>
        </w:rPr>
        <w:t>；电子邮箱：</w:t>
      </w:r>
      <w:r>
        <w:rPr>
          <w:rFonts w:hint="eastAsia" w:ascii="仿宋" w:hAnsi="仿宋" w:eastAsia="仿宋" w:cs="仿宋"/>
          <w:b w:val="0"/>
          <w:bCs w:val="0"/>
          <w:i w:val="0"/>
          <w:iCs w:val="0"/>
          <w:color w:val="auto"/>
          <w:sz w:val="28"/>
          <w:szCs w:val="28"/>
          <w:highlight w:val="none"/>
          <w:u w:val="single"/>
          <w:shd w:val="clear" w:color="auto" w:fill="auto"/>
          <w:lang w:val="en-US" w:eastAsia="zh-CN"/>
        </w:rPr>
        <w:t>xxxxxxxx</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本合同的乙方现场负责人，在</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乙方授权处理本项目施工现场相关事项的合同执行代表，负责与甲方项目现场的工作签认、安排等全部事务。现场负责人必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lang w:eastAsia="zh-CN"/>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lang w:eastAsia="zh-CN"/>
        </w:rPr>
        <w:t>施工现场。</w:t>
      </w:r>
    </w:p>
    <w:p w14:paraId="040073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11.2乙方对乙方授权代表及乙方现场负责人的行为均予认可并承担一切责任。乙方如需更换授权或现场负责人，须提前三个工作日书面报经甲方同意，否则不得更换。</w:t>
      </w:r>
    </w:p>
    <w:p w14:paraId="1439DAAF">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8"/>
          <w:szCs w:val="28"/>
          <w:highlight w:val="none"/>
        </w:rPr>
        <w:t>【以下无正文】</w:t>
      </w:r>
    </w:p>
    <w:p w14:paraId="4AA71550">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甲方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东莞市中泰建安工程有限公司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乙方</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p>
    <w:p w14:paraId="054B5D72">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盖章</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盖章</w:t>
      </w:r>
      <w:r>
        <w:rPr>
          <w:rFonts w:hint="eastAsia" w:ascii="仿宋" w:hAnsi="仿宋" w:eastAsia="仿宋" w:cs="仿宋"/>
          <w:b/>
          <w:bCs/>
          <w:color w:val="auto"/>
          <w:sz w:val="24"/>
          <w:szCs w:val="24"/>
          <w:highlight w:val="none"/>
          <w:lang w:eastAsia="zh-CN"/>
        </w:rPr>
        <w:t>）</w:t>
      </w:r>
    </w:p>
    <w:p w14:paraId="4B9BCABB">
      <w:pPr>
        <w:keepNext w:val="0"/>
        <w:keepLines w:val="0"/>
        <w:pageBreakBefore w:val="0"/>
        <w:widowControl w:val="0"/>
        <w:kinsoku/>
        <w:wordWrap/>
        <w:overflowPunct/>
        <w:topLinePunct w:val="0"/>
        <w:autoSpaceDE/>
        <w:autoSpaceDN/>
        <w:bidi w:val="0"/>
        <w:adjustRightInd w:val="0"/>
        <w:snapToGrid w:val="0"/>
        <w:spacing w:before="0" w:after="0"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 xml:space="preserve">                               签约代表</w:t>
      </w:r>
      <w:r>
        <w:rPr>
          <w:rFonts w:hint="eastAsia" w:ascii="仿宋" w:hAnsi="仿宋" w:eastAsia="仿宋" w:cs="仿宋"/>
          <w:b/>
          <w:bCs/>
          <w:color w:val="auto"/>
          <w:sz w:val="24"/>
          <w:szCs w:val="24"/>
          <w:highlight w:val="none"/>
          <w:lang w:eastAsia="zh-CN"/>
        </w:rPr>
        <w:t>：</w:t>
      </w:r>
    </w:p>
    <w:p w14:paraId="6D1CB2FD">
      <w:pPr>
        <w:keepNext w:val="0"/>
        <w:keepLines w:val="0"/>
        <w:pageBreakBefore w:val="0"/>
        <w:widowControl w:val="0"/>
        <w:kinsoku/>
        <w:wordWrap/>
        <w:overflowPunct/>
        <w:topLinePunct w:val="0"/>
        <w:autoSpaceDE/>
        <w:autoSpaceDN/>
        <w:bidi w:val="0"/>
        <w:adjustRightInd w:val="0"/>
        <w:snapToGrid w:val="0"/>
        <w:spacing w:before="0" w:after="0"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w:t>
      </w:r>
    </w:p>
    <w:p w14:paraId="0F9DC114">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0590523C">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57D37A30">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地 址：广东省东莞市南城街道鸿福路        地  址：</w:t>
      </w:r>
    </w:p>
    <w:p w14:paraId="5CD59E86">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26D9DC6A">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r>
        <w:rPr>
          <w:rFonts w:hint="eastAsia" w:ascii="仿宋" w:hAnsi="仿宋" w:eastAsia="仿宋" w:cs="仿宋"/>
          <w:b/>
          <w:bCs/>
          <w:color w:val="auto"/>
          <w:sz w:val="24"/>
          <w:szCs w:val="24"/>
          <w:highlight w:val="none"/>
          <w:lang w:eastAsia="zh-CN"/>
        </w:rPr>
        <w:t>：</w:t>
      </w:r>
    </w:p>
    <w:p w14:paraId="0F71EC26">
      <w:pPr>
        <w:pStyle w:val="3"/>
        <w:keepNext w:val="0"/>
        <w:keepLines w:val="0"/>
        <w:pageBreakBefore w:val="0"/>
        <w:widowControl w:val="0"/>
        <w:kinsoku/>
        <w:wordWrap/>
        <w:overflowPunct/>
        <w:topLinePunct w:val="0"/>
        <w:autoSpaceDE/>
        <w:autoSpaceDN/>
        <w:bidi w:val="0"/>
        <w:adjustRightInd w:val="0"/>
        <w:snapToGrid w:val="0"/>
        <w:spacing w:line="360" w:lineRule="auto"/>
        <w:ind w:right="-55" w:rightChars="-26" w:firstLine="0" w:firstLineChars="0"/>
        <w:textAlignment w:val="auto"/>
        <w:rPr>
          <w:rFonts w:hint="eastAsia" w:ascii="仿宋" w:hAnsi="仿宋" w:eastAsia="仿宋" w:cs="仿宋"/>
          <w:i w:val="0"/>
          <w:iCs w:val="0"/>
          <w:color w:val="auto"/>
          <w:sz w:val="24"/>
          <w:szCs w:val="24"/>
          <w:highlight w:val="none"/>
          <w:u w:val="none"/>
          <w:shd w:val="clear" w:color="auto" w:fill="auto"/>
          <w:lang w:val="en-US" w:eastAsia="zh-CN"/>
        </w:rPr>
      </w:pPr>
      <w:r>
        <w:rPr>
          <w:rFonts w:hint="eastAsia" w:ascii="仿宋" w:hAnsi="仿宋" w:eastAsia="仿宋" w:cs="仿宋"/>
          <w:i w:val="0"/>
          <w:iCs w:val="0"/>
          <w:color w:val="auto"/>
          <w:sz w:val="24"/>
          <w:szCs w:val="24"/>
          <w:highlight w:val="none"/>
          <w:u w:val="none"/>
          <w:shd w:val="clear" w:color="auto" w:fill="auto"/>
          <w:lang w:val="en-US" w:eastAsia="zh-CN"/>
        </w:rPr>
        <w:t>【</w:t>
      </w:r>
      <w:r>
        <w:rPr>
          <w:rFonts w:hint="eastAsia" w:ascii="仿宋" w:hAnsi="仿宋" w:eastAsia="仿宋" w:cs="仿宋"/>
          <w:b/>
          <w:bCs/>
          <w:i w:val="0"/>
          <w:iCs w:val="0"/>
          <w:color w:val="auto"/>
          <w:sz w:val="24"/>
          <w:szCs w:val="24"/>
          <w:highlight w:val="none"/>
          <w:u w:val="none"/>
          <w:shd w:val="clear" w:color="auto" w:fill="auto"/>
          <w:lang w:val="en-US" w:eastAsia="zh-CN"/>
        </w:rPr>
        <w:t>甲方人员如有营私舞弊、吃拿卡要等损害乙方合法权益的行为，乙方可拨打投诉专线 4000968086或发邮件至投诉邮箱：zhglzx@nanfeng.cn，也可至广东省东莞市南城街道鸿福路106号南峰中心12楼内控中心办公室面诉】</w:t>
      </w:r>
    </w:p>
    <w:p w14:paraId="5A6CDFE1">
      <w:pPr>
        <w:pStyle w:val="3"/>
        <w:keepNext w:val="0"/>
        <w:keepLines w:val="0"/>
        <w:pageBreakBefore w:val="0"/>
        <w:widowControl w:val="0"/>
        <w:kinsoku/>
        <w:wordWrap/>
        <w:overflowPunct/>
        <w:topLinePunct w:val="0"/>
        <w:autoSpaceDE/>
        <w:autoSpaceDN/>
        <w:bidi w:val="0"/>
        <w:adjustRightInd w:val="0"/>
        <w:snapToGrid w:val="0"/>
        <w:spacing w:line="360" w:lineRule="auto"/>
        <w:ind w:left="-418" w:leftChars="-199" w:right="-55" w:rightChars="-26" w:firstLine="636" w:firstLineChars="265"/>
        <w:textAlignment w:val="auto"/>
        <w:rPr>
          <w:rFonts w:hint="eastAsia" w:ascii="仿宋" w:hAnsi="仿宋" w:eastAsia="仿宋" w:cs="仿宋"/>
          <w:i w:val="0"/>
          <w:iCs w:val="0"/>
          <w:color w:val="auto"/>
          <w:sz w:val="24"/>
          <w:szCs w:val="24"/>
          <w:highlight w:val="none"/>
          <w:u w:val="none"/>
          <w:shd w:val="clear" w:color="auto" w:fill="auto"/>
          <w:lang w:val="en-US" w:eastAsia="zh-CN"/>
        </w:rPr>
      </w:pPr>
    </w:p>
    <w:p w14:paraId="3A31FF9D">
      <w:pPr>
        <w:pStyle w:val="3"/>
        <w:keepNext w:val="0"/>
        <w:keepLines w:val="0"/>
        <w:pageBreakBefore w:val="0"/>
        <w:widowControl w:val="0"/>
        <w:kinsoku/>
        <w:wordWrap/>
        <w:overflowPunct/>
        <w:topLinePunct w:val="0"/>
        <w:autoSpaceDE/>
        <w:autoSpaceDN/>
        <w:bidi w:val="0"/>
        <w:adjustRightInd w:val="0"/>
        <w:snapToGrid w:val="0"/>
        <w:spacing w:line="360" w:lineRule="auto"/>
        <w:ind w:left="-418" w:leftChars="-199" w:right="-55" w:rightChars="-26" w:firstLine="636" w:firstLineChars="265"/>
        <w:textAlignment w:val="auto"/>
        <w:rPr>
          <w:rFonts w:hint="eastAsia" w:ascii="仿宋" w:hAnsi="仿宋" w:eastAsia="仿宋" w:cs="仿宋"/>
          <w:i w:val="0"/>
          <w:iCs w:val="0"/>
          <w:color w:val="auto"/>
          <w:sz w:val="24"/>
          <w:szCs w:val="24"/>
          <w:highlight w:val="none"/>
          <w:u w:val="none"/>
          <w:shd w:val="clear" w:color="auto" w:fill="auto"/>
          <w:lang w:val="en-US" w:eastAsia="zh-CN"/>
        </w:rPr>
      </w:pPr>
    </w:p>
    <w:p w14:paraId="2008A6C5">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right="-55" w:rightChars="-26" w:firstLine="0" w:firstLineChars="0"/>
        <w:textAlignment w:val="auto"/>
        <w:rPr>
          <w:rFonts w:hint="eastAsia" w:ascii="仿宋" w:hAnsi="仿宋" w:eastAsia="仿宋" w:cs="仿宋"/>
          <w:i w:val="0"/>
          <w:iCs w:val="0"/>
          <w:color w:val="auto"/>
          <w:sz w:val="24"/>
          <w:szCs w:val="24"/>
          <w:highlight w:val="none"/>
          <w:u w:val="none"/>
          <w:shd w:val="clear" w:color="auto" w:fill="auto"/>
          <w:lang w:val="en-US" w:eastAsia="zh-CN"/>
        </w:rPr>
      </w:pPr>
    </w:p>
    <w:p w14:paraId="0948BCC2">
      <w:pPr>
        <w:keepNext w:val="0"/>
        <w:keepLines w:val="0"/>
        <w:pageBreakBefore w:val="0"/>
        <w:widowControl w:val="0"/>
        <w:numPr>
          <w:ilvl w:val="0"/>
          <w:numId w:val="1"/>
        </w:numPr>
        <w:tabs>
          <w:tab w:val="left" w:pos="6272"/>
        </w:tabs>
        <w:kinsoku/>
        <w:wordWrap/>
        <w:overflowPunct/>
        <w:topLinePunct w:val="0"/>
        <w:autoSpaceDE/>
        <w:autoSpaceDN/>
        <w:bidi w:val="0"/>
        <w:adjustRightInd w:val="0"/>
        <w:snapToGrid w:val="0"/>
        <w:spacing w:line="360" w:lineRule="auto"/>
        <w:ind w:left="-199" w:leftChars="-95" w:right="0" w:rightChars="0" w:firstLine="562" w:firstLineChars="200"/>
        <w:jc w:val="center"/>
        <w:textAlignment w:val="auto"/>
        <w:outlineLvl w:val="0"/>
        <w:rPr>
          <w:rFonts w:hint="eastAsia" w:ascii="仿宋" w:hAnsi="仿宋" w:eastAsia="仿宋" w:cs="仿宋"/>
          <w:b/>
          <w:bCs/>
          <w:i w:val="0"/>
          <w:iCs w:val="0"/>
          <w:color w:val="auto"/>
          <w:kern w:val="0"/>
          <w:sz w:val="28"/>
          <w:szCs w:val="28"/>
          <w:highlight w:val="none"/>
          <w:u w:val="none"/>
          <w:shd w:val="clear" w:color="auto" w:fill="auto"/>
          <w:lang w:val="en-US" w:eastAsia="zh-CN"/>
        </w:rPr>
      </w:pPr>
      <w:bookmarkStart w:id="103" w:name="_Toc24286"/>
      <w:bookmarkStart w:id="104" w:name="_Toc11615"/>
      <w:bookmarkStart w:id="105" w:name="_Toc17756"/>
      <w:r>
        <w:rPr>
          <w:rFonts w:hint="eastAsia" w:ascii="仿宋" w:hAnsi="仿宋" w:eastAsia="仿宋" w:cs="仿宋"/>
          <w:b/>
          <w:bCs/>
          <w:i w:val="0"/>
          <w:iCs w:val="0"/>
          <w:color w:val="auto"/>
          <w:kern w:val="0"/>
          <w:sz w:val="28"/>
          <w:szCs w:val="28"/>
          <w:highlight w:val="none"/>
          <w:u w:val="none"/>
          <w:shd w:val="clear" w:color="auto" w:fill="auto"/>
          <w:lang w:val="en-US" w:eastAsia="zh-CN"/>
        </w:rPr>
        <w:t xml:space="preserve"> 合同通用条款</w:t>
      </w:r>
      <w:bookmarkEnd w:id="103"/>
      <w:bookmarkEnd w:id="104"/>
      <w:bookmarkEnd w:id="105"/>
    </w:p>
    <w:p w14:paraId="10C4ACF0">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6" w:name="_Toc29752"/>
      <w:bookmarkStart w:id="107" w:name="_Toc27946"/>
      <w:bookmarkStart w:id="108" w:name="_Toc18748"/>
      <w:r>
        <w:rPr>
          <w:rFonts w:hint="eastAsia" w:ascii="仿宋" w:hAnsi="仿宋" w:eastAsia="仿宋" w:cs="仿宋"/>
          <w:b/>
          <w:bCs/>
          <w:i w:val="0"/>
          <w:iCs w:val="0"/>
          <w:color w:val="auto"/>
          <w:sz w:val="28"/>
          <w:szCs w:val="28"/>
          <w:highlight w:val="none"/>
          <w:shd w:val="clear" w:color="auto" w:fill="auto"/>
          <w:lang w:val="en-US" w:eastAsia="zh-CN"/>
        </w:rPr>
        <w:t>承包方式</w:t>
      </w:r>
      <w:bookmarkEnd w:id="106"/>
      <w:bookmarkEnd w:id="107"/>
      <w:bookmarkEnd w:id="108"/>
    </w:p>
    <w:p w14:paraId="0A29CEA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1.1包所有机械设备（含进退场）、包安全文明施工，</w:t>
      </w:r>
      <w:r>
        <w:rPr>
          <w:rFonts w:hint="eastAsia" w:ascii="仿宋" w:hAnsi="仿宋" w:eastAsia="仿宋" w:cs="仿宋"/>
          <w:b w:val="0"/>
          <w:bCs w:val="0"/>
          <w:i w:val="0"/>
          <w:iCs w:val="0"/>
          <w:color w:val="auto"/>
          <w:sz w:val="28"/>
          <w:szCs w:val="28"/>
          <w:highlight w:val="none"/>
          <w:shd w:val="clear" w:color="auto" w:fill="auto"/>
          <w:lang w:val="en-US" w:eastAsia="zh-CN"/>
        </w:rPr>
        <w:t>包各类材料产品检验</w:t>
      </w:r>
    </w:p>
    <w:p w14:paraId="782BB46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检测费用</w:t>
      </w:r>
      <w:r>
        <w:rPr>
          <w:rFonts w:hint="eastAsia" w:ascii="仿宋" w:hAnsi="仿宋" w:eastAsia="仿宋" w:cs="仿宋"/>
          <w:color w:val="auto"/>
          <w:sz w:val="28"/>
          <w:szCs w:val="28"/>
          <w:highlight w:val="none"/>
          <w:lang w:val="en-US" w:eastAsia="zh-CN"/>
        </w:rPr>
        <w:t>、</w:t>
      </w:r>
      <w:r>
        <w:rPr>
          <w:rFonts w:hint="eastAsia" w:ascii="仿宋" w:hAnsi="仿宋" w:eastAsia="仿宋" w:cs="仿宋"/>
          <w:strike w:val="0"/>
          <w:dstrike w:val="0"/>
          <w:color w:val="auto"/>
          <w:sz w:val="28"/>
          <w:szCs w:val="28"/>
          <w:highlight w:val="none"/>
          <w:u w:val="none"/>
          <w:lang w:val="en-US" w:eastAsia="zh-CN"/>
        </w:rPr>
        <w:t>包本工程检测合格、</w:t>
      </w:r>
      <w:r>
        <w:rPr>
          <w:rFonts w:hint="eastAsia" w:ascii="仿宋" w:hAnsi="仿宋" w:eastAsia="仿宋" w:cs="仿宋"/>
          <w:strike w:val="0"/>
          <w:color w:val="auto"/>
          <w:sz w:val="28"/>
          <w:szCs w:val="28"/>
          <w:highlight w:val="none"/>
          <w:u w:val="none"/>
          <w:lang w:val="en-US" w:eastAsia="zh-CN"/>
        </w:rPr>
        <w:t>包</w:t>
      </w:r>
      <w:r>
        <w:rPr>
          <w:rFonts w:hint="eastAsia" w:ascii="仿宋" w:hAnsi="仿宋" w:eastAsia="仿宋" w:cs="仿宋"/>
          <w:color w:val="auto"/>
          <w:sz w:val="28"/>
          <w:szCs w:val="28"/>
          <w:highlight w:val="none"/>
          <w:lang w:val="en-US" w:eastAsia="zh-CN"/>
        </w:rPr>
        <w:t>工期、包一切措施、包质量、包各种风险、包保险、包配合竣工资料编制、包资料（包各种形式的资料编写、收集、归档，并满足竣工验收要求及甲方与建设单位结算要求）、包成品保护、包场地清理、包各种情形所要求的赶工措施及产生的费用、包因乙方原因引起的所有返工的人工、材料及机械费、包安全、包验收合格、包保修、</w:t>
      </w:r>
      <w:r>
        <w:rPr>
          <w:rFonts w:hint="eastAsia" w:ascii="仿宋" w:hAnsi="仿宋" w:eastAsia="仿宋" w:cs="仿宋"/>
          <w:b w:val="0"/>
          <w:bCs w:val="0"/>
          <w:color w:val="auto"/>
          <w:sz w:val="28"/>
          <w:szCs w:val="28"/>
          <w:highlight w:val="none"/>
          <w:lang w:val="en-US" w:eastAsia="zh-CN"/>
        </w:rPr>
        <w:t>包乙方人员食宿、</w:t>
      </w:r>
      <w:r>
        <w:rPr>
          <w:rFonts w:hint="eastAsia" w:ascii="仿宋" w:hAnsi="仿宋" w:eastAsia="仿宋" w:cs="仿宋"/>
          <w:color w:val="auto"/>
          <w:sz w:val="28"/>
          <w:szCs w:val="28"/>
          <w:highlight w:val="none"/>
          <w:lang w:val="en-US" w:eastAsia="zh-CN"/>
        </w:rPr>
        <w:t>包管理、包利润、包税金、包物价上涨、包其他工种配合可能产生的降效及产生的费用及本工程施工过程中所涉及的一切风险因素、全部内容及费用。</w:t>
      </w:r>
    </w:p>
    <w:p w14:paraId="60E6A321">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09" w:name="_Toc30750"/>
      <w:bookmarkStart w:id="110" w:name="_Toc21711"/>
      <w:bookmarkStart w:id="111" w:name="_Toc8708"/>
      <w:r>
        <w:rPr>
          <w:rFonts w:hint="eastAsia" w:ascii="仿宋" w:hAnsi="仿宋" w:eastAsia="仿宋" w:cs="仿宋"/>
          <w:b/>
          <w:bCs/>
          <w:i w:val="0"/>
          <w:iCs w:val="0"/>
          <w:color w:val="auto"/>
          <w:sz w:val="28"/>
          <w:szCs w:val="28"/>
          <w:highlight w:val="none"/>
          <w:shd w:val="clear" w:color="auto" w:fill="auto"/>
          <w:lang w:val="en-US" w:eastAsia="zh-CN"/>
        </w:rPr>
        <w:t>承包范围及主要工程内容</w:t>
      </w:r>
      <w:bookmarkEnd w:id="109"/>
      <w:bookmarkEnd w:id="110"/>
      <w:bookmarkEnd w:id="111"/>
    </w:p>
    <w:p w14:paraId="499B0BC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lang w:val="en-US" w:eastAsia="zh-CN"/>
        </w:rPr>
        <w:t>2.1甲方提供的，经甲方权限流程审批的本工程</w:t>
      </w:r>
      <w:r>
        <w:rPr>
          <w:rFonts w:hint="eastAsia" w:ascii="仿宋" w:hAnsi="仿宋" w:eastAsia="仿宋" w:cs="仿宋"/>
          <w:i w:val="0"/>
          <w:iCs w:val="0"/>
          <w:color w:val="auto"/>
          <w:sz w:val="28"/>
          <w:szCs w:val="28"/>
          <w:highlight w:val="none"/>
          <w:u w:val="none"/>
          <w:lang w:val="en-US" w:eastAsia="zh-CN"/>
        </w:rPr>
        <w:t>施工图及施工做法、</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清单</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详见附件</w:t>
      </w:r>
      <w:r>
        <w:rPr>
          <w:rFonts w:hint="eastAsia" w:ascii="仿宋" w:hAnsi="仿宋" w:eastAsia="仿宋" w:cs="仿宋"/>
          <w:color w:val="auto"/>
          <w:sz w:val="28"/>
          <w:szCs w:val="28"/>
          <w:highlight w:val="none"/>
          <w:lang w:eastAsia="zh-CN"/>
        </w:rPr>
        <w:t>）、交楼标准、图纸会审、</w:t>
      </w:r>
      <w:r>
        <w:rPr>
          <w:rFonts w:hint="eastAsia" w:ascii="仿宋" w:hAnsi="仿宋" w:eastAsia="仿宋" w:cs="仿宋"/>
          <w:i w:val="0"/>
          <w:iCs w:val="0"/>
          <w:color w:val="auto"/>
          <w:sz w:val="28"/>
          <w:szCs w:val="28"/>
          <w:highlight w:val="none"/>
          <w:lang w:val="en-US" w:eastAsia="zh-CN"/>
        </w:rPr>
        <w:t>经甲方权限流程审批的</w:t>
      </w:r>
      <w:r>
        <w:rPr>
          <w:rFonts w:hint="eastAsia" w:ascii="仿宋" w:hAnsi="仿宋" w:eastAsia="仿宋" w:cs="仿宋"/>
          <w:b w:val="0"/>
          <w:bCs w:val="0"/>
          <w:color w:val="auto"/>
          <w:sz w:val="28"/>
          <w:szCs w:val="28"/>
          <w:highlight w:val="none"/>
          <w:lang w:val="en-US" w:eastAsia="zh-CN"/>
        </w:rPr>
        <w:t>施工方案或施工组织设计等</w:t>
      </w:r>
      <w:r>
        <w:rPr>
          <w:rFonts w:hint="eastAsia" w:ascii="仿宋" w:hAnsi="仿宋" w:eastAsia="仿宋" w:cs="仿宋"/>
          <w:color w:val="auto"/>
          <w:sz w:val="28"/>
          <w:szCs w:val="28"/>
          <w:highlight w:val="none"/>
          <w:lang w:eastAsia="zh-CN"/>
        </w:rPr>
        <w:t>文件</w:t>
      </w:r>
      <w:r>
        <w:rPr>
          <w:rFonts w:hint="eastAsia" w:ascii="仿宋" w:hAnsi="仿宋" w:eastAsia="仿宋" w:cs="仿宋"/>
          <w:i w:val="0"/>
          <w:iCs w:val="0"/>
          <w:color w:val="auto"/>
          <w:sz w:val="28"/>
          <w:szCs w:val="28"/>
          <w:highlight w:val="none"/>
          <w:lang w:val="en-US" w:eastAsia="zh-CN"/>
        </w:rPr>
        <w:t>所含内容由乙方施工，除</w:t>
      </w:r>
      <w:r>
        <w:rPr>
          <w:rFonts w:hint="eastAsia" w:ascii="仿宋" w:hAnsi="仿宋" w:eastAsia="仿宋" w:cs="仿宋"/>
          <w:b w:val="0"/>
          <w:bCs w:val="0"/>
          <w:i w:val="0"/>
          <w:iCs w:val="0"/>
          <w:color w:val="auto"/>
          <w:sz w:val="28"/>
          <w:szCs w:val="28"/>
          <w:highlight w:val="none"/>
          <w:shd w:val="clear" w:color="auto" w:fill="auto"/>
        </w:rPr>
        <w:t>本合同另有约定的除外。甲方有权调整乙方的承包范围及内容，乙方不得以任何理由拒绝，否则甲方有权单方解除合同。</w:t>
      </w:r>
    </w:p>
    <w:p w14:paraId="4EB8F33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2.2</w:t>
      </w:r>
      <w:r>
        <w:rPr>
          <w:rFonts w:hint="eastAsia" w:ascii="仿宋" w:hAnsi="仿宋" w:eastAsia="仿宋" w:cs="仿宋"/>
          <w:b w:val="0"/>
          <w:bCs w:val="0"/>
          <w:i w:val="0"/>
          <w:iCs w:val="0"/>
          <w:color w:val="auto"/>
          <w:sz w:val="28"/>
          <w:szCs w:val="28"/>
          <w:highlight w:val="none"/>
          <w:shd w:val="clear" w:color="auto" w:fill="auto"/>
          <w:lang w:val="en-US" w:eastAsia="zh-CN"/>
        </w:rPr>
        <w:t>乙方施工前，须在甲方施工员组织下对甲方（或其他单位）交付的施工界面进行检查，并签订好《工完场清交接单》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（格式详见附件）</w:t>
      </w:r>
      <w:r>
        <w:rPr>
          <w:rFonts w:hint="eastAsia" w:ascii="仿宋" w:hAnsi="仿宋" w:eastAsia="仿宋" w:cs="仿宋"/>
          <w:b w:val="0"/>
          <w:bCs w:val="0"/>
          <w:i w:val="0"/>
          <w:iCs w:val="0"/>
          <w:color w:val="auto"/>
          <w:sz w:val="28"/>
          <w:szCs w:val="28"/>
          <w:highlight w:val="none"/>
          <w:shd w:val="clear" w:color="auto" w:fill="auto"/>
          <w:lang w:val="en-US" w:eastAsia="zh-CN"/>
        </w:rPr>
        <w:t>后方可进场施工；如乙方未签订《工完场清交接单》即施工，视乙方认为适于施工并作为乙方施工前提，因该界面导致乙方施工内容不符合合同要求的，乙方自费返工至符合合同要求且不向甲方（或其他施工单位）索赔。</w:t>
      </w:r>
    </w:p>
    <w:p w14:paraId="16A6268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lang w:val="en-US" w:eastAsia="zh-CN"/>
        </w:rPr>
        <w:t>2.3</w:t>
      </w:r>
      <w:r>
        <w:rPr>
          <w:rFonts w:hint="eastAsia" w:ascii="仿宋" w:hAnsi="仿宋" w:eastAsia="仿宋" w:cs="仿宋"/>
          <w:b w:val="0"/>
          <w:bCs w:val="0"/>
          <w:i w:val="0"/>
          <w:iCs w:val="0"/>
          <w:color w:val="auto"/>
          <w:sz w:val="28"/>
          <w:szCs w:val="28"/>
          <w:highlight w:val="none"/>
          <w:shd w:val="clear" w:color="auto" w:fill="auto"/>
        </w:rPr>
        <w:t>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w:t>
      </w:r>
      <w:r>
        <w:rPr>
          <w:rFonts w:hint="eastAsia" w:ascii="仿宋" w:hAnsi="仿宋" w:eastAsia="仿宋" w:cs="仿宋"/>
          <w:b w:val="0"/>
          <w:bCs w:val="0"/>
          <w:i w:val="0"/>
          <w:iCs w:val="0"/>
          <w:color w:val="auto"/>
          <w:sz w:val="28"/>
          <w:szCs w:val="28"/>
          <w:highlight w:val="none"/>
          <w:shd w:val="clear" w:color="auto" w:fill="auto"/>
          <w:lang w:val="en-US" w:eastAsia="zh-CN"/>
        </w:rPr>
        <w:t>第一部分合同专用条款</w:t>
      </w:r>
      <w:r>
        <w:rPr>
          <w:rFonts w:hint="eastAsia" w:ascii="仿宋" w:hAnsi="仿宋" w:eastAsia="仿宋" w:cs="仿宋"/>
          <w:b w:val="0"/>
          <w:bCs w:val="0"/>
          <w:i w:val="0"/>
          <w:iCs w:val="0"/>
          <w:color w:val="auto"/>
          <w:sz w:val="28"/>
          <w:szCs w:val="28"/>
          <w:highlight w:val="none"/>
          <w:shd w:val="clear" w:color="auto" w:fill="auto"/>
        </w:rPr>
        <w:t>第六章约定的合同价格中，甲方无需另行支付费用给乙方。</w:t>
      </w:r>
    </w:p>
    <w:p w14:paraId="0B9EC5F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2.4</w:t>
      </w:r>
      <w:r>
        <w:rPr>
          <w:rFonts w:hint="eastAsia" w:ascii="仿宋" w:hAnsi="仿宋" w:eastAsia="仿宋" w:cs="仿宋"/>
          <w:i w:val="0"/>
          <w:iCs w:val="0"/>
          <w:color w:val="auto"/>
          <w:sz w:val="28"/>
          <w:szCs w:val="28"/>
          <w:highlight w:val="none"/>
          <w:u w:val="none"/>
          <w:shd w:val="clear" w:color="auto" w:fill="auto"/>
          <w:lang w:eastAsia="zh-CN"/>
        </w:rPr>
        <w:t>本项目</w:t>
      </w:r>
      <w:r>
        <w:rPr>
          <w:rFonts w:hint="eastAsia" w:ascii="仿宋" w:hAnsi="仿宋" w:eastAsia="仿宋" w:cs="仿宋"/>
          <w:i w:val="0"/>
          <w:iCs w:val="0"/>
          <w:color w:val="auto"/>
          <w:sz w:val="28"/>
          <w:szCs w:val="28"/>
          <w:highlight w:val="none"/>
          <w:u w:val="none"/>
          <w:shd w:val="clear" w:color="auto" w:fill="auto"/>
        </w:rPr>
        <w:t>设计变更引起的增加工程，</w:t>
      </w:r>
      <w:r>
        <w:rPr>
          <w:rFonts w:hint="eastAsia" w:ascii="仿宋" w:hAnsi="仿宋" w:eastAsia="仿宋" w:cs="仿宋"/>
          <w:i w:val="0"/>
          <w:iCs w:val="0"/>
          <w:color w:val="auto"/>
          <w:sz w:val="28"/>
          <w:szCs w:val="28"/>
          <w:highlight w:val="none"/>
          <w:u w:val="none"/>
          <w:shd w:val="clear" w:color="auto" w:fill="auto"/>
          <w:lang w:val="en-US" w:eastAsia="zh-CN"/>
        </w:rPr>
        <w:t>无论工程量大小及施工难度系数高低，</w:t>
      </w:r>
    </w:p>
    <w:p w14:paraId="3242E7B3">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如甲方要求</w:t>
      </w:r>
      <w:r>
        <w:rPr>
          <w:rFonts w:hint="eastAsia" w:ascii="仿宋" w:hAnsi="仿宋" w:eastAsia="仿宋" w:cs="仿宋"/>
          <w:i w:val="0"/>
          <w:iCs w:val="0"/>
          <w:color w:val="auto"/>
          <w:sz w:val="28"/>
          <w:szCs w:val="28"/>
          <w:highlight w:val="none"/>
          <w:u w:val="none"/>
          <w:shd w:val="clear" w:color="auto" w:fill="auto"/>
        </w:rPr>
        <w:t>乙方</w:t>
      </w:r>
      <w:r>
        <w:rPr>
          <w:rFonts w:hint="eastAsia" w:ascii="仿宋" w:hAnsi="仿宋" w:eastAsia="仿宋" w:cs="仿宋"/>
          <w:i w:val="0"/>
          <w:iCs w:val="0"/>
          <w:color w:val="auto"/>
          <w:sz w:val="28"/>
          <w:szCs w:val="28"/>
          <w:highlight w:val="none"/>
          <w:u w:val="none"/>
          <w:shd w:val="clear" w:color="auto" w:fill="auto"/>
          <w:lang w:val="en-US" w:eastAsia="zh-CN"/>
        </w:rPr>
        <w:t>施工，乙方须按甲方要求施工</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相关费用</w:t>
      </w:r>
      <w:r>
        <w:rPr>
          <w:rFonts w:hint="eastAsia" w:ascii="仿宋" w:hAnsi="仿宋" w:eastAsia="仿宋" w:cs="仿宋"/>
          <w:i w:val="0"/>
          <w:iCs w:val="0"/>
          <w:color w:val="auto"/>
          <w:sz w:val="28"/>
          <w:szCs w:val="28"/>
          <w:highlight w:val="none"/>
          <w:u w:val="none"/>
          <w:shd w:val="clear" w:color="auto" w:fill="auto"/>
        </w:rPr>
        <w:t>按本合同</w:t>
      </w:r>
      <w:r>
        <w:rPr>
          <w:rFonts w:hint="eastAsia" w:ascii="仿宋" w:hAnsi="仿宋" w:eastAsia="仿宋" w:cs="仿宋"/>
          <w:i w:val="0"/>
          <w:iCs w:val="0"/>
          <w:color w:val="auto"/>
          <w:sz w:val="28"/>
          <w:szCs w:val="28"/>
          <w:highlight w:val="none"/>
          <w:u w:val="none"/>
          <w:shd w:val="clear" w:color="auto" w:fill="auto"/>
          <w:lang w:val="en-US" w:eastAsia="zh-CN"/>
        </w:rPr>
        <w:t>约定办理。</w:t>
      </w:r>
    </w:p>
    <w:p w14:paraId="5D0ABAF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rPr>
        <w:t>鉴于本合同所列单价未必完善，如本工程施工过程中发生新的工程变更内容（例：工程设计变更或增加承包内容等导致的新工程等）且无适用的合同单价，乙方须按甲方要求先行施工（否则每延迟一天乙方向甲方承担违约金人民币两千元），并在甲方通知施工之日起三个工作日内书面向甲方申报工程单价（申报格式以甲方确定的为准），逾期不申报视为乙方同意甲方单方确定的结算价格</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5818C87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2.5</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eastAsia="zh-CN"/>
        </w:rPr>
        <w:t>本工程</w:t>
      </w:r>
      <w:r>
        <w:rPr>
          <w:rFonts w:hint="eastAsia" w:ascii="仿宋" w:hAnsi="仿宋" w:eastAsia="仿宋" w:cs="仿宋"/>
          <w:i w:val="0"/>
          <w:iCs w:val="0"/>
          <w:color w:val="auto"/>
          <w:sz w:val="28"/>
          <w:szCs w:val="28"/>
          <w:highlight w:val="none"/>
          <w:u w:val="none"/>
          <w:shd w:val="clear" w:color="auto" w:fill="auto"/>
        </w:rPr>
        <w:t>施工现场内所需材料、机具的</w:t>
      </w:r>
      <w:r>
        <w:rPr>
          <w:rFonts w:hint="eastAsia" w:ascii="仿宋" w:hAnsi="仿宋" w:eastAsia="仿宋" w:cs="仿宋"/>
          <w:b w:val="0"/>
          <w:bCs w:val="0"/>
          <w:i w:val="0"/>
          <w:iCs w:val="0"/>
          <w:color w:val="auto"/>
          <w:sz w:val="28"/>
          <w:szCs w:val="28"/>
          <w:highlight w:val="none"/>
          <w:u w:val="none"/>
          <w:shd w:val="clear" w:color="auto" w:fill="auto"/>
        </w:rPr>
        <w:t>运输</w:t>
      </w:r>
      <w:r>
        <w:rPr>
          <w:rFonts w:hint="eastAsia" w:ascii="仿宋" w:hAnsi="仿宋" w:eastAsia="仿宋" w:cs="仿宋"/>
          <w:b w:val="0"/>
          <w:bCs w:val="0"/>
          <w:i w:val="0"/>
          <w:iCs w:val="0"/>
          <w:color w:val="auto"/>
          <w:sz w:val="28"/>
          <w:szCs w:val="28"/>
          <w:highlight w:val="none"/>
          <w:u w:val="none"/>
          <w:shd w:val="clear" w:color="auto" w:fill="auto"/>
          <w:lang w:val="en-US" w:eastAsia="zh-CN"/>
        </w:rPr>
        <w:t>。</w:t>
      </w:r>
    </w:p>
    <w:p w14:paraId="6792967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2.6</w:t>
      </w:r>
      <w:r>
        <w:rPr>
          <w:rFonts w:hint="eastAsia" w:ascii="仿宋" w:hAnsi="仿宋" w:eastAsia="仿宋" w:cs="仿宋"/>
          <w:i w:val="0"/>
          <w:iCs w:val="0"/>
          <w:color w:val="auto"/>
          <w:sz w:val="28"/>
          <w:szCs w:val="28"/>
          <w:highlight w:val="none"/>
          <w:u w:val="none"/>
          <w:shd w:val="clear" w:color="auto" w:fill="auto"/>
        </w:rPr>
        <w:t>乙方负责</w:t>
      </w:r>
      <w:r>
        <w:rPr>
          <w:rFonts w:hint="eastAsia" w:ascii="仿宋" w:hAnsi="仿宋" w:eastAsia="仿宋" w:cs="仿宋"/>
          <w:i w:val="0"/>
          <w:iCs w:val="0"/>
          <w:color w:val="auto"/>
          <w:sz w:val="28"/>
          <w:szCs w:val="28"/>
          <w:highlight w:val="none"/>
          <w:u w:val="none"/>
          <w:shd w:val="clear" w:color="auto" w:fill="auto"/>
          <w:lang w:val="en-US" w:eastAsia="zh-CN"/>
        </w:rPr>
        <w:t>本工程</w:t>
      </w:r>
      <w:r>
        <w:rPr>
          <w:rFonts w:hint="eastAsia" w:ascii="仿宋" w:hAnsi="仿宋" w:eastAsia="仿宋" w:cs="仿宋"/>
          <w:i w:val="0"/>
          <w:iCs w:val="0"/>
          <w:color w:val="auto"/>
          <w:sz w:val="28"/>
          <w:szCs w:val="28"/>
          <w:highlight w:val="none"/>
          <w:u w:val="none"/>
          <w:shd w:val="clear" w:color="auto" w:fill="auto"/>
        </w:rPr>
        <w:t>材料、机具堆放场的文明施工工作。</w:t>
      </w:r>
      <w:bookmarkStart w:id="112" w:name="_Toc10183"/>
    </w:p>
    <w:p w14:paraId="2470B73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2.7</w:t>
      </w:r>
      <w:r>
        <w:rPr>
          <w:rFonts w:hint="eastAsia" w:ascii="仿宋" w:hAnsi="仿宋" w:eastAsia="仿宋" w:cs="仿宋"/>
          <w:color w:val="auto"/>
          <w:sz w:val="28"/>
          <w:szCs w:val="28"/>
          <w:highlight w:val="none"/>
          <w:lang w:val="en-US" w:eastAsia="zh-CN"/>
        </w:rPr>
        <w:t>因乙方原因导致甲方被政府部门等单位处罚，导致本项目或本工程停工的，全部责任和各方损失均由乙方承担。</w:t>
      </w:r>
    </w:p>
    <w:p w14:paraId="57D8655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color w:val="auto"/>
          <w:sz w:val="28"/>
          <w:szCs w:val="28"/>
          <w:highlight w:val="none"/>
          <w:lang w:val="en-US" w:eastAsia="zh-CN"/>
        </w:rPr>
        <w:t>2.8</w:t>
      </w:r>
      <w:r>
        <w:rPr>
          <w:rFonts w:hint="eastAsia" w:ascii="仿宋" w:hAnsi="仿宋" w:eastAsia="仿宋" w:cs="仿宋"/>
          <w:i w:val="0"/>
          <w:iCs w:val="0"/>
          <w:color w:val="auto"/>
          <w:sz w:val="28"/>
          <w:szCs w:val="28"/>
          <w:highlight w:val="none"/>
          <w:shd w:val="clear" w:color="auto" w:fill="auto"/>
        </w:rPr>
        <w:t>乙方</w:t>
      </w:r>
      <w:r>
        <w:rPr>
          <w:rFonts w:hint="eastAsia" w:ascii="仿宋" w:hAnsi="仿宋" w:eastAsia="仿宋" w:cs="仿宋"/>
          <w:i w:val="0"/>
          <w:iCs w:val="0"/>
          <w:color w:val="auto"/>
          <w:sz w:val="28"/>
          <w:szCs w:val="28"/>
          <w:highlight w:val="none"/>
          <w:shd w:val="clear" w:color="auto" w:fill="auto"/>
          <w:lang w:val="en-US" w:eastAsia="zh-CN"/>
        </w:rPr>
        <w:t>自行解决乙方人员在本项目的食</w:t>
      </w:r>
      <w:r>
        <w:rPr>
          <w:rFonts w:hint="eastAsia" w:ascii="仿宋" w:hAnsi="仿宋" w:eastAsia="仿宋" w:cs="仿宋"/>
          <w:i w:val="0"/>
          <w:iCs w:val="0"/>
          <w:color w:val="auto"/>
          <w:sz w:val="28"/>
          <w:szCs w:val="28"/>
          <w:highlight w:val="none"/>
          <w:shd w:val="clear" w:color="auto" w:fill="auto"/>
        </w:rPr>
        <w:t>宿</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相关费用已包含在各项合同单价中，不另行单列计费</w:t>
      </w:r>
      <w:r>
        <w:rPr>
          <w:rFonts w:hint="eastAsia" w:ascii="仿宋" w:hAnsi="仿宋" w:eastAsia="仿宋" w:cs="仿宋"/>
          <w:i w:val="0"/>
          <w:iCs w:val="0"/>
          <w:color w:val="auto"/>
          <w:sz w:val="28"/>
          <w:szCs w:val="28"/>
          <w:highlight w:val="none"/>
          <w:shd w:val="clear" w:color="auto" w:fill="auto"/>
        </w:rPr>
        <w:t>。</w:t>
      </w:r>
    </w:p>
    <w:p w14:paraId="35010AD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2.9乙方负责协调、处理本工程涉及的各类关系（包括但不限于政府部门、周边居民等关系），确保进退场及施工过程中合法、合规、不扰民，相关费用已包含在各项合同单价内，不另行计取。</w:t>
      </w:r>
    </w:p>
    <w:p w14:paraId="5CF4DC15">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3" w:name="_Toc6424"/>
      <w:bookmarkStart w:id="114" w:name="_Toc12737"/>
      <w:r>
        <w:rPr>
          <w:rFonts w:hint="eastAsia" w:ascii="仿宋" w:hAnsi="仿宋" w:eastAsia="仿宋" w:cs="仿宋"/>
          <w:b/>
          <w:bCs/>
          <w:i w:val="0"/>
          <w:iCs w:val="0"/>
          <w:color w:val="auto"/>
          <w:sz w:val="28"/>
          <w:szCs w:val="28"/>
          <w:highlight w:val="none"/>
          <w:shd w:val="clear" w:color="auto" w:fill="auto"/>
          <w:lang w:val="en-US" w:eastAsia="zh-CN"/>
        </w:rPr>
        <w:t>工期</w:t>
      </w:r>
      <w:bookmarkEnd w:id="112"/>
      <w:bookmarkEnd w:id="113"/>
      <w:bookmarkEnd w:id="114"/>
    </w:p>
    <w:p w14:paraId="4987D9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本合同工期为计划工期，实际应开工、竣工时间以甲方书面通知为准，甲方书面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甲方不另补偿或增加任何费用给乙方。因甲方原因导致乙方延迟进场的，经甲方书面确认后工期相应顺延，但甲方不额外支付窝工费、停工费等费用给乙方，乙方不因此追究甲方任何责任及赔偿损失。</w:t>
      </w:r>
    </w:p>
    <w:p w14:paraId="607C563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3.2</w:t>
      </w:r>
      <w:r>
        <w:rPr>
          <w:rFonts w:hint="eastAsia" w:ascii="仿宋" w:hAnsi="仿宋" w:eastAsia="仿宋" w:cs="仿宋"/>
          <w:i w:val="0"/>
          <w:iCs w:val="0"/>
          <w:color w:val="auto"/>
          <w:sz w:val="28"/>
          <w:szCs w:val="28"/>
          <w:highlight w:val="none"/>
          <w:shd w:val="clear" w:color="auto" w:fill="auto"/>
          <w:lang w:val="en-US" w:eastAsia="zh-CN"/>
        </w:rPr>
        <w:t>乙方提交的开工资料须满足甲方要求。乙方在收到甲方项目经理签发并加盖甲方项目章的开工令（</w:t>
      </w:r>
      <w:r>
        <w:rPr>
          <w:rFonts w:hint="eastAsia" w:ascii="仿宋_GB2312" w:hAnsi="仿宋_GB2312" w:eastAsia="仿宋_GB2312" w:cs="仿宋_GB2312"/>
          <w:i w:val="0"/>
          <w:iCs w:val="0"/>
          <w:color w:val="000000" w:themeColor="text1"/>
          <w:sz w:val="28"/>
          <w:szCs w:val="28"/>
          <w:highlight w:val="none"/>
          <w:shd w:val="clear" w:color="auto" w:fill="auto"/>
          <w:lang w:val="en-US" w:eastAsia="zh-CN"/>
          <w14:textFill>
            <w14:solidFill>
              <w14:schemeClr w14:val="tx1"/>
            </w14:solidFill>
          </w14:textFill>
        </w:rPr>
        <w:t>格式详见附件</w:t>
      </w:r>
      <w:r>
        <w:rPr>
          <w:rFonts w:hint="eastAsia" w:ascii="仿宋" w:hAnsi="仿宋" w:eastAsia="仿宋" w:cs="仿宋"/>
          <w:i w:val="0"/>
          <w:iCs w:val="0"/>
          <w:color w:val="auto"/>
          <w:sz w:val="28"/>
          <w:szCs w:val="28"/>
          <w:highlight w:val="none"/>
          <w:shd w:val="clear" w:color="auto" w:fill="auto"/>
          <w:lang w:val="en-US" w:eastAsia="zh-CN"/>
        </w:rPr>
        <w:t>）后，按开工令要求进场。</w:t>
      </w:r>
    </w:p>
    <w:p w14:paraId="5B737E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3.3乙方的施工物资须持有上述甲方签发的有效书面开工令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087B91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3.4乙方须严格遵照甲方制订的施工进度计划施工及完成相关工作，接受甲方项目部施工任务安排，否则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乙方按合同向甲方承担违约金。</w:t>
      </w:r>
    </w:p>
    <w:p w14:paraId="19631E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3.5乙方已充分考虑天气因素、除不可抗力（如：地震、海啸、瘟疫、骚乱、戒严、暴动、战争等法定情形）外其他原因可能对工期的影响，乙方同意不因任何原因要求延长工期。</w:t>
      </w:r>
    </w:p>
    <w:p w14:paraId="465CEA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3.6本工程施工过程出现赶工、交叉作业、停工（包括建设单位原因造成的停工）及工人工资、材料费、机具费上涨等导致乙方成本、费用发生增加，乙方不因此要求甲方对合同价格进行调整和另行增补费用。</w:t>
      </w:r>
    </w:p>
    <w:p w14:paraId="2B5667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3.7春节、元旦、五一、十一、周末等法定节假日及技术要求或进度计划要求进行赶工、加班等费用已包含在本合同约定的</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合同总价内，甲方无需另行付费给乙方。</w:t>
      </w:r>
    </w:p>
    <w:p w14:paraId="7E6455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3.8乙方在本合同签订前已勘察本项目现场，对本工程特性全部清楚，因甲方原因导致施工计划调整的，乙方免费积极配合。</w:t>
      </w:r>
    </w:p>
    <w:p w14:paraId="27D42D7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3.9乙方认为甲方或其他单位未配合提供所需工作面、机具及材料而影响施工进度时，须书面告知甲方并按甲方要求办理相关事宜，否则视为不影响乙方施工，乙方不得因此要求延长工期。</w:t>
      </w:r>
    </w:p>
    <w:p w14:paraId="080F12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3.10乙方须严格遵照甲方制订的施工进度计划开展具体施工工作，每</w:t>
      </w:r>
      <w:r>
        <w:rPr>
          <w:rFonts w:hint="eastAsia" w:ascii="仿宋" w:hAnsi="仿宋" w:eastAsia="仿宋" w:cs="仿宋"/>
          <w:b w:val="0"/>
          <w:bCs w:val="0"/>
          <w:i w:val="0"/>
          <w:iCs w:val="0"/>
          <w:color w:val="auto"/>
          <w:sz w:val="28"/>
          <w:szCs w:val="28"/>
          <w:highlight w:val="none"/>
          <w:u w:val="none"/>
          <w:lang w:val="en-US" w:eastAsia="zh-CN"/>
        </w:rPr>
        <w:t>周</w:t>
      </w:r>
      <w:r>
        <w:rPr>
          <w:rFonts w:hint="eastAsia" w:ascii="仿宋" w:hAnsi="仿宋" w:eastAsia="仿宋" w:cs="仿宋"/>
          <w:i w:val="0"/>
          <w:iCs w:val="0"/>
          <w:color w:val="auto"/>
          <w:sz w:val="28"/>
          <w:szCs w:val="28"/>
          <w:highlight w:val="none"/>
          <w:u w:val="none"/>
          <w:shd w:val="clear" w:color="auto" w:fill="auto"/>
          <w:lang w:val="en-US" w:eastAsia="zh-CN"/>
        </w:rPr>
        <w:t>必须到甲方项目部在《施工任务表》上签认施工任务并保证完成，否则</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主动承担相应的违约责任。</w:t>
      </w:r>
    </w:p>
    <w:p w14:paraId="28F3FF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3.11本项目竣工验收移交甲方后、保修期结束前，如甲方在本项目内有新增工程且要求乙方进行报价施工时，乙方须予配合。</w:t>
      </w:r>
      <w:bookmarkStart w:id="115" w:name="_Toc3219"/>
    </w:p>
    <w:p w14:paraId="0EFEFF1C">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16" w:name="_Toc5818"/>
      <w:bookmarkStart w:id="117" w:name="_Toc21972"/>
      <w:r>
        <w:rPr>
          <w:rFonts w:hint="eastAsia" w:ascii="仿宋" w:hAnsi="仿宋" w:eastAsia="仿宋" w:cs="仿宋"/>
          <w:b/>
          <w:bCs/>
          <w:i w:val="0"/>
          <w:iCs w:val="0"/>
          <w:color w:val="auto"/>
          <w:sz w:val="28"/>
          <w:szCs w:val="28"/>
          <w:highlight w:val="none"/>
          <w:shd w:val="clear" w:color="auto" w:fill="auto"/>
          <w:lang w:val="en-US" w:eastAsia="zh-CN"/>
        </w:rPr>
        <w:t>工程质量标准</w:t>
      </w:r>
      <w:bookmarkEnd w:id="115"/>
      <w:bookmarkEnd w:id="116"/>
      <w:bookmarkEnd w:id="117"/>
    </w:p>
    <w:p w14:paraId="1DDFDC9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lang w:val="en-US" w:eastAsia="zh-CN"/>
        </w:rPr>
        <w:t>4.1</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万元。乙方施工过程中必须进行质量检查，并按甲方要求做好标记及书面资料，严格执行三级检查制度。乙方须坚决落实甲方、政府部门提出的整改要求，凡未按要求落实整改的，乙方</w:t>
      </w:r>
      <w:r>
        <w:rPr>
          <w:rFonts w:hint="eastAsia" w:ascii="仿宋" w:hAnsi="仿宋" w:eastAsia="仿宋" w:cs="仿宋"/>
          <w:color w:val="auto"/>
          <w:sz w:val="28"/>
          <w:szCs w:val="28"/>
          <w:highlight w:val="none"/>
          <w:lang w:val="en-US" w:eastAsia="zh-CN"/>
        </w:rPr>
        <w:t>向</w:t>
      </w:r>
      <w:r>
        <w:rPr>
          <w:rFonts w:hint="eastAsia" w:ascii="仿宋" w:hAnsi="仿宋" w:eastAsia="仿宋" w:cs="仿宋"/>
          <w:color w:val="auto"/>
          <w:sz w:val="28"/>
          <w:szCs w:val="28"/>
          <w:highlight w:val="none"/>
        </w:rPr>
        <w:t>甲方</w:t>
      </w:r>
      <w:r>
        <w:rPr>
          <w:rFonts w:hint="eastAsia" w:ascii="仿宋" w:hAnsi="仿宋" w:eastAsia="仿宋" w:cs="仿宋"/>
          <w:color w:val="auto"/>
          <w:sz w:val="28"/>
          <w:szCs w:val="28"/>
          <w:highlight w:val="none"/>
          <w:lang w:val="en-US" w:eastAsia="zh-CN"/>
        </w:rPr>
        <w:t>承担违约金</w:t>
      </w:r>
      <w:r>
        <w:rPr>
          <w:rFonts w:hint="eastAsia" w:ascii="仿宋" w:hAnsi="仿宋" w:eastAsia="仿宋" w:cs="仿宋"/>
          <w:color w:val="auto"/>
          <w:sz w:val="28"/>
          <w:szCs w:val="28"/>
          <w:highlight w:val="none"/>
        </w:rPr>
        <w:t>贰仟至伍万元/次，整改二次以上的甲方有权对本工程按</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color w:val="auto"/>
          <w:sz w:val="28"/>
          <w:szCs w:val="28"/>
          <w:highlight w:val="none"/>
        </w:rPr>
        <w:t>下浮5%予以结算。</w:t>
      </w:r>
      <w:r>
        <w:rPr>
          <w:rFonts w:hint="eastAsia" w:ascii="仿宋" w:hAnsi="仿宋" w:eastAsia="仿宋" w:cs="仿宋"/>
          <w:i w:val="0"/>
          <w:iCs w:val="0"/>
          <w:color w:val="auto"/>
          <w:sz w:val="28"/>
          <w:szCs w:val="28"/>
          <w:highlight w:val="none"/>
          <w:u w:val="none"/>
          <w:shd w:val="clear" w:color="auto" w:fill="auto"/>
        </w:rPr>
        <w:t xml:space="preserve"> </w:t>
      </w:r>
    </w:p>
    <w:p w14:paraId="7A1766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color w:val="auto"/>
          <w:sz w:val="28"/>
          <w:szCs w:val="28"/>
          <w:highlight w:val="none"/>
          <w:lang w:val="en-US" w:eastAsia="zh-CN"/>
        </w:rPr>
        <w:t>4.2由于乙方原因导致本工程任一部位质量达不到合同约定的质量标准或不符合施工规范的，该部位按相应的合同单价下调10％结算且乙方无条件完成整改，所发生的一切费用由乙方自行承担。</w:t>
      </w:r>
      <w:r>
        <w:rPr>
          <w:rFonts w:hint="eastAsia" w:ascii="仿宋" w:hAnsi="仿宋" w:eastAsia="仿宋" w:cs="仿宋"/>
          <w:i w:val="0"/>
          <w:iCs w:val="0"/>
          <w:color w:val="auto"/>
          <w:sz w:val="28"/>
          <w:szCs w:val="28"/>
          <w:highlight w:val="none"/>
          <w:u w:val="none"/>
          <w:shd w:val="clear" w:color="auto" w:fill="auto"/>
        </w:rPr>
        <w:t xml:space="preserve">                    </w:t>
      </w:r>
      <w:bookmarkStart w:id="118" w:name="_Toc20800"/>
      <w:bookmarkStart w:id="119" w:name="_Toc14414"/>
    </w:p>
    <w:p w14:paraId="2CFE5CA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4.3乙供材料收货验收流程及标准</w:t>
      </w:r>
      <w:bookmarkEnd w:id="118"/>
      <w:bookmarkEnd w:id="119"/>
    </w:p>
    <w:p w14:paraId="4F2744D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4.3.1乙方签订本合同之日起1日内将所需进入施工现场的材料、机械、仪表、设备等提报订货进场计划申报单，并将其明细报交甲方项目部核实并存档，清单须包含材料的名称、规格、型号、数量、订货时间（附合同或订货依据）、抵达乙方时间、抵达施工现场时间等内容，各方签字确认并留存，以作为各阶段进度计划的附页及退场时的核查依据。</w:t>
      </w:r>
    </w:p>
    <w:p w14:paraId="046A2DA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乙方在选择运输材料的设备时，须提前向甲方项目部安全员报备，选择适合的路线准时抵达，避免现场车辆拥堵，运输设备总重不得超过现场道路限载，并服从甲方项目人员指挥，装卸时注意施工安全。</w:t>
      </w:r>
    </w:p>
    <w:p w14:paraId="5BD7B8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施工周转材料和小型机具，进场前应报甲方项目部进行检查，做好特殊标记，并由备案人员进行清点后方可使用，无特殊标记的周转材料不得进场，私自进场的不得外运。</w:t>
      </w:r>
    </w:p>
    <w:p w14:paraId="6DAF411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4.3.2甲方施工员在乙供材料、设备进场时，有权对品牌、规格、型号、质量等进行抽检并拍照留存。</w:t>
      </w:r>
    </w:p>
    <w:p w14:paraId="7DE6FF9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4.3.3乙方所提供材料质量如不符合本合同要求，甲方项目部无权同意用于本工程（无论是否折价交易），此种情况下，无论甲方项目部任何人员签字同意均无效且视为乙方未履行提供合格材料的义务，甲方不支付相关款项，乙方按合同约定承担未提供合格材料的违约责任。</w:t>
      </w:r>
    </w:p>
    <w:p w14:paraId="355B76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4.3.4对不符合合同要求的乙供材料（如材料的品牌、规格、型号、质量等不符合合同约定），由甲方本合同执行联系人按合同要求直接拒收、退场并做好记录备查，不允许折价收货不符合合同要求的材料，且乙方向甲方承担违约金（违约金金额等于不符合合同约定的材料金额的三倍但最少不低于壹万元/次），甲方有权在任意应付给乙方的合同款中自行扣取违约金。</w:t>
      </w:r>
    </w:p>
    <w:p w14:paraId="73E4CC1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4.3.5乙方用于本工程的所有材料、机械设备必须符合现行国家及项目当地的相关规定，同时按甲方《分包单位材料管理制度》执行。 </w:t>
      </w:r>
    </w:p>
    <w:p w14:paraId="40D0C2B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4.4乙方必须以甲方验收合格为标准，无条件接受返工、整改，工期不得顺延。</w:t>
      </w:r>
      <w:r>
        <w:rPr>
          <w:rFonts w:hint="eastAsia" w:ascii="仿宋" w:hAnsi="仿宋" w:eastAsia="仿宋" w:cs="仿宋"/>
          <w:color w:val="auto"/>
          <w:sz w:val="28"/>
          <w:szCs w:val="28"/>
          <w:highlight w:val="none"/>
        </w:rPr>
        <w:t xml:space="preserve"> </w:t>
      </w:r>
      <w:bookmarkStart w:id="120" w:name="_Toc13366"/>
      <w:bookmarkStart w:id="121" w:name="_Toc17786"/>
    </w:p>
    <w:p w14:paraId="20BFAF83">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2" w:name="_Toc17396"/>
      <w:bookmarkStart w:id="123" w:name="_Toc20756"/>
      <w:r>
        <w:rPr>
          <w:rFonts w:hint="eastAsia" w:ascii="仿宋" w:hAnsi="仿宋" w:eastAsia="仿宋" w:cs="仿宋"/>
          <w:b/>
          <w:bCs/>
          <w:i w:val="0"/>
          <w:iCs w:val="0"/>
          <w:color w:val="auto"/>
          <w:sz w:val="28"/>
          <w:szCs w:val="28"/>
          <w:highlight w:val="none"/>
          <w:shd w:val="clear" w:color="auto" w:fill="auto"/>
          <w:lang w:val="en-US" w:eastAsia="zh-CN"/>
        </w:rPr>
        <w:t>合同价款</w:t>
      </w:r>
      <w:bookmarkEnd w:id="120"/>
      <w:bookmarkEnd w:id="121"/>
      <w:bookmarkEnd w:id="122"/>
      <w:bookmarkEnd w:id="123"/>
      <w:bookmarkStart w:id="124" w:name="_Toc4027"/>
      <w:bookmarkStart w:id="125" w:name="_Toc12707"/>
      <w:bookmarkStart w:id="126" w:name="_Toc1479"/>
    </w:p>
    <w:p w14:paraId="204D59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color w:val="auto"/>
          <w:sz w:val="28"/>
          <w:szCs w:val="28"/>
          <w:highlight w:val="none"/>
          <w:lang w:val="en-US" w:eastAsia="zh-CN"/>
        </w:rPr>
        <w:t>包括乙方完成下述工作及应对下述情况的费用、风险的费用，甲方无需另行付费给乙方：</w:t>
      </w:r>
      <w:bookmarkEnd w:id="124"/>
      <w:bookmarkEnd w:id="125"/>
      <w:bookmarkEnd w:id="126"/>
    </w:p>
    <w:p w14:paraId="175D2B9C">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确保本工程满足本项目所在地建设安全管理标准化施工要求，一次性达到本项目所在地建设行政主管部门的达标要求及本合同要求。</w:t>
      </w:r>
    </w:p>
    <w:p w14:paraId="5ACA4CD8">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配备本工程所需电工，且电工须持证上岗。甲方电工仅对乙方电工进行监督、检查、管理、指导。</w:t>
      </w:r>
    </w:p>
    <w:p w14:paraId="64CA1464">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春节、元旦、五一、十一、周末等法定节假日及技术要求或进度计划要求进行赶工、加班。</w:t>
      </w:r>
    </w:p>
    <w:p w14:paraId="6A4C8B71">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rPr>
      </w:pPr>
      <w:r>
        <w:rPr>
          <w:rFonts w:hint="eastAsia" w:ascii="仿宋" w:hAnsi="仿宋" w:eastAsia="仿宋" w:cs="仿宋"/>
          <w:b w:val="0"/>
          <w:bCs w:val="0"/>
          <w:i w:val="0"/>
          <w:iCs w:val="0"/>
          <w:color w:val="auto"/>
          <w:sz w:val="28"/>
          <w:szCs w:val="28"/>
          <w:highlight w:val="none"/>
          <w:u w:val="none"/>
          <w:shd w:val="clear" w:color="auto" w:fill="auto"/>
          <w:lang w:eastAsia="zh-CN"/>
        </w:rPr>
        <w:t>参与甲供材料（如</w:t>
      </w:r>
      <w:r>
        <w:rPr>
          <w:rFonts w:hint="eastAsia" w:ascii="仿宋" w:hAnsi="仿宋" w:eastAsia="仿宋" w:cs="仿宋"/>
          <w:b w:val="0"/>
          <w:bCs w:val="0"/>
          <w:i w:val="0"/>
          <w:iCs w:val="0"/>
          <w:color w:val="auto"/>
          <w:sz w:val="28"/>
          <w:szCs w:val="28"/>
          <w:highlight w:val="none"/>
          <w:u w:val="none"/>
          <w:shd w:val="clear" w:color="auto" w:fill="auto"/>
          <w:lang w:val="en-US" w:eastAsia="zh-CN"/>
        </w:rPr>
        <w:t>有</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的</w:t>
      </w:r>
      <w:r>
        <w:rPr>
          <w:rFonts w:hint="eastAsia" w:ascii="仿宋" w:hAnsi="仿宋" w:eastAsia="仿宋" w:cs="仿宋"/>
          <w:b w:val="0"/>
          <w:bCs w:val="0"/>
          <w:i w:val="0"/>
          <w:iCs w:val="0"/>
          <w:color w:val="auto"/>
          <w:sz w:val="28"/>
          <w:szCs w:val="28"/>
          <w:highlight w:val="none"/>
          <w:u w:val="none"/>
          <w:shd w:val="clear" w:color="auto" w:fill="auto"/>
          <w:lang w:eastAsia="zh-CN"/>
        </w:rPr>
        <w:t>申报采购、验收和收货，其数量作为</w:t>
      </w:r>
      <w:r>
        <w:rPr>
          <w:rFonts w:hint="eastAsia" w:ascii="仿宋" w:hAnsi="仿宋" w:eastAsia="仿宋" w:cs="仿宋"/>
          <w:b w:val="0"/>
          <w:bCs w:val="0"/>
          <w:i w:val="0"/>
          <w:iCs w:val="0"/>
          <w:color w:val="auto"/>
          <w:sz w:val="28"/>
          <w:szCs w:val="28"/>
          <w:highlight w:val="none"/>
          <w:u w:val="none"/>
          <w:shd w:val="clear" w:color="auto" w:fill="auto"/>
          <w:lang w:val="en-US" w:eastAsia="zh-CN"/>
        </w:rPr>
        <w:t>甲供</w:t>
      </w:r>
      <w:r>
        <w:rPr>
          <w:rFonts w:hint="eastAsia" w:ascii="仿宋" w:hAnsi="仿宋" w:eastAsia="仿宋" w:cs="仿宋"/>
          <w:b w:val="0"/>
          <w:bCs w:val="0"/>
          <w:i w:val="0"/>
          <w:iCs w:val="0"/>
          <w:color w:val="auto"/>
          <w:sz w:val="28"/>
          <w:szCs w:val="28"/>
          <w:highlight w:val="none"/>
          <w:u w:val="none"/>
          <w:shd w:val="clear" w:color="auto" w:fill="auto"/>
          <w:lang w:eastAsia="zh-CN"/>
        </w:rPr>
        <w:t>材料损耗率的核算依据</w:t>
      </w:r>
      <w:r>
        <w:rPr>
          <w:rFonts w:hint="eastAsia" w:ascii="仿宋" w:hAnsi="仿宋" w:eastAsia="仿宋" w:cs="仿宋"/>
          <w:b w:val="0"/>
          <w:bCs w:val="0"/>
          <w:i w:val="0"/>
          <w:iCs w:val="0"/>
          <w:color w:val="auto"/>
          <w:sz w:val="28"/>
          <w:szCs w:val="28"/>
          <w:highlight w:val="none"/>
          <w:u w:val="none"/>
          <w:shd w:val="clear" w:color="auto" w:fill="auto"/>
          <w:lang w:val="en-US" w:eastAsia="zh-CN"/>
        </w:rPr>
        <w:t>之一</w:t>
      </w:r>
      <w:r>
        <w:rPr>
          <w:rFonts w:hint="eastAsia" w:ascii="仿宋" w:hAnsi="仿宋" w:eastAsia="仿宋" w:cs="仿宋"/>
          <w:b w:val="0"/>
          <w:bCs w:val="0"/>
          <w:i w:val="0"/>
          <w:iCs w:val="0"/>
          <w:color w:val="auto"/>
          <w:sz w:val="28"/>
          <w:szCs w:val="28"/>
          <w:highlight w:val="none"/>
          <w:u w:val="none"/>
          <w:shd w:val="clear" w:color="auto" w:fill="auto"/>
          <w:lang w:eastAsia="zh-CN"/>
        </w:rPr>
        <w:t>。</w:t>
      </w:r>
    </w:p>
    <w:p w14:paraId="31AC90BE">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施工过程出现赶工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交叉作业</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停工</w:t>
      </w:r>
      <w:r>
        <w:rPr>
          <w:rFonts w:hint="eastAsia" w:ascii="仿宋" w:hAnsi="仿宋" w:eastAsia="仿宋" w:cs="仿宋"/>
          <w:b w:val="0"/>
          <w:bCs w:val="0"/>
          <w:i w:val="0"/>
          <w:iCs w:val="0"/>
          <w:color w:val="auto"/>
          <w:sz w:val="28"/>
          <w:szCs w:val="28"/>
          <w:highlight w:val="none"/>
          <w:u w:val="none"/>
          <w:shd w:val="clear" w:color="auto" w:fill="auto"/>
          <w:lang w:eastAsia="zh-CN"/>
        </w:rPr>
        <w:t>，</w:t>
      </w:r>
      <w:r>
        <w:rPr>
          <w:rFonts w:hint="eastAsia" w:ascii="仿宋" w:hAnsi="仿宋" w:eastAsia="仿宋" w:cs="仿宋"/>
          <w:b w:val="0"/>
          <w:bCs w:val="0"/>
          <w:i w:val="0"/>
          <w:iCs w:val="0"/>
          <w:color w:val="auto"/>
          <w:sz w:val="28"/>
          <w:szCs w:val="28"/>
          <w:highlight w:val="none"/>
          <w:u w:val="none"/>
          <w:shd w:val="clear" w:color="auto" w:fill="auto"/>
        </w:rPr>
        <w:t>工人工资、材料费、机具费上涨等</w:t>
      </w:r>
      <w:r>
        <w:rPr>
          <w:rFonts w:hint="eastAsia" w:ascii="仿宋" w:hAnsi="仿宋" w:eastAsia="仿宋" w:cs="仿宋"/>
          <w:b w:val="0"/>
          <w:bCs w:val="0"/>
          <w:i w:val="0"/>
          <w:iCs w:val="0"/>
          <w:color w:val="auto"/>
          <w:sz w:val="28"/>
          <w:szCs w:val="28"/>
          <w:highlight w:val="none"/>
          <w:u w:val="none"/>
          <w:shd w:val="clear" w:color="auto" w:fill="auto"/>
          <w:lang w:val="en-US" w:eastAsia="zh-CN"/>
        </w:rPr>
        <w:t>导致乙方成本、费用发生</w:t>
      </w:r>
      <w:r>
        <w:rPr>
          <w:rFonts w:hint="eastAsia" w:ascii="仿宋" w:hAnsi="仿宋" w:eastAsia="仿宋" w:cs="仿宋"/>
          <w:b w:val="0"/>
          <w:bCs w:val="0"/>
          <w:i w:val="0"/>
          <w:iCs w:val="0"/>
          <w:color w:val="auto"/>
          <w:sz w:val="28"/>
          <w:szCs w:val="28"/>
          <w:highlight w:val="none"/>
          <w:u w:val="none"/>
          <w:shd w:val="clear" w:color="auto" w:fill="auto"/>
        </w:rPr>
        <w:t>增</w:t>
      </w:r>
      <w:r>
        <w:rPr>
          <w:rFonts w:hint="eastAsia" w:ascii="仿宋" w:hAnsi="仿宋" w:eastAsia="仿宋" w:cs="仿宋"/>
          <w:b w:val="0"/>
          <w:bCs w:val="0"/>
          <w:i w:val="0"/>
          <w:iCs w:val="0"/>
          <w:color w:val="auto"/>
          <w:sz w:val="28"/>
          <w:szCs w:val="28"/>
          <w:highlight w:val="none"/>
          <w:u w:val="none"/>
          <w:shd w:val="clear" w:color="auto" w:fill="auto"/>
          <w:lang w:val="en-US" w:eastAsia="zh-CN"/>
        </w:rPr>
        <w:t>加的情况</w:t>
      </w:r>
    </w:p>
    <w:p w14:paraId="3037FC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b w:val="0"/>
          <w:bCs w:val="0"/>
          <w:i w:val="0"/>
          <w:iCs w:val="0"/>
          <w:color w:val="auto"/>
          <w:sz w:val="28"/>
          <w:szCs w:val="28"/>
          <w:highlight w:val="none"/>
          <w:u w:val="none"/>
          <w:shd w:val="clear" w:color="auto" w:fill="auto"/>
          <w:lang w:val="en-US" w:eastAsia="zh-CN"/>
        </w:rPr>
        <w:t>5.2</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b w:val="0"/>
          <w:bCs w:val="0"/>
          <w:i w:val="0"/>
          <w:iCs w:val="0"/>
          <w:color w:val="auto"/>
          <w:sz w:val="28"/>
          <w:szCs w:val="28"/>
          <w:highlight w:val="none"/>
          <w:u w:val="none"/>
          <w:shd w:val="clear" w:color="auto" w:fill="auto"/>
          <w:lang w:val="en-US" w:eastAsia="zh-CN"/>
        </w:rPr>
        <w:t>已考虑突发疫情等流行疾病影响因素，乙方不以疫情防控为由要求甲方对合同价、合同结算办法及工期等合同条款进行调整，防疫措施的一切费用已包含在合同价内，不另计费。</w:t>
      </w:r>
    </w:p>
    <w:p w14:paraId="74B78E1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lang w:val="en-US" w:eastAsia="zh-CN"/>
        </w:rPr>
      </w:pPr>
      <w:r>
        <w:rPr>
          <w:rFonts w:hint="eastAsia" w:ascii="仿宋" w:hAnsi="仿宋" w:eastAsia="仿宋" w:cs="仿宋"/>
          <w:b w:val="0"/>
          <w:bCs w:val="0"/>
          <w:i w:val="0"/>
          <w:iCs w:val="0"/>
          <w:color w:val="auto"/>
          <w:sz w:val="28"/>
          <w:szCs w:val="28"/>
          <w:highlight w:val="none"/>
          <w:u w:val="none"/>
          <w:lang w:val="en-US" w:eastAsia="zh-CN"/>
        </w:rPr>
        <w:t xml:space="preserve">5.3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      </w:t>
      </w:r>
    </w:p>
    <w:p w14:paraId="7C1809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5.4乙方在合同履约过程中，报送甲方项目部签名的台班记录单、送货单、对账单等单据所表述的各种违背本合同约定的文字内容均无效，乙方承诺均按本合同执行。</w:t>
      </w:r>
      <w:bookmarkStart w:id="127" w:name="_Toc13078"/>
      <w:bookmarkStart w:id="128" w:name="_Toc17936"/>
    </w:p>
    <w:p w14:paraId="0CACE4CD">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29" w:name="_Toc7624"/>
      <w:bookmarkStart w:id="130" w:name="_Toc22953"/>
      <w:r>
        <w:rPr>
          <w:rFonts w:hint="eastAsia" w:ascii="仿宋" w:hAnsi="仿宋" w:eastAsia="仿宋" w:cs="仿宋"/>
          <w:b/>
          <w:bCs/>
          <w:i w:val="0"/>
          <w:iCs w:val="0"/>
          <w:color w:val="auto"/>
          <w:sz w:val="28"/>
          <w:szCs w:val="28"/>
          <w:highlight w:val="none"/>
          <w:shd w:val="clear" w:color="auto" w:fill="auto"/>
          <w:lang w:val="en-US" w:eastAsia="zh-CN"/>
        </w:rPr>
        <w:t>计量计价方式及结算方式</w:t>
      </w:r>
      <w:bookmarkEnd w:id="127"/>
      <w:bookmarkEnd w:id="128"/>
      <w:bookmarkEnd w:id="129"/>
      <w:bookmarkEnd w:id="130"/>
    </w:p>
    <w:p w14:paraId="6B1C99D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w:t>
      </w:r>
      <w:r>
        <w:rPr>
          <w:rFonts w:hint="eastAsia" w:ascii="仿宋" w:hAnsi="仿宋" w:eastAsia="仿宋" w:cs="仿宋"/>
          <w:color w:val="auto"/>
          <w:sz w:val="28"/>
          <w:szCs w:val="32"/>
          <w:highlight w:val="none"/>
          <w:shd w:val="clear" w:color="auto" w:fill="auto"/>
          <w:lang w:val="en-US" w:eastAsia="zh-CN"/>
        </w:rPr>
        <w:t>工程量有竣工图纸部分，按甲方确认的竣工图计算，无图纸部分以甲方与建设单位签字确认的签证单工程量或按照甲方《分包单位签证管理制度》和《临时设施管理制度》等签证相关要求（如本章第6.3条等）执行</w:t>
      </w:r>
      <w:r>
        <w:rPr>
          <w:rFonts w:hint="eastAsia" w:ascii="仿宋" w:hAnsi="仿宋" w:eastAsia="仿宋" w:cs="仿宋"/>
          <w:b w:val="0"/>
          <w:bCs w:val="0"/>
          <w:i w:val="0"/>
          <w:iCs w:val="0"/>
          <w:color w:val="auto"/>
          <w:sz w:val="28"/>
          <w:szCs w:val="28"/>
          <w:highlight w:val="none"/>
          <w:lang w:val="en-US" w:eastAsia="zh-CN"/>
        </w:rPr>
        <w:t>。</w:t>
      </w:r>
      <w:r>
        <w:rPr>
          <w:rFonts w:hint="eastAsia" w:ascii="仿宋" w:hAnsi="仿宋" w:eastAsia="仿宋" w:cs="仿宋"/>
          <w:color w:val="auto"/>
          <w:sz w:val="28"/>
          <w:szCs w:val="28"/>
          <w:highlight w:val="none"/>
          <w:lang w:val="en-US" w:eastAsia="zh-CN"/>
        </w:rPr>
        <w:t>经甲方项目部验收合格的工程，按合同约定的计价方式结算。</w:t>
      </w:r>
    </w:p>
    <w:p w14:paraId="4C3297A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color w:val="auto"/>
          <w:sz w:val="28"/>
          <w:szCs w:val="28"/>
          <w:highlight w:val="none"/>
          <w:lang w:val="en-US" w:eastAsia="zh-CN"/>
        </w:rPr>
        <w:t>固定单价合同结算方式：结算总价=完成并达到合同标准的工程量×合同单价-合同约定扣除费用。</w:t>
      </w:r>
    </w:p>
    <w:p w14:paraId="0137545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color w:val="auto"/>
          <w:sz w:val="28"/>
          <w:szCs w:val="28"/>
          <w:highlight w:val="none"/>
          <w:lang w:val="en-US" w:eastAsia="zh-CN"/>
        </w:rPr>
        <w:t>固定总价合同结算方式：结算总价=合同固定总价-合同内未施工内容+合同外增加内容【须有建设单位与甲方的签证或甲方确认的“分包签证确认单”（格式详见附件）和“分项工程/认质认价申报审批表”（格式详见附件）等定价文件】-合同约定扣除费用。</w:t>
      </w:r>
    </w:p>
    <w:p w14:paraId="0C6753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6.2计量依据：</w:t>
      </w:r>
    </w:p>
    <w:p w14:paraId="6AFF81D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6.2.1甲方招标报价版施工图纸或甲方签认下发的施工图；</w:t>
      </w:r>
    </w:p>
    <w:p w14:paraId="7E61FFD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6.2.2设计变更、甲方与建设单位签认的交楼标准、联系单及签证单；</w:t>
      </w:r>
    </w:p>
    <w:p w14:paraId="2477590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6.2.3甲方、建设单位、监理签认的竣工图；</w:t>
      </w:r>
    </w:p>
    <w:p w14:paraId="5703700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6.2.4图纸会审纪要；</w:t>
      </w:r>
    </w:p>
    <w:p w14:paraId="3E0383B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6.2.5政府主管部门要求而图纸中没有且建设单位同意施工的内容；</w:t>
      </w:r>
    </w:p>
    <w:p w14:paraId="5A1D1F0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6.2.6建设单位、监理、甲方、乙方四方测量签字确认的原始场地标高图及场地完成后标高图（适用于土方工程）；</w:t>
      </w:r>
    </w:p>
    <w:p w14:paraId="6F63A2E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6.2.7建设单位、监理、甲方、乙方四方测量签字确认的打桩记录表、桩位编号图（适用于桩基工程、搅拌桩工程、钢板桩工程、旋挖桩、工法桩等全部桩基工程）；</w:t>
      </w:r>
    </w:p>
    <w:p w14:paraId="5EBA30C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6.2.8打拔钢板桩时间记录表（时间以建设单位签字确认的记录表为准）。</w:t>
      </w:r>
    </w:p>
    <w:p w14:paraId="0FDC74C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6.3签证工程管理制度</w:t>
      </w:r>
    </w:p>
    <w:p w14:paraId="21928CE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6.3.1签证必须包括的内容、资料及要求： </w:t>
      </w:r>
    </w:p>
    <w:p w14:paraId="7CD1B60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6.3.1.1签证单签发时间及编号。</w:t>
      </w:r>
    </w:p>
    <w:p w14:paraId="78BC73B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6.3.1.2签证事实发生的原因、工作内容、完成的工程量。</w:t>
      </w:r>
    </w:p>
    <w:p w14:paraId="0D1A1D9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6.3.1.3签证单（含附件：①草签单，②通知单/联系单/设计变更文件，③影像资料等。由乙方按甲方规定的格式填写）</w:t>
      </w:r>
    </w:p>
    <w:p w14:paraId="69AE9E2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6.3.1.4执行签证事实的依据：如建设单位签发的建设单位通知单、联系函、设计变更等文件。</w:t>
      </w:r>
    </w:p>
    <w:p w14:paraId="024BF0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6.3.1.5对于无法按图计算的工程内容或者比较重要的签证，须附现场彩色相片，特别是临时增补工程（比如：园林苗木的更换、基础换填、零星工程、隐蔽工程、水电迁移、拆改工程等）。</w:t>
      </w:r>
    </w:p>
    <w:p w14:paraId="1CF932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6.3.1.6对于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487663B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6.3.1.7签证执行“一事一签证”的原则，分别列明，不能混编，当出现零星维修、抢修、改造工程，工程量少，过程中间接工序多，无法实际、准确反映乙方产生实际成本的，必须清楚记录具体部位和实际用工记录。</w:t>
      </w:r>
    </w:p>
    <w:p w14:paraId="159CD2C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6.3.1.8经乙方现场执行人签名或盖章但内容不清楚、不齐全的签证单或工程量计算单，甲方项目部有权拒收。</w:t>
      </w:r>
    </w:p>
    <w:p w14:paraId="4CC9F75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6.3.1.9对同一签证内容，如“甲方与乙方的签证”和“建设单位与甲方的签证”不一致，以较小的量、价对乙方签证确认。</w:t>
      </w:r>
    </w:p>
    <w:p w14:paraId="1613EF5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6.3.1.10对同一签证内容，甲方与建设单位办理了签证单，而该签证单内容甲方又分给了多家施工单位完成的，乙方须提供甲乙双方确认的《签证单分包说明》（格式详见附件）作为乙方结算依据方可结算。</w:t>
      </w:r>
    </w:p>
    <w:p w14:paraId="1864213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6.3.1.11甲方与建设单位未办理签证单，但属于绿色文明施工范围内或因其他原因（如临时设施等）使得甲方确需与乙方办理签证的情况，则乙方须提供甲方签认的《分包签证确认单》方可作为结算依据。</w:t>
      </w:r>
    </w:p>
    <w:p w14:paraId="2014A77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6.3.1.12签证单必须有甲方项目经理签名方为有效签证，否则甲方不予办理结算。</w:t>
      </w:r>
    </w:p>
    <w:p w14:paraId="764697F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6.3.1.13</w:t>
      </w:r>
      <w:r>
        <w:rPr>
          <w:rFonts w:hint="eastAsia" w:ascii="仿宋" w:hAnsi="仿宋" w:eastAsia="仿宋" w:cs="仿宋"/>
          <w:color w:val="auto"/>
          <w:sz w:val="28"/>
          <w:szCs w:val="28"/>
          <w:highlight w:val="none"/>
        </w:rPr>
        <w:t>对于增加或变更工程，乙方凭甲方项目经理签认的签证单及相关资料办理结算。甲方签证单须有本合同授权的甲方项目经理亲自签字确认并加盖公章的书面文件方为有效签证。甲方项目经理委托/授权他人代签均为无效签证，甲方不予办理付款及结算。任何人的口头指示、通知、电话通知、微信通知不作为结算依据。未经甲方盖章书面签证确认或乙方超出图纸、合同清单范围施工的工程量，不属于增加工程，不纳入结算</w:t>
      </w:r>
      <w:r>
        <w:rPr>
          <w:rFonts w:hint="eastAsia" w:ascii="仿宋" w:hAnsi="仿宋" w:eastAsia="仿宋" w:cs="仿宋"/>
          <w:color w:val="auto"/>
          <w:sz w:val="28"/>
          <w:szCs w:val="28"/>
          <w:highlight w:val="none"/>
          <w:lang w:eastAsia="zh-CN"/>
        </w:rPr>
        <w:t>。</w:t>
      </w:r>
    </w:p>
    <w:p w14:paraId="3CC0953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6.3.2乙方申报签证程序</w:t>
      </w:r>
    </w:p>
    <w:p w14:paraId="3BEB507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6.3.2.1乙方须在工程部位隐蔽前（变更工程被隐蔽后无法计量的，甲方有权拒绝签证）组织甲方等相关单位共同对工程量以草签单形式进行确认。乙方须在签证内容完成之日起7个日历天内提交签证单及相应的签证预算书（各一式两份，含电子版）由乙方现场执行人签字并加盖公章后报甲方，逾期提报的，甲方不受理，一切责任及损失由乙方自行承担。</w:t>
      </w:r>
    </w:p>
    <w:p w14:paraId="546802C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6.3.2.2草签单由甲方的施工员、成本管理员、副经理共同现场收方、见证完成并签名，乙方由合同约定的现场执行人签认。</w:t>
      </w:r>
    </w:p>
    <w:p w14:paraId="35C71E0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6.3.2.3草签单须提供施工前、施工中、施工后的照片、签证预算书作为乙方向甲方办理“分包签证确认单”的必备附件。</w:t>
      </w:r>
    </w:p>
    <w:p w14:paraId="13AB3A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6.3.3零星工时计价及相关规定</w:t>
      </w:r>
    </w:p>
    <w:p w14:paraId="4B999D6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6.3.3.1零星用工以分包签证确认单的方式结算，工程量以该签证单确认工程量计算。</w:t>
      </w:r>
    </w:p>
    <w:p w14:paraId="142B8AD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6.3.3.2甲方范围内的零星用工单价：按 230 元/工日（含税）计取。</w:t>
      </w:r>
    </w:p>
    <w:p w14:paraId="49425C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6.3.3.3零星施工填写签证单时，格式按甲方规定填写，属甲方承担的填写《分包签证确认单》《工程量现场草签记录表》（格式详见附件）；如乙方工程范围未完成属扣乙方的单独写单，并注明扣乙方具体施工位置；属建设单位签证的（不属甲方范围的零星用工）必须附《签证单分包说明》及建设单位签证单复印件；所有签证资料须附上通知单/联系单/设计变更文件、影像资料等。  </w:t>
      </w:r>
    </w:p>
    <w:p w14:paraId="4D28BB7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6.3.3.4零星施工签证要求及申报程序按照本章第6.3条执行。</w:t>
      </w:r>
    </w:p>
    <w:p w14:paraId="0371611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6.4甲方巡检发现存在质量问题或验收不合格的工程，工程量不予结算。</w:t>
      </w:r>
    </w:p>
    <w:p w14:paraId="63CD218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6.5因合同中已有施工方案的变化引起的工程价款变化，结算时不再调整（合同中未明确的施工方案除外）。</w:t>
      </w:r>
    </w:p>
    <w:p w14:paraId="01CCD8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6.6乙方未按甲方要求完成的工作，甲方有权安排他人完成并按500元/工日/人计价且从应付给乙方的款项中直接扣款，如实际费用超出500元/工日/人，甲方按实际发生的费用从应付给乙方的款项中直接扣款。</w:t>
      </w:r>
    </w:p>
    <w:p w14:paraId="6A849C1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6.7乙方递交的结算资料要求：①递交完整的结算书一式两份（正副本各一份）及电子档文件（计价软件、模型算量要求使用“广联达”，计算表格要求“Excel”格式，图纸要求PDF和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法人代表签章；③结算资料排序：封面、目录、结算申请表、承包单位工程结算送审承诺书、工程结算资料审查表、工程合同、工程验收单、分包单位结算情况说明、工程结算支付证明单（详见附件）、分包签证确认单（签证单必须有甲方项目经理签名且加盖甲方项目章方为有效签证）、分项工程/认质认价申报审批表、工程结算书、签证预算书、变更单、签证联系函及签证单、照片及相关图纸、记录文件、竣工图或竣工图移交清单（如有）、竣工图承诺书（如有）等；④乙方递交结算资料的前提是，甲方已有建设单位签字的完整版竣工图，否则甲方有权不接收结算资料且不办理结算；⑤递交结算资料须按《结算申请表》《工程结算资料审查表》要求填写。</w:t>
      </w:r>
    </w:p>
    <w:p w14:paraId="6220D50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6.8双方办理结算时，乙方必须按甲方要求注明结算金额中的每个地块/组团/楼栋具体金额（以便甲方统计各地块/组团/楼栋的费用），否则甲方有权不结算且不承担任何违约责任。</w:t>
      </w:r>
    </w:p>
    <w:p w14:paraId="6BF89FF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6.9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p>
    <w:p w14:paraId="67E8764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6.10鉴于本合同所列单价未必完善，如在施工过程中发生新的工程变更内容且无适用的合同单价（例如：工程设计变更或增加承包内容等导致的新工程等），乙方须按甲方要求先行施工（否则每延迟一天乙方须向甲方支付违约金人民币两千元），并在甲方通知施工之日起三个工作日内书面向甲方申报工程单价（申报格式以甲方确定的为准），逾期不申报视为乙方则视为乙方给予甲方的优惠，乙方自愿放弃主张该事项的权利和相关费用。</w:t>
      </w:r>
    </w:p>
    <w:p w14:paraId="1B06A64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6.11乙方办理工程进度款申请书、结算书时必须提供甲方主管施工员和项目经理签名的“工完场清交接单”，否则甲方有权不予付款及结算。</w:t>
      </w:r>
    </w:p>
    <w:p w14:paraId="638197C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6.12乙方须实事求是办理结算，不得虚报工程结算。</w:t>
      </w:r>
    </w:p>
    <w:p w14:paraId="13EAD7F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6.13合同内未施工的清单分项、图纸内容，乙方在申报结算书中未扣减相应费用而向甲方申报结算的，乙方按上述其未施工项目申报的结算金额的200%向甲方承担违约金，甲方可在任意应付乙方的合同款中扣取违约金。</w:t>
      </w:r>
    </w:p>
    <w:p w14:paraId="2994D25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6.14工程结算书及相关结算资料由乙方自行编制并一次性报齐给甲方，申报次数仅限一次，申报一次后不得增补任何结算资料。申报格式及表格等相关要求按照甲方统一要求执行，如乙方所报结算书的申报工程量少于实际工程量，视为乙方放弃差额部分的权利和款项，结算时不予计算，甲方无需支付。若乙方申报的结算价经甲方审核后，审减额（审减额=报送总金额-审定金额）与报送总金额之比超过 10%以上时，核减超过10%以外的金额乘以20%作为违约金在结算中一次性扣除。</w:t>
      </w:r>
      <w:bookmarkStart w:id="131" w:name="_Toc15975"/>
      <w:bookmarkStart w:id="132" w:name="_Toc12061"/>
      <w:bookmarkStart w:id="133" w:name="_Toc30160"/>
      <w:bookmarkStart w:id="134" w:name="_Toc5229"/>
      <w:bookmarkStart w:id="135" w:name="_Toc17329"/>
      <w:bookmarkStart w:id="136" w:name="_Toc31711"/>
    </w:p>
    <w:p w14:paraId="648278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6.15本工程甲供材损耗率按本合同相关条款执行。</w:t>
      </w:r>
      <w:bookmarkEnd w:id="131"/>
      <w:bookmarkEnd w:id="132"/>
      <w:bookmarkEnd w:id="133"/>
      <w:bookmarkEnd w:id="134"/>
      <w:bookmarkEnd w:id="135"/>
      <w:bookmarkEnd w:id="136"/>
    </w:p>
    <w:p w14:paraId="3EED2F7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6.16乙方提交的结算资料须符合本合同要求（如附件《工程结算资料目录》等的要求），否则甲方有权不办理结算且不违约。</w:t>
      </w:r>
    </w:p>
    <w:p w14:paraId="37786C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6.17如竣工图由乙方绘制，乙方承诺按甲方要求编绘竣工图并按甲方要求提报甲方，承诺竣工图内容与现场实际完全相符。如乙方存在合同内未施工的清单分项、图纸内容或竣工图内容或工程量大于现场实际的情形或虚报等弄虚作假行为，其金额超过甲乙双方最终确认结算价10%及以上的，乙方同意赔偿甲方因此遭受的全部损失并按虚报工程量对应金额的20%承担违约金，违约金在结算时扣除。违约金金额与本合同其他条款约定的金额不一致时，按违约金金额高的标准执行。</w:t>
      </w:r>
      <w:bookmarkStart w:id="137" w:name="_Toc4997"/>
      <w:bookmarkStart w:id="138" w:name="_Toc11671"/>
    </w:p>
    <w:p w14:paraId="0313B44E">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39" w:name="_Toc25821"/>
      <w:bookmarkStart w:id="140" w:name="_Toc18935"/>
      <w:r>
        <w:rPr>
          <w:rFonts w:hint="eastAsia" w:ascii="仿宋" w:hAnsi="仿宋" w:eastAsia="仿宋" w:cs="仿宋"/>
          <w:b/>
          <w:bCs/>
          <w:i w:val="0"/>
          <w:iCs w:val="0"/>
          <w:color w:val="auto"/>
          <w:sz w:val="28"/>
          <w:szCs w:val="28"/>
          <w:highlight w:val="none"/>
          <w:shd w:val="clear" w:color="auto" w:fill="auto"/>
          <w:lang w:val="en-US" w:eastAsia="zh-CN"/>
        </w:rPr>
        <w:t>付款方式</w:t>
      </w:r>
      <w:bookmarkEnd w:id="137"/>
      <w:bookmarkEnd w:id="138"/>
      <w:bookmarkEnd w:id="139"/>
      <w:bookmarkEnd w:id="140"/>
    </w:p>
    <w:p w14:paraId="62CAA9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7.1每笔进度款支付分配安排如下：</w:t>
      </w:r>
    </w:p>
    <w:p w14:paraId="58D7E0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乙方每月的工人工资款项从甲方工人工资专用账户直接发放至工人本人的银行账户上。用于支付工人工资的银行账户所绑定的乙方工人本人银行卡，乙方或者其他人员不得以任何理由扣押或者变相扣押。乙方申请进度款时须按甲方要求提交工人工资表等资料，例如：乙方申请3月份进度款时，须在4月10日前将3月份实名制报备登记和打卡的《建筑工人工资表》（格式详见附件十六）、3月份发放工人工资金额、4月份实名制报备登记和打卡的《建筑工人工资表》、4月份预计发放的工人工资金额作为附件资料提供给甲方项目部。如乙方违反前述任一约定，甲方有权中止后续合同付款且不构成违约。乙方须如实提供本项目工人工资表数据，并负责工人工资个税申报。工资发放的次月15日前，乙方须提供加盖乙方公章的上月工人工资个税申报表至甲方项目部，否则甲方有权中止后续付款且乙方承担违约</w:t>
      </w:r>
      <w:r>
        <w:rPr>
          <w:rFonts w:hint="eastAsia" w:ascii="仿宋" w:hAnsi="仿宋" w:eastAsia="仿宋" w:cs="仿宋"/>
          <w:color w:val="auto"/>
          <w:sz w:val="28"/>
          <w:szCs w:val="28"/>
          <w:highlight w:val="none"/>
          <w:lang w:val="en-US" w:eastAsia="zh-CN"/>
        </w:rPr>
        <w:t>金壹万元/次</w:t>
      </w:r>
      <w:r>
        <w:rPr>
          <w:rFonts w:hint="eastAsia" w:ascii="仿宋" w:hAnsi="仿宋" w:eastAsia="仿宋" w:cs="仿宋"/>
          <w:i w:val="0"/>
          <w:iCs w:val="0"/>
          <w:color w:val="auto"/>
          <w:sz w:val="28"/>
          <w:szCs w:val="28"/>
          <w:highlight w:val="none"/>
          <w:lang w:val="en-US" w:eastAsia="zh-CN"/>
        </w:rPr>
        <w:t>。乙方工人考勤打卡及实名要求按甲方《项目实名制及劳资管理制度》执行。</w:t>
      </w:r>
    </w:p>
    <w:p w14:paraId="2CCC1F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若乙方当次申请的、达到付款条件的工程款金额不足以覆盖当次待付工人工资的，差额部分由乙方在提交工人工资表当日内支付至甲方公司账户，由甲方对乙方工人工资进行统一全额支付，若乙方未及时向甲方支付差额部分导致甲方垫付工人工资的，甲方有权追偿或在下一期工程款中直接扣除。该行为属乙方违约，甲方按垫付金额的150%扣减费用并按约定处罚乙方。若乙方当次申请的、达到付款条件的工程款金额支付当次待付工人工资后尚有余额，余额由甲方直接支付至乙方公司账户。</w:t>
      </w:r>
    </w:p>
    <w:p w14:paraId="143273B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7.2甲方每次付款给乙方前，乙方向甲方付清所有罚款、代付款、赔偿及违约金等所有应付款项，否则甲方有权不付款。凡甲方收取的款项（包括但不限于：各类押金、保证金、违约金、罚款、垃圾处理费、水电费、租金、代收代缴款项等），乙方必须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06E358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7.3付款形式：优先使用网银、银行承兑汇票等，支票、电汇视情况而定。甲方选择其中任意一种支付形式给乙方合同款，均视为乙方收到该合同款。</w:t>
      </w:r>
    </w:p>
    <w:p w14:paraId="79024E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7.4乙方每次向甲方请款时，必须提供甲方认可且符合合同约定的等额合法增值税专用发票（开票内容须与合同内容一致，各组团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4BB6F8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7.5乙方每次向甲方请款时，按甲方要求注明该次请款所含的每个组团、每个地块、每栋楼具体金额，否则甲方有权不付款且不违约。</w:t>
      </w:r>
    </w:p>
    <w:p w14:paraId="2FF35A6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32A465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7.7如甲乙双方对应付款金额、结算金额产生争议，甲方有权暂不付款且不违约，甲方无需向乙方支付违约金或利息，直至双方达成一致意见后方可按甲方相应流程办理付款手续。</w:t>
      </w:r>
    </w:p>
    <w:p w14:paraId="1DADFD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7.8甲乙双方完成本工程结算且结算款（扣除预留的保修金）支付完毕后，视为乙方关于除保修金外的合同款支付事宜的全部权利全部消灭，乙方不得基于合同款收付事宜向甲方提出任何权利主张或追索其他任何费用。</w:t>
      </w:r>
    </w:p>
    <w:p w14:paraId="63EC10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7.9乙方必须按税法规定的四流合一执行合同，即合同流、货物流、发票流、资金流一致，否则视为乙方违约，且由乙方承担所有责任及损失，直至满足四流合一后，甲方才可付款。</w:t>
      </w:r>
    </w:p>
    <w:p w14:paraId="5D054B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7.10凡是乙方在本项目工作的人员，如未在本项目实名制登记备案、打卡，甲方不计发该人员在工人工资专用账户的工资，由乙方自行解决，由此所导致的一切后果和全部责任由乙方承担，同时甲方对乙方此行为按1000元/人/次收取违约金。</w:t>
      </w:r>
    </w:p>
    <w:p w14:paraId="3EE98A2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7.11如乙方申报了乙方不在本项目工作人员的工人工资，属于乙方违约，由此所导致的一切后果和全部责任均由乙方承担，同时甲方对乙方此违约行为按1000元/人/次收取违约金。</w:t>
      </w:r>
    </w:p>
    <w:p w14:paraId="555A9B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lang w:val="en-US" w:eastAsia="zh-CN"/>
        </w:rPr>
        <w:t>7.12对报价清单（详见合同附件）说明清单“编制依据”不是“审图通过版图纸”的建筑物/构筑物：在建设单位提供“审图通过版图纸”后，如按该图纸计算出来的工程量与招标清单所列工程量偏差＞±3%，则甲乙双方按审图通过版图纸计算出来的工程量及合同单价调整相应建筑物/构筑物的合同暂定价及合同暂定总价，随后的付款金额则以最新的相应建筑物/构筑物的合同暂定价及合同暂定总价为基数进行计算，付款节点、付款比例不作调整。如按该图纸计算出来的工程量与招标清单所列工程量偏差≤±3%，则合同暂定总价、付款方式、各建筑物/构筑物的合同暂定价不作调整</w:t>
      </w:r>
      <w:r>
        <w:rPr>
          <w:rFonts w:hint="eastAsia" w:ascii="仿宋" w:hAnsi="仿宋" w:eastAsia="仿宋" w:cs="仿宋"/>
          <w:b w:val="0"/>
          <w:bCs w:val="0"/>
          <w:i w:val="0"/>
          <w:iCs w:val="0"/>
          <w:color w:val="auto"/>
          <w:sz w:val="28"/>
          <w:szCs w:val="28"/>
          <w:highlight w:val="none"/>
          <w:u w:val="none"/>
          <w:shd w:val="clear" w:color="auto" w:fill="auto"/>
          <w:lang w:val="en-US" w:eastAsia="zh-CN"/>
        </w:rPr>
        <w:t>。</w:t>
      </w:r>
      <w:bookmarkStart w:id="141" w:name="_Toc17862"/>
      <w:bookmarkStart w:id="142" w:name="_Toc9906"/>
    </w:p>
    <w:p w14:paraId="72589119">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43" w:name="_Toc15834"/>
      <w:bookmarkStart w:id="144" w:name="_Toc22680"/>
      <w:r>
        <w:rPr>
          <w:rFonts w:hint="eastAsia" w:ascii="仿宋" w:hAnsi="仿宋" w:eastAsia="仿宋" w:cs="仿宋"/>
          <w:b/>
          <w:bCs/>
          <w:i w:val="0"/>
          <w:iCs w:val="0"/>
          <w:color w:val="auto"/>
          <w:sz w:val="28"/>
          <w:szCs w:val="28"/>
          <w:highlight w:val="none"/>
          <w:shd w:val="clear" w:color="auto" w:fill="auto"/>
          <w:lang w:val="en-US" w:eastAsia="zh-CN"/>
        </w:rPr>
        <w:t>双方责任和权利</w:t>
      </w:r>
      <w:bookmarkEnd w:id="141"/>
      <w:bookmarkEnd w:id="142"/>
      <w:bookmarkEnd w:id="143"/>
      <w:bookmarkEnd w:id="144"/>
    </w:p>
    <w:p w14:paraId="7DEBD29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2" w:firstLineChars="200"/>
        <w:textAlignment w:val="auto"/>
        <w:outlineLvl w:val="2"/>
        <w:rPr>
          <w:rFonts w:hint="eastAsia" w:ascii="仿宋" w:hAnsi="仿宋" w:eastAsia="仿宋" w:cs="仿宋"/>
          <w:b/>
          <w:bCs/>
          <w:i w:val="0"/>
          <w:iCs w:val="0"/>
          <w:color w:val="auto"/>
          <w:sz w:val="28"/>
          <w:szCs w:val="28"/>
          <w:highlight w:val="none"/>
          <w:shd w:val="clear" w:color="auto" w:fill="auto"/>
        </w:rPr>
      </w:pPr>
      <w:bookmarkStart w:id="145" w:name="_Toc6947"/>
      <w:bookmarkStart w:id="146" w:name="_Toc7257"/>
      <w:r>
        <w:rPr>
          <w:rFonts w:hint="eastAsia" w:ascii="仿宋" w:hAnsi="仿宋" w:eastAsia="仿宋" w:cs="仿宋"/>
          <w:b/>
          <w:bCs/>
          <w:i w:val="0"/>
          <w:iCs w:val="0"/>
          <w:color w:val="auto"/>
          <w:sz w:val="28"/>
          <w:szCs w:val="28"/>
          <w:highlight w:val="none"/>
          <w:shd w:val="clear" w:color="auto" w:fill="auto"/>
          <w:lang w:val="en-US" w:eastAsia="zh-CN"/>
        </w:rPr>
        <w:t>8</w:t>
      </w:r>
      <w:r>
        <w:rPr>
          <w:rFonts w:hint="eastAsia" w:ascii="仿宋" w:hAnsi="仿宋" w:eastAsia="仿宋" w:cs="仿宋"/>
          <w:b/>
          <w:bCs/>
          <w:i w:val="0"/>
          <w:iCs w:val="0"/>
          <w:color w:val="auto"/>
          <w:sz w:val="28"/>
          <w:szCs w:val="28"/>
          <w:highlight w:val="none"/>
          <w:shd w:val="clear" w:color="auto" w:fill="auto"/>
          <w:lang w:eastAsia="zh-CN"/>
        </w:rPr>
        <w:t>.</w:t>
      </w:r>
      <w:r>
        <w:rPr>
          <w:rFonts w:hint="eastAsia" w:ascii="仿宋" w:hAnsi="仿宋" w:eastAsia="仿宋" w:cs="仿宋"/>
          <w:b/>
          <w:bCs/>
          <w:i w:val="0"/>
          <w:iCs w:val="0"/>
          <w:color w:val="auto"/>
          <w:sz w:val="28"/>
          <w:szCs w:val="28"/>
          <w:highlight w:val="none"/>
          <w:shd w:val="clear" w:color="auto" w:fill="auto"/>
        </w:rPr>
        <w:t>1甲方责任和权利</w:t>
      </w:r>
      <w:bookmarkEnd w:id="145"/>
      <w:bookmarkEnd w:id="146"/>
    </w:p>
    <w:p w14:paraId="061DE7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8.1.1对乙方进行本工程技术交底及质量、安全、进度、文明施工、成本控制等管理。</w:t>
      </w:r>
    </w:p>
    <w:p w14:paraId="39F99D4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8.1.2按国家工程质量标准对乙方施工成品进行内部核验，并办理过程验收手续和完工后总体验收手续。在验收合格情况下按照合同约定及时办理结算和付款。</w:t>
      </w:r>
    </w:p>
    <w:p w14:paraId="50A74EB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8.1.3提供乙方施工工人在本项目现场住宿的设施，并按合同向乙方收取费用。</w:t>
      </w:r>
    </w:p>
    <w:p w14:paraId="3DD3D2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8.1.4提供给乙方工作面及本合同约定的甲供材料和机具，提供乙方作业所需的施工场所。</w:t>
      </w:r>
    </w:p>
    <w:p w14:paraId="34644F4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8.1.5为乙方员工办理人脸识别进场资料（如需）。</w:t>
      </w:r>
    </w:p>
    <w:p w14:paraId="3F2577B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8.1.6督促乙方及其工人遵章守纪、按章操作，强化现场安全防护工作。</w:t>
      </w:r>
    </w:p>
    <w:p w14:paraId="068CC61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8.1.7根据本项目总体情况安排、调整本工程工期，规定乙方先做某部位后做某部位，何时增加工人何时减少工人，乙方必须服从调动及安排。</w:t>
      </w:r>
    </w:p>
    <w:p w14:paraId="20357D4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8.1.8对乙方的不符合设计图纸、违反施工规范和安全操作规程、材料浪费等违规行为强行制止，并要求乙方在规定时间内按要求完成整改，同时根据具体情况对乙方计取违约金。</w:t>
      </w:r>
    </w:p>
    <w:p w14:paraId="090426E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8.1.9对乙方及其人员进行技术考核，考核不合格人员禁止上岗，乙方按甲方要求调换合格人员接替上岗。</w:t>
      </w:r>
    </w:p>
    <w:p w14:paraId="5CEE15D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8.1.10</w:t>
      </w:r>
      <w:r>
        <w:rPr>
          <w:rFonts w:hint="eastAsia" w:ascii="仿宋" w:hAnsi="仿宋" w:eastAsia="仿宋" w:cs="仿宋"/>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工人的工资分配制度和实施情况，对不合理、违规的分配甲方有权制止及干预。乙方应及时支付工人工资及材料款，如乙方欠款导致甲方被追索，甲方有权自应付给乙方的款项中扣款代付，但此举不视为甲方同意对乙方债务承担责任。乙方对甲方代付行为及金额无异议，如应付给乙方的合同款不足以代付导致甲方需垫付费用，乙方在甲方发出书面通知起3个日历天内还清甲方垫付金额并自甲方垫付之日起按</w:t>
      </w:r>
      <w:r>
        <w:rPr>
          <w:rFonts w:hint="eastAsia" w:ascii="仿宋" w:hAnsi="仿宋" w:eastAsia="仿宋" w:cs="仿宋"/>
          <w:b w:val="0"/>
          <w:bCs w:val="0"/>
          <w:i w:val="0"/>
          <w:iCs w:val="0"/>
          <w:color w:val="auto"/>
          <w:sz w:val="28"/>
          <w:szCs w:val="28"/>
          <w:highlight w:val="none"/>
          <w:lang w:val="en-US" w:eastAsia="zh-CN"/>
        </w:rPr>
        <w:t>一年期贷款市场报价</w:t>
      </w:r>
      <w:r>
        <w:rPr>
          <w:rFonts w:hint="default" w:ascii="仿宋" w:hAnsi="仿宋" w:eastAsia="仿宋" w:cs="仿宋"/>
          <w:b w:val="0"/>
          <w:bCs w:val="0"/>
          <w:i w:val="0"/>
          <w:iCs w:val="0"/>
          <w:color w:val="auto"/>
          <w:sz w:val="28"/>
          <w:szCs w:val="28"/>
          <w:highlight w:val="none"/>
          <w:lang w:val="en-US" w:eastAsia="zh-CN"/>
        </w:rPr>
        <w:t>利率</w:t>
      </w:r>
      <w:r>
        <w:rPr>
          <w:rFonts w:hint="eastAsia" w:ascii="仿宋" w:hAnsi="仿宋" w:eastAsia="仿宋" w:cs="仿宋"/>
          <w:b w:val="0"/>
          <w:bCs w:val="0"/>
          <w:i w:val="0"/>
          <w:iCs w:val="0"/>
          <w:color w:val="auto"/>
          <w:sz w:val="28"/>
          <w:szCs w:val="28"/>
          <w:highlight w:val="none"/>
          <w:lang w:val="en-US" w:eastAsia="zh-CN"/>
        </w:rPr>
        <w:t>（LPR）</w:t>
      </w:r>
      <w:r>
        <w:rPr>
          <w:rFonts w:hint="eastAsia" w:ascii="仿宋" w:hAnsi="仿宋" w:eastAsia="仿宋" w:cs="仿宋"/>
          <w:b w:val="0"/>
          <w:bCs w:val="0"/>
          <w:i w:val="0"/>
          <w:iCs w:val="0"/>
          <w:color w:val="auto"/>
          <w:sz w:val="28"/>
          <w:szCs w:val="28"/>
          <w:highlight w:val="none"/>
          <w:shd w:val="clear" w:color="auto" w:fill="auto"/>
          <w:lang w:val="en-US" w:eastAsia="zh-CN"/>
        </w:rPr>
        <w:t>的4倍为</w:t>
      </w:r>
      <w:r>
        <w:rPr>
          <w:rFonts w:hint="eastAsia" w:ascii="仿宋" w:hAnsi="仿宋" w:eastAsia="仿宋" w:cs="仿宋"/>
          <w:i w:val="0"/>
          <w:iCs w:val="0"/>
          <w:color w:val="auto"/>
          <w:sz w:val="28"/>
          <w:szCs w:val="28"/>
          <w:highlight w:val="none"/>
          <w:shd w:val="clear" w:color="auto" w:fill="auto"/>
          <w:lang w:val="en-US" w:eastAsia="zh-CN"/>
        </w:rPr>
        <w:t>标准支付利息给甲方。</w:t>
      </w:r>
    </w:p>
    <w:p w14:paraId="23DF1AB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8.1.11对乙方进行管理，有权要求乙方管理人员必须坚守岗位，在施工现场组织指导工人作业。</w:t>
      </w:r>
    </w:p>
    <w:p w14:paraId="2F21EF3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8.1.12</w:t>
      </w:r>
      <w:r>
        <w:rPr>
          <w:rFonts w:hint="eastAsia" w:ascii="仿宋" w:hAnsi="仿宋" w:eastAsia="仿宋" w:cs="仿宋"/>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752A95C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1DC340E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.1.14甲方因参与本合同履行而发出或与乙方达成合意所形成的一切相关文件，均须同时加盖甲方公章及经法定代表人（或授权代表人）签名，否则均不对甲方产生约束力，除非事后获得甲方另行追认。</w:t>
      </w:r>
    </w:p>
    <w:p w14:paraId="0BA85EF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8.1.15对乙方不按合同约定时间向甲方申报其工人工资资料等行为，甲方有权对乙方收取违约金，每逾期一天的违约金不少于伍佰元/人（按乙方在本工程施工人数计）。</w:t>
      </w:r>
    </w:p>
    <w:p w14:paraId="63E5D43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8.1.16若乙方原因导致其工人工资不能及时发放，工人发生停工或静坐、闹事等不良行为，甲方有权按本合同相关条款（如本合同第二部分合同通用条款第十四章等）向乙方收取违约金。</w:t>
      </w:r>
    </w:p>
    <w:p w14:paraId="1101B02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8.1.17工程若有变更，甲方必须以书面形式通知乙方，若因工程变更导致增加工程量，甲方应给予乙方合理的备料期（具体时间双方协商）并办理签证确认。</w:t>
      </w:r>
    </w:p>
    <w:p w14:paraId="77969A3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8.1.18按合同约定向乙方支付工程款。</w:t>
      </w:r>
    </w:p>
    <w:p w14:paraId="3377DC2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8.1.19协调乙方与建设单位、监理单位的关系。</w:t>
      </w:r>
      <w:bookmarkStart w:id="147" w:name="_Toc31817"/>
      <w:bookmarkStart w:id="148" w:name="_Toc3364"/>
    </w:p>
    <w:p w14:paraId="6D8A0E1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8.2、乙方责任和权利</w:t>
      </w:r>
      <w:bookmarkEnd w:id="147"/>
      <w:bookmarkEnd w:id="148"/>
    </w:p>
    <w:p w14:paraId="415F81B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8.2.1按设计图纸和施工规范施工，在每一道分项工序开始时，乙方先做出样板部位报甲方项目部确认后方可进入下一步施工，保证施工成品质量满足合同要求。因乙方原因导致的质量事故，由乙方赔偿甲方损失。</w:t>
      </w:r>
    </w:p>
    <w:p w14:paraId="68E7186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8.2.2按时完成本工程每一阶段的施工任务，保证符合甲方工期要求，因乙方原因导致的工期延误及甲方遭受的损失均由乙方赔偿甲方。</w:t>
      </w:r>
    </w:p>
    <w:p w14:paraId="7822435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8.2.3遵守安全生产、文明施工法规。乙方违规操作发生的安全或质量事故所造成的甲方损失均由乙方赔偿甲方。</w:t>
      </w:r>
    </w:p>
    <w:p w14:paraId="667AA3D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8.2.4在施工过程中乙方指定专人认真做好施工记录，工程竣工后须及时将资料整理完整，移交甲方资料员。</w:t>
      </w:r>
    </w:p>
    <w:p w14:paraId="11CA328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8.2.5乙方须保护好自身施工的材料、机械等设备，如有被偷盗、损坏等现象发生，由乙方自行负责。</w:t>
      </w:r>
    </w:p>
    <w:p w14:paraId="4299FCA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8.2.6遵守甲方管理制度，服从甲方管理。</w:t>
      </w:r>
    </w:p>
    <w:p w14:paraId="7BD447A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8.2.7乙方对完成的每一道工序及时、认真进行自检，自检合格后提请甲方验收。对甲方提出的问题按甲方要求彻底整改，每延误一天完成整改的，向甲方承担违约金壹仟元。</w:t>
      </w:r>
    </w:p>
    <w:p w14:paraId="54F227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8.2.8加强自身团队建设。乙方管理人员须经常对下属工人进行技术交底、安全教育，作业人员必须持证上岗。乙方管理人员必须坚守岗位，特殊情况需离开工地时，经甲方项目部批准后方能离开。</w:t>
      </w:r>
    </w:p>
    <w:p w14:paraId="5124AC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做实名登记和打卡的人员，甲方不予发放其工资，产生的不良后果和责任由乙方承担。</w:t>
      </w:r>
    </w:p>
    <w:p w14:paraId="4E8C790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8.2.10在甲方的监督下办理工人工资发放专户，由银行代发乙方工人工资。</w:t>
      </w:r>
    </w:p>
    <w:p w14:paraId="2F1C0C1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8.2.11任意一组团/批次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2D00727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8.2.12乙方须如实主动申报及发放工人工资，甲方有权核对，如发现乙方弄虚作假，甲方暂停支付乙方合同款。</w:t>
      </w:r>
    </w:p>
    <w:p w14:paraId="7C0E595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8.2.13乙方有权要求甲方按合同约定提供充足的甲供材料和机具。乙方自备的机具、材料经甲方验收合格后方可进场使用。甲供材料、机具十天以上（不含十天）不到位，或其他非乙方原因造成的阶段性、区域停工十天以上（不含十天），乙方有权调离多余工人，因此形成的短期怠工（十天以内）及进出场的费用已包括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中，不另计价。</w:t>
      </w:r>
    </w:p>
    <w:p w14:paraId="640E697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8.2.14乙方施工过程中，负责本工程工作面上所用材料、机具的清理，做到每天工完场清，并自行负责所有建筑垃圾、生活垃圾、有机物垃圾的处置，相关费用已含于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中，甲方无需另行计费给乙方。如乙方未能自行处置，由甲方统一就该部分垃圾处理费（含外运及机械台班费等）按责、按量进行分摊后，由乙方及相关分包单位承担，并以书面形式确认，在结算时予以扣除。乙方提交的结算书须包含甲方项目部按照垃圾产生的责任单位进行数量和全部费用的分摊表，该表须甲方施工员、项目副经理、项目经理签认，否则甲方有权不予办理结算且不违约。</w:t>
      </w:r>
    </w:p>
    <w:p w14:paraId="0991C66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乙方必须于每道工序验收前把本工程工作面有关的建筑垃圾、生活垃圾、有机物垃圾等清理到甲方指定位置，负责隐蔽工程验收前把本工程工作面有关材料、机具、垃圾清理到甲方指定位置，相关费用已含于本合同第一部分合同专用条款第六章约定的合同价中，甲方无需另行计费给乙方。</w:t>
      </w:r>
    </w:p>
    <w:p w14:paraId="74C8EFA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8.2.15乙方进入穿插施工工作面前必须按甲方项目部要求办理“工完场清交接单”，如乙方对穿插工作面不能接收，须对进场施工产生的增加费用及工程量在“工完场清交接单”中填报并报甲方项目部确认。乙方不得因穿插工作面达不到接收要求而拒绝进场施工，否则视作延迟开工。</w:t>
      </w:r>
    </w:p>
    <w:p w14:paraId="6DE857B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8.2.16合同履行过程中，如乙方中途自行退场，甲方不支付任何款项，因此造成甲方损失的由乙方赔偿。</w:t>
      </w:r>
    </w:p>
    <w:p w14:paraId="67C19DC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8.2.17乙方须合理使用甲供材料和机具，在保证质量的情况下，按合同约定及相应规范控制使用。</w:t>
      </w:r>
    </w:p>
    <w:p w14:paraId="431D782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8.2.18乙方施工中须与其他分包单位积极配合，保护所有成品，保护费用及责任由乙方承担。非经甲方书面同意，所有已进场材料设备不能运出工地。</w:t>
      </w:r>
    </w:p>
    <w:p w14:paraId="6B85A5F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8.2.19如乙方人员使用甲方提供的宿舍，住宿按7人/间配置，凡按乙方人员分配房间超过数量的，甲方将按1000元/间/月（税金另计）向乙方收取房租，乙方必须每月按实缴纳宿舍所有电费用【线路损耗按装表计量实际量加10%损耗计（税金另计）】和空调使用费【按1.3元/间/天计（税金另计），未安装空调的此项不计】和房租给甲方。乙方每次向甲方请款时，甲方合同执行联系人可直接扣除乙方上月产生的房租、宿舍电费及空调使用费，并按扣除后的金额申请进度款。</w:t>
      </w:r>
    </w:p>
    <w:p w14:paraId="1A351E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8.2.20对违章指挥，乙方有权拒绝服从。</w:t>
      </w:r>
    </w:p>
    <w:p w14:paraId="6B935D2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8.2.21因乙方材料或施工质量问题引起的返工、维修、更换、损失及工期延误等造成的一切费用由乙方承担。</w:t>
      </w:r>
    </w:p>
    <w:p w14:paraId="4BB6804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 xml:space="preserve">8.2.22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03095FA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8.2.23乙方确保本工程的质量和进度一次性达到合同要求，否则造成的一切损失由乙方承担且每次向甲方承担违约金壹万元。</w:t>
      </w:r>
    </w:p>
    <w:p w14:paraId="6E9EE03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8.2.24乙方签订本合同前已充分了解本工程现场实际情况，确定</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shd w:val="clear" w:color="auto" w:fill="auto"/>
          <w:lang w:val="en-US" w:eastAsia="zh-CN"/>
        </w:rPr>
        <w:t>已包含处理现场各种因素导致的多次进退场、怠工、误工等不能正常开工情形的费用，甲方无需另行计费给乙方。</w:t>
      </w:r>
    </w:p>
    <w:p w14:paraId="0D571B6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3C10FB5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8.2.26本合同履行过程中，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7AF9065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8.2.27乙方须按甲方书面确定的图纸、设计变更通知单施工，未经甲方书面同意而脱离图纸、设计变更通知单而擅自施工的，无论是否影响本工程质量或工期，乙方每次承担违约金人民币壹万元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5131B19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8.2.28乙方原因导致的一切安全事故，属乙方责任，所有损失及费用由乙方承担。</w:t>
      </w:r>
    </w:p>
    <w:p w14:paraId="5F46EFE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8.2.29非甲方原因导致的乙方人员在本合同履行期间发生的所有安全事故或其他伤亡情形（如中暑、猝死、药物过敏、食物中毒等），均由乙方承担所发生的全部费用及损失，对甲方造成损失的则由乙方赔偿。非甲乙双方原因导致的乙方人员安全事故，由乙方承担责任和费用，由甲方协助乙方与肇事者协调、协商。</w:t>
      </w:r>
    </w:p>
    <w:p w14:paraId="418C652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8.2.30乙方人员（包括乙方家属、朋友等人员）在本项目地点发生的所有安全事故均与甲方无关，甲方不承担任何责任和费用，一切责任和费用均由乙方承担。</w:t>
      </w:r>
    </w:p>
    <w:p w14:paraId="318BB31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8.2.31</w:t>
      </w:r>
      <w:r>
        <w:rPr>
          <w:rFonts w:hint="eastAsia" w:ascii="仿宋" w:hAnsi="仿宋" w:eastAsia="仿宋" w:cs="仿宋"/>
          <w:b w:val="0"/>
          <w:bCs w:val="0"/>
          <w:i w:val="0"/>
          <w:iCs w:val="0"/>
          <w:color w:val="auto"/>
          <w:sz w:val="28"/>
          <w:szCs w:val="28"/>
          <w:highlight w:val="none"/>
          <w:shd w:val="clear" w:color="auto" w:fill="auto"/>
          <w:lang w:val="en-US" w:eastAsia="zh-CN"/>
        </w:rPr>
        <w:t>乙方应根据工程需要，提供施工使用的围栏设施，负责安全保卫工作，合理安排施工作业时间，避免施工影响周边居民正常生活。乙方如需使用甲方位于施工区域周边的残旧建筑作为材料库、员工临时宿舍等用途，因建筑本身导致消防、安全等事故造成的一切损失由乙方承担。</w:t>
      </w:r>
    </w:p>
    <w:p w14:paraId="084E9BA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8.2.32乙方与第三人签订的劳动、租赁、买卖等一切合同，与甲方无关。乙方在履约产生的与第三方的一切债务，由乙方自行全责处理并承担责任。</w:t>
      </w:r>
    </w:p>
    <w:p w14:paraId="569C5BA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8.2.33乙方与第三方发生的任何经济往来、债务纠纷均与甲方无关。乙方保证所供材料无权属上的瑕疵也无知识产权的争议，若因此对甲方造成损失，由乙方全责赔偿甲方。</w:t>
      </w:r>
    </w:p>
    <w:p w14:paraId="269B727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8.2.34乙方组织施工人员进场时，须向甲方实名申报《技术工人素质承诺书》（格式详见附件），否则不得进场，并且按甲方要求提供技术工人现场实操施工样板或组织甲方观摩技术工人现场分步分项施工技能，经甲方检验合格后乙方相关技术工人方可进入本项目施工，技术不合格人员须无条件按甲方要求当天退场且甲方不承担任何费用和责任，乙方同时按甲方要求另行组织合格人员进场施工。</w:t>
      </w:r>
    </w:p>
    <w:p w14:paraId="07844A6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8.2.35乙方人员在本合同履行期间所发生的所有安全事故，均由乙方承担所发生的全部费用及损失，对甲方造成损失的则由乙方赔偿甲方损失。</w:t>
      </w:r>
      <w:bookmarkStart w:id="149" w:name="_Toc28266"/>
      <w:bookmarkStart w:id="150" w:name="_Toc22397"/>
      <w:bookmarkStart w:id="151" w:name="_Toc807"/>
      <w:bookmarkStart w:id="152" w:name="_Toc11160"/>
    </w:p>
    <w:p w14:paraId="24322A46">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53" w:name="_Toc18577"/>
      <w:bookmarkStart w:id="154" w:name="_Toc28885"/>
      <w:r>
        <w:rPr>
          <w:rFonts w:hint="eastAsia" w:ascii="仿宋" w:hAnsi="仿宋" w:eastAsia="仿宋" w:cs="仿宋"/>
          <w:b/>
          <w:bCs/>
          <w:i w:val="0"/>
          <w:iCs w:val="0"/>
          <w:color w:val="auto"/>
          <w:sz w:val="28"/>
          <w:szCs w:val="28"/>
          <w:highlight w:val="none"/>
          <w:shd w:val="clear" w:color="auto" w:fill="auto"/>
          <w:lang w:val="en-US" w:eastAsia="zh-CN"/>
        </w:rPr>
        <w:t>安全生产、文明施工要求</w:t>
      </w:r>
      <w:bookmarkEnd w:id="149"/>
      <w:bookmarkEnd w:id="150"/>
      <w:bookmarkEnd w:id="151"/>
      <w:bookmarkEnd w:id="152"/>
      <w:bookmarkEnd w:id="153"/>
      <w:bookmarkEnd w:id="154"/>
    </w:p>
    <w:p w14:paraId="1BC15FB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55" w:name="_Toc27493"/>
      <w:bookmarkStart w:id="156" w:name="_Toc5758"/>
      <w:r>
        <w:rPr>
          <w:rFonts w:hint="eastAsia" w:ascii="仿宋" w:hAnsi="仿宋" w:eastAsia="仿宋" w:cs="仿宋"/>
          <w:i w:val="0"/>
          <w:iCs w:val="0"/>
          <w:color w:val="auto"/>
          <w:sz w:val="28"/>
          <w:szCs w:val="28"/>
          <w:highlight w:val="none"/>
          <w:u w:val="none"/>
          <w:shd w:val="clear" w:color="auto" w:fill="auto"/>
          <w:lang w:val="en-US" w:eastAsia="zh-CN"/>
        </w:rPr>
        <w:t>9.1甲方应对乙方进场的施工人员进行安全教育。</w:t>
      </w:r>
      <w:bookmarkEnd w:id="155"/>
      <w:bookmarkEnd w:id="156"/>
    </w:p>
    <w:p w14:paraId="5C55133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9.2甲方不得违反《建设工程安全生产管理条例》（有更新版本则按最新版本执行）的规定要求乙方违章施工。因甲方指挥失误导致的安全事故由甲方承担相应责任和费用。</w:t>
      </w:r>
    </w:p>
    <w:p w14:paraId="28C8CA1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9.3乙方须严格遵守《建筑施工安全检查标准》（JGJ59-2011标准，</w:t>
      </w:r>
      <w:r>
        <w:rPr>
          <w:rFonts w:hint="eastAsia" w:ascii="仿宋" w:hAnsi="仿宋" w:eastAsia="仿宋" w:cs="仿宋"/>
          <w:i w:val="0"/>
          <w:iCs w:val="0"/>
          <w:color w:val="auto"/>
          <w:sz w:val="28"/>
          <w:szCs w:val="28"/>
          <w:highlight w:val="none"/>
          <w:u w:val="none"/>
          <w:shd w:val="clear" w:color="auto" w:fill="auto"/>
          <w:lang w:val="en-US" w:eastAsia="zh-CN"/>
        </w:rPr>
        <w:t>有更新版本则按最新版本执行</w:t>
      </w:r>
      <w:r>
        <w:rPr>
          <w:rFonts w:hint="eastAsia" w:ascii="仿宋" w:hAnsi="仿宋" w:eastAsia="仿宋" w:cs="仿宋"/>
          <w:color w:val="auto"/>
          <w:sz w:val="28"/>
          <w:szCs w:val="28"/>
          <w:highlight w:val="none"/>
          <w:lang w:val="en-US" w:eastAsia="zh-CN"/>
        </w:rPr>
        <w:t>）、《建设工程安全生产管理条例》（有更新版本则按最新版本执行）等地方政府相关法律法规文件及甲方针对本工程的安全生产、文明施工管理制度的规定，组织安排工人施工，消除安全隐患。乙方进场施工人员年龄必须在18至55周岁之间（政府部门有更严格要求的，从其要求），否则</w:t>
      </w:r>
      <w:r>
        <w:rPr>
          <w:rFonts w:hint="eastAsia" w:ascii="仿宋" w:hAnsi="仿宋" w:eastAsia="仿宋" w:cs="仿宋"/>
          <w:b w:val="0"/>
          <w:bCs w:val="0"/>
          <w:i w:val="0"/>
          <w:iCs w:val="0"/>
          <w:color w:val="auto"/>
          <w:sz w:val="28"/>
          <w:szCs w:val="28"/>
          <w:highlight w:val="none"/>
          <w:shd w:val="clear" w:color="auto" w:fill="auto"/>
          <w:lang w:val="en-US" w:eastAsia="zh-CN"/>
        </w:rPr>
        <w:t>按甲方要求当天退场且甲方不承担任何费用和责任</w:t>
      </w:r>
      <w:r>
        <w:rPr>
          <w:rFonts w:hint="eastAsia" w:ascii="仿宋" w:hAnsi="仿宋" w:eastAsia="仿宋" w:cs="仿宋"/>
          <w:color w:val="auto"/>
          <w:sz w:val="28"/>
          <w:szCs w:val="28"/>
          <w:highlight w:val="none"/>
          <w:lang w:val="en-US" w:eastAsia="zh-CN"/>
        </w:rPr>
        <w:t>。乙方保证甲方不承担任何因乙方原因导致的人身伤亡或财产损失所发生的一切责任，保障甲方不承担任何属于乙方及其人员引起的诉讼，控告、索赔责任及可能发生的相关费用，否则甲方的全部损失由乙方赔偿。</w:t>
      </w:r>
    </w:p>
    <w:p w14:paraId="44D3AFB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9.4乙方施工过程中，上道工序完成与下道工序必须进行工作面交接并以书面形式确认，甲方及相关单位签字确认的“隐蔽验收表”作为工程进度款申请书及结算书的附件。</w:t>
      </w:r>
      <w:bookmarkStart w:id="157" w:name="_Toc18465"/>
      <w:bookmarkStart w:id="158" w:name="_Toc7882"/>
    </w:p>
    <w:p w14:paraId="2518C2E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9.5其他事项：</w:t>
      </w:r>
      <w:bookmarkEnd w:id="157"/>
      <w:bookmarkEnd w:id="158"/>
    </w:p>
    <w:p w14:paraId="6D78AE0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9.5.1拆除时不得高空抛弃材料，必须通过机械或人工传递至地面；</w:t>
      </w:r>
    </w:p>
    <w:p w14:paraId="594E384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9.5.2必须正确佩戴安全帽及安全带；</w:t>
      </w:r>
    </w:p>
    <w:p w14:paraId="7CB0A27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9.5.3不许酒后上班；</w:t>
      </w:r>
    </w:p>
    <w:p w14:paraId="1ADC945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9.5.4不许穿拖鞋、硬底鞋上班。</w:t>
      </w:r>
    </w:p>
    <w:p w14:paraId="4491508B">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59" w:name="_Toc29572"/>
      <w:bookmarkStart w:id="160" w:name="_Toc17980"/>
      <w:bookmarkStart w:id="161" w:name="_Toc22606"/>
      <w:bookmarkStart w:id="162" w:name="_Toc12086"/>
      <w:r>
        <w:rPr>
          <w:rFonts w:hint="eastAsia" w:ascii="仿宋" w:hAnsi="仿宋" w:eastAsia="仿宋" w:cs="仿宋"/>
          <w:b/>
          <w:bCs/>
          <w:i w:val="0"/>
          <w:iCs w:val="0"/>
          <w:color w:val="auto"/>
          <w:sz w:val="28"/>
          <w:szCs w:val="28"/>
          <w:highlight w:val="none"/>
          <w:shd w:val="clear" w:color="auto" w:fill="auto"/>
          <w:lang w:val="en-US" w:eastAsia="zh-CN"/>
        </w:rPr>
        <w:t>甲供材料设备</w:t>
      </w:r>
      <w:bookmarkEnd w:id="159"/>
      <w:bookmarkEnd w:id="160"/>
      <w:bookmarkEnd w:id="161"/>
      <w:bookmarkEnd w:id="162"/>
    </w:p>
    <w:p w14:paraId="1894319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10.1乙方领用甲供材、甲供机具都必须按甲方规定办理租用、借用、领用手续。</w:t>
      </w:r>
    </w:p>
    <w:p w14:paraId="5389C32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10.2乙方对周转材料、建筑材料和施工机具应做到限额合理使用、工完场清，对机具负责正常保养维护。因违反操作规程造成损坏或因保管不严造成丢失的，乙方须负赔偿责任。</w:t>
      </w:r>
    </w:p>
    <w:p w14:paraId="2255E8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10.3本工程竣工之日起10个日历天内，乙方须到甲方仓库完成甲供材料和机具的退还手续，每延迟一日，向甲方承担违约金人民币伍佰元，且甲方有权不办理结算直至全部退还为止。</w:t>
      </w:r>
    </w:p>
    <w:p w14:paraId="62EED16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10.4乙方配合甲方制定本工程甲供材料和机具的需求计划，每批甲供材需求单须在领用之日的十个工作日前报至甲方项目经理审批，经甲方项目经理审批后方可到甲方仓库领取，乙方每延迟申报一日，向甲方承担违约金伍佰元且不得要求延长工期。</w:t>
      </w:r>
    </w:p>
    <w:p w14:paraId="0102C8F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eastAsia="zh-CN"/>
        </w:rPr>
        <w:t>.5乙方指定其现场负责人办理甲供材领料手续，由该负责人办理甲供材领料手续，领料流程按甲方相关管理规定执行，乙方现场负责人签署的该流程所有手续在本工程完工后作为乙方材料损耗计量和结算依据</w:t>
      </w:r>
      <w:r>
        <w:rPr>
          <w:rFonts w:hint="eastAsia" w:ascii="仿宋" w:hAnsi="仿宋" w:eastAsia="仿宋" w:cs="仿宋"/>
          <w:color w:val="auto"/>
          <w:sz w:val="28"/>
          <w:szCs w:val="28"/>
          <w:highlight w:val="none"/>
          <w:lang w:val="en-US" w:eastAsia="zh-CN"/>
        </w:rPr>
        <w:t>之一</w:t>
      </w:r>
      <w:r>
        <w:rPr>
          <w:rFonts w:hint="eastAsia" w:ascii="仿宋" w:hAnsi="仿宋" w:eastAsia="仿宋" w:cs="仿宋"/>
          <w:color w:val="auto"/>
          <w:sz w:val="28"/>
          <w:szCs w:val="28"/>
          <w:highlight w:val="none"/>
          <w:lang w:eastAsia="zh-CN"/>
        </w:rPr>
        <w:t>。</w:t>
      </w:r>
    </w:p>
    <w:p w14:paraId="03081DB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10.6甲方供应的不合格材料不得用于本项目，乙方领料时有检验义务和退回不合格材料的权利。因使用甲供不合格材料造成的质量或工期延误问题，乙方负一定责任并承担费用（按不合格材料所致损失总额的10%承担费用，如实际损失超出前述数额的，乙方按实际损失赔偿甲方），不得推脱。</w:t>
      </w:r>
    </w:p>
    <w:p w14:paraId="658A0BC2">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10.7</w:t>
      </w:r>
      <w:r>
        <w:rPr>
          <w:rFonts w:hint="eastAsia" w:ascii="仿宋" w:hAnsi="仿宋" w:eastAsia="仿宋" w:cs="仿宋"/>
          <w:i w:val="0"/>
          <w:iCs w:val="0"/>
          <w:color w:val="auto"/>
          <w:sz w:val="28"/>
          <w:szCs w:val="28"/>
          <w:highlight w:val="none"/>
          <w:shd w:val="clear" w:color="auto" w:fill="auto"/>
          <w:lang w:val="en-US" w:eastAsia="zh-CN"/>
        </w:rPr>
        <w:t>乙方在甲方领料时，以甲方出入库单为准，乙方参加验收和签收与出入库，使用甲方提供的材料、设备、机具前，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该批材料、设备、机具的工程部位所发生的质量问题、工期延误及所有损失、费用，乙方均自愿承担不低于10%以上的费用。</w:t>
      </w:r>
    </w:p>
    <w:p w14:paraId="566209C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10.8劳保用品配置标准具体实施及费用收取标准、办法。</w:t>
      </w:r>
    </w:p>
    <w:p w14:paraId="052C9328">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10.8.1本工程配置黄色的安全帽、荧光黄色的反光背心，款式按甲方颁布的《劳保用品配置标准及司旗款式》（V2022）制度执行。</w:t>
      </w:r>
    </w:p>
    <w:p w14:paraId="1ECA8B8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10.8.2甲方提供安全帽20元/顶、反光背心15元/件，按乙方实际领取数量的对应金额在结算时进行扣除。</w:t>
      </w:r>
    </w:p>
    <w:p w14:paraId="52015AD7">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63" w:name="_Toc30878"/>
      <w:bookmarkStart w:id="164" w:name="_Toc16629"/>
      <w:bookmarkStart w:id="165" w:name="_Toc28272"/>
      <w:bookmarkStart w:id="166" w:name="_Toc22578"/>
      <w:r>
        <w:rPr>
          <w:rFonts w:hint="eastAsia" w:ascii="仿宋" w:hAnsi="仿宋" w:eastAsia="仿宋" w:cs="仿宋"/>
          <w:b/>
          <w:bCs/>
          <w:i w:val="0"/>
          <w:iCs w:val="0"/>
          <w:color w:val="auto"/>
          <w:sz w:val="28"/>
          <w:szCs w:val="28"/>
          <w:highlight w:val="none"/>
          <w:shd w:val="clear" w:color="auto" w:fill="auto"/>
          <w:lang w:val="en-US" w:eastAsia="zh-CN"/>
        </w:rPr>
        <w:t>验收及保修</w:t>
      </w:r>
      <w:bookmarkEnd w:id="163"/>
      <w:bookmarkEnd w:id="164"/>
      <w:bookmarkEnd w:id="165"/>
      <w:bookmarkEnd w:id="166"/>
    </w:p>
    <w:p w14:paraId="4E071B1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rPr>
      </w:pPr>
      <w:r>
        <w:rPr>
          <w:rFonts w:hint="eastAsia" w:ascii="仿宋" w:hAnsi="仿宋" w:eastAsia="仿宋" w:cs="仿宋"/>
          <w:b w:val="0"/>
          <w:bCs w:val="0"/>
          <w:i w:val="0"/>
          <w:iCs w:val="0"/>
          <w:color w:val="auto"/>
          <w:sz w:val="28"/>
          <w:szCs w:val="28"/>
          <w:highlight w:val="none"/>
          <w:u w:val="none"/>
          <w:shd w:val="clear" w:color="auto" w:fill="auto"/>
        </w:rPr>
        <w:t>1</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w:t>
      </w:r>
      <w:r>
        <w:rPr>
          <w:rFonts w:hint="eastAsia" w:ascii="仿宋" w:hAnsi="仿宋" w:eastAsia="仿宋" w:cs="仿宋"/>
          <w:b w:val="0"/>
          <w:bCs w:val="0"/>
          <w:i w:val="0"/>
          <w:iCs w:val="0"/>
          <w:color w:val="auto"/>
          <w:sz w:val="28"/>
          <w:szCs w:val="28"/>
          <w:highlight w:val="none"/>
          <w:u w:val="none"/>
          <w:shd w:val="clear" w:color="auto" w:fill="auto"/>
          <w:lang w:val="en-US" w:eastAsia="zh-CN"/>
        </w:rPr>
        <w:t>1</w:t>
      </w:r>
      <w:r>
        <w:rPr>
          <w:rFonts w:hint="eastAsia" w:ascii="仿宋" w:hAnsi="仿宋" w:eastAsia="仿宋" w:cs="仿宋"/>
          <w:b w:val="0"/>
          <w:bCs w:val="0"/>
          <w:i w:val="0"/>
          <w:iCs w:val="0"/>
          <w:color w:val="auto"/>
          <w:sz w:val="28"/>
          <w:szCs w:val="28"/>
          <w:highlight w:val="none"/>
          <w:u w:val="none"/>
          <w:shd w:val="clear" w:color="auto" w:fill="auto"/>
        </w:rPr>
        <w:t>保修期内，</w:t>
      </w:r>
      <w:r>
        <w:rPr>
          <w:rFonts w:hint="eastAsia" w:ascii="仿宋" w:hAnsi="仿宋" w:eastAsia="仿宋" w:cs="仿宋"/>
          <w:b w:val="0"/>
          <w:bCs w:val="0"/>
          <w:i w:val="0"/>
          <w:iCs w:val="0"/>
          <w:color w:val="auto"/>
          <w:sz w:val="28"/>
          <w:szCs w:val="28"/>
          <w:highlight w:val="none"/>
          <w:u w:val="none"/>
          <w:shd w:val="clear" w:color="auto" w:fill="auto"/>
          <w:lang w:eastAsia="zh-CN"/>
        </w:rPr>
        <w:t>本工程</w:t>
      </w:r>
      <w:r>
        <w:rPr>
          <w:rFonts w:hint="eastAsia" w:ascii="仿宋" w:hAnsi="仿宋" w:eastAsia="仿宋" w:cs="仿宋"/>
          <w:b w:val="0"/>
          <w:bCs w:val="0"/>
          <w:i w:val="0"/>
          <w:iCs w:val="0"/>
          <w:color w:val="auto"/>
          <w:sz w:val="28"/>
          <w:szCs w:val="28"/>
          <w:highlight w:val="none"/>
          <w:u w:val="none"/>
          <w:shd w:val="clear" w:color="auto" w:fill="auto"/>
        </w:rPr>
        <w:t>如因</w:t>
      </w:r>
      <w:r>
        <w:rPr>
          <w:rFonts w:hint="eastAsia" w:ascii="仿宋" w:hAnsi="仿宋" w:eastAsia="仿宋" w:cs="仿宋"/>
          <w:i w:val="0"/>
          <w:iCs w:val="0"/>
          <w:color w:val="auto"/>
          <w:sz w:val="28"/>
          <w:szCs w:val="28"/>
          <w:highlight w:val="none"/>
          <w:u w:val="none"/>
          <w:shd w:val="clear" w:color="auto" w:fill="auto"/>
        </w:rPr>
        <w:t>乙方原因出现质量问题，乙方须在接到甲方通知</w:t>
      </w:r>
      <w:r>
        <w:rPr>
          <w:rFonts w:hint="eastAsia" w:ascii="仿宋" w:hAnsi="仿宋" w:eastAsia="仿宋" w:cs="仿宋"/>
          <w:i w:val="0"/>
          <w:iCs w:val="0"/>
          <w:color w:val="auto"/>
          <w:sz w:val="28"/>
          <w:szCs w:val="28"/>
          <w:highlight w:val="none"/>
          <w:u w:val="none"/>
          <w:shd w:val="clear" w:color="auto" w:fill="auto"/>
          <w:lang w:eastAsia="zh-CN"/>
        </w:rPr>
        <w:t>起</w:t>
      </w:r>
      <w:r>
        <w:rPr>
          <w:rFonts w:hint="eastAsia" w:ascii="仿宋" w:hAnsi="仿宋" w:eastAsia="仿宋" w:cs="仿宋"/>
          <w:i w:val="0"/>
          <w:iCs w:val="0"/>
          <w:color w:val="auto"/>
          <w:sz w:val="28"/>
          <w:szCs w:val="28"/>
          <w:highlight w:val="none"/>
          <w:u w:val="none"/>
          <w:shd w:val="clear" w:color="auto" w:fill="auto"/>
        </w:rPr>
        <w:t>24小时内派人到达现场处理解决，否则甲方有权自行或委托第三方处理，乙方承担相关费用</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责任</w:t>
      </w:r>
      <w:r>
        <w:rPr>
          <w:rFonts w:hint="eastAsia" w:ascii="仿宋" w:hAnsi="仿宋" w:eastAsia="仿宋" w:cs="仿宋"/>
          <w:i w:val="0"/>
          <w:iCs w:val="0"/>
          <w:color w:val="auto"/>
          <w:sz w:val="28"/>
          <w:szCs w:val="28"/>
          <w:highlight w:val="none"/>
          <w:u w:val="none"/>
          <w:shd w:val="clear" w:color="auto" w:fill="auto"/>
          <w:lang w:val="en-US" w:eastAsia="zh-CN"/>
        </w:rPr>
        <w:t>并向甲方支付</w:t>
      </w:r>
      <w:r>
        <w:rPr>
          <w:rFonts w:hint="eastAsia" w:ascii="仿宋" w:hAnsi="仿宋" w:eastAsia="仿宋" w:cs="仿宋"/>
          <w:i w:val="0"/>
          <w:iCs w:val="0"/>
          <w:color w:val="auto"/>
          <w:sz w:val="28"/>
          <w:szCs w:val="28"/>
          <w:highlight w:val="none"/>
          <w:u w:val="none"/>
          <w:shd w:val="clear" w:color="auto" w:fill="auto"/>
        </w:rPr>
        <w:t>违约金一万元/次</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如发生的问题或事故系乙方导致或属于乙方保修内容，甲方所耗费用有权从乙方的</w:t>
      </w:r>
      <w:r>
        <w:rPr>
          <w:rFonts w:hint="eastAsia" w:ascii="仿宋" w:hAnsi="仿宋" w:eastAsia="仿宋" w:cs="仿宋"/>
          <w:i w:val="0"/>
          <w:iCs w:val="0"/>
          <w:color w:val="auto"/>
          <w:sz w:val="28"/>
          <w:szCs w:val="28"/>
          <w:highlight w:val="none"/>
          <w:u w:val="none"/>
          <w:shd w:val="clear" w:color="auto" w:fill="auto"/>
          <w:lang w:val="en-US" w:eastAsia="zh-CN"/>
        </w:rPr>
        <w:t>保修</w:t>
      </w:r>
      <w:r>
        <w:rPr>
          <w:rFonts w:hint="eastAsia" w:ascii="仿宋" w:hAnsi="仿宋" w:eastAsia="仿宋" w:cs="仿宋"/>
          <w:i w:val="0"/>
          <w:iCs w:val="0"/>
          <w:color w:val="auto"/>
          <w:sz w:val="28"/>
          <w:szCs w:val="28"/>
          <w:highlight w:val="none"/>
          <w:u w:val="none"/>
          <w:shd w:val="clear" w:color="auto" w:fill="auto"/>
        </w:rPr>
        <w:t>金中扣除，不足部分由乙方在甲方发出书面通知之日起10个日历天内支付</w:t>
      </w:r>
      <w:r>
        <w:rPr>
          <w:rFonts w:hint="eastAsia" w:ascii="仿宋" w:hAnsi="仿宋" w:eastAsia="仿宋" w:cs="仿宋"/>
          <w:i w:val="0"/>
          <w:iCs w:val="0"/>
          <w:color w:val="auto"/>
          <w:sz w:val="28"/>
          <w:szCs w:val="28"/>
          <w:highlight w:val="none"/>
          <w:u w:val="none"/>
          <w:shd w:val="clear" w:color="auto" w:fill="auto"/>
          <w:lang w:eastAsia="zh-CN"/>
        </w:rPr>
        <w:t>；</w:t>
      </w:r>
      <w:r>
        <w:rPr>
          <w:rFonts w:hint="eastAsia" w:ascii="仿宋" w:hAnsi="仿宋" w:eastAsia="仿宋" w:cs="仿宋"/>
          <w:i w:val="0"/>
          <w:iCs w:val="0"/>
          <w:color w:val="auto"/>
          <w:sz w:val="28"/>
          <w:szCs w:val="28"/>
          <w:highlight w:val="none"/>
          <w:u w:val="none"/>
          <w:shd w:val="clear" w:color="auto" w:fill="auto"/>
        </w:rPr>
        <w:t>如非乙方原因所致，乙方仍应提供维修服务，但费用经双方商定后由责任方承担。</w:t>
      </w:r>
    </w:p>
    <w:p w14:paraId="35DE724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保修期内若发生乙方原因导致的质量问题，乙方须赔偿甲方因此造成的一切损失；</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出现较大质量缺陷，乙方履行保修义务</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维修</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至验收合格后，工程</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期自维修工作完成</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验收合格之日起</w:t>
      </w:r>
      <w:r>
        <w:rPr>
          <w:rFonts w:hint="eastAsia" w:ascii="仿宋" w:hAnsi="仿宋" w:eastAsia="仿宋" w:cs="仿宋"/>
          <w:i w:val="0"/>
          <w:iCs w:val="0"/>
          <w:color w:val="auto"/>
          <w:sz w:val="28"/>
          <w:szCs w:val="28"/>
          <w:highlight w:val="none"/>
          <w:shd w:val="clear" w:color="auto" w:fill="auto"/>
          <w:lang w:val="en-US" w:eastAsia="zh-CN"/>
        </w:rPr>
        <w:t>按维修时间</w:t>
      </w:r>
      <w:r>
        <w:rPr>
          <w:rFonts w:hint="eastAsia" w:ascii="仿宋" w:hAnsi="仿宋" w:eastAsia="仿宋" w:cs="仿宋"/>
          <w:i w:val="0"/>
          <w:iCs w:val="0"/>
          <w:color w:val="auto"/>
          <w:sz w:val="28"/>
          <w:szCs w:val="28"/>
          <w:highlight w:val="none"/>
          <w:shd w:val="clear" w:color="auto" w:fill="auto"/>
        </w:rPr>
        <w:t>顺延。</w:t>
      </w:r>
    </w:p>
    <w:p w14:paraId="79D4977E">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rPr>
      </w:pPr>
      <w:r>
        <w:rPr>
          <w:rFonts w:hint="eastAsia" w:ascii="仿宋" w:hAnsi="仿宋" w:eastAsia="仿宋" w:cs="仿宋"/>
          <w:i w:val="0"/>
          <w:iCs w:val="0"/>
          <w:color w:val="auto"/>
          <w:sz w:val="28"/>
          <w:szCs w:val="28"/>
          <w:highlight w:val="none"/>
          <w:u w:val="none"/>
          <w:shd w:val="clear" w:color="auto" w:fill="auto"/>
        </w:rPr>
        <w:t>1</w:t>
      </w:r>
      <w:r>
        <w:rPr>
          <w:rFonts w:hint="eastAsia" w:ascii="仿宋" w:hAnsi="仿宋" w:eastAsia="仿宋" w:cs="仿宋"/>
          <w:i w:val="0"/>
          <w:iCs w:val="0"/>
          <w:color w:val="auto"/>
          <w:sz w:val="28"/>
          <w:szCs w:val="28"/>
          <w:highlight w:val="none"/>
          <w:u w:val="none"/>
          <w:shd w:val="clear" w:color="auto" w:fill="auto"/>
          <w:lang w:val="en-US" w:eastAsia="zh-CN"/>
        </w:rPr>
        <w:t>1</w:t>
      </w:r>
      <w:r>
        <w:rPr>
          <w:rFonts w:hint="eastAsia" w:ascii="仿宋" w:hAnsi="仿宋" w:eastAsia="仿宋" w:cs="仿宋"/>
          <w:i w:val="0"/>
          <w:iCs w:val="0"/>
          <w:color w:val="auto"/>
          <w:sz w:val="28"/>
          <w:szCs w:val="28"/>
          <w:highlight w:val="none"/>
          <w:u w:val="none"/>
          <w:shd w:val="clear" w:color="auto" w:fill="auto"/>
        </w:rPr>
        <w:t>.</w:t>
      </w:r>
      <w:r>
        <w:rPr>
          <w:rFonts w:hint="eastAsia" w:ascii="仿宋" w:hAnsi="仿宋" w:eastAsia="仿宋" w:cs="仿宋"/>
          <w:i w:val="0"/>
          <w:iCs w:val="0"/>
          <w:color w:val="auto"/>
          <w:sz w:val="28"/>
          <w:szCs w:val="28"/>
          <w:highlight w:val="none"/>
          <w:u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u w:val="none"/>
          <w:shd w:val="clear" w:color="auto" w:fill="auto"/>
        </w:rPr>
        <w:t>保修期</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内</w:t>
      </w:r>
      <w:r>
        <w:rPr>
          <w:rFonts w:hint="eastAsia" w:ascii="仿宋_GB2312" w:hAnsi="仿宋_GB2312" w:eastAsia="仿宋_GB2312" w:cs="仿宋_GB2312"/>
          <w:i w:val="0"/>
          <w:iCs w:val="0"/>
          <w:color w:val="auto"/>
          <w:sz w:val="28"/>
          <w:szCs w:val="28"/>
          <w:highlight w:val="none"/>
          <w:u w:val="none"/>
          <w:shd w:val="clear" w:color="auto" w:fill="auto"/>
        </w:rPr>
        <w:t>，若出现质量问题需要进行鉴定，相关费用由乙方负责。</w:t>
      </w:r>
    </w:p>
    <w:p w14:paraId="4455E20F">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11.4保修期届满后，由甲方工程部组织主导乙方、物业管理单位（如有）、建设单位等相关单位人员验收，验收合格后由甲方工程部出具《保修验收合格报告》作为保修金支付凭证，若验收不通过，由乙方整改后另行验收，相关费用由乙方负责。本工程整改两次才通过整改验收的，则保修期按乙方整改天数顺延，整改三次及以上才整改验收合格的，保修期自整改验收合格之日起顺延一年。 </w:t>
      </w:r>
    </w:p>
    <w:p w14:paraId="7B16BD4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11.5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中直接扣款用于抵扣上述修复费用和损失。甲乙双方特别约定本条款不因本合同终止而失效。</w:t>
      </w:r>
    </w:p>
    <w:p w14:paraId="0730E181">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67" w:name="_Toc1279"/>
      <w:bookmarkStart w:id="168" w:name="_Toc4352"/>
      <w:bookmarkStart w:id="169" w:name="_Toc6473"/>
      <w:bookmarkStart w:id="170" w:name="_Toc3973"/>
      <w:bookmarkStart w:id="171" w:name="_Toc19977"/>
      <w:bookmarkStart w:id="172" w:name="_Toc14119"/>
      <w:bookmarkStart w:id="173" w:name="_Toc454"/>
      <w:r>
        <w:rPr>
          <w:rFonts w:hint="eastAsia" w:ascii="仿宋" w:hAnsi="仿宋" w:eastAsia="仿宋" w:cs="仿宋"/>
          <w:b/>
          <w:bCs/>
          <w:i w:val="0"/>
          <w:iCs w:val="0"/>
          <w:color w:val="auto"/>
          <w:sz w:val="28"/>
          <w:szCs w:val="28"/>
          <w:highlight w:val="none"/>
          <w:shd w:val="clear" w:color="auto" w:fill="auto"/>
          <w:lang w:val="en-US" w:eastAsia="zh-CN"/>
        </w:rPr>
        <w:t>保险</w:t>
      </w:r>
      <w:bookmarkEnd w:id="167"/>
      <w:bookmarkEnd w:id="168"/>
      <w:bookmarkEnd w:id="169"/>
      <w:bookmarkEnd w:id="170"/>
      <w:bookmarkEnd w:id="171"/>
      <w:bookmarkEnd w:id="172"/>
      <w:bookmarkEnd w:id="173"/>
    </w:p>
    <w:p w14:paraId="5D0D3E0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615FE77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12.2甲方未办理“建筑工程社会保险——工伤保险”时，对乙方导致的任何安全事故及工伤人员的全部安全事故，由乙方全部承担责任和费用，相关费用已包含在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合同总价中，甲方不承担任何责任和费用。</w:t>
      </w:r>
    </w:p>
    <w:p w14:paraId="5928550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12.3乙方须为其属下人员、财产、现场各种施工设施、设备、材料购买保险，相关费用已含在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合同总价中无需甲方另行支付给乙方。因各种原因导致乙方需要延长保险期所需增加的保险费由乙方自行承担，其费用已包含在</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合同总价内。乙方人员或因乙方原因造成任何事故（包括第三方人员在内）导致的损失、赔偿、补偿等责任和费用由乙方承担。</w:t>
      </w:r>
    </w:p>
    <w:p w14:paraId="37258B5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12.4甲乙双方在签订各自的保险合同时，其第三方责任险应将对方互相视为第三方。</w:t>
      </w:r>
    </w:p>
    <w:p w14:paraId="0924C78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12.5乙方须对本工程涉及的乙方人员购买人身意外伤害险等保险，保额不低于死亡赔偿人民币150万元/人及伤害赔偿人民币15万元/人，相关费用已含于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合同单价/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 xml:space="preserve">合同总价中甲方无需另行支付给乙方。乙方须自保险合同生效之日起5个日历天内将保险合同复印件（加盖乙方公章）提交甲方项目部留存。  </w:t>
      </w:r>
    </w:p>
    <w:p w14:paraId="7C7E51A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12.6无论甲乙任何一方有无按照本合同约定办理相关保险事宜，乙方人员或因乙方原因导致在本项目范围内发生的伤亡事故，均由乙方承担责任和费用。 </w:t>
      </w:r>
    </w:p>
    <w:p w14:paraId="5D919369">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74" w:name="_Toc9446"/>
      <w:bookmarkStart w:id="175" w:name="_Toc12559"/>
      <w:bookmarkStart w:id="176" w:name="_Toc14887"/>
      <w:bookmarkStart w:id="177" w:name="_Toc14780"/>
      <w:bookmarkStart w:id="178" w:name="_Toc14823"/>
      <w:bookmarkStart w:id="179" w:name="_Toc15560"/>
      <w:bookmarkStart w:id="180" w:name="_Toc26050"/>
      <w:bookmarkStart w:id="181" w:name="_Toc7926"/>
      <w:bookmarkStart w:id="182" w:name="_Toc30819"/>
      <w:bookmarkStart w:id="183" w:name="_Toc20713"/>
      <w:r>
        <w:rPr>
          <w:rFonts w:hint="eastAsia" w:ascii="仿宋" w:hAnsi="仿宋" w:eastAsia="仿宋" w:cs="仿宋"/>
          <w:b/>
          <w:bCs/>
          <w:i w:val="0"/>
          <w:iCs w:val="0"/>
          <w:color w:val="auto"/>
          <w:sz w:val="28"/>
          <w:szCs w:val="28"/>
          <w:highlight w:val="none"/>
          <w:shd w:val="clear" w:color="auto" w:fill="auto"/>
          <w:lang w:val="en-US" w:eastAsia="zh-CN"/>
        </w:rPr>
        <w:t>奖罚条款</w:t>
      </w:r>
      <w:bookmarkEnd w:id="174"/>
      <w:bookmarkEnd w:id="175"/>
      <w:bookmarkEnd w:id="176"/>
      <w:bookmarkEnd w:id="177"/>
      <w:bookmarkEnd w:id="178"/>
      <w:bookmarkEnd w:id="179"/>
      <w:bookmarkEnd w:id="180"/>
      <w:bookmarkEnd w:id="181"/>
      <w:bookmarkEnd w:id="182"/>
      <w:bookmarkEnd w:id="183"/>
    </w:p>
    <w:p w14:paraId="1FA7689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outlineLvl w:val="2"/>
        <w:rPr>
          <w:rFonts w:hint="eastAsia" w:ascii="仿宋" w:hAnsi="仿宋" w:eastAsia="仿宋" w:cs="仿宋"/>
          <w:i w:val="0"/>
          <w:iCs w:val="0"/>
          <w:color w:val="auto"/>
          <w:sz w:val="28"/>
          <w:szCs w:val="28"/>
          <w:highlight w:val="none"/>
          <w:u w:val="none"/>
          <w:shd w:val="clear" w:color="auto" w:fill="auto"/>
          <w:lang w:val="en-US" w:eastAsia="zh-CN"/>
        </w:rPr>
      </w:pPr>
      <w:bookmarkStart w:id="184" w:name="_Toc31201"/>
      <w:bookmarkStart w:id="185" w:name="_Toc21565"/>
      <w:r>
        <w:rPr>
          <w:rFonts w:hint="eastAsia" w:ascii="仿宋" w:hAnsi="仿宋" w:eastAsia="仿宋" w:cs="仿宋"/>
          <w:i w:val="0"/>
          <w:iCs w:val="0"/>
          <w:color w:val="auto"/>
          <w:sz w:val="28"/>
          <w:szCs w:val="28"/>
          <w:highlight w:val="none"/>
          <w:u w:val="none"/>
          <w:shd w:val="clear" w:color="auto" w:fill="auto"/>
          <w:lang w:val="en-US" w:eastAsia="zh-CN"/>
        </w:rPr>
        <w:t>13.1奖励</w:t>
      </w:r>
      <w:bookmarkEnd w:id="184"/>
      <w:bookmarkEnd w:id="185"/>
    </w:p>
    <w:p w14:paraId="57F30A7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如乙方施工的产品质量优质，施工进度快，安全生产、文明施工达标，作业队伍整体形象受各方好评且有下列情况之一的，甲方给予乙方一定的奖励（奖励额度按有关规定执行，最终解释权在甲方，甲方亦有权取消奖励。本条款不视为甲方对乙方作出的承诺）：</w:t>
      </w:r>
    </w:p>
    <w:p w14:paraId="3F8A204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13.1.1.1甲方组织的各类检查验收中，乙方组建的施工队伍被评为优质作业队伍。</w:t>
      </w:r>
    </w:p>
    <w:p w14:paraId="4C4F9AE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13.1.1.2乙方负责施工的成品受到省、市有关部门表彰。</w:t>
      </w:r>
    </w:p>
    <w:p w14:paraId="225AC70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13.1.1.3乙方负责施工的成品受到建设单位、监理好评。</w:t>
      </w:r>
    </w:p>
    <w:p w14:paraId="7A78AA3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13.1.1.4特定情况下，由于乙方的主观努力使甲方避免遭受巨大损失。</w:t>
      </w:r>
    </w:p>
    <w:p w14:paraId="64A769C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13.1.1.5乙方工人安全生产、文明施工、节约用料、质量优、进度快。</w:t>
      </w:r>
      <w:bookmarkStart w:id="186" w:name="_Toc5991"/>
      <w:bookmarkStart w:id="187" w:name="_Toc14079"/>
    </w:p>
    <w:p w14:paraId="17C524E6">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13.2惩罚</w:t>
      </w:r>
      <w:bookmarkEnd w:id="186"/>
      <w:bookmarkEnd w:id="187"/>
    </w:p>
    <w:p w14:paraId="01C3D47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13.2.1如乙方出现下列任一情况，甲方有权单方解除本合同，同时乙方赔偿甲方损失（包括但不限于因工期延误而使得甲方对建设单位承担的违约责任、损失赔偿责任等）；</w:t>
      </w:r>
    </w:p>
    <w:p w14:paraId="58C9FA7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13.2.1.1乙方在质量、进度、安全、管理等方面经甲方二次警告或处罚后仍不能明显改善；</w:t>
      </w:r>
    </w:p>
    <w:p w14:paraId="552B73D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13.2.1.2乙方将本工程以各种形式转包、分包给他人；</w:t>
      </w:r>
    </w:p>
    <w:p w14:paraId="2B3780F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13.2.1.3乙方发生偷工减料、以次充好、弄虚作假等情形。</w:t>
      </w:r>
    </w:p>
    <w:p w14:paraId="0C32B24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13.2.2因下列情况导致的甲方损失均由乙方赔偿（包括但不限于因逾期完工而使得甲方对建设单位承担的违约责任、损失赔偿责任等）：</w:t>
      </w:r>
    </w:p>
    <w:p w14:paraId="6B8B565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①因乙方施工质量事故造成的损失；</w:t>
      </w:r>
    </w:p>
    <w:p w14:paraId="28AFA9C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②因乙方中途退场造成的损失；</w:t>
      </w:r>
    </w:p>
    <w:p w14:paraId="550874C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③乙方发生偷工减料、以次充好、弄虚作假等情形。</w:t>
      </w:r>
    </w:p>
    <w:p w14:paraId="2575A19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13.2.3因乙方导致工程质量或工期达不到合同要求或使用甲供材料用量超标的，均属乙方违约，甲方有权单方解除合同且不付款，同时乙方赔偿甲方由此造成的损失及费用。</w:t>
      </w:r>
    </w:p>
    <w:p w14:paraId="1321383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 xml:space="preserve">13.2.4乙方或其人员有下列情况之一的，造成甲方损失的由乙方全额赔偿甲方，同时甲方有权对乙方采取每人或每次收取违约金壹佰元至叁万元的措施：  </w:t>
      </w:r>
    </w:p>
    <w:p w14:paraId="137AB28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13.2.4.1隐蔽工程一次验收不合格；</w:t>
      </w:r>
    </w:p>
    <w:p w14:paraId="2737CE1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13.2.4.2不能按甲方确定的周进度计划完成施工作业延误工期一天；</w:t>
      </w:r>
    </w:p>
    <w:p w14:paraId="7CC7B86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13.2.4.3出现因质量、安全不满足本合同约定需整改；</w:t>
      </w:r>
    </w:p>
    <w:p w14:paraId="15B3A6C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13.2.4.4聚众赌博，影响他人休息；</w:t>
      </w:r>
    </w:p>
    <w:p w14:paraId="2124A103">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13.2.4.5聚众闹事、打人、打架、偷抢行为；</w:t>
      </w:r>
    </w:p>
    <w:p w14:paraId="5B83B8E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13.2.4.6容留非本工程现场人员在本项目宿舍住宿；</w:t>
      </w:r>
    </w:p>
    <w:p w14:paraId="13B2BE2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13.2.4.7不按甲方要求加班或人员不足导致延误工期一天；</w:t>
      </w:r>
    </w:p>
    <w:p w14:paraId="6CD70DC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13.2.4.8浪费材料、损坏机具或破坏其他设施及成品；</w:t>
      </w:r>
    </w:p>
    <w:p w14:paraId="77408A3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13.2.4.9在生活区存放易燃易爆物品或其他危险品；</w:t>
      </w:r>
    </w:p>
    <w:p w14:paraId="1BE9A13B">
      <w:pPr>
        <w:pStyle w:val="3"/>
        <w:keepNext w:val="0"/>
        <w:keepLines w:val="0"/>
        <w:pageBreakBefore w:val="0"/>
        <w:widowControl w:val="0"/>
        <w:kinsoku/>
        <w:wordWrap/>
        <w:overflowPunct/>
        <w:topLinePunct w:val="0"/>
        <w:autoSpaceDE/>
        <w:autoSpaceDN/>
        <w:bidi w:val="0"/>
        <w:adjustRightInd w:val="0"/>
        <w:snapToGrid w:val="0"/>
        <w:spacing w:line="360" w:lineRule="auto"/>
        <w:ind w:left="559" w:leftChars="266" w:right="0" w:rightChars="0" w:firstLine="0" w:firstLineChars="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13.2.4.10收留、聘用未成年人；（罚款的同时驱逐未成年人离开本项目）13.2.4.11在宿舍内做饭、使用大功率电器设备，如电磁炉、电饭煲、电热</w:t>
      </w:r>
    </w:p>
    <w:p w14:paraId="659EA77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棒等。</w:t>
      </w:r>
    </w:p>
    <w:p w14:paraId="613A331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13.2.5乙方或其人员有下列情况之一的，造成甲方损失的由乙方全额赔偿给甲方，同时，甲方有权对乙方采取每人或每次收取违约金壹佰元至叁万元的措施；</w:t>
      </w:r>
    </w:p>
    <w:p w14:paraId="7B73FAF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13.2.5.1管理人员未经甲方同意离开工地两天以内；</w:t>
      </w:r>
    </w:p>
    <w:p w14:paraId="6E481797">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13.2.5.2未戴好安全帽、穿拖鞋或赤脚、赤膊进入作业区；</w:t>
      </w:r>
    </w:p>
    <w:p w14:paraId="7C97EAC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13.2.5.3不戴工卡上岗；</w:t>
      </w:r>
    </w:p>
    <w:p w14:paraId="0FEF9180">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13.2.5.4施工人员进场三天内不办理工作卡；</w:t>
      </w:r>
    </w:p>
    <w:p w14:paraId="0FB07D9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13.2.5.5未经甲方批准擅带家属及小孩进入施工现场或在宿舍居住；</w:t>
      </w:r>
    </w:p>
    <w:p w14:paraId="4CE8797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13.2.5.6工棚内乱拉乱接电线，违反生活区管理制度；</w:t>
      </w:r>
    </w:p>
    <w:p w14:paraId="395D2FB5">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13.2.5.7宿舍卫生不合格；</w:t>
      </w:r>
    </w:p>
    <w:p w14:paraId="3DCDF01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13.2.5.8材料、机具未按甲方要求堆放，建筑垃圾未按甲方要求处理，随地大小便，随意吸烟，在墙上乱涂乱画。</w:t>
      </w:r>
      <w:bookmarkStart w:id="188" w:name="_Toc6486"/>
      <w:bookmarkStart w:id="189" w:name="_Toc16635"/>
      <w:bookmarkStart w:id="190" w:name="_Toc28593"/>
    </w:p>
    <w:p w14:paraId="09221E5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13.2.5.9乙方人员、车辆不接受甲方门岗保卫检查。</w:t>
      </w:r>
    </w:p>
    <w:p w14:paraId="04CAA1C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13.3</w:t>
      </w:r>
      <w:r>
        <w:rPr>
          <w:rFonts w:hint="eastAsia" w:ascii="仿宋_GB2312" w:hAnsi="仿宋_GB2312" w:eastAsia="仿宋_GB2312" w:cs="仿宋_GB2312"/>
          <w:i w:val="0"/>
          <w:iCs w:val="0"/>
          <w:color w:val="000000" w:themeColor="text1"/>
          <w:sz w:val="28"/>
          <w:szCs w:val="28"/>
          <w:highlight w:val="none"/>
          <w:u w:val="none"/>
          <w:shd w:val="clear" w:color="auto" w:fill="auto"/>
          <w:lang w:val="en-US" w:eastAsia="zh-CN"/>
          <w14:textFill>
            <w14:solidFill>
              <w14:schemeClr w14:val="tx1"/>
            </w14:solidFill>
          </w14:textFill>
        </w:rPr>
        <w:t>合同履行期间，乙方无条件执行甲方与建设单位确定的施工现场管理制度，因乙方原因导致建设单位或其他部门对甲方进行处罚扣款的，乙方按该处罚金额的2倍向甲方承担违约金</w:t>
      </w:r>
      <w:r>
        <w:rPr>
          <w:rFonts w:hint="eastAsia" w:ascii="仿宋" w:hAnsi="仿宋" w:eastAsia="仿宋" w:cs="仿宋"/>
          <w:i w:val="0"/>
          <w:iCs w:val="0"/>
          <w:color w:val="auto"/>
          <w:sz w:val="28"/>
          <w:szCs w:val="28"/>
          <w:highlight w:val="none"/>
          <w:u w:val="none"/>
          <w:shd w:val="clear" w:color="auto" w:fill="auto"/>
          <w:lang w:val="en-US" w:eastAsia="zh-CN"/>
        </w:rPr>
        <w:t>。</w:t>
      </w:r>
    </w:p>
    <w:p w14:paraId="2ADAEA2A">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191" w:name="_Toc27799"/>
      <w:bookmarkStart w:id="192" w:name="_Toc32165"/>
      <w:bookmarkStart w:id="193" w:name="_Toc8716"/>
      <w:bookmarkStart w:id="194" w:name="_Toc21006"/>
      <w:bookmarkStart w:id="195" w:name="_Toc7591"/>
      <w:bookmarkStart w:id="196" w:name="_Toc30520"/>
      <w:bookmarkStart w:id="197" w:name="_Toc16465"/>
      <w:r>
        <w:rPr>
          <w:rFonts w:hint="eastAsia" w:ascii="仿宋" w:hAnsi="仿宋" w:eastAsia="仿宋" w:cs="仿宋"/>
          <w:b/>
          <w:bCs/>
          <w:i w:val="0"/>
          <w:iCs w:val="0"/>
          <w:color w:val="auto"/>
          <w:sz w:val="28"/>
          <w:szCs w:val="28"/>
          <w:highlight w:val="none"/>
          <w:shd w:val="clear" w:color="auto" w:fill="auto"/>
          <w:lang w:val="en-US" w:eastAsia="zh-CN"/>
        </w:rPr>
        <w:t>违约条款</w:t>
      </w:r>
      <w:bookmarkEnd w:id="188"/>
      <w:bookmarkEnd w:id="189"/>
      <w:bookmarkEnd w:id="190"/>
      <w:bookmarkEnd w:id="191"/>
      <w:bookmarkEnd w:id="192"/>
      <w:bookmarkEnd w:id="193"/>
      <w:bookmarkEnd w:id="194"/>
      <w:bookmarkEnd w:id="195"/>
      <w:bookmarkEnd w:id="196"/>
      <w:bookmarkEnd w:id="197"/>
    </w:p>
    <w:p w14:paraId="68A7FD5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14.1乙方延迟开工或不能按合同约定的工期完成本工程任一节点内容的，每延迟一个日历天，乙方向甲方承担违约金人民币壹万元，延迟超过三个日历天的，甲方有权单方解除合同，已完工工程无偿归甲方，甲方无需支付合同款并有权委托其他单位继续完成本工程；乙方同时按</w:t>
      </w:r>
      <w:r>
        <w:rPr>
          <w:rFonts w:hint="eastAsia" w:ascii="仿宋" w:hAnsi="仿宋" w:eastAsia="仿宋" w:cs="仿宋"/>
          <w:b w:val="0"/>
          <w:bCs w:val="0"/>
          <w:color w:val="auto"/>
          <w:sz w:val="28"/>
          <w:highlight w:val="none"/>
          <w:u w:val="none"/>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u w:val="none"/>
          <w:shd w:val="clear" w:color="auto" w:fill="auto"/>
          <w:lang w:val="en-US" w:eastAsia="zh-CN"/>
        </w:rPr>
        <w:t>的20%承担违约金并按甲方要求准时退场，每延迟一个日历天退场，乙方向甲方另行承担违约金人民币伍仟元，甲方的损失（包括但不限于因逾期而使得甲方需对建设单位承担的违约责任、损失赔偿责任等）由乙方赔偿。</w:t>
      </w:r>
    </w:p>
    <w:p w14:paraId="6B41633C">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承担违约金人民币壹万元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 w:hAnsi="仿宋" w:eastAsia="仿宋" w:cs="仿宋"/>
          <w:b w:val="0"/>
          <w:bCs w:val="0"/>
          <w:color w:val="auto"/>
          <w:sz w:val="28"/>
          <w:highlight w:val="none"/>
          <w:u w:val="none"/>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u w:val="none"/>
          <w:shd w:val="clear" w:color="auto" w:fill="auto"/>
          <w:lang w:val="en-US" w:eastAsia="zh-CN"/>
        </w:rPr>
        <w:t>20%的违约金和赔偿甲方全部损失，已完工工程无偿归甲方，甲方无需支付合同款；②另行委托其他单位对本工程进行返修，乙方须无条件接受并配合，由此产生的一切费用由乙方承担。</w:t>
      </w:r>
    </w:p>
    <w:p w14:paraId="6E446919">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14.3经甲方验核达不到约定质量标准的检验批（分项或分部），甲方有权对乙方按相应检验批的工程量收取金额等于</w:t>
      </w:r>
      <w:r>
        <w:rPr>
          <w:rFonts w:hint="eastAsia" w:ascii="仿宋" w:hAnsi="仿宋" w:eastAsia="仿宋" w:cs="仿宋"/>
          <w:b w:val="0"/>
          <w:bCs w:val="0"/>
          <w:color w:val="auto"/>
          <w:sz w:val="28"/>
          <w:highlight w:val="none"/>
          <w:u w:val="none"/>
          <w:lang w:val="en-US" w:eastAsia="zh-CN"/>
        </w:rPr>
        <w:sym w:font="Wingdings" w:char="00FE"/>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u w:val="none"/>
          <w:shd w:val="clear" w:color="auto" w:fill="auto"/>
          <w:lang w:val="en-US" w:eastAsia="zh-CN"/>
        </w:rPr>
        <w:t>5%的违约金，如果甲方被政府部门或建设单位处罚而需承担违约、赔偿责任或费用的，则由乙方全部承担，同时甲方保留对乙方追偿的权利。</w:t>
      </w:r>
    </w:p>
    <w:p w14:paraId="78E884E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14.4合同履行期间，因乙方原因造成甲方或本工程或本项目被政府部门停工、整改导致扣分的，乙方按贰万元/分向甲方承担违约金（甲方可从任意合同款中扣款）。</w:t>
      </w:r>
    </w:p>
    <w:p w14:paraId="17C4465F">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14.5乙方及其人员、供应商不得以任何理由去政府部门上访、投诉、静坐，不得去建设单位投诉、静坐，否则视情节轻重由乙方向甲方承担违约金壹万至壹拾万元/次。</w:t>
      </w:r>
    </w:p>
    <w:p w14:paraId="32EE966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.6乙方无正当理由停工或提出不履行合同或拖延工期或不能正常开展工作连续3天以上或无力将本工程顺利开展下去的，属乙方违约，甲方有权单方解除合同，乙方按</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i w:val="0"/>
          <w:iCs w:val="0"/>
          <w:color w:val="auto"/>
          <w:sz w:val="28"/>
          <w:szCs w:val="28"/>
          <w:highlight w:val="none"/>
          <w:shd w:val="clear" w:color="auto" w:fill="auto"/>
          <w:lang w:eastAsia="zh-CN"/>
        </w:rPr>
        <w:t>合同总价的20%</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违约金，同时乙方按甲方要求限时退场</w:t>
      </w:r>
      <w:r>
        <w:rPr>
          <w:rFonts w:hint="eastAsia" w:ascii="仿宋" w:hAnsi="仿宋" w:eastAsia="仿宋" w:cs="仿宋"/>
          <w:b w:val="0"/>
          <w:bCs w:val="0"/>
          <w:i w:val="0"/>
          <w:iCs w:val="0"/>
          <w:color w:val="auto"/>
          <w:sz w:val="28"/>
          <w:szCs w:val="28"/>
          <w:highlight w:val="none"/>
          <w:shd w:val="clear" w:color="auto" w:fill="auto"/>
          <w:lang w:val="en-US" w:eastAsia="zh-CN"/>
        </w:rPr>
        <w:t>并赔偿</w:t>
      </w:r>
      <w:r>
        <w:rPr>
          <w:rFonts w:hint="eastAsia" w:ascii="仿宋" w:hAnsi="仿宋" w:eastAsia="仿宋" w:cs="仿宋"/>
          <w:b w:val="0"/>
          <w:bCs w:val="0"/>
          <w:i w:val="0"/>
          <w:iCs w:val="0"/>
          <w:color w:val="auto"/>
          <w:sz w:val="28"/>
          <w:szCs w:val="28"/>
          <w:highlight w:val="none"/>
          <w:shd w:val="clear" w:color="auto" w:fill="auto"/>
          <w:lang w:eastAsia="zh-CN"/>
        </w:rPr>
        <w:t>甲方损失。</w:t>
      </w:r>
      <w:bookmarkStart w:id="198" w:name="_Toc21824"/>
      <w:bookmarkStart w:id="199" w:name="_Toc2734"/>
      <w:bookmarkStart w:id="200" w:name="_Toc10430"/>
    </w:p>
    <w:p w14:paraId="5E4E8B3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.7</w:t>
      </w:r>
      <w:r>
        <w:rPr>
          <w:rFonts w:hint="eastAsia" w:ascii="仿宋" w:hAnsi="仿宋" w:eastAsia="仿宋" w:cs="仿宋"/>
          <w:b w:val="0"/>
          <w:bCs w:val="0"/>
          <w:i w:val="0"/>
          <w:iCs w:val="0"/>
          <w:color w:val="000000" w:themeColor="text1"/>
          <w:sz w:val="28"/>
          <w:szCs w:val="28"/>
          <w:highlight w:val="none"/>
          <w:shd w:val="clear" w:color="auto" w:fill="auto"/>
          <w:lang w:eastAsia="zh-CN"/>
          <w14:textFill>
            <w14:solidFill>
              <w14:schemeClr w14:val="tx1"/>
            </w14:solidFill>
          </w14:textFill>
        </w:rPr>
        <w:t>乙方未及时发放工人工资或及时支付货款，导致影响甲方或本项目或本项目的，甲方有权收取乙方违约金，每发生一次劳资纠纷或货款纠纷事件，乙方向甲方另行承担违约金叁万元。若因乙方拖欠工人工资或货款，导致媒体曝光或政府部门介入的，乙方另向甲方承担违约金不少于伍万元/次。无论乙方实际是否欠薪或欠货款，乙方人员或供应商每发起一次欠薪或欠货款纠纷，影响甲方且甲方被政府主管部门询问的、协调的情形，乙方均须向甲方支付违约金十万元/次；若因此导致媒体曝光，乙方须另向甲方支付违约金十万元/次。</w:t>
      </w:r>
    </w:p>
    <w:p w14:paraId="3422FB1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.8凡乙方发生偷工减料行为，甲方视情节轻重计收乙方贰万至壹拾万元/次的违约金。</w:t>
      </w:r>
    </w:p>
    <w:p w14:paraId="692149D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.9因乙方原因导致甲方被起诉或被处分的，乙方除赔偿甲方损失外，甲方每被起诉或处分一次，乙方向甲方</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w:t>
      </w:r>
      <w:r>
        <w:rPr>
          <w:rFonts w:hint="eastAsia" w:ascii="仿宋" w:hAnsi="仿宋" w:eastAsia="仿宋" w:cs="仿宋"/>
          <w:b w:val="0"/>
          <w:bCs w:val="0"/>
          <w:i w:val="0"/>
          <w:iCs w:val="0"/>
          <w:color w:val="auto"/>
          <w:sz w:val="28"/>
          <w:szCs w:val="28"/>
          <w:highlight w:val="none"/>
          <w:shd w:val="clear" w:color="auto" w:fill="auto"/>
          <w:lang w:val="en-US" w:eastAsia="zh-CN"/>
        </w:rPr>
        <w:t>另</w:t>
      </w:r>
      <w:r>
        <w:rPr>
          <w:rFonts w:hint="eastAsia" w:ascii="仿宋" w:hAnsi="仿宋" w:eastAsia="仿宋" w:cs="仿宋"/>
          <w:b w:val="0"/>
          <w:bCs w:val="0"/>
          <w:i w:val="0"/>
          <w:iCs w:val="0"/>
          <w:color w:val="auto"/>
          <w:sz w:val="28"/>
          <w:szCs w:val="28"/>
          <w:highlight w:val="none"/>
          <w:shd w:val="clear" w:color="auto" w:fill="auto"/>
          <w:lang w:eastAsia="zh-CN"/>
        </w:rPr>
        <w:t>按冻结资金总额的日千分之一向甲方支付利息；因出现此情形属乙方自身管理不当，乙方自愿</w:t>
      </w:r>
      <w:r>
        <w:rPr>
          <w:rFonts w:hint="eastAsia" w:ascii="仿宋" w:hAnsi="仿宋" w:eastAsia="仿宋" w:cs="仿宋"/>
          <w:b w:val="0"/>
          <w:bCs w:val="0"/>
          <w:i w:val="0"/>
          <w:iCs w:val="0"/>
          <w:color w:val="auto"/>
          <w:sz w:val="28"/>
          <w:szCs w:val="28"/>
          <w:highlight w:val="none"/>
          <w:shd w:val="clear" w:color="auto" w:fill="auto"/>
          <w:lang w:val="en-US" w:eastAsia="zh-CN"/>
        </w:rPr>
        <w:t>赔偿</w:t>
      </w:r>
      <w:r>
        <w:rPr>
          <w:rFonts w:hint="eastAsia" w:ascii="仿宋" w:hAnsi="仿宋" w:eastAsia="仿宋" w:cs="仿宋"/>
          <w:b w:val="0"/>
          <w:bCs w:val="0"/>
          <w:i w:val="0"/>
          <w:iCs w:val="0"/>
          <w:color w:val="auto"/>
          <w:sz w:val="28"/>
          <w:szCs w:val="28"/>
          <w:highlight w:val="none"/>
          <w:shd w:val="clear" w:color="auto" w:fill="auto"/>
          <w:lang w:eastAsia="zh-CN"/>
        </w:rPr>
        <w:t>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被冻结次数，每次额外向甲方</w:t>
      </w:r>
      <w:r>
        <w:rPr>
          <w:rFonts w:hint="eastAsia" w:ascii="仿宋" w:hAnsi="仿宋" w:eastAsia="仿宋" w:cs="仿宋"/>
          <w:b w:val="0"/>
          <w:bCs w:val="0"/>
          <w:i w:val="0"/>
          <w:iCs w:val="0"/>
          <w:color w:val="auto"/>
          <w:sz w:val="28"/>
          <w:szCs w:val="28"/>
          <w:highlight w:val="none"/>
          <w:shd w:val="clear" w:color="auto" w:fill="auto"/>
          <w:lang w:val="en-US" w:eastAsia="zh-CN"/>
        </w:rPr>
        <w:t>承担伍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5FCDA191">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0</w:t>
      </w:r>
      <w:r>
        <w:rPr>
          <w:rFonts w:hint="eastAsia" w:ascii="仿宋" w:hAnsi="仿宋" w:eastAsia="仿宋" w:cs="仿宋"/>
          <w:b w:val="0"/>
          <w:bCs w:val="0"/>
          <w:i w:val="0"/>
          <w:iCs w:val="0"/>
          <w:color w:val="auto"/>
          <w:sz w:val="28"/>
          <w:szCs w:val="28"/>
          <w:highlight w:val="none"/>
          <w:shd w:val="clear" w:color="auto" w:fill="auto"/>
          <w:lang w:eastAsia="zh-CN"/>
        </w:rPr>
        <w:t>乙方出现上述第1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.1条～第1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9</w:t>
      </w:r>
      <w:r>
        <w:rPr>
          <w:rFonts w:hint="eastAsia" w:ascii="仿宋" w:hAnsi="仿宋" w:eastAsia="仿宋" w:cs="仿宋"/>
          <w:b w:val="0"/>
          <w:bCs w:val="0"/>
          <w:i w:val="0"/>
          <w:iCs w:val="0"/>
          <w:color w:val="auto"/>
          <w:sz w:val="28"/>
          <w:szCs w:val="28"/>
          <w:highlight w:val="none"/>
          <w:shd w:val="clear" w:color="auto" w:fill="auto"/>
          <w:lang w:eastAsia="zh-CN"/>
        </w:rPr>
        <w:t>条所述任一行为或未履行合同任一义务的，均属乙方严重违约，乙方除按上述条款承担包括但不限于以上所述的违约责任外，甲方可随时单方解除本合同，所产生的损失由乙方赔偿甲方。</w:t>
      </w:r>
    </w:p>
    <w:p w14:paraId="116FF59E">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因建设单位、设计变更或非甲方原因导致本合同不能履行的，甲、乙双方互不追究违约责任，按照乙方已完成且经甲方验收合格的工程量进行结算，同时双方各自承担自身损失。</w:t>
      </w:r>
    </w:p>
    <w:p w14:paraId="55A83B0A">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乙方不得因停工损失向甲方索赔，同意不追究甲方在本合同履行过程中因付款延迟、停工而产生的违约责任。</w:t>
      </w:r>
    </w:p>
    <w:p w14:paraId="5393DD4C">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3</w:t>
      </w:r>
      <w:r>
        <w:rPr>
          <w:rFonts w:hint="eastAsia" w:ascii="仿宋" w:hAnsi="仿宋" w:eastAsia="仿宋" w:cs="仿宋"/>
          <w:b w:val="0"/>
          <w:bCs w:val="0"/>
          <w:i w:val="0"/>
          <w:iCs w:val="0"/>
          <w:color w:val="auto"/>
          <w:sz w:val="28"/>
          <w:szCs w:val="28"/>
          <w:highlight w:val="none"/>
          <w:shd w:val="clear" w:color="auto" w:fill="auto"/>
          <w:lang w:eastAsia="zh-CN"/>
        </w:rPr>
        <w:t>合同有效期内，乙方须确保自身持续具备履行合同义务的合法资质和资格（尤其须符合政府主管部门的要求），否则甲方有权：①自乙方不具备合法资质、资格之日起，乙方每日向甲方支付违约金人民币</w:t>
      </w:r>
      <w:r>
        <w:rPr>
          <w:rFonts w:hint="eastAsia" w:ascii="仿宋" w:hAnsi="仿宋" w:eastAsia="仿宋" w:cs="仿宋"/>
          <w:b w:val="0"/>
          <w:bCs w:val="0"/>
          <w:i w:val="0"/>
          <w:iCs w:val="0"/>
          <w:color w:val="auto"/>
          <w:sz w:val="28"/>
          <w:szCs w:val="28"/>
          <w:highlight w:val="none"/>
          <w:shd w:val="clear" w:color="auto" w:fill="auto"/>
          <w:lang w:val="en-US" w:eastAsia="zh-CN"/>
        </w:rPr>
        <w:t>壹仟</w:t>
      </w:r>
      <w:r>
        <w:rPr>
          <w:rFonts w:hint="eastAsia" w:ascii="仿宋" w:hAnsi="仿宋" w:eastAsia="仿宋" w:cs="仿宋"/>
          <w:b w:val="0"/>
          <w:bCs w:val="0"/>
          <w:i w:val="0"/>
          <w:iCs w:val="0"/>
          <w:color w:val="auto"/>
          <w:sz w:val="28"/>
          <w:szCs w:val="28"/>
          <w:highlight w:val="none"/>
          <w:shd w:val="clear" w:color="auto" w:fill="auto"/>
          <w:lang w:eastAsia="zh-CN"/>
        </w:rPr>
        <w:t>元，直至乙方恢复相关资质、资格；②甲方单方解除合同并收回所有已付款。</w:t>
      </w:r>
    </w:p>
    <w:p w14:paraId="1CEC9C9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质量、安全文明措施等无法满足甲方及规范要求的，乙方须提供不属于其责任的证明并得到甲方的书面认可，否则视为乙方违约，全部责任及费用和损失由乙方承担。</w:t>
      </w:r>
    </w:p>
    <w:p w14:paraId="6AD84072">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原因造成本工程质量达不到本合同约定的质量标准或出现影响使用功能和工程结构安全，即使通过技术整改措施仍然无法达到设计要求等永久质量问题的，无论是否在保修期内，乙方须无条件返工至合格为止，并赔偿甲方因此</w:t>
      </w:r>
      <w:r>
        <w:rPr>
          <w:rFonts w:hint="eastAsia" w:ascii="仿宋" w:hAnsi="仿宋" w:eastAsia="仿宋" w:cs="仿宋"/>
          <w:b w:val="0"/>
          <w:bCs w:val="0"/>
          <w:i w:val="0"/>
          <w:iCs w:val="0"/>
          <w:color w:val="auto"/>
          <w:sz w:val="28"/>
          <w:szCs w:val="28"/>
          <w:highlight w:val="none"/>
          <w:shd w:val="clear" w:color="auto" w:fill="auto"/>
          <w:lang w:val="en-US" w:eastAsia="zh-CN"/>
        </w:rPr>
        <w:t>遭受</w:t>
      </w:r>
      <w:r>
        <w:rPr>
          <w:rFonts w:hint="eastAsia" w:ascii="仿宋" w:hAnsi="仿宋" w:eastAsia="仿宋" w:cs="仿宋"/>
          <w:b w:val="0"/>
          <w:bCs w:val="0"/>
          <w:i w:val="0"/>
          <w:iCs w:val="0"/>
          <w:color w:val="auto"/>
          <w:sz w:val="28"/>
          <w:szCs w:val="28"/>
          <w:highlight w:val="none"/>
          <w:shd w:val="clear" w:color="auto" w:fill="auto"/>
          <w:lang w:eastAsia="zh-CN"/>
        </w:rPr>
        <w:t>的一切损失。若该永久质量问题无法满足设计及合同约定质量标准，</w:t>
      </w:r>
      <w:r>
        <w:rPr>
          <w:rFonts w:hint="eastAsia" w:ascii="仿宋" w:hAnsi="仿宋" w:eastAsia="仿宋" w:cs="仿宋"/>
          <w:b w:val="0"/>
          <w:bCs w:val="0"/>
          <w:i w:val="0"/>
          <w:iCs w:val="0"/>
          <w:color w:val="auto"/>
          <w:sz w:val="28"/>
          <w:szCs w:val="28"/>
          <w:highlight w:val="none"/>
          <w:shd w:val="clear" w:color="auto" w:fill="auto"/>
          <w:lang w:val="en-US" w:eastAsia="zh-CN"/>
        </w:rPr>
        <w:t>但</w:t>
      </w:r>
      <w:r>
        <w:rPr>
          <w:rFonts w:hint="eastAsia" w:ascii="仿宋" w:hAnsi="仿宋" w:eastAsia="仿宋" w:cs="仿宋"/>
          <w:b w:val="0"/>
          <w:bCs w:val="0"/>
          <w:i w:val="0"/>
          <w:iCs w:val="0"/>
          <w:color w:val="auto"/>
          <w:sz w:val="28"/>
          <w:szCs w:val="28"/>
          <w:highlight w:val="none"/>
          <w:shd w:val="clear" w:color="auto" w:fill="auto"/>
          <w:lang w:eastAsia="zh-CN"/>
        </w:rPr>
        <w:t>甲方和建设单位接受现状质量</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w:t>
      </w:r>
      <w:r>
        <w:rPr>
          <w:rFonts w:hint="eastAsia" w:ascii="仿宋" w:hAnsi="仿宋" w:eastAsia="仿宋" w:cs="仿宋"/>
          <w:b w:val="0"/>
          <w:bCs w:val="0"/>
          <w:i w:val="0"/>
          <w:iCs w:val="0"/>
          <w:color w:val="auto"/>
          <w:sz w:val="28"/>
          <w:szCs w:val="28"/>
          <w:highlight w:val="none"/>
          <w:shd w:val="clear" w:color="auto" w:fill="auto"/>
          <w:lang w:val="en-US" w:eastAsia="zh-CN"/>
        </w:rPr>
        <w:t>向甲方承担</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不合格部位造价20%以上的违约金，同时</w:t>
      </w:r>
      <w:r>
        <w:rPr>
          <w:rFonts w:hint="eastAsia" w:ascii="仿宋" w:hAnsi="仿宋" w:eastAsia="仿宋" w:cs="仿宋"/>
          <w:b w:val="0"/>
          <w:bCs w:val="0"/>
          <w:i w:val="0"/>
          <w:iCs w:val="0"/>
          <w:color w:val="auto"/>
          <w:sz w:val="28"/>
          <w:szCs w:val="28"/>
          <w:highlight w:val="none"/>
          <w:shd w:val="clear" w:color="auto" w:fill="auto"/>
          <w:lang w:val="en-US" w:eastAsia="zh-CN"/>
        </w:rPr>
        <w:t>承担</w:t>
      </w:r>
      <w:r>
        <w:rPr>
          <w:rFonts w:hint="eastAsia" w:ascii="仿宋" w:hAnsi="仿宋" w:eastAsia="仿宋" w:cs="仿宋"/>
          <w:b w:val="0"/>
          <w:bCs w:val="0"/>
          <w:i w:val="0"/>
          <w:iCs w:val="0"/>
          <w:color w:val="auto"/>
          <w:sz w:val="28"/>
          <w:szCs w:val="28"/>
          <w:highlight w:val="none"/>
          <w:shd w:val="clear" w:color="auto" w:fill="auto"/>
          <w:lang w:eastAsia="zh-CN"/>
        </w:rPr>
        <w:t>5000元以上的罚款。</w:t>
      </w:r>
      <w:r>
        <w:rPr>
          <w:rFonts w:hint="eastAsia" w:ascii="仿宋" w:hAnsi="仿宋" w:eastAsia="仿宋" w:cs="仿宋"/>
          <w:b w:val="0"/>
          <w:bCs w:val="0"/>
          <w:i w:val="0"/>
          <w:iCs w:val="0"/>
          <w:color w:val="auto"/>
          <w:sz w:val="28"/>
          <w:szCs w:val="28"/>
          <w:highlight w:val="none"/>
          <w:shd w:val="clear" w:color="auto" w:fill="auto"/>
          <w:lang w:val="en-US" w:eastAsia="zh-CN"/>
        </w:rPr>
        <w:t>本条</w:t>
      </w:r>
      <w:r>
        <w:rPr>
          <w:rFonts w:hint="eastAsia" w:ascii="仿宋" w:hAnsi="仿宋" w:eastAsia="仿宋" w:cs="仿宋"/>
          <w:b w:val="0"/>
          <w:bCs w:val="0"/>
          <w:i w:val="0"/>
          <w:iCs w:val="0"/>
          <w:color w:val="auto"/>
          <w:sz w:val="28"/>
          <w:szCs w:val="28"/>
          <w:highlight w:val="none"/>
          <w:shd w:val="clear" w:color="auto" w:fill="auto"/>
          <w:lang w:eastAsia="zh-CN"/>
        </w:rPr>
        <w:t>所</w:t>
      </w:r>
      <w:r>
        <w:rPr>
          <w:rFonts w:hint="eastAsia" w:ascii="仿宋" w:hAnsi="仿宋" w:eastAsia="仿宋" w:cs="仿宋"/>
          <w:b w:val="0"/>
          <w:bCs w:val="0"/>
          <w:i w:val="0"/>
          <w:iCs w:val="0"/>
          <w:color w:val="auto"/>
          <w:sz w:val="28"/>
          <w:szCs w:val="28"/>
          <w:highlight w:val="none"/>
          <w:shd w:val="clear" w:color="auto" w:fill="auto"/>
          <w:lang w:val="en-US" w:eastAsia="zh-CN"/>
        </w:rPr>
        <w:t>述违约金、罚款，</w:t>
      </w:r>
      <w:r>
        <w:rPr>
          <w:rFonts w:hint="eastAsia" w:ascii="仿宋" w:hAnsi="仿宋" w:eastAsia="仿宋" w:cs="仿宋"/>
          <w:b w:val="0"/>
          <w:bCs w:val="0"/>
          <w:i w:val="0"/>
          <w:iCs w:val="0"/>
          <w:color w:val="auto"/>
          <w:sz w:val="28"/>
          <w:szCs w:val="28"/>
          <w:highlight w:val="none"/>
          <w:shd w:val="clear" w:color="auto" w:fill="auto"/>
          <w:lang w:eastAsia="zh-CN"/>
        </w:rPr>
        <w:t>甲方</w:t>
      </w:r>
      <w:r>
        <w:rPr>
          <w:rFonts w:hint="eastAsia" w:ascii="仿宋" w:hAnsi="仿宋" w:eastAsia="仿宋" w:cs="仿宋"/>
          <w:b w:val="0"/>
          <w:bCs w:val="0"/>
          <w:i w:val="0"/>
          <w:iCs w:val="0"/>
          <w:color w:val="auto"/>
          <w:sz w:val="28"/>
          <w:szCs w:val="28"/>
          <w:highlight w:val="none"/>
          <w:shd w:val="clear" w:color="auto" w:fill="auto"/>
          <w:lang w:val="en-US" w:eastAsia="zh-CN"/>
        </w:rPr>
        <w:t>有权自任意应付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款项中</w:t>
      </w:r>
      <w:r>
        <w:rPr>
          <w:rFonts w:hint="eastAsia" w:ascii="仿宋" w:hAnsi="仿宋" w:eastAsia="仿宋" w:cs="仿宋"/>
          <w:b w:val="0"/>
          <w:bCs w:val="0"/>
          <w:i w:val="0"/>
          <w:iCs w:val="0"/>
          <w:color w:val="auto"/>
          <w:sz w:val="28"/>
          <w:szCs w:val="28"/>
          <w:highlight w:val="none"/>
          <w:shd w:val="clear" w:color="auto" w:fill="auto"/>
          <w:lang w:val="en-US" w:eastAsia="zh-CN"/>
        </w:rPr>
        <w:t>直接</w:t>
      </w:r>
      <w:r>
        <w:rPr>
          <w:rFonts w:hint="eastAsia" w:ascii="仿宋" w:hAnsi="仿宋" w:eastAsia="仿宋" w:cs="仿宋"/>
          <w:b w:val="0"/>
          <w:bCs w:val="0"/>
          <w:i w:val="0"/>
          <w:iCs w:val="0"/>
          <w:color w:val="auto"/>
          <w:sz w:val="28"/>
          <w:szCs w:val="28"/>
          <w:highlight w:val="none"/>
          <w:shd w:val="clear" w:color="auto" w:fill="auto"/>
          <w:lang w:eastAsia="zh-CN"/>
        </w:rPr>
        <w:t>扣除，</w:t>
      </w:r>
      <w:r>
        <w:rPr>
          <w:rFonts w:hint="eastAsia" w:ascii="仿宋" w:hAnsi="仿宋" w:eastAsia="仿宋" w:cs="仿宋"/>
          <w:b w:val="0"/>
          <w:bCs w:val="0"/>
          <w:i w:val="0"/>
          <w:iCs w:val="0"/>
          <w:color w:val="auto"/>
          <w:sz w:val="28"/>
          <w:szCs w:val="28"/>
          <w:highlight w:val="none"/>
          <w:shd w:val="clear" w:color="auto" w:fill="auto"/>
          <w:lang w:val="en-US" w:eastAsia="zh-CN"/>
        </w:rPr>
        <w:t>应付</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款</w:t>
      </w:r>
      <w:r>
        <w:rPr>
          <w:rFonts w:hint="eastAsia" w:ascii="仿宋" w:hAnsi="仿宋" w:eastAsia="仿宋" w:cs="仿宋"/>
          <w:b w:val="0"/>
          <w:bCs w:val="0"/>
          <w:i w:val="0"/>
          <w:iCs w:val="0"/>
          <w:color w:val="auto"/>
          <w:sz w:val="28"/>
          <w:szCs w:val="28"/>
          <w:highlight w:val="none"/>
          <w:shd w:val="clear" w:color="auto" w:fill="auto"/>
          <w:lang w:val="en-US" w:eastAsia="zh-CN"/>
        </w:rPr>
        <w:t>项</w:t>
      </w:r>
      <w:r>
        <w:rPr>
          <w:rFonts w:hint="eastAsia" w:ascii="仿宋" w:hAnsi="仿宋" w:eastAsia="仿宋" w:cs="仿宋"/>
          <w:b w:val="0"/>
          <w:bCs w:val="0"/>
          <w:i w:val="0"/>
          <w:iCs w:val="0"/>
          <w:color w:val="auto"/>
          <w:sz w:val="28"/>
          <w:szCs w:val="28"/>
          <w:highlight w:val="none"/>
          <w:shd w:val="clear" w:color="auto" w:fill="auto"/>
          <w:lang w:eastAsia="zh-CN"/>
        </w:rPr>
        <w:t>不足以赔偿甲方损失的，由乙方在甲方通知</w:t>
      </w:r>
      <w:r>
        <w:rPr>
          <w:rFonts w:hint="eastAsia" w:ascii="仿宋" w:hAnsi="仿宋" w:eastAsia="仿宋" w:cs="仿宋"/>
          <w:b w:val="0"/>
          <w:bCs w:val="0"/>
          <w:i w:val="0"/>
          <w:iCs w:val="0"/>
          <w:color w:val="auto"/>
          <w:sz w:val="28"/>
          <w:szCs w:val="28"/>
          <w:highlight w:val="none"/>
          <w:shd w:val="clear" w:color="auto" w:fill="auto"/>
          <w:lang w:val="en-US" w:eastAsia="zh-CN"/>
        </w:rPr>
        <w:t>起</w:t>
      </w:r>
      <w:r>
        <w:rPr>
          <w:rFonts w:hint="eastAsia" w:ascii="仿宋" w:hAnsi="仿宋" w:eastAsia="仿宋" w:cs="仿宋"/>
          <w:b w:val="0"/>
          <w:bCs w:val="0"/>
          <w:i w:val="0"/>
          <w:iCs w:val="0"/>
          <w:color w:val="auto"/>
          <w:sz w:val="28"/>
          <w:szCs w:val="28"/>
          <w:highlight w:val="none"/>
          <w:shd w:val="clear" w:color="auto" w:fill="auto"/>
          <w:lang w:eastAsia="zh-CN"/>
        </w:rPr>
        <w:t>5个日历天内向甲方</w:t>
      </w:r>
      <w:r>
        <w:rPr>
          <w:rFonts w:hint="eastAsia" w:ascii="仿宋" w:hAnsi="仿宋" w:eastAsia="仿宋" w:cs="仿宋"/>
          <w:b w:val="0"/>
          <w:bCs w:val="0"/>
          <w:i w:val="0"/>
          <w:iCs w:val="0"/>
          <w:color w:val="auto"/>
          <w:sz w:val="28"/>
          <w:szCs w:val="28"/>
          <w:highlight w:val="none"/>
          <w:shd w:val="clear" w:color="auto" w:fill="auto"/>
          <w:lang w:val="en-US" w:eastAsia="zh-CN"/>
        </w:rPr>
        <w:t>付清差额</w:t>
      </w:r>
      <w:r>
        <w:rPr>
          <w:rFonts w:hint="eastAsia" w:ascii="仿宋" w:hAnsi="仿宋" w:eastAsia="仿宋" w:cs="仿宋"/>
          <w:b w:val="0"/>
          <w:bCs w:val="0"/>
          <w:i w:val="0"/>
          <w:iCs w:val="0"/>
          <w:color w:val="auto"/>
          <w:sz w:val="28"/>
          <w:szCs w:val="28"/>
          <w:highlight w:val="none"/>
          <w:shd w:val="clear" w:color="auto" w:fill="auto"/>
          <w:lang w:eastAsia="zh-CN"/>
        </w:rPr>
        <w:t>。</w:t>
      </w:r>
    </w:p>
    <w:p w14:paraId="6235F308">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16乙方同意：</w:t>
      </w:r>
      <w:r>
        <w:rPr>
          <w:rFonts w:hint="eastAsia" w:ascii="仿宋" w:hAnsi="仿宋" w:eastAsia="仿宋" w:cs="仿宋"/>
          <w:b w:val="0"/>
          <w:bCs w:val="0"/>
          <w:i w:val="0"/>
          <w:iCs w:val="0"/>
          <w:color w:val="auto"/>
          <w:sz w:val="28"/>
          <w:szCs w:val="28"/>
          <w:highlight w:val="none"/>
          <w:shd w:val="clear" w:color="auto" w:fill="auto"/>
          <w:lang w:eastAsia="zh-CN"/>
        </w:rPr>
        <w:t>本项目如出现可能因乙方原因导致的施工材料不合格或工程质量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，甲方有权按自行估算的最大损失金额在</w:t>
      </w:r>
      <w:r>
        <w:rPr>
          <w:rFonts w:hint="eastAsia" w:ascii="仿宋" w:hAnsi="仿宋" w:eastAsia="仿宋" w:cs="仿宋"/>
          <w:b w:val="0"/>
          <w:bCs w:val="0"/>
          <w:i w:val="0"/>
          <w:iCs w:val="0"/>
          <w:color w:val="auto"/>
          <w:sz w:val="28"/>
          <w:szCs w:val="28"/>
          <w:highlight w:val="none"/>
          <w:shd w:val="clear" w:color="auto" w:fill="auto"/>
          <w:lang w:val="en-US" w:eastAsia="zh-CN"/>
        </w:rPr>
        <w:t>甲乙双方签订的</w:t>
      </w:r>
      <w:r>
        <w:rPr>
          <w:rFonts w:hint="eastAsia" w:ascii="仿宋" w:hAnsi="仿宋" w:eastAsia="仿宋" w:cs="仿宋"/>
          <w:b w:val="0"/>
          <w:bCs w:val="0"/>
          <w:i w:val="0"/>
          <w:iCs w:val="0"/>
          <w:color w:val="auto"/>
          <w:sz w:val="28"/>
          <w:szCs w:val="28"/>
          <w:highlight w:val="none"/>
          <w:shd w:val="clear" w:color="auto" w:fill="auto"/>
          <w:lang w:eastAsia="zh-CN"/>
        </w:rPr>
        <w:t>任</w:t>
      </w:r>
      <w:r>
        <w:rPr>
          <w:rFonts w:hint="eastAsia" w:ascii="仿宋" w:hAnsi="仿宋" w:eastAsia="仿宋" w:cs="仿宋"/>
          <w:b w:val="0"/>
          <w:bCs w:val="0"/>
          <w:i w:val="0"/>
          <w:iCs w:val="0"/>
          <w:color w:val="auto"/>
          <w:sz w:val="28"/>
          <w:szCs w:val="28"/>
          <w:highlight w:val="none"/>
          <w:shd w:val="clear" w:color="auto" w:fill="auto"/>
          <w:lang w:val="en-US" w:eastAsia="zh-CN"/>
        </w:rPr>
        <w:t>意</w:t>
      </w:r>
      <w:r>
        <w:rPr>
          <w:rFonts w:hint="eastAsia" w:ascii="仿宋" w:hAnsi="仿宋" w:eastAsia="仿宋" w:cs="仿宋"/>
          <w:b w:val="0"/>
          <w:bCs w:val="0"/>
          <w:i w:val="0"/>
          <w:iCs w:val="0"/>
          <w:color w:val="auto"/>
          <w:sz w:val="28"/>
          <w:szCs w:val="28"/>
          <w:highlight w:val="none"/>
          <w:shd w:val="clear" w:color="auto" w:fill="auto"/>
          <w:lang w:eastAsia="zh-CN"/>
        </w:rPr>
        <w:t>合同应付款项中暂扣，待责任及损失金额确定后，甲方无息返还非乙方责任的暂扣金额。</w:t>
      </w:r>
    </w:p>
    <w:p w14:paraId="42A91D0D">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17</w:t>
      </w:r>
      <w:r>
        <w:rPr>
          <w:rFonts w:hint="eastAsia" w:ascii="仿宋" w:hAnsi="仿宋" w:eastAsia="仿宋" w:cs="仿宋"/>
          <w:b w:val="0"/>
          <w:bCs w:val="0"/>
          <w:i w:val="0"/>
          <w:iCs w:val="0"/>
          <w:color w:val="auto"/>
          <w:sz w:val="28"/>
          <w:szCs w:val="28"/>
          <w:highlight w:val="none"/>
          <w:shd w:val="clear" w:color="auto" w:fill="auto"/>
          <w:lang w:eastAsia="zh-CN"/>
        </w:rPr>
        <w:t>乙方须对甲供材料进行质量检查，发现有质量问题或异常的材料，必须立即书面（包括但不限于微信、短信等方式）报告甲方</w:t>
      </w:r>
      <w:r>
        <w:rPr>
          <w:rFonts w:hint="eastAsia" w:ascii="仿宋" w:hAnsi="仿宋" w:eastAsia="仿宋" w:cs="仿宋"/>
          <w:b w:val="0"/>
          <w:bCs w:val="0"/>
          <w:i w:val="0"/>
          <w:iCs w:val="0"/>
          <w:color w:val="auto"/>
          <w:sz w:val="28"/>
          <w:szCs w:val="28"/>
          <w:highlight w:val="none"/>
          <w:shd w:val="clear" w:color="auto" w:fill="auto"/>
          <w:lang w:val="en-US" w:eastAsia="zh-CN"/>
        </w:rPr>
        <w:t>施工员和项目经理</w:t>
      </w:r>
      <w:r>
        <w:rPr>
          <w:rFonts w:hint="eastAsia" w:ascii="仿宋" w:hAnsi="仿宋" w:eastAsia="仿宋" w:cs="仿宋"/>
          <w:b w:val="0"/>
          <w:bCs w:val="0"/>
          <w:i w:val="0"/>
          <w:iCs w:val="0"/>
          <w:color w:val="auto"/>
          <w:sz w:val="28"/>
          <w:szCs w:val="28"/>
          <w:highlight w:val="none"/>
          <w:shd w:val="clear" w:color="auto" w:fill="auto"/>
          <w:lang w:eastAsia="zh-CN"/>
        </w:rPr>
        <w:t>，否则如乙方施工部分的甲供材料出现质量</w:t>
      </w:r>
      <w:r>
        <w:rPr>
          <w:rFonts w:hint="eastAsia" w:ascii="仿宋" w:hAnsi="仿宋" w:eastAsia="仿宋" w:cs="仿宋"/>
          <w:b w:val="0"/>
          <w:bCs w:val="0"/>
          <w:i w:val="0"/>
          <w:iCs w:val="0"/>
          <w:color w:val="auto"/>
          <w:sz w:val="28"/>
          <w:szCs w:val="28"/>
          <w:highlight w:val="none"/>
          <w:shd w:val="clear" w:color="auto" w:fill="auto"/>
          <w:lang w:val="en-US" w:eastAsia="zh-CN"/>
        </w:rPr>
        <w:t>不合格</w:t>
      </w:r>
      <w:r>
        <w:rPr>
          <w:rFonts w:hint="eastAsia" w:ascii="仿宋" w:hAnsi="仿宋" w:eastAsia="仿宋" w:cs="仿宋"/>
          <w:b w:val="0"/>
          <w:bCs w:val="0"/>
          <w:i w:val="0"/>
          <w:iCs w:val="0"/>
          <w:color w:val="auto"/>
          <w:sz w:val="28"/>
          <w:szCs w:val="28"/>
          <w:highlight w:val="none"/>
          <w:shd w:val="clear" w:color="auto" w:fill="auto"/>
          <w:lang w:eastAsia="zh-CN"/>
        </w:rPr>
        <w:t>，甲方有权扣除乙方在该施工部分的费用，如造成甲方损失，乙方须承担责任和损失。</w:t>
      </w:r>
    </w:p>
    <w:p w14:paraId="785CFCDB">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8</w:t>
      </w:r>
      <w:r>
        <w:rPr>
          <w:rFonts w:hint="eastAsia" w:ascii="仿宋" w:hAnsi="仿宋" w:eastAsia="仿宋" w:cs="仿宋"/>
          <w:b w:val="0"/>
          <w:bCs w:val="0"/>
          <w:i w:val="0"/>
          <w:iCs w:val="0"/>
          <w:color w:val="auto"/>
          <w:sz w:val="28"/>
          <w:szCs w:val="28"/>
          <w:highlight w:val="none"/>
          <w:shd w:val="clear" w:color="auto" w:fill="auto"/>
          <w:lang w:eastAsia="zh-CN"/>
        </w:rPr>
        <w:t>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w:t>
      </w:r>
      <w:r>
        <w:rPr>
          <w:rFonts w:hint="eastAsia" w:ascii="仿宋" w:hAnsi="仿宋" w:eastAsia="仿宋" w:cs="仿宋"/>
          <w:b w:val="0"/>
          <w:bCs w:val="0"/>
          <w:i w:val="0"/>
          <w:iCs w:val="0"/>
          <w:color w:val="auto"/>
          <w:sz w:val="28"/>
          <w:szCs w:val="28"/>
          <w:highlight w:val="none"/>
          <w:shd w:val="clear" w:color="auto" w:fill="auto"/>
          <w:lang w:val="en-US" w:eastAsia="zh-CN"/>
        </w:rPr>
        <w:t>及本工程</w:t>
      </w:r>
      <w:r>
        <w:rPr>
          <w:rFonts w:hint="eastAsia" w:ascii="仿宋" w:hAnsi="仿宋" w:eastAsia="仿宋" w:cs="仿宋"/>
          <w:b w:val="0"/>
          <w:bCs w:val="0"/>
          <w:i w:val="0"/>
          <w:iCs w:val="0"/>
          <w:color w:val="auto"/>
          <w:sz w:val="28"/>
          <w:szCs w:val="28"/>
          <w:highlight w:val="none"/>
          <w:shd w:val="clear" w:color="auto" w:fill="auto"/>
          <w:lang w:eastAsia="zh-CN"/>
        </w:rPr>
        <w:t>的特殊性，乙方已充分了解其施工责任并自愿承担相应风险，合同约定的违约金标准</w:t>
      </w:r>
      <w:r>
        <w:rPr>
          <w:rFonts w:hint="eastAsia" w:ascii="仿宋" w:hAnsi="仿宋" w:eastAsia="仿宋" w:cs="仿宋"/>
          <w:b w:val="0"/>
          <w:bCs w:val="0"/>
          <w:i w:val="0"/>
          <w:iCs w:val="0"/>
          <w:color w:val="auto"/>
          <w:sz w:val="28"/>
          <w:szCs w:val="28"/>
          <w:highlight w:val="none"/>
          <w:shd w:val="clear" w:color="auto" w:fill="auto"/>
          <w:lang w:val="en-US" w:eastAsia="zh-CN"/>
        </w:rPr>
        <w:t>系</w:t>
      </w:r>
      <w:r>
        <w:rPr>
          <w:rFonts w:hint="eastAsia" w:ascii="仿宋" w:hAnsi="仿宋" w:eastAsia="仿宋" w:cs="仿宋"/>
          <w:b w:val="0"/>
          <w:bCs w:val="0"/>
          <w:i w:val="0"/>
          <w:iCs w:val="0"/>
          <w:color w:val="auto"/>
          <w:sz w:val="28"/>
          <w:szCs w:val="28"/>
          <w:highlight w:val="none"/>
          <w:shd w:val="clear" w:color="auto" w:fill="auto"/>
          <w:lang w:eastAsia="zh-CN"/>
        </w:rPr>
        <w:t>经双方友好协商确定，乙方同意不对违约金标准提出任何主张或抗辩。</w:t>
      </w:r>
    </w:p>
    <w:p w14:paraId="7E33B5E4">
      <w:pPr>
        <w:pStyle w:val="3"/>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14.19乙方必须按本合同施工图纸及甲方签发的《施工交楼标准》准确预留、预埋或开凿槽施工【包括但不限于：楼地面、屋面找平层、墙体、柱子天棚抹灰等施工前完成（甲方另行签证除外）】。禁止乙方在泥水找平或抹灰工程完成后再开凿槽、开洞，禁止乙方进行影响工程质量及观感的工作或行为。因乙方原因造成上述情况发生的，属乙方违约，找平层、抹灰层、面层等工程恢复由甲方指定专业泥水分包单位完成，并由乙方承担因此产生的全部费用（包含但不限于工期延误、材料、劳务等费用）。同时乙方就此违约行为按本合同（暂定）总价的30%向甲方支付违约金，</w:t>
      </w:r>
      <w:r>
        <w:rPr>
          <w:rFonts w:hint="eastAsia" w:ascii="仿宋" w:hAnsi="仿宋" w:eastAsia="仿宋" w:cs="仿宋"/>
          <w:b w:val="0"/>
          <w:bCs w:val="0"/>
          <w:i w:val="0"/>
          <w:iCs w:val="0"/>
          <w:color w:val="auto"/>
          <w:kern w:val="2"/>
          <w:sz w:val="28"/>
          <w:szCs w:val="28"/>
          <w:highlight w:val="none"/>
          <w:shd w:val="clear" w:color="auto" w:fill="auto"/>
          <w:lang w:val="en-US" w:eastAsia="zh-CN" w:bidi="ar-SA"/>
        </w:rPr>
        <w:t>并按1000元/处向甲方承担违约金，相应工程恢复费用、违约金及处罚款，甲方有权在与乙方的任一合同的工程款中直接扣除。</w:t>
      </w:r>
    </w:p>
    <w:p w14:paraId="6321F90B">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201" w:name="_Toc32060"/>
      <w:bookmarkStart w:id="202" w:name="_Toc18651"/>
      <w:bookmarkStart w:id="203" w:name="_Toc14983"/>
      <w:bookmarkStart w:id="204" w:name="_Toc16038"/>
      <w:bookmarkStart w:id="205" w:name="_Toc31618"/>
      <w:bookmarkStart w:id="206" w:name="_Toc31952"/>
      <w:bookmarkStart w:id="207" w:name="_Toc9673"/>
      <w:r>
        <w:rPr>
          <w:rFonts w:hint="eastAsia" w:ascii="仿宋" w:hAnsi="仿宋" w:eastAsia="仿宋" w:cs="仿宋"/>
          <w:b/>
          <w:bCs/>
          <w:i w:val="0"/>
          <w:iCs w:val="0"/>
          <w:color w:val="auto"/>
          <w:sz w:val="28"/>
          <w:szCs w:val="28"/>
          <w:highlight w:val="none"/>
          <w:shd w:val="clear" w:color="auto" w:fill="auto"/>
          <w:lang w:val="en-US" w:eastAsia="zh-CN"/>
        </w:rPr>
        <w:t>廉洁条款</w:t>
      </w:r>
      <w:bookmarkEnd w:id="198"/>
      <w:bookmarkEnd w:id="199"/>
      <w:bookmarkEnd w:id="200"/>
      <w:bookmarkEnd w:id="201"/>
      <w:bookmarkEnd w:id="202"/>
      <w:bookmarkEnd w:id="203"/>
      <w:bookmarkEnd w:id="204"/>
      <w:bookmarkEnd w:id="205"/>
      <w:bookmarkEnd w:id="206"/>
      <w:bookmarkEnd w:id="207"/>
    </w:p>
    <w:p w14:paraId="4E163609">
      <w:pPr>
        <w:keepNext w:val="0"/>
        <w:keepLines w:val="0"/>
        <w:pageBreakBefore w:val="0"/>
        <w:widowControl w:val="0"/>
        <w:numPr>
          <w:ilvl w:val="0"/>
          <w:numId w:val="0"/>
        </w:numPr>
        <w:kinsoku/>
        <w:wordWrap/>
        <w:overflowPunct/>
        <w:topLinePunct w:val="0"/>
        <w:autoSpaceDE/>
        <w:autoSpaceDN/>
        <w:bidi w:val="0"/>
        <w:adjustRightInd w:val="0"/>
        <w:snapToGrid w:val="0"/>
        <w:spacing w:before="146" w:beforeLines="50"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208" w:name="_Toc14146"/>
      <w:bookmarkStart w:id="209" w:name="_Toc12114"/>
      <w:r>
        <w:rPr>
          <w:rFonts w:hint="eastAsia" w:ascii="仿宋" w:hAnsi="仿宋" w:eastAsia="仿宋" w:cs="仿宋"/>
          <w:i w:val="0"/>
          <w:iCs w:val="0"/>
          <w:color w:val="auto"/>
          <w:sz w:val="28"/>
          <w:szCs w:val="28"/>
          <w:highlight w:val="none"/>
          <w:u w:val="none"/>
          <w:shd w:val="clear" w:color="auto" w:fill="auto"/>
          <w:lang w:val="en-US" w:eastAsia="zh-CN"/>
        </w:rPr>
        <w:t>15.1乙方在与甲方合作期间（包括本合同招标、签订、履行期间），不得向甲方职员提供请吃、送礼、旅游、色情服务、行贿、回扣或其他好处，如有违反，乙方每次向甲方承担金额等于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i w:val="0"/>
          <w:iCs w:val="0"/>
          <w:color w:val="auto"/>
          <w:sz w:val="28"/>
          <w:szCs w:val="28"/>
          <w:highlight w:val="none"/>
          <w:u w:val="none"/>
          <w:shd w:val="clear" w:color="auto" w:fill="auto"/>
          <w:lang w:val="en-US" w:eastAsia="zh-CN"/>
        </w:rPr>
        <w:t>合同暂定总价/</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i w:val="0"/>
          <w:iCs w:val="0"/>
          <w:color w:val="auto"/>
          <w:sz w:val="28"/>
          <w:szCs w:val="28"/>
          <w:highlight w:val="none"/>
          <w:u w:val="none"/>
          <w:shd w:val="clear" w:color="auto" w:fill="auto"/>
          <w:lang w:val="en-US" w:eastAsia="zh-CN"/>
        </w:rPr>
        <w:t>合同总价10％的违约金（甲方可从任意合同款中扣款），造成甲方经济或其他损失的，乙方全额赔偿甲方。</w:t>
      </w:r>
      <w:bookmarkEnd w:id="208"/>
      <w:bookmarkEnd w:id="209"/>
    </w:p>
    <w:p w14:paraId="42F13B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210" w:name="_Toc30756"/>
      <w:bookmarkStart w:id="211" w:name="_Toc11561"/>
      <w:r>
        <w:rPr>
          <w:rFonts w:hint="eastAsia" w:ascii="仿宋" w:hAnsi="仿宋" w:eastAsia="仿宋" w:cs="仿宋"/>
          <w:i w:val="0"/>
          <w:iCs w:val="0"/>
          <w:color w:val="auto"/>
          <w:sz w:val="28"/>
          <w:szCs w:val="28"/>
          <w:highlight w:val="none"/>
          <w:u w:val="none"/>
          <w:shd w:val="clear" w:color="auto" w:fill="auto"/>
          <w:lang w:val="en-US" w:eastAsia="zh-CN"/>
        </w:rPr>
        <w:t>15.2甲乙双方管理人员有权拒绝执行合同以外的违法要求。甲方发现乙方向甲方人员或甲方委托的其他人员行贿或输送不正当利益的，甲方有权对乙方进行处罚并单方解除合同，对所发生的工程量/工作量不结算及不支付费用。</w:t>
      </w:r>
      <w:bookmarkEnd w:id="210"/>
      <w:bookmarkEnd w:id="211"/>
      <w:r>
        <w:rPr>
          <w:rFonts w:hint="eastAsia" w:ascii="仿宋" w:hAnsi="仿宋" w:eastAsia="仿宋" w:cs="仿宋"/>
          <w:i w:val="0"/>
          <w:iCs w:val="0"/>
          <w:color w:val="auto"/>
          <w:sz w:val="28"/>
          <w:szCs w:val="28"/>
          <w:highlight w:val="none"/>
          <w:u w:val="none"/>
          <w:shd w:val="clear" w:color="auto" w:fill="auto"/>
          <w:lang w:val="en-US" w:eastAsia="zh-CN"/>
        </w:rPr>
        <w:t xml:space="preserve">  </w:t>
      </w:r>
    </w:p>
    <w:p w14:paraId="3AE317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1"/>
        <w:rPr>
          <w:rFonts w:hint="eastAsia" w:ascii="仿宋" w:hAnsi="仿宋" w:eastAsia="仿宋" w:cs="仿宋"/>
          <w:i w:val="0"/>
          <w:iCs w:val="0"/>
          <w:color w:val="auto"/>
          <w:sz w:val="28"/>
          <w:szCs w:val="28"/>
          <w:highlight w:val="none"/>
          <w:u w:val="none"/>
          <w:shd w:val="clear" w:color="auto" w:fill="auto"/>
          <w:lang w:val="en-US" w:eastAsia="zh-CN"/>
        </w:rPr>
      </w:pPr>
      <w:bookmarkStart w:id="212" w:name="_Toc9166"/>
      <w:bookmarkStart w:id="213" w:name="_Toc19332"/>
      <w:r>
        <w:rPr>
          <w:rFonts w:hint="eastAsia" w:ascii="仿宋" w:hAnsi="仿宋" w:eastAsia="仿宋" w:cs="仿宋"/>
          <w:i w:val="0"/>
          <w:iCs w:val="0"/>
          <w:color w:val="auto"/>
          <w:sz w:val="28"/>
          <w:szCs w:val="28"/>
          <w:highlight w:val="none"/>
          <w:u w:val="none"/>
          <w:shd w:val="clear" w:color="auto" w:fill="auto"/>
          <w:lang w:val="en-US" w:eastAsia="zh-CN"/>
        </w:rPr>
        <w:t>15.3 如甲方发现乙方可能存在违反廉洁条款的行为时，甲方有权暂扣违约金/争议工程款/处罚款等对应等额的合同款，直至调查完毕后根据调查结果再作处理，甲方暂不付款的行为不违约。</w:t>
      </w:r>
      <w:bookmarkEnd w:id="212"/>
      <w:bookmarkEnd w:id="213"/>
    </w:p>
    <w:p w14:paraId="1CA508AC">
      <w:pPr>
        <w:keepNext w:val="0"/>
        <w:keepLines w:val="0"/>
        <w:pageBreakBefore w:val="0"/>
        <w:widowControl w:val="0"/>
        <w:numPr>
          <w:ilvl w:val="0"/>
          <w:numId w:val="4"/>
        </w:numPr>
        <w:kinsoku/>
        <w:wordWrap/>
        <w:overflowPunct/>
        <w:topLinePunct w:val="0"/>
        <w:autoSpaceDE/>
        <w:autoSpaceDN/>
        <w:bidi w:val="0"/>
        <w:adjustRightInd w:val="0"/>
        <w:snapToGrid w:val="0"/>
        <w:spacing w:before="146" w:beforeLines="50" w:line="360" w:lineRule="auto"/>
        <w:ind w:right="0" w:rightChars="0" w:firstLine="562" w:firstLineChars="200"/>
        <w:jc w:val="both"/>
        <w:textAlignment w:val="auto"/>
        <w:outlineLvl w:val="1"/>
        <w:rPr>
          <w:rFonts w:hint="eastAsia" w:ascii="仿宋" w:hAnsi="仿宋" w:eastAsia="仿宋" w:cs="仿宋"/>
          <w:b/>
          <w:bCs/>
          <w:i w:val="0"/>
          <w:iCs w:val="0"/>
          <w:color w:val="auto"/>
          <w:sz w:val="28"/>
          <w:szCs w:val="28"/>
          <w:highlight w:val="none"/>
          <w:shd w:val="clear" w:color="auto" w:fill="auto"/>
          <w:lang w:val="en-US" w:eastAsia="zh-CN"/>
        </w:rPr>
      </w:pPr>
      <w:bookmarkStart w:id="214" w:name="_Toc15809"/>
      <w:bookmarkStart w:id="215" w:name="_Toc15891"/>
      <w:bookmarkStart w:id="216" w:name="_Toc10466"/>
      <w:bookmarkStart w:id="217" w:name="_Toc25677"/>
      <w:r>
        <w:rPr>
          <w:rFonts w:hint="eastAsia" w:ascii="仿宋" w:hAnsi="仿宋" w:eastAsia="仿宋" w:cs="仿宋"/>
          <w:b/>
          <w:bCs/>
          <w:i w:val="0"/>
          <w:iCs w:val="0"/>
          <w:color w:val="auto"/>
          <w:sz w:val="28"/>
          <w:szCs w:val="28"/>
          <w:highlight w:val="none"/>
          <w:shd w:val="clear" w:color="auto" w:fill="auto"/>
          <w:lang w:val="en-US" w:eastAsia="zh-CN"/>
        </w:rPr>
        <w:t>其他</w:t>
      </w:r>
      <w:bookmarkEnd w:id="214"/>
      <w:bookmarkEnd w:id="215"/>
      <w:bookmarkEnd w:id="216"/>
      <w:r>
        <w:rPr>
          <w:rFonts w:hint="eastAsia" w:ascii="仿宋" w:hAnsi="仿宋" w:eastAsia="仿宋" w:cs="仿宋"/>
          <w:b/>
          <w:bCs/>
          <w:i w:val="0"/>
          <w:iCs w:val="0"/>
          <w:color w:val="auto"/>
          <w:sz w:val="28"/>
          <w:szCs w:val="28"/>
          <w:highlight w:val="none"/>
          <w:shd w:val="clear" w:color="auto" w:fill="auto"/>
          <w:lang w:val="en-US" w:eastAsia="zh-CN"/>
        </w:rPr>
        <w:t xml:space="preserve"> </w:t>
      </w:r>
      <w:bookmarkEnd w:id="217"/>
    </w:p>
    <w:p w14:paraId="2460CBC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16.1甲乙双方确认，甲方项目章仅供甲方项目部与乙方联系工作和确认施工技术、资料之用。乙方知悉并同意，该项目章用于以下情形时无效：</w:t>
      </w:r>
    </w:p>
    <w:p w14:paraId="34AEC24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①签订工程合同或工程分包合同及机械设备、周材租赁及材料采购类等合同；</w:t>
      </w:r>
    </w:p>
    <w:p w14:paraId="1DFFD16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②任何类型的欠条或收据；</w:t>
      </w:r>
    </w:p>
    <w:p w14:paraId="688EA5A1">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③任何形式的经济结算凭证；</w:t>
      </w:r>
    </w:p>
    <w:p w14:paraId="25B7816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④为他人或其他单位提供任何形式的担保；</w:t>
      </w:r>
    </w:p>
    <w:p w14:paraId="723EE07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⑤确认任何形式的包含权利义务及责任承担的文件。</w:t>
      </w:r>
    </w:p>
    <w:p w14:paraId="7B25C45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16.2甲方编制的《施工交楼标准》《常见建筑工程质量通病的标准化施工细则》《隐蔽工程管理制度》《分包单位施工现场签证管理制度》《工程类单价认质认价管理制度》《分包单位材料管理制度》《竣工图管理制度》等甲方现行制度、规定为本合同不可分割的组成部分，与合同正文具有同等效力，乙方须照章执行。</w:t>
      </w:r>
    </w:p>
    <w:p w14:paraId="52AB400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16.3本合同执行期间，甲方制度文件及合同附件表格格式如有更新，按甲方最新版要求执行，甲方拥有最终解释权。</w:t>
      </w:r>
    </w:p>
    <w:p w14:paraId="3D035A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16.4本合同除《工完场清交接单》《甲方项目章样式》《签证单分包说明》《施工图纸》外，其余合同附件在办理相关手续时，乙方须加盖公章且法人代表签字。</w:t>
      </w:r>
      <w:bookmarkStart w:id="218" w:name="_Toc10994"/>
      <w:bookmarkStart w:id="219" w:name="_Toc10212"/>
    </w:p>
    <w:p w14:paraId="69279F1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16.5本合同条款互为矛盾的，按最有利于甲方的条款执行。</w:t>
      </w:r>
      <w:bookmarkEnd w:id="218"/>
      <w:bookmarkEnd w:id="219"/>
    </w:p>
    <w:p w14:paraId="27D921F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16.6本合同未尽事宜，甲乙双方协商一致后签订补充协议进行明确。补充协议与本合同具有同等法律效力。</w:t>
      </w:r>
    </w:p>
    <w:p w14:paraId="24D4107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16.7与本合同相关的争议，甲乙双方应首先友好协商解决，协商不成则由任一方提交甲方所在地的人民法院诉讼处理。甲乙双方因履行本合同的往来文件及法院送达的文书以合同签章处所列地址为有效地址，以邮寄方式送达的，通过邮政特快专递寄出第三日视为送达。</w:t>
      </w:r>
    </w:p>
    <w:p w14:paraId="32FDD00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16.8乙方违反本合同约定给甲方造成损失的，除按本合同约定承担违约责任外，甲方有权直接从应付</w:t>
      </w:r>
      <w:r>
        <w:rPr>
          <w:rFonts w:hint="eastAsia" w:ascii="仿宋" w:hAnsi="仿宋" w:eastAsia="仿宋" w:cs="仿宋"/>
          <w:i w:val="0"/>
          <w:iCs w:val="0"/>
          <w:color w:val="auto"/>
          <w:sz w:val="28"/>
          <w:szCs w:val="28"/>
          <w:highlight w:val="none"/>
          <w:u w:val="none"/>
          <w:shd w:val="clear" w:color="auto" w:fill="auto"/>
          <w:lang w:val="en-US" w:eastAsia="zh-CN"/>
        </w:rPr>
        <w:t>给乙方的</w:t>
      </w:r>
      <w:r>
        <w:rPr>
          <w:rFonts w:hint="eastAsia" w:ascii="仿宋" w:hAnsi="仿宋" w:eastAsia="仿宋" w:cs="仿宋"/>
          <w:b w:val="0"/>
          <w:bCs w:val="0"/>
          <w:i w:val="0"/>
          <w:iCs w:val="0"/>
          <w:color w:val="auto"/>
          <w:sz w:val="28"/>
          <w:szCs w:val="28"/>
          <w:highlight w:val="none"/>
          <w:shd w:val="clear" w:color="auto" w:fill="auto"/>
          <w:lang w:val="en-US" w:eastAsia="zh-CN"/>
        </w:rPr>
        <w:t>合同款中直接扣除乙方应承担的违约金、罚款等费用，如所扣款额不足补偿甲方损失，乙方在甲方通知之日起七个日历天内补齐差额给甲方，且甲方向乙方追偿责任所产生的律师费、诉讼费、鉴定费、财产保全及相关担保费等费用由乙方全额承担。</w:t>
      </w:r>
    </w:p>
    <w:p w14:paraId="1BFD16D3">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16.9本合同正文为清洁打印文本，如双方对此合同有任何修改及补充均应另行签订补充协议。合同正文中任何非打印的文字或者图形，除非经双方确认同意，否则不产生约束力。</w:t>
      </w:r>
    </w:p>
    <w:p w14:paraId="76010FF5">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16.10甲乙双方均确认已经审阅并理解本合同全部条款，且已经就条款的任何疑问得到满意解释，并确认合同条款为双方本着诚信互利的原则友好协商一致的结果，不属于任何一方的格式条款。</w:t>
      </w:r>
    </w:p>
    <w:p w14:paraId="0B37930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16.11本合同一式三份，甲方执二份，乙方执一份，均具同等效力。</w:t>
      </w:r>
    </w:p>
    <w:p w14:paraId="06169B6E">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16.12以下文件均为合同文件有效组成部分，各文件互相解释，互为说明。当合同文件中出现不一致时，除合同另有约定外，以下排列顺序就是各合同文件的优先解释顺序：</w:t>
      </w:r>
    </w:p>
    <w:p w14:paraId="0785C978">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合同履行过程中，双方法人代表或授权人签字并加盖公章的本合同补充协议；</w:t>
      </w:r>
    </w:p>
    <w:p w14:paraId="0F3F9341">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本合同第一部分，合同专用条款；</w:t>
      </w:r>
    </w:p>
    <w:p w14:paraId="1BD9049B">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本合同第二部分，合同通用条款；</w:t>
      </w:r>
    </w:p>
    <w:p w14:paraId="3F69C974">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经甲方权限领导审批确认的方案及相关设计变更；</w:t>
      </w:r>
    </w:p>
    <w:p w14:paraId="0C4EFA64">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本工程招标文件（含相关答疑、补充通知等）；</w:t>
      </w:r>
    </w:p>
    <w:p w14:paraId="3062A10B">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乙方发出的、经甲方确认的本工程投标文件及相关澄清文件；</w:t>
      </w:r>
    </w:p>
    <w:p w14:paraId="23A2FFB8">
      <w:pPr>
        <w:keepNext w:val="0"/>
        <w:keepLines w:val="0"/>
        <w:pageBreakBefore w:val="0"/>
        <w:widowControl w:val="0"/>
        <w:numPr>
          <w:ilvl w:val="0"/>
          <w:numId w:val="6"/>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本项目所在地现行的法律法规、标准、规范。</w:t>
      </w:r>
    </w:p>
    <w:p w14:paraId="4EA29164">
      <w:pPr>
        <w:keepNext w:val="0"/>
        <w:keepLines w:val="0"/>
        <w:pageBreakBefore w:val="0"/>
        <w:widowControl w:val="0"/>
        <w:numPr>
          <w:ilvl w:val="-1"/>
          <w:numId w:val="0"/>
        </w:numPr>
        <w:shd w:val="clear" w:color="auto" w:fill="auto"/>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16.13本合同自甲乙双方签字并加盖公章（或合同章）之日起生效，在竣工结算完毕、乙方向甲方交付竣工工程后，双方履行完合同义务、责任（保修条款除外）之日，本合同自动终止（保修条款除外）。</w:t>
      </w:r>
    </w:p>
    <w:p w14:paraId="38D785C6">
      <w:pPr>
        <w:pStyle w:val="3"/>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rPr>
          <w:rFonts w:hint="eastAsia" w:ascii="仿宋" w:hAnsi="仿宋" w:eastAsia="仿宋" w:cs="仿宋"/>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u w:val="none"/>
          <w:shd w:val="clear" w:color="auto" w:fill="auto"/>
          <w:lang w:val="en-US" w:eastAsia="zh-CN"/>
        </w:rPr>
        <w:t>【以下无正文】</w:t>
      </w:r>
    </w:p>
    <w:p w14:paraId="3DF36CF9">
      <w:pPr>
        <w:keepNext w:val="0"/>
        <w:keepLines w:val="0"/>
        <w:pageBreakBefore w:val="0"/>
        <w:widowControl w:val="0"/>
        <w:kinsoku/>
        <w:wordWrap/>
        <w:overflowPunct/>
        <w:topLinePunct w:val="0"/>
        <w:autoSpaceDE/>
        <w:autoSpaceDN/>
        <w:bidi w:val="0"/>
        <w:adjustRightInd w:val="0"/>
        <w:snapToGrid w:val="0"/>
        <w:spacing w:line="360" w:lineRule="auto"/>
        <w:ind w:left="-199" w:leftChars="-95" w:right="0" w:rightChars="0" w:firstLine="560" w:firstLineChars="200"/>
        <w:textAlignment w:val="auto"/>
        <w:outlineLvl w:val="0"/>
        <w:rPr>
          <w:rFonts w:hint="eastAsia" w:ascii="仿宋" w:hAnsi="仿宋" w:eastAsia="仿宋" w:cs="仿宋"/>
          <w:color w:val="auto"/>
          <w:sz w:val="28"/>
          <w:szCs w:val="28"/>
          <w:highlight w:val="none"/>
          <w:lang w:val="en-US" w:eastAsia="zh-CN"/>
        </w:rPr>
      </w:pPr>
      <w:bookmarkStart w:id="220" w:name="_Toc22492"/>
      <w:bookmarkStart w:id="221" w:name="_Toc22736"/>
      <w:bookmarkStart w:id="222" w:name="_Toc6457"/>
      <w:bookmarkStart w:id="223" w:name="_Toc936"/>
      <w:bookmarkStart w:id="224" w:name="_Toc1399"/>
      <w:bookmarkStart w:id="225" w:name="_Toc1666"/>
      <w:bookmarkStart w:id="226" w:name="_Toc23233"/>
      <w:bookmarkStart w:id="227" w:name="_Toc14000"/>
      <w:bookmarkStart w:id="228" w:name="_Toc26912"/>
      <w:bookmarkStart w:id="229" w:name="_Toc12795"/>
      <w:bookmarkStart w:id="230" w:name="_Toc31130"/>
      <w:bookmarkStart w:id="231" w:name="_Toc26059"/>
      <w:bookmarkStart w:id="232" w:name="_Toc7014"/>
      <w:bookmarkStart w:id="233" w:name="_Toc10798"/>
      <w:bookmarkStart w:id="234" w:name="_Toc18080"/>
      <w:bookmarkStart w:id="235" w:name="_Toc3404"/>
      <w:bookmarkStart w:id="236" w:name="_Toc77"/>
      <w:bookmarkStart w:id="237" w:name="_Toc13137"/>
      <w:bookmarkStart w:id="238" w:name="_Toc32677"/>
      <w:bookmarkStart w:id="239" w:name="_Toc28577"/>
      <w:bookmarkStart w:id="240" w:name="_Toc7245"/>
      <w:bookmarkStart w:id="241" w:name="_Toc26460"/>
      <w:bookmarkStart w:id="242" w:name="_Toc4369"/>
      <w:bookmarkStart w:id="243" w:name="_Toc27911"/>
      <w:bookmarkStart w:id="244" w:name="_Toc4318"/>
      <w:bookmarkStart w:id="245" w:name="_Toc30985"/>
      <w:bookmarkStart w:id="246" w:name="_Toc7880"/>
      <w:r>
        <w:rPr>
          <w:rFonts w:hint="eastAsia" w:ascii="仿宋" w:hAnsi="仿宋" w:eastAsia="仿宋" w:cs="仿宋"/>
          <w:color w:val="auto"/>
          <w:sz w:val="28"/>
          <w:szCs w:val="28"/>
          <w:highlight w:val="none"/>
          <w:lang w:val="en-US" w:eastAsia="zh-CN"/>
        </w:rPr>
        <w:t>附件：</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6F5F75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47" w:name="_Toc23629"/>
      <w:bookmarkStart w:id="248" w:name="_Toc20897"/>
      <w:bookmarkStart w:id="249" w:name="_Toc18676"/>
      <w:bookmarkStart w:id="250" w:name="_Toc4707"/>
      <w:bookmarkStart w:id="251" w:name="_Toc25846"/>
      <w:bookmarkStart w:id="252" w:name="_Toc11189"/>
      <w:bookmarkStart w:id="253" w:name="_Toc8825"/>
      <w:bookmarkStart w:id="254" w:name="_Toc24379"/>
      <w:bookmarkStart w:id="255" w:name="_Toc27829"/>
      <w:bookmarkStart w:id="256" w:name="_Toc7599"/>
      <w:bookmarkStart w:id="257" w:name="_Toc8154"/>
      <w:bookmarkStart w:id="258" w:name="_Toc22858"/>
      <w:bookmarkStart w:id="259" w:name="_Toc11947"/>
      <w:bookmarkStart w:id="260" w:name="_Toc6254"/>
      <w:bookmarkStart w:id="261" w:name="_Toc6278"/>
      <w:bookmarkStart w:id="262" w:name="_Toc16115"/>
      <w:r>
        <w:rPr>
          <w:rFonts w:hint="eastAsia" w:ascii="仿宋" w:hAnsi="仿宋" w:eastAsia="仿宋" w:cs="仿宋"/>
          <w:i w:val="0"/>
          <w:iCs w:val="0"/>
          <w:color w:val="auto"/>
          <w:sz w:val="28"/>
          <w:szCs w:val="28"/>
          <w:highlight w:val="none"/>
          <w:shd w:val="clear" w:color="auto" w:fill="auto"/>
          <w:lang w:val="en-US" w:eastAsia="zh-CN"/>
        </w:rPr>
        <w:t>附件一《分包单位开工令》格式；</w:t>
      </w:r>
      <w:bookmarkEnd w:id="247"/>
      <w:bookmarkEnd w:id="248"/>
      <w:bookmarkEnd w:id="249"/>
      <w:bookmarkEnd w:id="250"/>
      <w:bookmarkEnd w:id="251"/>
      <w:bookmarkEnd w:id="252"/>
      <w:bookmarkEnd w:id="253"/>
      <w:bookmarkEnd w:id="254"/>
      <w:bookmarkEnd w:id="255"/>
      <w:bookmarkEnd w:id="256"/>
      <w:bookmarkEnd w:id="257"/>
      <w:bookmarkEnd w:id="258"/>
    </w:p>
    <w:p w14:paraId="77D7A7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63" w:name="_Toc29710"/>
      <w:bookmarkStart w:id="264" w:name="_Toc11948"/>
      <w:bookmarkStart w:id="265" w:name="_Toc29237"/>
      <w:bookmarkStart w:id="266" w:name="_Toc17284"/>
      <w:bookmarkStart w:id="267" w:name="_Toc3457"/>
      <w:bookmarkStart w:id="268" w:name="_Toc16598"/>
      <w:bookmarkStart w:id="269" w:name="_Toc32302"/>
      <w:bookmarkStart w:id="270" w:name="_Toc25490"/>
      <w:bookmarkStart w:id="271" w:name="_Toc27191"/>
      <w:bookmarkStart w:id="272" w:name="_Toc6961"/>
      <w:bookmarkStart w:id="273" w:name="_Toc11604"/>
      <w:bookmarkStart w:id="274" w:name="_Toc31644"/>
      <w:bookmarkStart w:id="275" w:name="_Toc27699"/>
      <w:bookmarkStart w:id="276" w:name="_Toc23949"/>
      <w:bookmarkStart w:id="277" w:name="_Toc26373"/>
      <w:bookmarkStart w:id="278" w:name="_Toc27040"/>
      <w:bookmarkStart w:id="279" w:name="_Toc25336"/>
      <w:bookmarkStart w:id="280" w:name="_Toc22678"/>
      <w:bookmarkStart w:id="281" w:name="_Toc4786"/>
      <w:bookmarkStart w:id="282" w:name="_Toc4136"/>
      <w:bookmarkStart w:id="283" w:name="_Toc15971"/>
      <w:bookmarkStart w:id="284" w:name="_Toc12070"/>
      <w:bookmarkStart w:id="285" w:name="_Toc21271"/>
      <w:bookmarkStart w:id="286" w:name="_Toc16643"/>
      <w:bookmarkStart w:id="287" w:name="_Toc29648"/>
      <w:bookmarkStart w:id="288" w:name="_Toc13862"/>
      <w:bookmarkStart w:id="289" w:name="_Toc10650"/>
      <w:bookmarkStart w:id="290" w:name="_Toc6688"/>
      <w:bookmarkStart w:id="291" w:name="_Toc28459"/>
      <w:bookmarkStart w:id="292" w:name="_Toc23329"/>
      <w:r>
        <w:rPr>
          <w:rFonts w:hint="eastAsia" w:ascii="仿宋" w:hAnsi="仿宋" w:eastAsia="仿宋" w:cs="仿宋"/>
          <w:i w:val="0"/>
          <w:iCs w:val="0"/>
          <w:color w:val="auto"/>
          <w:sz w:val="28"/>
          <w:szCs w:val="28"/>
          <w:highlight w:val="none"/>
          <w:shd w:val="clear" w:color="auto" w:fill="auto"/>
          <w:lang w:val="en-US" w:eastAsia="zh-CN"/>
        </w:rPr>
        <w:t>附件二《分包签证确认单》</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Pr>
          <w:rFonts w:hint="eastAsia" w:ascii="仿宋" w:hAnsi="仿宋" w:eastAsia="仿宋" w:cs="仿宋"/>
          <w:i w:val="0"/>
          <w:iCs w:val="0"/>
          <w:color w:val="auto"/>
          <w:sz w:val="28"/>
          <w:szCs w:val="28"/>
          <w:highlight w:val="none"/>
          <w:shd w:val="clear" w:color="auto" w:fill="auto"/>
          <w:lang w:val="en-US" w:eastAsia="zh-CN"/>
        </w:rPr>
        <w:t>格式；</w:t>
      </w:r>
      <w:bookmarkEnd w:id="283"/>
      <w:bookmarkEnd w:id="284"/>
      <w:bookmarkEnd w:id="285"/>
      <w:bookmarkEnd w:id="286"/>
      <w:bookmarkEnd w:id="287"/>
      <w:bookmarkEnd w:id="288"/>
      <w:bookmarkEnd w:id="289"/>
      <w:bookmarkEnd w:id="290"/>
      <w:bookmarkEnd w:id="291"/>
      <w:bookmarkEnd w:id="292"/>
    </w:p>
    <w:p w14:paraId="6C0799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93" w:name="_Toc21727"/>
      <w:bookmarkStart w:id="294" w:name="_Toc27842"/>
      <w:bookmarkStart w:id="295" w:name="_Toc19825"/>
      <w:bookmarkStart w:id="296" w:name="_Toc9220"/>
      <w:bookmarkStart w:id="297" w:name="_Toc21366"/>
      <w:bookmarkStart w:id="298" w:name="_Toc30478"/>
      <w:bookmarkStart w:id="299" w:name="_Toc19406"/>
      <w:bookmarkStart w:id="300" w:name="_Toc26221"/>
      <w:bookmarkStart w:id="301" w:name="_Toc4256"/>
      <w:bookmarkStart w:id="302" w:name="_Toc19810"/>
      <w:bookmarkStart w:id="303" w:name="_Toc14339"/>
      <w:bookmarkStart w:id="304" w:name="_Toc28426"/>
      <w:bookmarkStart w:id="305" w:name="_Toc25184"/>
      <w:bookmarkStart w:id="306" w:name="_Toc14829"/>
      <w:bookmarkStart w:id="307" w:name="_Toc5095"/>
      <w:bookmarkStart w:id="308" w:name="_Toc11696"/>
      <w:bookmarkStart w:id="309" w:name="_Toc24903"/>
      <w:bookmarkStart w:id="310" w:name="_Toc3355"/>
      <w:bookmarkStart w:id="311" w:name="_Toc3046"/>
      <w:bookmarkStart w:id="312" w:name="_Toc3526"/>
      <w:bookmarkStart w:id="313" w:name="_Toc31647"/>
      <w:bookmarkStart w:id="314" w:name="_Toc918"/>
      <w:bookmarkStart w:id="315" w:name="_Toc23456"/>
      <w:bookmarkStart w:id="316" w:name="_Toc25120"/>
      <w:bookmarkStart w:id="317" w:name="_Toc8243"/>
      <w:bookmarkStart w:id="318" w:name="_Toc30623"/>
      <w:bookmarkStart w:id="319" w:name="_Toc18083"/>
      <w:bookmarkStart w:id="320" w:name="_Toc1181"/>
      <w:bookmarkStart w:id="321" w:name="_Toc25146"/>
      <w:bookmarkStart w:id="322" w:name="_Toc12457"/>
      <w:r>
        <w:rPr>
          <w:rFonts w:hint="eastAsia" w:ascii="仿宋" w:hAnsi="仿宋" w:eastAsia="仿宋" w:cs="仿宋"/>
          <w:i w:val="0"/>
          <w:iCs w:val="0"/>
          <w:color w:val="auto"/>
          <w:sz w:val="28"/>
          <w:szCs w:val="28"/>
          <w:highlight w:val="none"/>
          <w:shd w:val="clear" w:color="auto" w:fill="auto"/>
          <w:lang w:val="en-US" w:eastAsia="zh-CN"/>
        </w:rPr>
        <w:t>附件三《分项工程/认质认价申报审批表》</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rFonts w:hint="eastAsia" w:ascii="仿宋" w:hAnsi="仿宋" w:eastAsia="仿宋" w:cs="仿宋"/>
          <w:i w:val="0"/>
          <w:iCs w:val="0"/>
          <w:color w:val="auto"/>
          <w:sz w:val="28"/>
          <w:szCs w:val="28"/>
          <w:highlight w:val="none"/>
          <w:shd w:val="clear" w:color="auto" w:fill="auto"/>
          <w:lang w:val="en-US" w:eastAsia="zh-CN"/>
        </w:rPr>
        <w:t>格式；</w:t>
      </w:r>
      <w:bookmarkEnd w:id="313"/>
      <w:bookmarkEnd w:id="314"/>
      <w:bookmarkEnd w:id="315"/>
      <w:bookmarkEnd w:id="316"/>
      <w:bookmarkEnd w:id="317"/>
      <w:bookmarkEnd w:id="318"/>
      <w:bookmarkEnd w:id="319"/>
      <w:bookmarkEnd w:id="320"/>
      <w:bookmarkEnd w:id="321"/>
      <w:bookmarkEnd w:id="322"/>
    </w:p>
    <w:p w14:paraId="1D01DCB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bookmarkStart w:id="323" w:name="_Toc29658"/>
      <w:bookmarkStart w:id="324" w:name="_Toc12708"/>
      <w:bookmarkStart w:id="325" w:name="_Toc625"/>
      <w:bookmarkStart w:id="326" w:name="_Toc4675"/>
      <w:bookmarkStart w:id="327" w:name="_Toc4124"/>
      <w:bookmarkStart w:id="328" w:name="_Toc32243"/>
      <w:bookmarkStart w:id="329" w:name="_Toc2953"/>
      <w:bookmarkStart w:id="330" w:name="_Toc8225"/>
      <w:bookmarkStart w:id="331" w:name="_Toc30996"/>
      <w:bookmarkStart w:id="332" w:name="_Toc30526"/>
      <w:bookmarkStart w:id="333" w:name="_Toc29665"/>
      <w:bookmarkStart w:id="334" w:name="_Toc4351"/>
      <w:bookmarkStart w:id="335" w:name="_Toc8789"/>
      <w:bookmarkStart w:id="336" w:name="_Toc14408"/>
      <w:bookmarkStart w:id="337" w:name="_Toc29231"/>
      <w:bookmarkStart w:id="338" w:name="_Toc10580"/>
      <w:bookmarkStart w:id="339" w:name="_Toc27559"/>
      <w:bookmarkStart w:id="340" w:name="_Toc8276"/>
      <w:r>
        <w:rPr>
          <w:rFonts w:hint="eastAsia" w:ascii="仿宋" w:hAnsi="仿宋" w:eastAsia="仿宋" w:cs="仿宋"/>
          <w:i w:val="0"/>
          <w:iCs w:val="0"/>
          <w:color w:val="auto"/>
          <w:sz w:val="28"/>
          <w:szCs w:val="28"/>
          <w:highlight w:val="none"/>
          <w:shd w:val="clear" w:color="auto" w:fill="auto"/>
          <w:lang w:val="en-US" w:eastAsia="zh-CN"/>
        </w:rPr>
        <w:t>附件四《签证单分包说明》</w:t>
      </w:r>
      <w:bookmarkEnd w:id="323"/>
      <w:bookmarkEnd w:id="324"/>
      <w:bookmarkEnd w:id="325"/>
      <w:bookmarkEnd w:id="326"/>
      <w:bookmarkEnd w:id="327"/>
      <w:bookmarkEnd w:id="328"/>
      <w:bookmarkEnd w:id="329"/>
      <w:bookmarkEnd w:id="330"/>
      <w:r>
        <w:rPr>
          <w:rFonts w:hint="eastAsia" w:ascii="仿宋" w:hAnsi="仿宋" w:eastAsia="仿宋" w:cs="仿宋"/>
          <w:i w:val="0"/>
          <w:iCs w:val="0"/>
          <w:color w:val="auto"/>
          <w:sz w:val="28"/>
          <w:szCs w:val="28"/>
          <w:highlight w:val="none"/>
          <w:shd w:val="clear" w:color="auto" w:fill="auto"/>
          <w:lang w:val="en-US" w:eastAsia="zh-CN"/>
        </w:rPr>
        <w:t>格式；</w:t>
      </w:r>
      <w:bookmarkEnd w:id="331"/>
      <w:bookmarkEnd w:id="332"/>
      <w:bookmarkEnd w:id="333"/>
      <w:bookmarkEnd w:id="334"/>
      <w:bookmarkEnd w:id="335"/>
      <w:bookmarkEnd w:id="336"/>
      <w:bookmarkEnd w:id="337"/>
      <w:bookmarkEnd w:id="338"/>
      <w:bookmarkEnd w:id="339"/>
      <w:bookmarkEnd w:id="340"/>
    </w:p>
    <w:p w14:paraId="40D6D4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41" w:name="_Toc30595"/>
      <w:bookmarkStart w:id="342" w:name="_Toc1628"/>
      <w:bookmarkStart w:id="343" w:name="_Toc5880"/>
      <w:bookmarkStart w:id="344" w:name="_Toc19765"/>
      <w:bookmarkStart w:id="345" w:name="_Toc12321"/>
      <w:bookmarkStart w:id="346" w:name="_Toc7977"/>
      <w:bookmarkStart w:id="347" w:name="_Toc13787"/>
      <w:bookmarkStart w:id="348" w:name="_Toc14040"/>
      <w:bookmarkStart w:id="349" w:name="_Toc9015"/>
      <w:bookmarkStart w:id="350" w:name="_Toc23449"/>
      <w:bookmarkStart w:id="351" w:name="_Toc29501"/>
      <w:bookmarkStart w:id="352" w:name="_Toc26757"/>
      <w:bookmarkStart w:id="353" w:name="_Toc18174"/>
      <w:bookmarkStart w:id="354" w:name="_Toc4532"/>
      <w:bookmarkStart w:id="355" w:name="_Toc32363"/>
      <w:bookmarkStart w:id="356" w:name="_Toc7170"/>
      <w:bookmarkStart w:id="357" w:name="_Toc17895"/>
      <w:bookmarkStart w:id="358" w:name="_Toc2302"/>
      <w:bookmarkStart w:id="359" w:name="_Toc20516"/>
      <w:bookmarkStart w:id="360" w:name="_Toc20020"/>
      <w:bookmarkStart w:id="361" w:name="_Toc20848"/>
      <w:bookmarkStart w:id="362" w:name="_Toc7316"/>
      <w:bookmarkStart w:id="363" w:name="_Toc25706"/>
      <w:bookmarkStart w:id="364" w:name="_Toc11437"/>
      <w:bookmarkStart w:id="365" w:name="_Toc11025"/>
      <w:bookmarkStart w:id="366" w:name="_Toc10036"/>
      <w:bookmarkStart w:id="367" w:name="_Toc31683"/>
      <w:bookmarkStart w:id="368" w:name="_Toc19832"/>
      <w:bookmarkStart w:id="369" w:name="_Toc4713"/>
      <w:bookmarkStart w:id="370" w:name="_Toc27338"/>
      <w:r>
        <w:rPr>
          <w:rFonts w:hint="eastAsia" w:ascii="仿宋" w:hAnsi="仿宋" w:eastAsia="仿宋" w:cs="仿宋"/>
          <w:i w:val="0"/>
          <w:iCs w:val="0"/>
          <w:color w:val="auto"/>
          <w:sz w:val="28"/>
          <w:szCs w:val="28"/>
          <w:highlight w:val="none"/>
          <w:shd w:val="clear" w:color="auto" w:fill="auto"/>
          <w:lang w:val="en-US" w:eastAsia="zh-CN"/>
        </w:rPr>
        <w:t>附件五《工程量现场草签记录表》</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Pr>
          <w:rFonts w:hint="eastAsia" w:ascii="仿宋" w:hAnsi="仿宋" w:eastAsia="仿宋" w:cs="仿宋"/>
          <w:i w:val="0"/>
          <w:iCs w:val="0"/>
          <w:color w:val="auto"/>
          <w:sz w:val="28"/>
          <w:szCs w:val="28"/>
          <w:highlight w:val="none"/>
          <w:shd w:val="clear" w:color="auto" w:fill="auto"/>
          <w:lang w:val="en-US" w:eastAsia="zh-CN"/>
        </w:rPr>
        <w:t>格式；</w:t>
      </w:r>
      <w:bookmarkEnd w:id="361"/>
      <w:bookmarkEnd w:id="362"/>
      <w:bookmarkEnd w:id="363"/>
      <w:bookmarkEnd w:id="364"/>
      <w:bookmarkEnd w:id="365"/>
      <w:bookmarkEnd w:id="366"/>
      <w:bookmarkEnd w:id="367"/>
      <w:bookmarkEnd w:id="368"/>
      <w:bookmarkEnd w:id="369"/>
      <w:bookmarkEnd w:id="370"/>
    </w:p>
    <w:p w14:paraId="567791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371" w:name="_Toc5662"/>
      <w:bookmarkStart w:id="372" w:name="_Toc11623"/>
      <w:bookmarkStart w:id="373" w:name="_Toc24739"/>
      <w:bookmarkStart w:id="374" w:name="_Toc9377"/>
      <w:bookmarkStart w:id="375" w:name="_Toc15998"/>
      <w:bookmarkStart w:id="376" w:name="_Toc5989"/>
      <w:bookmarkStart w:id="377" w:name="_Toc25421"/>
      <w:bookmarkStart w:id="378" w:name="_Toc27592"/>
      <w:bookmarkStart w:id="379" w:name="_Toc25345"/>
      <w:bookmarkStart w:id="380" w:name="_Toc8957"/>
      <w:bookmarkStart w:id="381" w:name="_Toc7073"/>
      <w:bookmarkStart w:id="382" w:name="_Toc15102"/>
      <w:bookmarkStart w:id="383" w:name="_Toc32730"/>
      <w:bookmarkStart w:id="384" w:name="_Toc2307"/>
      <w:bookmarkStart w:id="385" w:name="_Toc12149"/>
      <w:bookmarkStart w:id="386" w:name="_Toc15617"/>
      <w:bookmarkStart w:id="387" w:name="_Toc22271"/>
      <w:bookmarkStart w:id="388" w:name="_Toc1613"/>
      <w:bookmarkStart w:id="389" w:name="_Toc19655"/>
      <w:bookmarkStart w:id="390" w:name="_Toc29999"/>
      <w:bookmarkStart w:id="391" w:name="_Toc26175"/>
      <w:bookmarkStart w:id="392" w:name="_Toc22231"/>
      <w:bookmarkStart w:id="393" w:name="_Toc24504"/>
      <w:bookmarkStart w:id="394" w:name="_Toc28300"/>
      <w:bookmarkStart w:id="395" w:name="_Toc28908"/>
      <w:bookmarkStart w:id="396" w:name="_Toc18835"/>
      <w:bookmarkStart w:id="397" w:name="_Toc16339"/>
      <w:bookmarkStart w:id="398" w:name="_Toc8058"/>
      <w:bookmarkStart w:id="399" w:name="_Toc24213"/>
      <w:bookmarkStart w:id="400" w:name="_Toc21579"/>
      <w:r>
        <w:rPr>
          <w:rFonts w:hint="eastAsia" w:ascii="仿宋" w:hAnsi="仿宋" w:eastAsia="仿宋" w:cs="仿宋"/>
          <w:i w:val="0"/>
          <w:iCs w:val="0"/>
          <w:color w:val="auto"/>
          <w:sz w:val="28"/>
          <w:szCs w:val="28"/>
          <w:highlight w:val="none"/>
          <w:shd w:val="clear" w:color="auto" w:fill="auto"/>
          <w:lang w:val="en-US" w:eastAsia="zh-CN"/>
        </w:rPr>
        <w:t>附件六《工程结算支付证明单》</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Pr>
          <w:rFonts w:hint="eastAsia" w:ascii="仿宋" w:hAnsi="仿宋" w:eastAsia="仿宋" w:cs="仿宋"/>
          <w:i w:val="0"/>
          <w:iCs w:val="0"/>
          <w:color w:val="auto"/>
          <w:sz w:val="28"/>
          <w:szCs w:val="28"/>
          <w:highlight w:val="none"/>
          <w:shd w:val="clear" w:color="auto" w:fill="auto"/>
          <w:lang w:val="en-US" w:eastAsia="zh-CN"/>
        </w:rPr>
        <w:t>格式；</w:t>
      </w:r>
      <w:bookmarkEnd w:id="391"/>
      <w:bookmarkEnd w:id="392"/>
      <w:bookmarkEnd w:id="393"/>
      <w:bookmarkEnd w:id="394"/>
      <w:bookmarkEnd w:id="395"/>
      <w:bookmarkEnd w:id="396"/>
      <w:bookmarkEnd w:id="397"/>
      <w:bookmarkEnd w:id="398"/>
      <w:bookmarkEnd w:id="399"/>
      <w:bookmarkEnd w:id="400"/>
    </w:p>
    <w:p w14:paraId="2C85C8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01" w:name="_Toc16687"/>
      <w:bookmarkStart w:id="402" w:name="_Toc7252"/>
      <w:bookmarkStart w:id="403" w:name="_Toc25447"/>
      <w:bookmarkStart w:id="404" w:name="_Toc28993"/>
      <w:bookmarkStart w:id="405" w:name="_Toc25112"/>
      <w:bookmarkStart w:id="406" w:name="_Toc27211"/>
      <w:bookmarkStart w:id="407" w:name="_Toc32535"/>
      <w:bookmarkStart w:id="408" w:name="_Toc27703"/>
      <w:bookmarkStart w:id="409" w:name="_Toc17584"/>
      <w:bookmarkStart w:id="410" w:name="_Toc7317"/>
      <w:r>
        <w:rPr>
          <w:rFonts w:hint="eastAsia" w:ascii="仿宋" w:hAnsi="仿宋" w:eastAsia="仿宋" w:cs="仿宋"/>
          <w:i w:val="0"/>
          <w:iCs w:val="0"/>
          <w:color w:val="auto"/>
          <w:sz w:val="28"/>
          <w:szCs w:val="28"/>
          <w:highlight w:val="none"/>
          <w:shd w:val="clear" w:color="auto" w:fill="auto"/>
          <w:lang w:val="en-US" w:eastAsia="zh-CN"/>
        </w:rPr>
        <w:t>附件七《工完场清交接单》格式；</w:t>
      </w:r>
      <w:bookmarkEnd w:id="401"/>
      <w:bookmarkEnd w:id="402"/>
      <w:bookmarkEnd w:id="403"/>
      <w:bookmarkEnd w:id="404"/>
      <w:bookmarkEnd w:id="405"/>
      <w:bookmarkEnd w:id="406"/>
      <w:bookmarkEnd w:id="407"/>
      <w:bookmarkEnd w:id="408"/>
      <w:bookmarkEnd w:id="409"/>
      <w:bookmarkEnd w:id="410"/>
    </w:p>
    <w:p w14:paraId="33FC28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11" w:name="_Toc10838"/>
      <w:bookmarkStart w:id="412" w:name="_Toc15804"/>
      <w:bookmarkStart w:id="413" w:name="_Toc21391"/>
      <w:bookmarkStart w:id="414" w:name="_Toc6059"/>
      <w:bookmarkStart w:id="415" w:name="_Toc13138"/>
      <w:bookmarkStart w:id="416" w:name="_Toc8489"/>
      <w:bookmarkStart w:id="417" w:name="_Toc11278"/>
      <w:bookmarkStart w:id="418" w:name="_Toc16033"/>
      <w:bookmarkStart w:id="419" w:name="_Toc2384"/>
      <w:bookmarkStart w:id="420" w:name="_Toc8673"/>
      <w:bookmarkStart w:id="421" w:name="_Toc17795"/>
      <w:bookmarkStart w:id="422" w:name="_Toc1933"/>
      <w:r>
        <w:rPr>
          <w:rFonts w:hint="eastAsia" w:ascii="仿宋" w:hAnsi="仿宋" w:eastAsia="仿宋" w:cs="仿宋"/>
          <w:i w:val="0"/>
          <w:iCs w:val="0"/>
          <w:color w:val="auto"/>
          <w:sz w:val="28"/>
          <w:szCs w:val="28"/>
          <w:highlight w:val="none"/>
          <w:shd w:val="clear" w:color="auto" w:fill="auto"/>
          <w:lang w:val="en-US" w:eastAsia="zh-CN"/>
        </w:rPr>
        <w:t>附件八《工程结算资料目录》格式</w:t>
      </w:r>
      <w:bookmarkEnd w:id="411"/>
      <w:bookmarkEnd w:id="412"/>
      <w:bookmarkEnd w:id="413"/>
      <w:bookmarkEnd w:id="414"/>
      <w:r>
        <w:rPr>
          <w:rFonts w:hint="eastAsia" w:ascii="仿宋" w:hAnsi="仿宋" w:eastAsia="仿宋" w:cs="仿宋"/>
          <w:i w:val="0"/>
          <w:iCs w:val="0"/>
          <w:color w:val="auto"/>
          <w:sz w:val="28"/>
          <w:szCs w:val="28"/>
          <w:highlight w:val="none"/>
          <w:shd w:val="clear" w:color="auto" w:fill="auto"/>
          <w:lang w:val="en-US" w:eastAsia="zh-CN"/>
        </w:rPr>
        <w:t>；</w:t>
      </w:r>
      <w:bookmarkEnd w:id="415"/>
      <w:bookmarkEnd w:id="416"/>
      <w:bookmarkEnd w:id="417"/>
      <w:bookmarkEnd w:id="418"/>
      <w:bookmarkEnd w:id="419"/>
      <w:bookmarkEnd w:id="420"/>
      <w:bookmarkEnd w:id="421"/>
      <w:bookmarkEnd w:id="422"/>
    </w:p>
    <w:p w14:paraId="67D395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23" w:name="_Toc25618"/>
      <w:bookmarkStart w:id="424" w:name="_Toc12607"/>
      <w:bookmarkStart w:id="425" w:name="_Toc10114"/>
      <w:bookmarkStart w:id="426" w:name="_Toc341"/>
      <w:bookmarkStart w:id="427" w:name="_Toc22636"/>
      <w:bookmarkStart w:id="428" w:name="_Toc30237"/>
      <w:bookmarkStart w:id="429" w:name="_Toc18640"/>
      <w:bookmarkStart w:id="430" w:name="_Toc19704"/>
      <w:bookmarkStart w:id="431" w:name="_Toc14821"/>
      <w:bookmarkStart w:id="432" w:name="_Toc18259"/>
      <w:bookmarkStart w:id="433" w:name="_Toc25734"/>
      <w:bookmarkStart w:id="434" w:name="_Toc26903"/>
      <w:bookmarkStart w:id="435" w:name="_Toc19119"/>
      <w:bookmarkStart w:id="436" w:name="_Toc7399"/>
      <w:bookmarkStart w:id="437" w:name="_Toc4335"/>
      <w:bookmarkStart w:id="438" w:name="_Toc31415"/>
      <w:bookmarkStart w:id="439" w:name="_Toc31008"/>
      <w:bookmarkStart w:id="440" w:name="_Toc26020"/>
      <w:r>
        <w:rPr>
          <w:rFonts w:hint="eastAsia" w:ascii="仿宋" w:hAnsi="仿宋" w:eastAsia="仿宋" w:cs="仿宋"/>
          <w:i w:val="0"/>
          <w:iCs w:val="0"/>
          <w:color w:val="auto"/>
          <w:sz w:val="28"/>
          <w:szCs w:val="28"/>
          <w:highlight w:val="none"/>
          <w:shd w:val="clear" w:color="auto" w:fill="auto"/>
          <w:lang w:val="en-US" w:eastAsia="zh-CN"/>
        </w:rPr>
        <w:t>附件九</w:t>
      </w:r>
      <w:bookmarkEnd w:id="423"/>
      <w:bookmarkEnd w:id="424"/>
      <w:bookmarkEnd w:id="425"/>
      <w:bookmarkEnd w:id="426"/>
      <w:bookmarkEnd w:id="427"/>
      <w:bookmarkEnd w:id="428"/>
      <w:bookmarkEnd w:id="429"/>
      <w:bookmarkEnd w:id="430"/>
      <w:r>
        <w:rPr>
          <w:rFonts w:hint="eastAsia" w:ascii="仿宋" w:hAnsi="仿宋" w:eastAsia="仿宋" w:cs="仿宋"/>
          <w:i w:val="0"/>
          <w:iCs w:val="0"/>
          <w:color w:val="auto"/>
          <w:sz w:val="28"/>
          <w:szCs w:val="28"/>
          <w:highlight w:val="none"/>
          <w:shd w:val="clear" w:color="auto" w:fill="auto"/>
          <w:lang w:val="en-US" w:eastAsia="zh-CN"/>
        </w:rPr>
        <w:t>《工人工资发放承诺书》格式；</w:t>
      </w:r>
      <w:bookmarkEnd w:id="431"/>
      <w:bookmarkEnd w:id="432"/>
      <w:bookmarkEnd w:id="433"/>
      <w:bookmarkEnd w:id="434"/>
      <w:bookmarkEnd w:id="435"/>
      <w:bookmarkEnd w:id="436"/>
      <w:bookmarkEnd w:id="437"/>
      <w:bookmarkEnd w:id="438"/>
      <w:bookmarkEnd w:id="439"/>
      <w:bookmarkEnd w:id="440"/>
    </w:p>
    <w:p w14:paraId="6D3896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41" w:name="_Toc23263"/>
      <w:bookmarkStart w:id="442" w:name="_Toc764"/>
      <w:bookmarkStart w:id="443" w:name="_Toc21989"/>
      <w:bookmarkStart w:id="444" w:name="_Toc16561"/>
      <w:bookmarkStart w:id="445" w:name="_Toc26774"/>
      <w:bookmarkStart w:id="446" w:name="_Toc6281"/>
      <w:bookmarkStart w:id="447" w:name="_Toc24794"/>
      <w:bookmarkStart w:id="448" w:name="_Toc1544"/>
      <w:bookmarkStart w:id="449" w:name="_Toc4480"/>
      <w:bookmarkStart w:id="450" w:name="_Toc30239"/>
      <w:bookmarkStart w:id="451" w:name="_Toc13891"/>
      <w:bookmarkStart w:id="452" w:name="_Toc2495"/>
      <w:bookmarkStart w:id="453" w:name="_Toc23503"/>
      <w:bookmarkStart w:id="454" w:name="_Toc4534"/>
      <w:bookmarkStart w:id="455" w:name="_Toc20322"/>
      <w:bookmarkStart w:id="456" w:name="_Toc32090"/>
      <w:bookmarkStart w:id="457" w:name="_Toc25579"/>
      <w:bookmarkStart w:id="458" w:name="_Toc26828"/>
      <w:r>
        <w:rPr>
          <w:rFonts w:hint="eastAsia" w:ascii="仿宋" w:hAnsi="仿宋" w:eastAsia="仿宋" w:cs="仿宋"/>
          <w:i w:val="0"/>
          <w:iCs w:val="0"/>
          <w:color w:val="auto"/>
          <w:sz w:val="28"/>
          <w:szCs w:val="28"/>
          <w:highlight w:val="none"/>
          <w:shd w:val="clear" w:color="auto" w:fill="auto"/>
          <w:lang w:val="en-US" w:eastAsia="zh-CN"/>
        </w:rPr>
        <w:t>附件十</w:t>
      </w:r>
      <w:bookmarkEnd w:id="441"/>
      <w:bookmarkEnd w:id="442"/>
      <w:bookmarkEnd w:id="443"/>
      <w:bookmarkEnd w:id="444"/>
      <w:bookmarkEnd w:id="445"/>
      <w:bookmarkEnd w:id="446"/>
      <w:bookmarkEnd w:id="447"/>
      <w:bookmarkEnd w:id="448"/>
      <w:r>
        <w:rPr>
          <w:rFonts w:hint="eastAsia" w:ascii="仿宋" w:hAnsi="仿宋" w:eastAsia="仿宋" w:cs="仿宋"/>
          <w:i w:val="0"/>
          <w:iCs w:val="0"/>
          <w:color w:val="auto"/>
          <w:sz w:val="28"/>
          <w:szCs w:val="28"/>
          <w:highlight w:val="none"/>
          <w:shd w:val="clear" w:color="auto" w:fill="auto"/>
          <w:lang w:val="en-US" w:eastAsia="zh-CN"/>
        </w:rPr>
        <w:t>《承诺书（工人个人版）》格式；</w:t>
      </w:r>
      <w:bookmarkEnd w:id="449"/>
      <w:bookmarkEnd w:id="450"/>
      <w:bookmarkEnd w:id="451"/>
      <w:bookmarkEnd w:id="452"/>
      <w:bookmarkEnd w:id="453"/>
      <w:bookmarkEnd w:id="454"/>
      <w:bookmarkEnd w:id="455"/>
      <w:bookmarkEnd w:id="456"/>
      <w:bookmarkEnd w:id="457"/>
      <w:bookmarkEnd w:id="458"/>
    </w:p>
    <w:p w14:paraId="41C4F7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59" w:name="_Toc3842"/>
      <w:bookmarkStart w:id="460" w:name="_Toc1927"/>
      <w:bookmarkStart w:id="461" w:name="_Toc20899"/>
      <w:bookmarkStart w:id="462" w:name="_Toc14035"/>
      <w:r>
        <w:rPr>
          <w:rFonts w:hint="eastAsia" w:ascii="仿宋" w:hAnsi="仿宋" w:eastAsia="仿宋" w:cs="仿宋"/>
          <w:i w:val="0"/>
          <w:iCs w:val="0"/>
          <w:color w:val="auto"/>
          <w:sz w:val="28"/>
          <w:szCs w:val="28"/>
          <w:highlight w:val="none"/>
          <w:shd w:val="clear" w:color="auto" w:fill="auto"/>
          <w:lang w:val="en-US" w:eastAsia="zh-CN"/>
        </w:rPr>
        <w:t>附件十一《</w:t>
      </w:r>
      <w:r>
        <w:rPr>
          <w:rFonts w:hint="default" w:ascii="仿宋" w:hAnsi="仿宋" w:eastAsia="仿宋" w:cs="仿宋"/>
          <w:i w:val="0"/>
          <w:iCs w:val="0"/>
          <w:color w:val="auto"/>
          <w:sz w:val="28"/>
          <w:szCs w:val="28"/>
          <w:highlight w:val="none"/>
          <w:shd w:val="clear" w:color="auto" w:fill="auto"/>
          <w:lang w:val="en-US" w:eastAsia="zh-CN"/>
        </w:rPr>
        <w:t>技术工人素质承诺书</w:t>
      </w:r>
      <w:r>
        <w:rPr>
          <w:rFonts w:hint="eastAsia" w:ascii="仿宋" w:hAnsi="仿宋" w:eastAsia="仿宋" w:cs="仿宋"/>
          <w:i w:val="0"/>
          <w:iCs w:val="0"/>
          <w:color w:val="auto"/>
          <w:sz w:val="28"/>
          <w:szCs w:val="28"/>
          <w:highlight w:val="none"/>
          <w:shd w:val="clear" w:color="auto" w:fill="auto"/>
          <w:lang w:val="en-US" w:eastAsia="zh-CN"/>
        </w:rPr>
        <w:t>》格式；</w:t>
      </w:r>
      <w:bookmarkEnd w:id="459"/>
      <w:bookmarkEnd w:id="460"/>
      <w:bookmarkEnd w:id="461"/>
      <w:bookmarkEnd w:id="462"/>
    </w:p>
    <w:p w14:paraId="0D02DE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附件十二《出险声明函》格式；</w:t>
      </w:r>
    </w:p>
    <w:p w14:paraId="2E8791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463" w:name="_Toc26926"/>
      <w:bookmarkStart w:id="464" w:name="_Toc11973"/>
      <w:bookmarkStart w:id="465" w:name="_Toc18689"/>
      <w:bookmarkStart w:id="466" w:name="_Toc32697"/>
      <w:bookmarkStart w:id="467" w:name="_Toc27917"/>
      <w:bookmarkStart w:id="468" w:name="_Toc1716"/>
      <w:bookmarkStart w:id="469" w:name="_Toc9097"/>
      <w:bookmarkStart w:id="470" w:name="_Toc972"/>
      <w:bookmarkStart w:id="471" w:name="_Toc27059"/>
      <w:bookmarkStart w:id="472" w:name="_Toc21822"/>
      <w:bookmarkStart w:id="473" w:name="_Toc16929"/>
      <w:bookmarkStart w:id="474" w:name="_Toc26887"/>
      <w:bookmarkStart w:id="475" w:name="_Toc7371"/>
      <w:bookmarkStart w:id="476" w:name="_Toc20722"/>
      <w:bookmarkStart w:id="477" w:name="_Toc26891"/>
      <w:bookmarkStart w:id="478" w:name="_Toc30940"/>
      <w:bookmarkStart w:id="479" w:name="_Toc10168"/>
      <w:bookmarkStart w:id="480" w:name="_Toc7184"/>
      <w:bookmarkStart w:id="481" w:name="_Toc26713"/>
      <w:bookmarkStart w:id="482" w:name="_Toc18635"/>
      <w:bookmarkStart w:id="483" w:name="_Toc31017"/>
      <w:bookmarkStart w:id="484" w:name="_Toc31032"/>
      <w:bookmarkStart w:id="485" w:name="_Toc3430"/>
      <w:bookmarkStart w:id="486" w:name="_Toc22619"/>
      <w:bookmarkStart w:id="487" w:name="_Toc30233"/>
      <w:bookmarkStart w:id="488" w:name="_Toc13230"/>
      <w:bookmarkStart w:id="489" w:name="_Toc31464"/>
      <w:bookmarkStart w:id="490" w:name="_Toc248"/>
      <w:bookmarkStart w:id="491" w:name="_Toc32611"/>
      <w:bookmarkStart w:id="492" w:name="_Toc28296"/>
      <w:r>
        <w:rPr>
          <w:rFonts w:hint="eastAsia" w:ascii="仿宋" w:hAnsi="仿宋" w:eastAsia="仿宋" w:cs="仿宋"/>
          <w:i w:val="0"/>
          <w:iCs w:val="0"/>
          <w:color w:val="auto"/>
          <w:sz w:val="28"/>
          <w:szCs w:val="28"/>
          <w:highlight w:val="none"/>
          <w:shd w:val="clear" w:color="auto" w:fill="auto"/>
          <w:lang w:val="en-US" w:eastAsia="zh-CN"/>
        </w:rPr>
        <w:t>附件十三</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Pr>
          <w:rFonts w:hint="eastAsia" w:ascii="仿宋" w:hAnsi="仿宋" w:eastAsia="仿宋" w:cs="仿宋"/>
          <w:i w:val="0"/>
          <w:iCs w:val="0"/>
          <w:color w:val="auto"/>
          <w:sz w:val="28"/>
          <w:szCs w:val="28"/>
          <w:highlight w:val="none"/>
          <w:shd w:val="clear" w:color="auto" w:fill="auto"/>
          <w:lang w:val="en-US" w:eastAsia="zh-CN"/>
        </w:rPr>
        <w:t>《甲方项目章样式》；</w:t>
      </w:r>
      <w:bookmarkEnd w:id="489"/>
      <w:bookmarkEnd w:id="490"/>
      <w:bookmarkEnd w:id="491"/>
      <w:bookmarkEnd w:id="492"/>
    </w:p>
    <w:p w14:paraId="4785F4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附件十四 乙方资质文件；</w:t>
      </w:r>
    </w:p>
    <w:p w14:paraId="0A9DD7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lang w:val="en-US" w:eastAsia="zh-CN"/>
        </w:rPr>
        <w:t>附件十五</w:t>
      </w:r>
      <w:r>
        <w:rPr>
          <w:rFonts w:hint="eastAsia" w:ascii="仿宋" w:hAnsi="仿宋" w:eastAsia="仿宋" w:cs="仿宋"/>
          <w:i w:val="0"/>
          <w:iCs w:val="0"/>
          <w:color w:val="auto"/>
          <w:sz w:val="28"/>
          <w:szCs w:val="28"/>
          <w:highlight w:val="none"/>
          <w:shd w:val="clear" w:color="auto" w:fill="auto"/>
          <w:lang w:val="en-US" w:eastAsia="zh-CN"/>
        </w:rPr>
        <w:t>《报价清单》</w:t>
      </w:r>
      <w:r>
        <w:rPr>
          <w:rFonts w:hint="eastAsia" w:ascii="仿宋" w:hAnsi="仿宋" w:eastAsia="仿宋" w:cs="仿宋"/>
          <w:b w:val="0"/>
          <w:bCs w:val="0"/>
          <w:i w:val="0"/>
          <w:iCs w:val="0"/>
          <w:color w:val="auto"/>
          <w:sz w:val="28"/>
          <w:szCs w:val="28"/>
          <w:highlight w:val="none"/>
          <w:lang w:val="en-US" w:eastAsia="zh-CN"/>
        </w:rPr>
        <w:t>；</w:t>
      </w:r>
    </w:p>
    <w:p w14:paraId="6A04125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附件十六《图纸及地勘资料》。</w:t>
      </w:r>
    </w:p>
    <w:p w14:paraId="41250F1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93" w:name="_Toc26371"/>
      <w:bookmarkStart w:id="494" w:name="_Toc29240"/>
      <w:bookmarkStart w:id="495" w:name="_Toc30280"/>
      <w:bookmarkStart w:id="496" w:name="_Toc6751"/>
      <w:bookmarkStart w:id="497" w:name="_Toc24436"/>
      <w:bookmarkStart w:id="498" w:name="_Toc5837"/>
      <w:bookmarkStart w:id="499" w:name="_Toc18988"/>
      <w:bookmarkStart w:id="500" w:name="_Toc30618"/>
      <w:bookmarkStart w:id="501" w:name="_Toc25445"/>
      <w:bookmarkStart w:id="502" w:name="_Toc20974"/>
      <w:bookmarkStart w:id="503" w:name="_Toc21258"/>
      <w:bookmarkStart w:id="504" w:name="_Toc13080"/>
      <w:bookmarkStart w:id="505" w:name="_Toc24665"/>
      <w:bookmarkStart w:id="506" w:name="_Toc18518"/>
      <w:bookmarkStart w:id="507" w:name="_Toc26856"/>
    </w:p>
    <w:p w14:paraId="2E3821AC">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0F4438B">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56A743D">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A9317B">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CBB9DE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93"/>
      <w:bookmarkEnd w:id="494"/>
      <w:bookmarkEnd w:id="495"/>
      <w:bookmarkEnd w:id="496"/>
      <w:bookmarkEnd w:id="497"/>
      <w:bookmarkEnd w:id="498"/>
      <w:bookmarkEnd w:id="499"/>
      <w:bookmarkEnd w:id="50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一</w:t>
      </w:r>
    </w:p>
    <w:p w14:paraId="20780E39">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508" w:name="_Toc14012"/>
      <w:bookmarkStart w:id="509" w:name="_Toc32477"/>
      <w:bookmarkStart w:id="510" w:name="_Toc12609"/>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508"/>
      <w:bookmarkEnd w:id="509"/>
      <w:bookmarkEnd w:id="510"/>
    </w:p>
    <w:p w14:paraId="2AD2DFE8">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45691D1F">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5E6F21CE">
      <w:pPr>
        <w:ind w:right="0" w:rightChars="0"/>
        <w:rPr>
          <w:color w:val="000000" w:themeColor="text1"/>
          <w:highlight w:val="none"/>
          <w14:textFill>
            <w14:solidFill>
              <w14:schemeClr w14:val="tx1"/>
            </w14:solidFill>
          </w14:textFill>
        </w:rPr>
      </w:pPr>
    </w:p>
    <w:tbl>
      <w:tblPr>
        <w:tblStyle w:val="15"/>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44"/>
      </w:tblGrid>
      <w:tr w14:paraId="7CBAD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6419DB6D">
            <w:pPr>
              <w:ind w:right="0" w:rightChars="0"/>
              <w:rPr>
                <w:rFonts w:ascii="宋体" w:hAnsi="宋体" w:eastAsia="宋体" w:cs="宋体"/>
                <w:color w:val="000000" w:themeColor="text1"/>
                <w:sz w:val="22"/>
                <w:szCs w:val="22"/>
                <w:highlight w:val="none"/>
                <w14:textFill>
                  <w14:solidFill>
                    <w14:schemeClr w14:val="tx1"/>
                  </w14:solidFill>
                </w14:textFill>
              </w:rPr>
            </w:pPr>
          </w:p>
          <w:p w14:paraId="46D4F4BD">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42596E70">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40FFC4DF">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1FE67646">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5E04E3F4">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1F1CB61A">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579DC44E">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280A5E8B">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6499F2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465614F1">
            <w:pPr>
              <w:ind w:right="0" w:rightChars="0"/>
              <w:rPr>
                <w:rFonts w:ascii="宋体" w:hAnsi="宋体" w:eastAsia="宋体" w:cs="宋体"/>
                <w:color w:val="000000" w:themeColor="text1"/>
                <w:sz w:val="22"/>
                <w:szCs w:val="22"/>
                <w:highlight w:val="none"/>
                <w14:textFill>
                  <w14:solidFill>
                    <w14:schemeClr w14:val="tx1"/>
                  </w14:solidFill>
                </w14:textFill>
              </w:rPr>
            </w:pPr>
          </w:p>
          <w:p w14:paraId="4E1C4C6D">
            <w:pPr>
              <w:pStyle w:val="14"/>
              <w:tabs>
                <w:tab w:val="clear" w:pos="-116"/>
                <w:tab w:val="clear" w:pos="420"/>
              </w:tabs>
              <w:ind w:right="0" w:rightChars="0"/>
              <w:rPr>
                <w:color w:val="000000" w:themeColor="text1"/>
                <w:highlight w:val="none"/>
                <w14:textFill>
                  <w14:solidFill>
                    <w14:schemeClr w14:val="tx1"/>
                  </w14:solidFill>
                </w14:textFill>
              </w:rPr>
            </w:pPr>
          </w:p>
          <w:p w14:paraId="00F11D2F">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54076AA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49D2E360">
            <w:pPr>
              <w:pStyle w:val="14"/>
              <w:tabs>
                <w:tab w:val="clear" w:pos="-116"/>
                <w:tab w:val="clear" w:pos="420"/>
              </w:tabs>
              <w:ind w:right="0" w:rightChars="0"/>
              <w:rPr>
                <w:color w:val="000000" w:themeColor="text1"/>
                <w:highlight w:val="none"/>
                <w14:textFill>
                  <w14:solidFill>
                    <w14:schemeClr w14:val="tx1"/>
                  </w14:solidFill>
                </w14:textFill>
              </w:rPr>
            </w:pPr>
          </w:p>
          <w:p w14:paraId="0A326667">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51C1F66D">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639E6F5B">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4E51AC8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8BC5BD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6AF9C4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66D289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157296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25A2DE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11" w:name="_Toc12620"/>
      <w:bookmarkStart w:id="512" w:name="_Toc2480"/>
      <w:bookmarkStart w:id="513" w:name="_Toc12826"/>
      <w:bookmarkStart w:id="514" w:name="_Toc21603"/>
      <w:bookmarkStart w:id="515" w:name="_Toc23686"/>
      <w:bookmarkStart w:id="516" w:name="_Toc1063"/>
      <w:bookmarkStart w:id="517" w:name="_Toc25837"/>
      <w:bookmarkStart w:id="518" w:name="_Toc7310"/>
      <w:bookmarkStart w:id="519" w:name="_Toc1879"/>
      <w:bookmarkStart w:id="520" w:name="_Toc7418"/>
      <w:bookmarkStart w:id="521" w:name="_Toc540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11"/>
      <w:bookmarkEnd w:id="512"/>
      <w:bookmarkEnd w:id="513"/>
      <w:bookmarkEnd w:id="514"/>
      <w:bookmarkEnd w:id="515"/>
      <w:bookmarkEnd w:id="516"/>
      <w:bookmarkEnd w:id="517"/>
      <w:bookmarkEnd w:id="518"/>
      <w:bookmarkEnd w:id="519"/>
      <w:bookmarkEnd w:id="520"/>
      <w:bookmarkEnd w:id="52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tbl>
      <w:tblPr>
        <w:tblStyle w:val="15"/>
        <w:tblW w:w="5138" w:type="pct"/>
        <w:tblInd w:w="-127" w:type="dxa"/>
        <w:tblLayout w:type="fixed"/>
        <w:tblCellMar>
          <w:top w:w="15" w:type="dxa"/>
          <w:left w:w="15" w:type="dxa"/>
          <w:bottom w:w="15" w:type="dxa"/>
          <w:right w:w="15" w:type="dxa"/>
        </w:tblCellMar>
      </w:tblPr>
      <w:tblGrid>
        <w:gridCol w:w="10046"/>
      </w:tblGrid>
      <w:tr w14:paraId="6CEA9BD5">
        <w:trPr>
          <w:trHeight w:val="12664" w:hRule="atLeast"/>
        </w:trPr>
        <w:tc>
          <w:tcPr>
            <w:tcW w:w="5000" w:type="pct"/>
            <w:noWrap w:val="0"/>
            <w:vAlign w:val="center"/>
          </w:tcPr>
          <w:p w14:paraId="71C93172">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522" w:name="_Toc11791"/>
            <w:bookmarkStart w:id="523" w:name="_Toc30698"/>
            <w:bookmarkStart w:id="524" w:name="_Toc5587"/>
            <w:bookmarkStart w:id="525" w:name="_Toc19511"/>
            <w:bookmarkStart w:id="526" w:name="_Toc2581"/>
            <w:bookmarkStart w:id="527" w:name="_Toc2053"/>
            <w:bookmarkStart w:id="528" w:name="_Toc9291"/>
            <w:bookmarkStart w:id="529" w:name="_Toc15779"/>
            <w:bookmarkStart w:id="530" w:name="_Toc8418"/>
            <w:bookmarkStart w:id="531" w:name="_Toc1475"/>
            <w:bookmarkStart w:id="532" w:name="_Toc27619"/>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522"/>
            <w:bookmarkEnd w:id="523"/>
            <w:bookmarkEnd w:id="524"/>
            <w:bookmarkEnd w:id="525"/>
            <w:bookmarkEnd w:id="526"/>
            <w:bookmarkEnd w:id="527"/>
            <w:bookmarkEnd w:id="528"/>
            <w:bookmarkEnd w:id="529"/>
            <w:bookmarkEnd w:id="530"/>
            <w:bookmarkEnd w:id="531"/>
            <w:bookmarkEnd w:id="532"/>
          </w:p>
          <w:tbl>
            <w:tblPr>
              <w:tblStyle w:val="29"/>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2925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C6CF074">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2A2EDEC9">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789C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17962027">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4D5C91F3">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5C250786">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24C2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264EC5FD">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2982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19D0E5AA">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359F9CCC">
                  <w:pPr>
                    <w:rPr>
                      <w:rFonts w:hint="eastAsia" w:ascii="仿宋" w:hAnsi="仿宋" w:eastAsia="仿宋" w:cs="仿宋"/>
                      <w:color w:val="000000" w:themeColor="text1"/>
                      <w:sz w:val="22"/>
                      <w:szCs w:val="22"/>
                      <w:highlight w:val="none"/>
                      <w14:textFill>
                        <w14:solidFill>
                          <w14:schemeClr w14:val="tx1"/>
                        </w14:solidFill>
                      </w14:textFill>
                    </w:rPr>
                  </w:pPr>
                </w:p>
              </w:tc>
            </w:tr>
            <w:tr w14:paraId="2281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4275FDDA">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7FEC30BD">
                  <w:pPr>
                    <w:rPr>
                      <w:rFonts w:hint="eastAsia" w:ascii="仿宋" w:hAnsi="仿宋" w:eastAsia="仿宋" w:cs="仿宋"/>
                      <w:color w:val="000000" w:themeColor="text1"/>
                      <w:sz w:val="22"/>
                      <w:szCs w:val="22"/>
                      <w:highlight w:val="none"/>
                      <w14:textFill>
                        <w14:solidFill>
                          <w14:schemeClr w14:val="tx1"/>
                        </w14:solidFill>
                      </w14:textFill>
                    </w:rPr>
                  </w:pPr>
                </w:p>
              </w:tc>
            </w:tr>
            <w:tr w14:paraId="5238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3D3F24C9">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0"/>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245DF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6C099278">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53E9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559EA45C">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6FEFF0E1">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7FD45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0C0EA29">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41E7EBAF">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0F83FFF">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25C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665C6F4D">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2094794A">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2B0BC787">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012C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58F8CF5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3D7E3B53">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术负责人意见 </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对工作内容及工程量见证</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 ：</w:t>
                  </w:r>
                </w:p>
                <w:p w14:paraId="5893F1AA">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7DCD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181353CA">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56083DD8">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5E685D91">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B3C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4AD43021">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17C9B263">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7C18B578">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63A2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45E76966">
                  <w:pPr>
                    <w:spacing w:before="49" w:line="231" w:lineRule="auto"/>
                    <w:ind w:left="32"/>
                    <w:jc w:val="left"/>
                    <w:rPr>
                      <w:rFonts w:hint="eastAsia" w:ascii="仿宋" w:hAnsi="仿宋" w:eastAsia="仿宋" w:cs="仿宋"/>
                      <w:color w:val="000000" w:themeColor="text1"/>
                      <w:spacing w:val="8"/>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w:t>
                  </w:r>
                </w:p>
                <w:p w14:paraId="0515C2B0">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1.通</w:t>
                  </w:r>
                  <w:r>
                    <w:rPr>
                      <w:rFonts w:hint="eastAsia" w:ascii="仿宋" w:hAnsi="仿宋" w:eastAsia="仿宋" w:cs="仿宋"/>
                      <w:color w:val="000000" w:themeColor="text1"/>
                      <w:spacing w:val="8"/>
                      <w:position w:val="1"/>
                      <w:sz w:val="20"/>
                      <w:szCs w:val="20"/>
                      <w:highlight w:val="none"/>
                      <w14:textFill>
                        <w14:solidFill>
                          <w14:schemeClr w14:val="tx1"/>
                        </w14:solidFill>
                      </w14:textFill>
                    </w:rPr>
                    <w:t>知单、工程变更</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联系</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单、工程量审核表、图像资料</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事前、事中、事后</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及其它相关依据附后；一式二份原件，</w:t>
                  </w:r>
                  <w:r>
                    <w:rPr>
                      <w:rFonts w:hint="eastAsia" w:ascii="仿宋" w:hAnsi="仿宋" w:eastAsia="仿宋" w:cs="仿宋"/>
                      <w:color w:val="000000" w:themeColor="text1"/>
                      <w:spacing w:val="8"/>
                      <w:position w:val="1"/>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8"/>
                      <w:position w:val="1"/>
                      <w:sz w:val="20"/>
                      <w:szCs w:val="20"/>
                      <w:highlight w:val="none"/>
                      <w14:textFill>
                        <w14:solidFill>
                          <w14:schemeClr w14:val="tx1"/>
                        </w14:solidFill>
                      </w14:textFill>
                    </w:rPr>
                    <w:t>项目成本管理员和分包方各一份。</w:t>
                  </w:r>
                </w:p>
                <w:p w14:paraId="013F7B2C">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2.本签证单仅用于确认存在工程变更事宜。</w:t>
                  </w:r>
                </w:p>
                <w:p w14:paraId="4B9014C9">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3.本签证单所述内容为双方对事项发生的签认，本签证单结算价款以分包方主合同工程结算时与承包方共同确认的为准。</w:t>
                  </w:r>
                </w:p>
              </w:tc>
            </w:tr>
          </w:tbl>
          <w:p w14:paraId="3898424B">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2DF15579">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2D3CA7C3">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34260BDD">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附件三</w:t>
      </w:r>
    </w:p>
    <w:p w14:paraId="4335CDAC">
      <w:pPr>
        <w:pStyle w:val="14"/>
        <w:tabs>
          <w:tab w:val="clear" w:pos="-116"/>
          <w:tab w:val="clear" w:pos="420"/>
        </w:tabs>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tbl>
      <w:tblPr>
        <w:tblStyle w:val="15"/>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674C2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100AD95A">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0211D725">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0619B58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42259969">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218621AC">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598176A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D4E53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7E236A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6DCF6FE5">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679868F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6BD79D22">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360DD30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672ED16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7FDDA053">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7972F77B">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38A0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7DD5CE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4826237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645B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C6F6EC">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67A0EE3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11F36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5369CA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54BCC2D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C9F70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F98100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7E2D7F4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5DC39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672297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496AA15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42215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03EED89D">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14:textFill>
                  <w14:solidFill>
                    <w14:schemeClr w14:val="tx1"/>
                  </w14:solidFill>
                </w14:textFill>
              </w:rPr>
              <w:t>主合同外工程</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tc>
        <w:tc>
          <w:tcPr>
            <w:tcW w:w="7910" w:type="dxa"/>
            <w:gridSpan w:val="10"/>
            <w:noWrap w:val="0"/>
            <w:vAlign w:val="center"/>
          </w:tcPr>
          <w:p w14:paraId="6713FC5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8A4F8B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F71DEB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F42F3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E61697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29181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C4E216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3FDF6C9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5019CA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79248F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B8B576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D42955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3AAF404">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488F19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F3302D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4E633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E000C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28A26C3">
            <w:pPr>
              <w:rPr>
                <w:rFonts w:hint="eastAsia" w:ascii="仿宋" w:hAnsi="仿宋" w:eastAsia="仿宋" w:cs="仿宋"/>
                <w:b w:val="0"/>
                <w:bCs/>
                <w:color w:val="000000" w:themeColor="text1"/>
                <w:sz w:val="21"/>
                <w:szCs w:val="21"/>
                <w:highlight w:val="none"/>
                <w14:textFill>
                  <w14:solidFill>
                    <w14:schemeClr w14:val="tx1"/>
                  </w14:solidFill>
                </w14:textFill>
              </w:rPr>
            </w:pPr>
          </w:p>
          <w:p w14:paraId="7BB59B8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23E88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5BB8298">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4F247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2DC3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49FF5A2">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38583942">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C956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410D8306">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2E94E15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56AF8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1E96A381">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33552C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1B4F225">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4CAE88E8">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A31A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7CE12B9">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5A5CF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95E6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7E46A06F">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3534C567">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0366B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49F075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0108724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64B7DC5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33" w:name="_Toc13180"/>
      <w:bookmarkStart w:id="534" w:name="_Toc28037"/>
      <w:bookmarkStart w:id="535" w:name="_Toc2479"/>
      <w:bookmarkStart w:id="536" w:name="_Toc12179"/>
      <w:bookmarkStart w:id="537" w:name="_Toc5591"/>
      <w:bookmarkStart w:id="538" w:name="_Toc4037"/>
      <w:bookmarkStart w:id="539" w:name="_Toc12425"/>
      <w:bookmarkStart w:id="540" w:name="_Toc27035"/>
      <w:bookmarkStart w:id="541" w:name="_Toc29438"/>
      <w:bookmarkStart w:id="542" w:name="_Toc22471"/>
    </w:p>
    <w:p w14:paraId="7CC9435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33"/>
      <w:bookmarkEnd w:id="534"/>
      <w:bookmarkEnd w:id="535"/>
      <w:bookmarkEnd w:id="536"/>
      <w:bookmarkEnd w:id="537"/>
      <w:bookmarkEnd w:id="538"/>
      <w:bookmarkEnd w:id="539"/>
      <w:bookmarkEnd w:id="540"/>
      <w:bookmarkEnd w:id="541"/>
      <w:bookmarkEnd w:id="54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6BD832D6">
      <w:pPr>
        <w:pStyle w:val="14"/>
        <w:tabs>
          <w:tab w:val="clear" w:pos="-116"/>
          <w:tab w:val="clear" w:pos="420"/>
        </w:tabs>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E8D66DF">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4FB1E899">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29"/>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38E5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23174DE5">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68AD32CF">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2A1C4847">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19A4493B">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19EC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372A5683">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40592C8C">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内容中，其中</w:t>
            </w:r>
          </w:p>
          <w:p w14:paraId="432B4069">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27EA1911">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530831A">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15AA87E1">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445FA191">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3B1B4DC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097A7CF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6C555CB">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CE5891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E835888">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E9B2170">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3E7D563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42ADA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99857BB">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E483C6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892744B">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F0FE17A">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22B4B8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D725D0">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46FA819">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0667B67">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57CF7EC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99E68E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06EA23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DD4448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AF821B1">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43" w:name="_Toc29498"/>
      <w:bookmarkStart w:id="544" w:name="_Toc17060"/>
      <w:bookmarkStart w:id="545" w:name="_Toc3295"/>
      <w:bookmarkStart w:id="546" w:name="_Toc17423"/>
      <w:bookmarkStart w:id="547" w:name="_Toc8727"/>
      <w:bookmarkStart w:id="548" w:name="_Toc765"/>
      <w:bookmarkStart w:id="549" w:name="_Toc19333"/>
      <w:bookmarkStart w:id="550" w:name="_Toc311"/>
      <w:bookmarkStart w:id="551" w:name="_Toc9543"/>
      <w:bookmarkStart w:id="552" w:name="_Toc7045"/>
      <w:bookmarkStart w:id="553" w:name="_Toc2641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43"/>
      <w:bookmarkEnd w:id="544"/>
      <w:bookmarkEnd w:id="545"/>
      <w:bookmarkEnd w:id="546"/>
      <w:bookmarkEnd w:id="547"/>
      <w:bookmarkEnd w:id="548"/>
      <w:bookmarkEnd w:id="549"/>
      <w:bookmarkEnd w:id="550"/>
      <w:bookmarkEnd w:id="551"/>
      <w:bookmarkEnd w:id="552"/>
      <w:bookmarkEnd w:id="55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0A855602">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429F2A3C">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29"/>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89C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1C750FF5">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4EA0C0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F0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337933BA">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6037FE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7F7B8726">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65B483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C8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427C503">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7ACB54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31A88C5A">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4FAAD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FEF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E9C412D">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40D24360">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3DAF99AD">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C442FC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09EC72D5">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01A2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B060F3B">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66E997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4148873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46073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A5711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850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56F1D4B">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6E2620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6BFA48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8B05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2C6D3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A1B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49186ACA">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1E50CF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7BFE7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4DDC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51022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592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D1237F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074E33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44425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2E9B0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EDBDB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B28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6B76021">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4D0CC8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D7E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0108C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A8888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21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F1DCAA5">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1543D9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76EDD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1092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D5FFD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CC1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CC9BA14">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04CF28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054FB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B368FB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00E80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ADE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E7A20D1">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403824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5210D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D3C87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B5F37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FC3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DF3B792">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07F0C8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924B6D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F3A4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7D9015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221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0893B9D">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5A6713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C108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6974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06E91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43AE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0D6F7B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4CB3B1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1FB85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710AF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C6FAF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534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C1E808E">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699ED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448F8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1871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948FB3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438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9B845AD">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1FB817AB">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2B00DAD2">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6E85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733DC766">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C44FBE0">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1075EE04">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6CCE285">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570867D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5FE488E">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214A675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C34B3D6">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2DF38E0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D777571">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64C6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1F079507">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06DDCF75">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6D3227BD">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37F95CB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E6E946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54" w:name="_Toc4753"/>
      <w:bookmarkStart w:id="555" w:name="_Toc15553"/>
      <w:bookmarkStart w:id="556" w:name="_Toc2501"/>
      <w:bookmarkStart w:id="557" w:name="_Toc17176"/>
      <w:bookmarkStart w:id="558" w:name="_Toc13663"/>
      <w:bookmarkStart w:id="559" w:name="_Toc25405"/>
      <w:bookmarkStart w:id="560" w:name="_Toc9011"/>
      <w:bookmarkStart w:id="561" w:name="_Toc19348"/>
      <w:bookmarkStart w:id="562" w:name="_Toc7157"/>
      <w:bookmarkStart w:id="563" w:name="_Toc25895"/>
      <w:bookmarkStart w:id="564" w:name="_Toc2217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54"/>
      <w:bookmarkEnd w:id="555"/>
      <w:bookmarkEnd w:id="556"/>
      <w:bookmarkEnd w:id="557"/>
      <w:bookmarkEnd w:id="558"/>
      <w:bookmarkEnd w:id="559"/>
      <w:bookmarkEnd w:id="560"/>
      <w:bookmarkEnd w:id="561"/>
      <w:bookmarkEnd w:id="562"/>
      <w:bookmarkEnd w:id="563"/>
      <w:bookmarkEnd w:id="564"/>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47165C55">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58AEA448">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51EFE25A">
      <w:pPr>
        <w:jc w:val="center"/>
        <w:rPr>
          <w:color w:val="000000" w:themeColor="text1"/>
          <w:sz w:val="32"/>
          <w:szCs w:val="32"/>
          <w:highlight w:val="none"/>
          <w14:textFill>
            <w14:solidFill>
              <w14:schemeClr w14:val="tx1"/>
            </w14:solidFill>
          </w14:textFill>
        </w:rPr>
      </w:pPr>
    </w:p>
    <w:tbl>
      <w:tblPr>
        <w:tblStyle w:val="16"/>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26AE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4FFA044A">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6D1DBF2E">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44E1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047CE13">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6EAFC681">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0A4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FA1331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6924E28E">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49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6A7108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3B2EBFA2">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r>
              <w:rPr>
                <w:rFonts w:hint="eastAsia"/>
                <w:color w:val="000000" w:themeColor="text1"/>
                <w:sz w:val="28"/>
                <w:szCs w:val="28"/>
                <w:highlight w:val="none"/>
                <w:lang w:eastAsia="zh-CN"/>
                <w14:textFill>
                  <w14:solidFill>
                    <w14:schemeClr w14:val="tx1"/>
                  </w14:solidFill>
                </w14:textFill>
              </w:rPr>
              <w:t>：</w:t>
            </w:r>
          </w:p>
        </w:tc>
      </w:tr>
      <w:tr w14:paraId="58FD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56D413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67C04326">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0B88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BB4185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118333D9">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089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5FCC4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259844B1">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21AA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7AA213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29C0BFDD">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14DB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9B724C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2AB97EA9">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1BE62BA4">
      <w:pPr>
        <w:jc w:val="center"/>
        <w:rPr>
          <w:color w:val="000000" w:themeColor="text1"/>
          <w:sz w:val="36"/>
          <w:szCs w:val="36"/>
          <w:highlight w:val="none"/>
          <w14:textFill>
            <w14:solidFill>
              <w14:schemeClr w14:val="tx1"/>
            </w14:solidFill>
          </w14:textFill>
        </w:rPr>
      </w:pPr>
    </w:p>
    <w:p w14:paraId="6EAB4361">
      <w:pPr>
        <w:jc w:val="center"/>
        <w:rPr>
          <w:rFonts w:ascii="宋体" w:hAnsi="宋体" w:cs="宋体"/>
          <w:color w:val="000000" w:themeColor="text1"/>
          <w:sz w:val="28"/>
          <w:szCs w:val="28"/>
          <w:highlight w:val="none"/>
          <w14:textFill>
            <w14:solidFill>
              <w14:schemeClr w14:val="tx1"/>
            </w14:solidFill>
          </w14:textFill>
        </w:rPr>
      </w:pPr>
    </w:p>
    <w:p w14:paraId="48A788C9">
      <w:pPr>
        <w:jc w:val="center"/>
        <w:rPr>
          <w:rFonts w:ascii="宋体" w:hAnsi="宋体" w:cs="宋体"/>
          <w:color w:val="000000" w:themeColor="text1"/>
          <w:sz w:val="28"/>
          <w:szCs w:val="28"/>
          <w:highlight w:val="none"/>
          <w14:textFill>
            <w14:solidFill>
              <w14:schemeClr w14:val="tx1"/>
            </w14:solidFill>
          </w14:textFill>
        </w:rPr>
      </w:pPr>
    </w:p>
    <w:p w14:paraId="780240C2">
      <w:pPr>
        <w:jc w:val="center"/>
        <w:rPr>
          <w:rFonts w:ascii="宋体" w:hAnsi="宋体" w:cs="宋体"/>
          <w:color w:val="000000" w:themeColor="text1"/>
          <w:sz w:val="28"/>
          <w:szCs w:val="28"/>
          <w:highlight w:val="none"/>
          <w14:textFill>
            <w14:solidFill>
              <w14:schemeClr w14:val="tx1"/>
            </w14:solidFill>
          </w14:textFill>
        </w:rPr>
      </w:pPr>
    </w:p>
    <w:p w14:paraId="0A3929EC">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2888591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565" w:name="_Toc5978"/>
      <w:bookmarkStart w:id="566" w:name="_Toc15934"/>
      <w:bookmarkStart w:id="567" w:name="_Toc17495"/>
      <w:bookmarkStart w:id="568" w:name="_Toc14730"/>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565"/>
      <w:bookmarkEnd w:id="566"/>
      <w:bookmarkEnd w:id="567"/>
      <w:bookmarkEnd w:id="568"/>
    </w:p>
    <w:p w14:paraId="03A8C69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4D43E2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5FC818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6A185D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CD5992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69" w:name="_Toc30249"/>
      <w:bookmarkStart w:id="570" w:name="_Toc23627"/>
      <w:bookmarkStart w:id="571" w:name="_Toc9387"/>
      <w:bookmarkStart w:id="572" w:name="_Toc1183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01"/>
      <w:bookmarkEnd w:id="502"/>
      <w:bookmarkEnd w:id="503"/>
      <w:bookmarkEnd w:id="504"/>
      <w:bookmarkEnd w:id="505"/>
      <w:bookmarkEnd w:id="506"/>
      <w:bookmarkEnd w:id="507"/>
      <w:bookmarkEnd w:id="569"/>
      <w:bookmarkEnd w:id="570"/>
      <w:bookmarkEnd w:id="571"/>
      <w:bookmarkEnd w:id="57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tbl>
      <w:tblPr>
        <w:tblStyle w:val="15"/>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42A5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440C19C2">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348A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2395930C">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421A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5141D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43FD489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43550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237AE7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EAB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A1FB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269619F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B633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503DC2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5A9D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0D59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4DC21A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10C5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28AB31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D71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BC9E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F7BD8E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E6B4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5DBA20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384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96A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12C26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A960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168ED8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8C5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4A2D0">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71857B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2272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2BC752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E9D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E6E8D">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A6E1FE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FBEF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034A06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220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6477E">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2269B7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7E1E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FCF12F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C4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53EC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608465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59DF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C2374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9D3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3764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3F8E16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2D9700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4BDA60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A82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9B51B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24C2EA0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A57404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26CAEF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87C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81809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E89794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5FA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036E705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2AEE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3AE49428">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55767E3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73" w:name="_Toc16390"/>
      <w:bookmarkStart w:id="574" w:name="_Toc5270"/>
    </w:p>
    <w:p w14:paraId="1CC77DA1">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75" w:name="_Toc2372"/>
      <w:bookmarkStart w:id="576" w:name="_Toc24471"/>
      <w:bookmarkStart w:id="577" w:name="_Toc6245"/>
      <w:bookmarkStart w:id="578" w:name="_Toc24935"/>
      <w:bookmarkStart w:id="579" w:name="_Toc25693"/>
      <w:bookmarkStart w:id="580" w:name="_Toc31140"/>
      <w:bookmarkStart w:id="581" w:name="_Toc22242"/>
      <w:bookmarkStart w:id="582" w:name="_Toc23748"/>
      <w:bookmarkStart w:id="583" w:name="_Toc27382"/>
      <w:bookmarkStart w:id="584" w:name="_Toc10211"/>
      <w:bookmarkStart w:id="585" w:name="_Toc12279"/>
      <w:bookmarkStart w:id="586" w:name="_Toc18032"/>
      <w:bookmarkStart w:id="587" w:name="_Toc4693"/>
      <w:bookmarkStart w:id="588" w:name="_Toc3138"/>
      <w:bookmarkStart w:id="589" w:name="_Toc2425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75"/>
      <w:bookmarkEnd w:id="576"/>
      <w:bookmarkEnd w:id="577"/>
      <w:bookmarkEnd w:id="578"/>
      <w:bookmarkEnd w:id="579"/>
      <w:bookmarkEnd w:id="580"/>
      <w:bookmarkEnd w:id="581"/>
      <w:bookmarkEnd w:id="582"/>
      <w:bookmarkEnd w:id="583"/>
      <w:bookmarkEnd w:id="584"/>
      <w:bookmarkEnd w:id="58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p w14:paraId="31D15683">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0A927C47">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lang w:eastAsia="zh-CN"/>
          <w14:textFill>
            <w14:solidFill>
              <w14:schemeClr w14:val="tx1"/>
            </w14:solidFill>
          </w14:textFill>
        </w:rPr>
        <w:t>：</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5"/>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5B36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6F8A088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0C363C04">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2AB5D4AB">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5BFB92D3">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2B7E9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41468997">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268F7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57F67400">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0E85FB8D">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27883F79">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34971ECD">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19485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712420F5">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3AA0E5D5">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3BC8B296">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5E04A587">
            <w:pPr>
              <w:spacing w:line="440" w:lineRule="atLeast"/>
              <w:jc w:val="center"/>
              <w:rPr>
                <w:rFonts w:hint="eastAsia"/>
                <w:color w:val="000000" w:themeColor="text1"/>
                <w:sz w:val="24"/>
                <w:highlight w:val="none"/>
                <w:lang w:eastAsia="zh-CN"/>
                <w14:textFill>
                  <w14:solidFill>
                    <w14:schemeClr w14:val="tx1"/>
                  </w14:solidFill>
                </w14:textFill>
              </w:rPr>
            </w:pPr>
          </w:p>
        </w:tc>
      </w:tr>
      <w:tr w14:paraId="719D4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1D85AA10">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46AE72C1">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17462A94">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7D9A5FF6">
            <w:pPr>
              <w:spacing w:line="440" w:lineRule="atLeast"/>
              <w:jc w:val="center"/>
              <w:rPr>
                <w:rFonts w:hint="eastAsia"/>
                <w:color w:val="000000" w:themeColor="text1"/>
                <w:sz w:val="24"/>
                <w:highlight w:val="none"/>
                <w:lang w:eastAsia="zh-CN"/>
                <w14:textFill>
                  <w14:solidFill>
                    <w14:schemeClr w14:val="tx1"/>
                  </w14:solidFill>
                </w14:textFill>
              </w:rPr>
            </w:pPr>
          </w:p>
        </w:tc>
      </w:tr>
      <w:tr w14:paraId="48CEF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463493AB">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2C38FA6D">
            <w:pPr>
              <w:spacing w:line="440" w:lineRule="atLeast"/>
              <w:jc w:val="center"/>
              <w:rPr>
                <w:rFonts w:hint="eastAsia"/>
                <w:color w:val="000000" w:themeColor="text1"/>
                <w:sz w:val="24"/>
                <w:highlight w:val="none"/>
                <w:lang w:val="en-US" w:eastAsia="zh-CN"/>
                <w14:textFill>
                  <w14:solidFill>
                    <w14:schemeClr w14:val="tx1"/>
                  </w14:solidFill>
                </w14:textFill>
              </w:rPr>
            </w:pPr>
          </w:p>
          <w:p w14:paraId="7534E331">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38132FB1">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401CEEA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BE9FBB8">
            <w:pPr>
              <w:spacing w:line="440" w:lineRule="atLeast"/>
              <w:jc w:val="center"/>
              <w:rPr>
                <w:rFonts w:hint="eastAsia"/>
                <w:color w:val="000000" w:themeColor="text1"/>
                <w:sz w:val="24"/>
                <w:highlight w:val="none"/>
                <w:lang w:eastAsia="zh-CN"/>
                <w14:textFill>
                  <w14:solidFill>
                    <w14:schemeClr w14:val="tx1"/>
                  </w14:solidFill>
                </w14:textFill>
              </w:rPr>
            </w:pPr>
          </w:p>
        </w:tc>
      </w:tr>
      <w:tr w14:paraId="3A1A8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38054B59">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3BD14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356CA0D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476EC7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1527F6A1">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4810735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E844C5">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2EAB1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B651EDF">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6B2DA0D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6CC91784">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5E83DD3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CB985A2">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66E65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D67A3B1">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A733E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1130E9E4">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2135589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407E9B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7C55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6F39D3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3A4114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19F78B1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4FA74A2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61ACF5D">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0FC4A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98964E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7A26E64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550C7AC1">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45AF56E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5946C3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CC13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F99CF1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5948C9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4D5D2F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61FE3DD3">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FFD051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78896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12F1724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1AFA2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24225800">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6B9CF8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69741A7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83EE81C">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CD0C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E5172B7">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5E1217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2EA33A4D">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3C745E71">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CBAC5DE">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E586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432D106">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C18E98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6C595AD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1F224A2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684E0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41D9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244CC2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672F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CD3DB5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164078B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04748BE">
            <w:pPr>
              <w:spacing w:line="440" w:lineRule="atLeast"/>
              <w:jc w:val="center"/>
              <w:rPr>
                <w:rFonts w:hint="eastAsia"/>
                <w:color w:val="000000" w:themeColor="text1"/>
                <w:sz w:val="24"/>
                <w:highlight w:val="none"/>
                <w:lang w:eastAsia="zh-CN"/>
                <w14:textFill>
                  <w14:solidFill>
                    <w14:schemeClr w14:val="tx1"/>
                  </w14:solidFill>
                </w14:textFill>
              </w:rPr>
            </w:pPr>
          </w:p>
        </w:tc>
      </w:tr>
      <w:tr w14:paraId="6B110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4A43DCD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0486F0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59313C52">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4EF1C1B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1B7689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D3F5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7FC2148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1C78C91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64604C1D">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74A4AA8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7C38B91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018C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967973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A375E2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48498676">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7195910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66F4016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4364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49193B5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47A392C2">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11203B19">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71B47A50">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0900862">
            <w:pPr>
              <w:spacing w:line="440" w:lineRule="atLeast"/>
              <w:jc w:val="center"/>
              <w:rPr>
                <w:rFonts w:hint="eastAsia"/>
                <w:color w:val="000000" w:themeColor="text1"/>
                <w:sz w:val="24"/>
                <w:highlight w:val="none"/>
                <w14:textFill>
                  <w14:solidFill>
                    <w14:schemeClr w14:val="tx1"/>
                  </w14:solidFill>
                </w14:textFill>
              </w:rPr>
            </w:pPr>
          </w:p>
        </w:tc>
      </w:tr>
      <w:tr w14:paraId="16076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1AAC1F3F">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331CA2EB">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3DA03054">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75D5AF7E">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7FE96C6D">
            <w:pPr>
              <w:spacing w:line="440" w:lineRule="atLeast"/>
              <w:jc w:val="center"/>
              <w:rPr>
                <w:rFonts w:hint="eastAsia"/>
                <w:color w:val="000000" w:themeColor="text1"/>
                <w:sz w:val="24"/>
                <w:highlight w:val="none"/>
                <w14:textFill>
                  <w14:solidFill>
                    <w14:schemeClr w14:val="tx1"/>
                  </w14:solidFill>
                </w14:textFill>
              </w:rPr>
            </w:pPr>
          </w:p>
        </w:tc>
      </w:tr>
    </w:tbl>
    <w:p w14:paraId="61A49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F7505A">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590"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9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542D0B48">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highlight w:val="none"/>
        </w:rPr>
      </w:pPr>
      <w:bookmarkStart w:id="591" w:name="_Toc9945"/>
      <w:bookmarkStart w:id="592" w:name="_Toc19900"/>
      <w:bookmarkStart w:id="593" w:name="_Toc12135"/>
      <w:bookmarkStart w:id="594" w:name="_Toc2087"/>
      <w:bookmarkStart w:id="595" w:name="_Toc21156"/>
      <w:r>
        <w:rPr>
          <w:rFonts w:hint="eastAsia" w:ascii="仿宋" w:hAnsi="仿宋" w:eastAsia="仿宋" w:cs="仿宋"/>
          <w:b/>
          <w:bCs/>
          <w:color w:val="000000"/>
          <w:spacing w:val="-4"/>
          <w:position w:val="21"/>
          <w:sz w:val="32"/>
          <w:szCs w:val="32"/>
          <w:highlight w:val="none"/>
          <w:lang w:val="en-US" w:eastAsia="zh-CN"/>
        </w:rPr>
        <w:t>工人工资发放</w:t>
      </w:r>
      <w:r>
        <w:rPr>
          <w:rFonts w:hint="eastAsia" w:ascii="仿宋" w:hAnsi="仿宋" w:eastAsia="仿宋" w:cs="仿宋"/>
          <w:b/>
          <w:bCs/>
          <w:color w:val="000000"/>
          <w:spacing w:val="-4"/>
          <w:position w:val="21"/>
          <w:sz w:val="32"/>
          <w:szCs w:val="32"/>
          <w:highlight w:val="none"/>
        </w:rPr>
        <w:t>承诺书</w:t>
      </w:r>
    </w:p>
    <w:p w14:paraId="6CDFDB19">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1FC3EB27">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578B563D">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742C806D">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8D8556C">
      <w:pPr>
        <w:keepNext w:val="0"/>
        <w:keepLines w:val="0"/>
        <w:pageBreakBefore w:val="0"/>
        <w:numPr>
          <w:ilvl w:val="0"/>
          <w:numId w:val="8"/>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233F3405">
      <w:pPr>
        <w:keepNext w:val="0"/>
        <w:keepLines w:val="0"/>
        <w:pageBreakBefore w:val="0"/>
        <w:widowControl/>
        <w:numPr>
          <w:ilvl w:val="0"/>
          <w:numId w:val="8"/>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我司承诺将无条件负责相应的善后工作及消除对贵司造成的不良影响。</w:t>
      </w:r>
    </w:p>
    <w:p w14:paraId="5D3EDA85">
      <w:pPr>
        <w:keepNext w:val="0"/>
        <w:keepLines w:val="0"/>
        <w:pageBreakBefore w:val="0"/>
        <w:widowControl/>
        <w:numPr>
          <w:ilvl w:val="0"/>
          <w:numId w:val="8"/>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6B36155A">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四、特别约定：</w:t>
      </w:r>
    </w:p>
    <w:p w14:paraId="5479CAF9">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******公司法定代表人</w:t>
      </w:r>
      <w:r>
        <w:rPr>
          <w:rFonts w:hint="eastAsia" w:ascii="仿宋" w:hAnsi="仿宋" w:eastAsia="仿宋" w:cs="仿宋"/>
          <w:color w:val="000000"/>
          <w:spacing w:val="8"/>
          <w:sz w:val="24"/>
          <w:szCs w:val="24"/>
          <w:highlight w:val="none"/>
          <w:u w:val="none"/>
          <w:lang w:val="en-US" w:eastAsia="zh-CN"/>
        </w:rPr>
        <w:t xml:space="preserve"> ****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）、实际控制人</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12E8746C">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特此承诺！</w:t>
      </w:r>
    </w:p>
    <w:p w14:paraId="6ACFC4E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附件1：《建筑工人工资表》（样表）；</w:t>
      </w:r>
    </w:p>
    <w:p w14:paraId="2A3A24B3">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附件2：各连带清偿人身份证正反面复印件。</w:t>
      </w:r>
    </w:p>
    <w:p w14:paraId="6F6CA10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692BE8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73A6827A">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38E3A649">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591"/>
    <w:bookmarkEnd w:id="592"/>
    <w:bookmarkEnd w:id="593"/>
    <w:bookmarkEnd w:id="594"/>
    <w:bookmarkEnd w:id="595"/>
    <w:p w14:paraId="3F78684B">
      <w:pPr>
        <w:jc w:val="right"/>
        <w:rPr>
          <w:rFonts w:hint="eastAsia" w:ascii="仿宋" w:hAnsi="仿宋" w:eastAsia="仿宋" w:cs="仿宋"/>
          <w:b/>
          <w:bCs w:val="0"/>
          <w:color w:val="auto"/>
          <w:sz w:val="40"/>
          <w:szCs w:val="40"/>
          <w:highlight w:val="none"/>
          <w:shd w:val="clear" w:color="auto" w:fill="auto"/>
          <w:lang w:val="en-US" w:eastAsia="zh-CN"/>
        </w:rPr>
        <w:sectPr>
          <w:footerReference r:id="rId6" w:type="default"/>
          <w:pgSz w:w="11906" w:h="16838"/>
          <w:pgMar w:top="1327" w:right="1080" w:bottom="1270" w:left="108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5"/>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06B7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2A9F8655">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6CDB478">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578F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4ADA94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219DE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2285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2424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532B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C15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154C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11A17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064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FE5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F90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7BF4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B603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DDC6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B7C7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3A8B3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614C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8285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93847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F789B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20543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74473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3201CA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F0E46B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4B8E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01F03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1D30ED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1F9F6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572A9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ED08BF1">
            <w:pPr>
              <w:jc w:val="center"/>
              <w:rPr>
                <w:rFonts w:hint="eastAsia" w:ascii="宋体" w:hAnsi="宋体" w:eastAsia="宋体" w:cs="宋体"/>
                <w:i w:val="0"/>
                <w:iCs w:val="0"/>
                <w:color w:val="auto"/>
                <w:sz w:val="20"/>
                <w:szCs w:val="20"/>
                <w:highlight w:val="none"/>
                <w:u w:val="none"/>
              </w:rPr>
            </w:pPr>
          </w:p>
        </w:tc>
      </w:tr>
      <w:tr w14:paraId="239C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B46E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AA387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E267F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512DF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257526">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451CED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D3F13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DF76CB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5D3ED5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8D7DC0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1D2F5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FBCC11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7552B82">
            <w:pPr>
              <w:jc w:val="center"/>
              <w:rPr>
                <w:rFonts w:hint="eastAsia" w:ascii="宋体" w:hAnsi="宋体" w:eastAsia="宋体" w:cs="宋体"/>
                <w:i w:val="0"/>
                <w:iCs w:val="0"/>
                <w:color w:val="auto"/>
                <w:sz w:val="20"/>
                <w:szCs w:val="20"/>
                <w:highlight w:val="none"/>
                <w:u w:val="none"/>
              </w:rPr>
            </w:pPr>
          </w:p>
        </w:tc>
      </w:tr>
      <w:tr w14:paraId="4BEF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E0E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04945D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30B34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07181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86A58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09B4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E45B8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06D669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6F1250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CFBD2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56739D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CD549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A460CF">
            <w:pPr>
              <w:jc w:val="center"/>
              <w:rPr>
                <w:rFonts w:hint="eastAsia" w:ascii="宋体" w:hAnsi="宋体" w:eastAsia="宋体" w:cs="宋体"/>
                <w:i w:val="0"/>
                <w:iCs w:val="0"/>
                <w:color w:val="auto"/>
                <w:sz w:val="20"/>
                <w:szCs w:val="20"/>
                <w:highlight w:val="none"/>
                <w:u w:val="none"/>
              </w:rPr>
            </w:pPr>
          </w:p>
        </w:tc>
      </w:tr>
      <w:tr w14:paraId="42E7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03A3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B146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9C2EC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68256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7E28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B6FDC1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FD7DC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D2A3A3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CB5F75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3D04C6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AAA2A0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33D20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01BD15">
            <w:pPr>
              <w:jc w:val="center"/>
              <w:rPr>
                <w:rFonts w:hint="eastAsia" w:ascii="宋体" w:hAnsi="宋体" w:eastAsia="宋体" w:cs="宋体"/>
                <w:i w:val="0"/>
                <w:iCs w:val="0"/>
                <w:color w:val="auto"/>
                <w:sz w:val="20"/>
                <w:szCs w:val="20"/>
                <w:highlight w:val="none"/>
                <w:u w:val="none"/>
              </w:rPr>
            </w:pPr>
          </w:p>
        </w:tc>
      </w:tr>
      <w:tr w14:paraId="05D2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6181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D0560F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A70AF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AA7CD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9EFD1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60BA8D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B73AEA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449A064">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BC1C86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9EAC8F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612C5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E2425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EE693D">
            <w:pPr>
              <w:jc w:val="center"/>
              <w:rPr>
                <w:rFonts w:hint="eastAsia" w:ascii="宋体" w:hAnsi="宋体" w:eastAsia="宋体" w:cs="宋体"/>
                <w:i w:val="0"/>
                <w:iCs w:val="0"/>
                <w:color w:val="auto"/>
                <w:sz w:val="20"/>
                <w:szCs w:val="20"/>
                <w:highlight w:val="none"/>
                <w:u w:val="none"/>
              </w:rPr>
            </w:pPr>
          </w:p>
        </w:tc>
      </w:tr>
      <w:tr w14:paraId="402F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8A15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6B3EAD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99F7E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AE7EB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D2F60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F9C159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39C26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BEFA56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6E1345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274B1C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9B4C75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A6B50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5F1723E">
            <w:pPr>
              <w:jc w:val="center"/>
              <w:rPr>
                <w:rFonts w:hint="eastAsia" w:ascii="宋体" w:hAnsi="宋体" w:eastAsia="宋体" w:cs="宋体"/>
                <w:i w:val="0"/>
                <w:iCs w:val="0"/>
                <w:color w:val="auto"/>
                <w:sz w:val="20"/>
                <w:szCs w:val="20"/>
                <w:highlight w:val="none"/>
                <w:u w:val="none"/>
              </w:rPr>
            </w:pPr>
          </w:p>
        </w:tc>
      </w:tr>
      <w:tr w14:paraId="223A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BD8F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3861AB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9DFB9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34CEA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E2A72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1E0A8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AAC133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1F4C26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B71EA8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EB6A51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F84451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87C3F3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37B4B9">
            <w:pPr>
              <w:jc w:val="center"/>
              <w:rPr>
                <w:rFonts w:hint="eastAsia" w:ascii="宋体" w:hAnsi="宋体" w:eastAsia="宋体" w:cs="宋体"/>
                <w:i w:val="0"/>
                <w:iCs w:val="0"/>
                <w:color w:val="auto"/>
                <w:sz w:val="20"/>
                <w:szCs w:val="20"/>
                <w:highlight w:val="none"/>
                <w:u w:val="none"/>
              </w:rPr>
            </w:pPr>
          </w:p>
        </w:tc>
      </w:tr>
      <w:tr w14:paraId="3F7D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1B76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3A21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430CB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6FD0C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F797E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C57FD9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21E97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2082ED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40FB13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BFFD68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04AA9A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79A2BE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1C14317">
            <w:pPr>
              <w:jc w:val="center"/>
              <w:rPr>
                <w:rFonts w:hint="eastAsia" w:ascii="宋体" w:hAnsi="宋体" w:eastAsia="宋体" w:cs="宋体"/>
                <w:i w:val="0"/>
                <w:iCs w:val="0"/>
                <w:color w:val="auto"/>
                <w:sz w:val="20"/>
                <w:szCs w:val="20"/>
                <w:highlight w:val="none"/>
                <w:u w:val="none"/>
              </w:rPr>
            </w:pPr>
          </w:p>
        </w:tc>
      </w:tr>
      <w:tr w14:paraId="19D0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A1F0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3526F9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B2997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FAFE4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113C4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D1C2F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5BBF4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D5BCA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1AEEF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E9412F1">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3DEF9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5288D8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4219B0">
            <w:pPr>
              <w:jc w:val="center"/>
              <w:rPr>
                <w:rFonts w:hint="eastAsia" w:ascii="宋体" w:hAnsi="宋体" w:eastAsia="宋体" w:cs="宋体"/>
                <w:i w:val="0"/>
                <w:iCs w:val="0"/>
                <w:color w:val="auto"/>
                <w:sz w:val="20"/>
                <w:szCs w:val="20"/>
                <w:highlight w:val="none"/>
                <w:u w:val="none"/>
              </w:rPr>
            </w:pPr>
          </w:p>
        </w:tc>
      </w:tr>
      <w:tr w14:paraId="2515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52BE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410F8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E09D9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52BAA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935D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7FCC79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9A1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5C681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A2057B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1AC191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14921F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1504A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CFE036">
            <w:pPr>
              <w:jc w:val="center"/>
              <w:rPr>
                <w:rFonts w:hint="eastAsia" w:ascii="宋体" w:hAnsi="宋体" w:eastAsia="宋体" w:cs="宋体"/>
                <w:i w:val="0"/>
                <w:iCs w:val="0"/>
                <w:color w:val="auto"/>
                <w:sz w:val="20"/>
                <w:szCs w:val="20"/>
                <w:highlight w:val="none"/>
                <w:u w:val="none"/>
              </w:rPr>
            </w:pPr>
          </w:p>
        </w:tc>
      </w:tr>
      <w:tr w14:paraId="060F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7946C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261A3E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2319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5BAE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7DE60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6B723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354ECA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2A012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C5CF28F">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E3332EA">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E7863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0656FC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139C26">
            <w:pPr>
              <w:jc w:val="center"/>
              <w:rPr>
                <w:rFonts w:hint="eastAsia" w:ascii="宋体" w:hAnsi="宋体" w:eastAsia="宋体" w:cs="宋体"/>
                <w:i w:val="0"/>
                <w:iCs w:val="0"/>
                <w:color w:val="auto"/>
                <w:sz w:val="20"/>
                <w:szCs w:val="20"/>
                <w:highlight w:val="none"/>
                <w:u w:val="none"/>
              </w:rPr>
            </w:pPr>
          </w:p>
        </w:tc>
      </w:tr>
      <w:tr w14:paraId="5FAE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A8A4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A4318D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28589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701F6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E61E0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EC131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F9BD34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426C8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9F9BFA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35B05E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B315C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F7272F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E4D298">
            <w:pPr>
              <w:jc w:val="center"/>
              <w:rPr>
                <w:rFonts w:hint="eastAsia" w:ascii="宋体" w:hAnsi="宋体" w:eastAsia="宋体" w:cs="宋体"/>
                <w:i w:val="0"/>
                <w:iCs w:val="0"/>
                <w:color w:val="auto"/>
                <w:sz w:val="20"/>
                <w:szCs w:val="20"/>
                <w:highlight w:val="none"/>
                <w:u w:val="none"/>
              </w:rPr>
            </w:pPr>
          </w:p>
        </w:tc>
      </w:tr>
      <w:tr w14:paraId="4484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ECB6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E507047">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DDCD0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85F4F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181EE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7E9F79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E2B6EB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DA1FB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01D20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9CE4C9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7A0DF2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0208C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1723A31">
            <w:pPr>
              <w:jc w:val="center"/>
              <w:rPr>
                <w:rFonts w:hint="eastAsia" w:ascii="宋体" w:hAnsi="宋体" w:eastAsia="宋体" w:cs="宋体"/>
                <w:i w:val="0"/>
                <w:iCs w:val="0"/>
                <w:color w:val="auto"/>
                <w:sz w:val="20"/>
                <w:szCs w:val="20"/>
                <w:highlight w:val="none"/>
                <w:u w:val="none"/>
              </w:rPr>
            </w:pPr>
          </w:p>
        </w:tc>
      </w:tr>
      <w:tr w14:paraId="77D1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EB2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86B05F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1DD7B8">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EC04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AD82A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967E08E">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8BB719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0C65F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39089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31F6C8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19EECD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6300A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0CC47D4">
            <w:pPr>
              <w:jc w:val="center"/>
              <w:rPr>
                <w:rFonts w:hint="eastAsia" w:ascii="宋体" w:hAnsi="宋体" w:eastAsia="宋体" w:cs="宋体"/>
                <w:i w:val="0"/>
                <w:iCs w:val="0"/>
                <w:color w:val="auto"/>
                <w:sz w:val="20"/>
                <w:szCs w:val="20"/>
                <w:highlight w:val="none"/>
                <w:u w:val="none"/>
              </w:rPr>
            </w:pPr>
          </w:p>
        </w:tc>
      </w:tr>
      <w:tr w14:paraId="1D3B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442C66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BD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177AC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CBC80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E2C70F8">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4989D86A">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7135B1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7743E6A9">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5A88A868">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26AB8B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7AB0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1D312B42">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0F6E69E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47D7E3F">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6C3D3320">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67501202">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6BC36791">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7D9F033C">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D1BBE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37A6C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4239F58">
      <w:pPr>
        <w:rPr>
          <w:highlight w:val="none"/>
        </w:rPr>
      </w:pPr>
    </w:p>
    <w:p w14:paraId="54AB6AE1">
      <w:pPr>
        <w:pStyle w:val="14"/>
        <w:tabs>
          <w:tab w:val="clear" w:pos="840"/>
        </w:tabs>
        <w:rPr>
          <w:highlight w:val="none"/>
        </w:rPr>
      </w:pPr>
    </w:p>
    <w:p w14:paraId="3148849C">
      <w:pPr>
        <w:pStyle w:val="14"/>
        <w:tabs>
          <w:tab w:val="clear" w:pos="840"/>
        </w:tabs>
        <w:rPr>
          <w:highlight w:val="none"/>
        </w:rPr>
      </w:pPr>
    </w:p>
    <w:p w14:paraId="7C267CE2">
      <w:pPr>
        <w:pStyle w:val="14"/>
        <w:tabs>
          <w:tab w:val="clear" w:pos="840"/>
        </w:tabs>
        <w:rPr>
          <w:highlight w:val="none"/>
        </w:rPr>
      </w:pPr>
    </w:p>
    <w:p w14:paraId="4338A34A">
      <w:pPr>
        <w:pStyle w:val="14"/>
        <w:tabs>
          <w:tab w:val="clear" w:pos="840"/>
        </w:tabs>
        <w:rPr>
          <w:highlight w:val="none"/>
        </w:rPr>
      </w:pPr>
    </w:p>
    <w:p w14:paraId="32C66AD9">
      <w:pPr>
        <w:pStyle w:val="14"/>
        <w:tabs>
          <w:tab w:val="clear" w:pos="840"/>
        </w:tabs>
        <w:rPr>
          <w:highlight w:val="none"/>
        </w:rPr>
      </w:pPr>
    </w:p>
    <w:p w14:paraId="4C8FB2B2">
      <w:pPr>
        <w:pStyle w:val="14"/>
        <w:tabs>
          <w:tab w:val="clear" w:pos="840"/>
        </w:tabs>
        <w:rPr>
          <w:highlight w:val="none"/>
        </w:rPr>
      </w:pPr>
    </w:p>
    <w:p w14:paraId="76D5DB5D">
      <w:pPr>
        <w:pStyle w:val="14"/>
        <w:tabs>
          <w:tab w:val="clear" w:pos="840"/>
        </w:tabs>
        <w:rPr>
          <w:highlight w:val="none"/>
        </w:rPr>
      </w:pPr>
    </w:p>
    <w:p w14:paraId="2EA1293F">
      <w:pPr>
        <w:pStyle w:val="14"/>
        <w:tabs>
          <w:tab w:val="clear" w:pos="840"/>
        </w:tabs>
        <w:rPr>
          <w:highlight w:val="none"/>
        </w:rPr>
      </w:pPr>
    </w:p>
    <w:p w14:paraId="292ABCF7">
      <w:pPr>
        <w:pStyle w:val="14"/>
        <w:tabs>
          <w:tab w:val="clear" w:pos="840"/>
        </w:tabs>
        <w:rPr>
          <w:highlight w:val="none"/>
        </w:rPr>
      </w:pPr>
    </w:p>
    <w:p w14:paraId="2AC18C14">
      <w:pPr>
        <w:pStyle w:val="14"/>
        <w:tabs>
          <w:tab w:val="clear" w:pos="840"/>
        </w:tabs>
        <w:rPr>
          <w:highlight w:val="none"/>
        </w:rPr>
      </w:pPr>
    </w:p>
    <w:p w14:paraId="6E72E622">
      <w:pPr>
        <w:pStyle w:val="14"/>
        <w:tabs>
          <w:tab w:val="clear" w:pos="840"/>
        </w:tabs>
        <w:rPr>
          <w:highlight w:val="none"/>
        </w:rPr>
      </w:pPr>
    </w:p>
    <w:p w14:paraId="2874DE5F">
      <w:pPr>
        <w:pStyle w:val="14"/>
        <w:tabs>
          <w:tab w:val="clear" w:pos="840"/>
        </w:tabs>
        <w:rPr>
          <w:highlight w:val="none"/>
        </w:rPr>
      </w:pPr>
    </w:p>
    <w:p w14:paraId="4D75DAC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p>
    <w:p w14:paraId="1229EBA9">
      <w:pPr>
        <w:pStyle w:val="14"/>
        <w:tabs>
          <w:tab w:val="clear" w:pos="840"/>
        </w:tabs>
        <w:rPr>
          <w:highlight w:val="none"/>
        </w:rPr>
      </w:pPr>
    </w:p>
    <w:p w14:paraId="0C57BB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6B82EA7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508E6CB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6DFBB08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1353777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7D4DD5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p>
    <w:p w14:paraId="12C0D1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2F4B384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2ED18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2EEA445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68F576E1">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5C8EF969">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u w:val="none"/>
          <w:lang w:val="en-US" w:eastAsia="zh-CN"/>
        </w:rPr>
        <w:t>XXX</w:t>
      </w:r>
    </w:p>
    <w:p w14:paraId="22D65262">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78F7566D">
      <w:pPr>
        <w:pStyle w:val="14"/>
        <w:tabs>
          <w:tab w:val="clear" w:pos="840"/>
        </w:tabs>
        <w:rPr>
          <w:highlight w:val="none"/>
        </w:rPr>
      </w:pPr>
    </w:p>
    <w:p w14:paraId="073E9EEC">
      <w:pPr>
        <w:keepNext w:val="0"/>
        <w:keepLines w:val="0"/>
        <w:pageBreakBefore w:val="0"/>
        <w:shd w:val="clear" w:color="auto" w:fill="auto"/>
        <w:overflowPunct/>
        <w:topLinePunct w:val="0"/>
        <w:bidi w:val="0"/>
        <w:snapToGrid w:val="0"/>
        <w:spacing w:line="360" w:lineRule="auto"/>
        <w:jc w:val="right"/>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FBAC0E7">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附件十一</w:t>
      </w:r>
    </w:p>
    <w:p w14:paraId="2C7E8D5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6BEBF9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53AEE48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3B961AE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4D8086E9">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94BBFEF">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6EF2CDE3">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596"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596"/>
    </w:p>
    <w:p w14:paraId="71157798">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7A5ADF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0EA97141">
      <w:pPr>
        <w:keepNext w:val="0"/>
        <w:keepLines w:val="0"/>
        <w:pageBreakBefore w:val="0"/>
        <w:widowControl w:val="0"/>
        <w:numPr>
          <w:ilvl w:val="0"/>
          <w:numId w:val="9"/>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4B90C0A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5E5E840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5D31715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6CB7B043">
      <w:pPr>
        <w:pStyle w:val="14"/>
        <w:keepNext w:val="0"/>
        <w:keepLines w:val="0"/>
        <w:pageBreakBefore w:val="0"/>
        <w:widowControl w:val="0"/>
        <w:tabs>
          <w:tab w:val="clear" w:pos="-116"/>
          <w:tab w:val="clear" w:pos="420"/>
        </w:tabs>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17FFB91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2768EB3C">
      <w:pPr>
        <w:pStyle w:val="14"/>
        <w:keepNext w:val="0"/>
        <w:keepLines w:val="0"/>
        <w:pageBreakBefore w:val="0"/>
        <w:widowControl w:val="0"/>
        <w:tabs>
          <w:tab w:val="clear" w:pos="-116"/>
          <w:tab w:val="clear" w:pos="420"/>
        </w:tabs>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247933E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263A59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495D95B6">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4B15F28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43FC7E2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1575B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66308E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A174DF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597" w:name="_Toc23399"/>
      <w:bookmarkStart w:id="598" w:name="_Toc3509"/>
      <w:bookmarkStart w:id="599" w:name="_Toc20082"/>
      <w:bookmarkStart w:id="600" w:name="_Toc260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573"/>
      <w:bookmarkEnd w:id="574"/>
      <w:bookmarkEnd w:id="586"/>
      <w:bookmarkEnd w:id="587"/>
      <w:bookmarkEnd w:id="588"/>
      <w:bookmarkEnd w:id="58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597"/>
      <w:bookmarkEnd w:id="598"/>
      <w:bookmarkEnd w:id="599"/>
      <w:bookmarkEnd w:id="600"/>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73B43DA7">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2765491D">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6D342E2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2B014F6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445B0F5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5E74744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01EE508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2B9C94CE">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49521F86">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57F6480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012DFB18">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378449D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声明单位：（全名称并盖公章） </w:t>
      </w:r>
    </w:p>
    <w:p w14:paraId="1708EB96">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1EF6D0B1">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35C2DAD2">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7C694C31">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61D8BC96">
      <w:pPr>
        <w:spacing w:line="360" w:lineRule="auto"/>
        <w:jc w:val="right"/>
        <w:rPr>
          <w:rFonts w:hint="eastAsia" w:ascii="宋体" w:hAnsi="宋体"/>
          <w:b/>
          <w:bCs/>
          <w:color w:val="auto"/>
          <w:sz w:val="36"/>
          <w:szCs w:val="36"/>
          <w:highlight w:val="none"/>
          <w:lang w:val="en-US" w:eastAsia="zh-CN"/>
        </w:rPr>
      </w:pPr>
    </w:p>
    <w:p w14:paraId="38ABEE04">
      <w:pPr>
        <w:spacing w:line="360" w:lineRule="auto"/>
        <w:jc w:val="right"/>
        <w:rPr>
          <w:rFonts w:hint="eastAsia" w:ascii="宋体" w:hAnsi="宋体"/>
          <w:b/>
          <w:bCs/>
          <w:color w:val="auto"/>
          <w:sz w:val="36"/>
          <w:szCs w:val="36"/>
          <w:highlight w:val="none"/>
          <w:lang w:val="en-US" w:eastAsia="zh-CN"/>
        </w:rPr>
      </w:pPr>
    </w:p>
    <w:p w14:paraId="4F7C250D">
      <w:pPr>
        <w:spacing w:line="360" w:lineRule="auto"/>
        <w:jc w:val="right"/>
        <w:rPr>
          <w:rFonts w:hint="eastAsia" w:ascii="宋体" w:hAnsi="宋体"/>
          <w:b/>
          <w:bCs/>
          <w:color w:val="auto"/>
          <w:sz w:val="36"/>
          <w:szCs w:val="36"/>
          <w:highlight w:val="none"/>
          <w:lang w:val="en-US" w:eastAsia="zh-CN"/>
        </w:rPr>
      </w:pPr>
    </w:p>
    <w:p w14:paraId="4359E476">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right"/>
        <w:textAlignment w:val="auto"/>
        <w:outlineLvl w:val="9"/>
        <w:rPr>
          <w:rFonts w:hint="eastAsia" w:ascii="仿宋" w:hAnsi="仿宋" w:eastAsia="仿宋" w:cs="仿宋"/>
          <w:b/>
          <w:bCs/>
          <w:color w:val="auto"/>
          <w:sz w:val="40"/>
          <w:szCs w:val="36"/>
          <w:highlight w:val="none"/>
          <w:lang w:val="en-US" w:eastAsia="zh-CN"/>
        </w:rPr>
      </w:pPr>
    </w:p>
    <w:p w14:paraId="2B04D091">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601" w:name="_Toc103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259"/>
      <w:bookmarkEnd w:id="260"/>
      <w:bookmarkEnd w:id="261"/>
      <w:bookmarkEnd w:id="262"/>
      <w:bookmarkEnd w:id="601"/>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p w14:paraId="40E2B360">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40ADF2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732A34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426EB111">
      <w:pPr>
        <w:keepNext w:val="0"/>
        <w:keepLines w:val="0"/>
        <w:pageBreakBefore w:val="0"/>
        <w:widowControl w:val="0"/>
        <w:kinsoku/>
        <w:wordWrap/>
        <w:overflowPunct/>
        <w:topLinePunct w:val="0"/>
        <w:autoSpaceDE/>
        <w:autoSpaceDN/>
        <w:bidi w:val="0"/>
        <w:adjustRightInd/>
        <w:snapToGrid w:val="0"/>
        <w:spacing w:line="360" w:lineRule="auto"/>
        <w:ind w:right="46" w:rightChars="22"/>
        <w:jc w:val="center"/>
        <w:textAlignment w:val="auto"/>
        <w:outlineLvl w:val="0"/>
        <w:rPr>
          <w:rFonts w:hint="eastAsia" w:ascii="宋体" w:hAnsi="宋体"/>
          <w:b/>
          <w:bCs/>
          <w:color w:val="auto"/>
          <w:sz w:val="32"/>
          <w:szCs w:val="32"/>
          <w:highlight w:val="none"/>
          <w:lang w:val="en-US" w:eastAsia="zh-CN"/>
        </w:rPr>
      </w:pPr>
      <w:r>
        <w:rPr>
          <w:rFonts w:hint="eastAsia" w:ascii="宋体" w:hAnsi="宋体"/>
          <w:b/>
          <w:bCs/>
          <w:color w:val="auto"/>
          <w:sz w:val="32"/>
          <w:szCs w:val="32"/>
          <w:highlight w:val="none"/>
          <w:lang w:val="en-US" w:eastAsia="zh-CN"/>
        </w:rPr>
        <w:t>（另行书面通知）</w:t>
      </w:r>
    </w:p>
    <w:p w14:paraId="2274550F">
      <w:pPr>
        <w:spacing w:line="360" w:lineRule="auto"/>
        <w:jc w:val="right"/>
        <w:rPr>
          <w:rFonts w:hint="eastAsia" w:ascii="宋体" w:hAnsi="宋体"/>
          <w:b/>
          <w:bCs/>
          <w:color w:val="auto"/>
          <w:sz w:val="32"/>
          <w:szCs w:val="32"/>
          <w:highlight w:val="none"/>
          <w:lang w:val="en-US" w:eastAsia="zh-CN"/>
        </w:rPr>
      </w:pPr>
    </w:p>
    <w:p w14:paraId="12C9530D">
      <w:pPr>
        <w:spacing w:line="360" w:lineRule="auto"/>
        <w:jc w:val="both"/>
        <w:rPr>
          <w:rFonts w:hint="eastAsia" w:ascii="宋体" w:hAnsi="宋体"/>
          <w:b/>
          <w:bCs/>
          <w:color w:val="auto"/>
          <w:sz w:val="32"/>
          <w:szCs w:val="32"/>
          <w:highlight w:val="none"/>
          <w:lang w:val="en-US" w:eastAsia="zh-CN"/>
        </w:rPr>
      </w:pPr>
    </w:p>
    <w:p w14:paraId="6D5588CF">
      <w:pPr>
        <w:spacing w:line="360" w:lineRule="auto"/>
        <w:jc w:val="right"/>
        <w:rPr>
          <w:rFonts w:hint="eastAsia" w:ascii="宋体" w:hAnsi="宋体"/>
          <w:b/>
          <w:bCs/>
          <w:color w:val="auto"/>
          <w:sz w:val="32"/>
          <w:szCs w:val="32"/>
          <w:highlight w:val="none"/>
          <w:lang w:val="en-US" w:eastAsia="zh-CN"/>
        </w:rPr>
      </w:pPr>
    </w:p>
    <w:p w14:paraId="5034FE97">
      <w:pPr>
        <w:spacing w:line="360" w:lineRule="auto"/>
        <w:jc w:val="right"/>
        <w:rPr>
          <w:rFonts w:hint="eastAsia" w:ascii="宋体" w:hAnsi="宋体"/>
          <w:b/>
          <w:bCs/>
          <w:color w:val="auto"/>
          <w:sz w:val="32"/>
          <w:szCs w:val="32"/>
          <w:highlight w:val="none"/>
          <w:lang w:val="en-US" w:eastAsia="zh-CN"/>
        </w:rPr>
      </w:pPr>
    </w:p>
    <w:p w14:paraId="267EF390">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sz w:val="24"/>
          <w:szCs w:val="24"/>
          <w:highlight w:val="none"/>
          <w:lang w:val="en-US" w:eastAsia="zh-CN"/>
        </w:rPr>
      </w:pPr>
    </w:p>
    <w:p w14:paraId="0D383EDD">
      <w:pPr>
        <w:pStyle w:val="14"/>
        <w:tabs>
          <w:tab w:val="clear" w:pos="840"/>
        </w:tabs>
        <w:rPr>
          <w:rFonts w:hint="default" w:ascii="宋体" w:hAnsi="宋体" w:eastAsia="宋体" w:cs="宋体"/>
          <w:color w:val="auto"/>
          <w:sz w:val="24"/>
          <w:szCs w:val="24"/>
          <w:highlight w:val="none"/>
          <w:lang w:val="en-US" w:eastAsia="zh-CN"/>
        </w:rPr>
      </w:pPr>
    </w:p>
    <w:p w14:paraId="246B565B">
      <w:pPr>
        <w:pStyle w:val="14"/>
        <w:rPr>
          <w:rFonts w:hint="eastAsia"/>
          <w:lang w:val="en-US" w:eastAsia="zh-CN"/>
        </w:rPr>
      </w:pPr>
    </w:p>
    <w:sectPr>
      <w:footerReference r:id="rId7" w:type="default"/>
      <w:pgSz w:w="11906" w:h="16838"/>
      <w:pgMar w:top="1361" w:right="1134" w:bottom="1247" w:left="1134" w:header="964" w:footer="567" w:gutter="0"/>
      <w:pgBorders>
        <w:top w:val="none" w:sz="0" w:space="0"/>
        <w:left w:val="none" w:sz="0" w:space="0"/>
        <w:bottom w:val="none" w:sz="0" w:space="0"/>
        <w:right w:val="none" w:sz="0" w:space="0"/>
      </w:pgBorders>
      <w:pgNumType w:fmt="decimal" w:start="56"/>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2A88">
    <w:pPr>
      <w:pStyle w:val="8"/>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B2A5E">
    <w:pPr>
      <w:pStyle w:val="8"/>
    </w:pPr>
  </w:p>
  <w:p w14:paraId="156AC446">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B3C7">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C386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CC3869">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5889F668">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40A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34E14">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3234E14">
                    <w:pPr>
                      <w:pStyle w:val="8"/>
                    </w:pPr>
                    <w:r>
                      <w:fldChar w:fldCharType="begin"/>
                    </w:r>
                    <w:r>
                      <w:instrText xml:space="preserve"> PAGE  \* MERGEFORMAT </w:instrText>
                    </w:r>
                    <w:r>
                      <w:fldChar w:fldCharType="separate"/>
                    </w:r>
                    <w:r>
                      <w:t>56</w:t>
                    </w:r>
                    <w:r>
                      <w:fldChar w:fldCharType="end"/>
                    </w:r>
                  </w:p>
                </w:txbxContent>
              </v:textbox>
            </v:shape>
          </w:pict>
        </mc:Fallback>
      </mc:AlternateContent>
    </w:r>
  </w:p>
  <w:p w14:paraId="3AF4BB1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708A3">
    <w:pPr>
      <w:pStyle w:val="9"/>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60184"/>
    <w:multiLevelType w:val="singleLevel"/>
    <w:tmpl w:val="99560184"/>
    <w:lvl w:ilvl="0" w:tentative="0">
      <w:start w:val="1"/>
      <w:numFmt w:val="decimalEnclosedCircleChinese"/>
      <w:suff w:val="space"/>
      <w:lvlText w:val="%1"/>
      <w:lvlJc w:val="left"/>
      <w:rPr>
        <w:rFonts w:hint="eastAsia"/>
      </w:rPr>
    </w:lvl>
  </w:abstractNum>
  <w:abstractNum w:abstractNumId="1">
    <w:nsid w:val="AA26E733"/>
    <w:multiLevelType w:val="singleLevel"/>
    <w:tmpl w:val="AA26E733"/>
    <w:lvl w:ilvl="0" w:tentative="0">
      <w:start w:val="1"/>
      <w:numFmt w:val="chineseCounting"/>
      <w:suff w:val="space"/>
      <w:lvlText w:val="第%1部分"/>
      <w:lvlJc w:val="left"/>
      <w:rPr>
        <w:rFonts w:hint="eastAsia"/>
      </w:rPr>
    </w:lvl>
  </w:abstractNum>
  <w:abstractNum w:abstractNumId="2">
    <w:nsid w:val="BFE14D08"/>
    <w:multiLevelType w:val="singleLevel"/>
    <w:tmpl w:val="BFE14D08"/>
    <w:lvl w:ilvl="0" w:tentative="0">
      <w:start w:val="1"/>
      <w:numFmt w:val="chineseCounting"/>
      <w:suff w:val="nothing"/>
      <w:lvlText w:val="第%1章、"/>
      <w:lvlJc w:val="left"/>
      <w:rPr>
        <w:rFonts w:hint="eastAsia"/>
      </w:rPr>
    </w:lvl>
  </w:abstractNum>
  <w:abstractNum w:abstractNumId="3">
    <w:nsid w:val="C3353515"/>
    <w:multiLevelType w:val="singleLevel"/>
    <w:tmpl w:val="C3353515"/>
    <w:lvl w:ilvl="0" w:tentative="0">
      <w:start w:val="1"/>
      <w:numFmt w:val="decimal"/>
      <w:suff w:val="nothing"/>
      <w:lvlText w:val="（%1）"/>
      <w:lvlJc w:val="left"/>
    </w:lvl>
  </w:abstractNum>
  <w:abstractNum w:abstractNumId="4">
    <w:nsid w:val="EF8D7EDD"/>
    <w:multiLevelType w:val="singleLevel"/>
    <w:tmpl w:val="EF8D7EDD"/>
    <w:lvl w:ilvl="0" w:tentative="0">
      <w:start w:val="1"/>
      <w:numFmt w:val="chineseCounting"/>
      <w:suff w:val="nothing"/>
      <w:lvlText w:val="%1、"/>
      <w:lvlJc w:val="left"/>
      <w:rPr>
        <w:rFonts w:hint="eastAsia"/>
      </w:rPr>
    </w:lvl>
  </w:abstractNum>
  <w:abstractNum w:abstractNumId="5">
    <w:nsid w:val="0EC079B0"/>
    <w:multiLevelType w:val="singleLevel"/>
    <w:tmpl w:val="0EC079B0"/>
    <w:lvl w:ilvl="0" w:tentative="0">
      <w:start w:val="1"/>
      <w:numFmt w:val="decimal"/>
      <w:suff w:val="nothing"/>
      <w:lvlText w:val="%1、"/>
      <w:lvlJc w:val="left"/>
    </w:lvl>
  </w:abstractNum>
  <w:abstractNum w:abstractNumId="6">
    <w:nsid w:val="3D044A19"/>
    <w:multiLevelType w:val="singleLevel"/>
    <w:tmpl w:val="3D044A19"/>
    <w:lvl w:ilvl="0" w:tentative="0">
      <w:start w:val="1"/>
      <w:numFmt w:val="chineseCounting"/>
      <w:suff w:val="nothing"/>
      <w:lvlText w:val="第%1章、"/>
      <w:lvlJc w:val="left"/>
      <w:rPr>
        <w:rFonts w:hint="eastAsia"/>
      </w:rPr>
    </w:lvl>
  </w:abstractNum>
  <w:abstractNum w:abstractNumId="7">
    <w:nsid w:val="4A455E5B"/>
    <w:multiLevelType w:val="singleLevel"/>
    <w:tmpl w:val="4A455E5B"/>
    <w:lvl w:ilvl="0" w:tentative="0">
      <w:start w:val="1"/>
      <w:numFmt w:val="decimal"/>
      <w:suff w:val="nothing"/>
      <w:lvlText w:val="（%1）"/>
      <w:lvlJc w:val="left"/>
    </w:lvl>
  </w:abstractNum>
  <w:abstractNum w:abstractNumId="8">
    <w:nsid w:val="763669C7"/>
    <w:multiLevelType w:val="singleLevel"/>
    <w:tmpl w:val="763669C7"/>
    <w:lvl w:ilvl="0" w:tentative="0">
      <w:start w:val="1"/>
      <w:numFmt w:val="decimal"/>
      <w:suff w:val="nothing"/>
      <w:lvlText w:val="%1、"/>
      <w:lvlJc w:val="left"/>
    </w:lvl>
  </w:abstractNum>
  <w:num w:numId="1">
    <w:abstractNumId w:val="1"/>
  </w:num>
  <w:num w:numId="2">
    <w:abstractNumId w:val="2"/>
  </w:num>
  <w:num w:numId="3">
    <w:abstractNumId w:val="3"/>
  </w:num>
  <w:num w:numId="4">
    <w:abstractNumId w:val="6"/>
  </w:num>
  <w:num w:numId="5">
    <w:abstractNumId w:val="7"/>
  </w:num>
  <w:num w:numId="6">
    <w:abstractNumId w:val="0"/>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Nzg0ZDE1ZjI5YzY0YjcwMzc3YWFjNzM4OTY4NGIifQ=="/>
    <w:docVar w:name="KSO_WPS_MARK_KEY" w:val="3e6183d2-6170-4c9f-9194-9e1f6c12a256"/>
  </w:docVars>
  <w:rsids>
    <w:rsidRoot w:val="00172A27"/>
    <w:rsid w:val="000118A6"/>
    <w:rsid w:val="00014E71"/>
    <w:rsid w:val="00070351"/>
    <w:rsid w:val="00163894"/>
    <w:rsid w:val="00190047"/>
    <w:rsid w:val="00203180"/>
    <w:rsid w:val="00203CC0"/>
    <w:rsid w:val="00213CF6"/>
    <w:rsid w:val="00381040"/>
    <w:rsid w:val="00387CA6"/>
    <w:rsid w:val="003F5F2A"/>
    <w:rsid w:val="005373E8"/>
    <w:rsid w:val="00592882"/>
    <w:rsid w:val="006730BA"/>
    <w:rsid w:val="00693CB3"/>
    <w:rsid w:val="0078136E"/>
    <w:rsid w:val="008102F1"/>
    <w:rsid w:val="00895C57"/>
    <w:rsid w:val="008B3493"/>
    <w:rsid w:val="009224FE"/>
    <w:rsid w:val="009450A4"/>
    <w:rsid w:val="009530E3"/>
    <w:rsid w:val="00AA5B35"/>
    <w:rsid w:val="00AE31A0"/>
    <w:rsid w:val="00B35E9C"/>
    <w:rsid w:val="00B970C4"/>
    <w:rsid w:val="00BC3A1F"/>
    <w:rsid w:val="00BF7D50"/>
    <w:rsid w:val="00C01140"/>
    <w:rsid w:val="00C14B6F"/>
    <w:rsid w:val="00C70D2C"/>
    <w:rsid w:val="00C94BA8"/>
    <w:rsid w:val="00CA1002"/>
    <w:rsid w:val="00CB30A1"/>
    <w:rsid w:val="00D25D47"/>
    <w:rsid w:val="00DF5360"/>
    <w:rsid w:val="00E1609D"/>
    <w:rsid w:val="00E178E3"/>
    <w:rsid w:val="00E95BC4"/>
    <w:rsid w:val="00ED202F"/>
    <w:rsid w:val="00F30062"/>
    <w:rsid w:val="00F474E7"/>
    <w:rsid w:val="010A1348"/>
    <w:rsid w:val="011E0CCE"/>
    <w:rsid w:val="013730A5"/>
    <w:rsid w:val="0147153B"/>
    <w:rsid w:val="01510F6A"/>
    <w:rsid w:val="015765E3"/>
    <w:rsid w:val="01813F60"/>
    <w:rsid w:val="01B5752C"/>
    <w:rsid w:val="01B6046E"/>
    <w:rsid w:val="01BF37C7"/>
    <w:rsid w:val="01C04E49"/>
    <w:rsid w:val="01D26D8C"/>
    <w:rsid w:val="01D9415D"/>
    <w:rsid w:val="021C600F"/>
    <w:rsid w:val="022C24DE"/>
    <w:rsid w:val="02391BF0"/>
    <w:rsid w:val="024C0DD3"/>
    <w:rsid w:val="024E1742"/>
    <w:rsid w:val="024F7C95"/>
    <w:rsid w:val="02587777"/>
    <w:rsid w:val="02820350"/>
    <w:rsid w:val="02854A8C"/>
    <w:rsid w:val="028873DB"/>
    <w:rsid w:val="02994018"/>
    <w:rsid w:val="029D34AA"/>
    <w:rsid w:val="02A9480A"/>
    <w:rsid w:val="02B63659"/>
    <w:rsid w:val="02BF77F6"/>
    <w:rsid w:val="02D55869"/>
    <w:rsid w:val="02D768EE"/>
    <w:rsid w:val="02E1776D"/>
    <w:rsid w:val="02FE1B0B"/>
    <w:rsid w:val="033E696D"/>
    <w:rsid w:val="03630182"/>
    <w:rsid w:val="036D65A5"/>
    <w:rsid w:val="03800D34"/>
    <w:rsid w:val="03C341C1"/>
    <w:rsid w:val="03EE2CEC"/>
    <w:rsid w:val="03FB7C54"/>
    <w:rsid w:val="040B4A77"/>
    <w:rsid w:val="04277401"/>
    <w:rsid w:val="04332207"/>
    <w:rsid w:val="04340622"/>
    <w:rsid w:val="04910D1F"/>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C4A8C"/>
    <w:rsid w:val="052027CE"/>
    <w:rsid w:val="05216546"/>
    <w:rsid w:val="053022E6"/>
    <w:rsid w:val="053F5954"/>
    <w:rsid w:val="054F4E62"/>
    <w:rsid w:val="05657FDC"/>
    <w:rsid w:val="056B1570"/>
    <w:rsid w:val="059B1E55"/>
    <w:rsid w:val="05A101F3"/>
    <w:rsid w:val="05AB5E10"/>
    <w:rsid w:val="05D56967"/>
    <w:rsid w:val="05E732EC"/>
    <w:rsid w:val="05FA2136"/>
    <w:rsid w:val="064A0EA5"/>
    <w:rsid w:val="06530982"/>
    <w:rsid w:val="06706AD8"/>
    <w:rsid w:val="06976105"/>
    <w:rsid w:val="06A66D03"/>
    <w:rsid w:val="06D31393"/>
    <w:rsid w:val="06DC2F7F"/>
    <w:rsid w:val="06ED4932"/>
    <w:rsid w:val="06F832D7"/>
    <w:rsid w:val="070B125C"/>
    <w:rsid w:val="071716FC"/>
    <w:rsid w:val="07181283"/>
    <w:rsid w:val="071B1643"/>
    <w:rsid w:val="07311721"/>
    <w:rsid w:val="073F4A62"/>
    <w:rsid w:val="0749768F"/>
    <w:rsid w:val="07513FB1"/>
    <w:rsid w:val="07580BE5"/>
    <w:rsid w:val="075D56E6"/>
    <w:rsid w:val="076A3F72"/>
    <w:rsid w:val="07740BAF"/>
    <w:rsid w:val="077E558A"/>
    <w:rsid w:val="07B436A2"/>
    <w:rsid w:val="07B9513E"/>
    <w:rsid w:val="07C02047"/>
    <w:rsid w:val="07E13D6B"/>
    <w:rsid w:val="07E31891"/>
    <w:rsid w:val="07F41CF0"/>
    <w:rsid w:val="07F61040"/>
    <w:rsid w:val="07FC5C21"/>
    <w:rsid w:val="081B54CF"/>
    <w:rsid w:val="081B70BC"/>
    <w:rsid w:val="083A6C4A"/>
    <w:rsid w:val="084731D1"/>
    <w:rsid w:val="085547A4"/>
    <w:rsid w:val="085C7B8E"/>
    <w:rsid w:val="089112ED"/>
    <w:rsid w:val="08A6123D"/>
    <w:rsid w:val="08B374B6"/>
    <w:rsid w:val="08BC34BB"/>
    <w:rsid w:val="08D04EA3"/>
    <w:rsid w:val="08D1580F"/>
    <w:rsid w:val="08F24A3C"/>
    <w:rsid w:val="08FA1588"/>
    <w:rsid w:val="090207D6"/>
    <w:rsid w:val="091A7535"/>
    <w:rsid w:val="094F7E28"/>
    <w:rsid w:val="09757AB5"/>
    <w:rsid w:val="09760B9C"/>
    <w:rsid w:val="099A1CCF"/>
    <w:rsid w:val="09A56C91"/>
    <w:rsid w:val="09A82D92"/>
    <w:rsid w:val="09C46844"/>
    <w:rsid w:val="09C94AB7"/>
    <w:rsid w:val="09E22A5D"/>
    <w:rsid w:val="09E87633"/>
    <w:rsid w:val="09FB1114"/>
    <w:rsid w:val="09FB55B8"/>
    <w:rsid w:val="09FB7366"/>
    <w:rsid w:val="09FF6F98"/>
    <w:rsid w:val="0A2118B5"/>
    <w:rsid w:val="0A454A85"/>
    <w:rsid w:val="0A5922DF"/>
    <w:rsid w:val="0A60366D"/>
    <w:rsid w:val="0A7964DD"/>
    <w:rsid w:val="0A9A5DF0"/>
    <w:rsid w:val="0ACE6829"/>
    <w:rsid w:val="0AD62B48"/>
    <w:rsid w:val="0AE30F3A"/>
    <w:rsid w:val="0AFA3582"/>
    <w:rsid w:val="0B187BFF"/>
    <w:rsid w:val="0B3C1D27"/>
    <w:rsid w:val="0B3D2BA6"/>
    <w:rsid w:val="0B70650A"/>
    <w:rsid w:val="0B7A69B0"/>
    <w:rsid w:val="0B9D61FB"/>
    <w:rsid w:val="0BB84DE3"/>
    <w:rsid w:val="0BB93035"/>
    <w:rsid w:val="0BD92D6E"/>
    <w:rsid w:val="0BD95485"/>
    <w:rsid w:val="0BDB7D38"/>
    <w:rsid w:val="0C125258"/>
    <w:rsid w:val="0C177688"/>
    <w:rsid w:val="0C1D2B00"/>
    <w:rsid w:val="0C4D2770"/>
    <w:rsid w:val="0C727688"/>
    <w:rsid w:val="0C7927C4"/>
    <w:rsid w:val="0C8E44C1"/>
    <w:rsid w:val="0C9B273A"/>
    <w:rsid w:val="0CBC5C8A"/>
    <w:rsid w:val="0CC04DC6"/>
    <w:rsid w:val="0CC9374C"/>
    <w:rsid w:val="0CCA5228"/>
    <w:rsid w:val="0CCC7052"/>
    <w:rsid w:val="0CD65E68"/>
    <w:rsid w:val="0CE1709F"/>
    <w:rsid w:val="0D006A41"/>
    <w:rsid w:val="0D0522AA"/>
    <w:rsid w:val="0D077DD0"/>
    <w:rsid w:val="0D0B0EE3"/>
    <w:rsid w:val="0D186481"/>
    <w:rsid w:val="0D4536A9"/>
    <w:rsid w:val="0D6042F4"/>
    <w:rsid w:val="0D723345"/>
    <w:rsid w:val="0D8B6C53"/>
    <w:rsid w:val="0D9553DC"/>
    <w:rsid w:val="0D964F5E"/>
    <w:rsid w:val="0DAE068F"/>
    <w:rsid w:val="0DAE649D"/>
    <w:rsid w:val="0DBB3044"/>
    <w:rsid w:val="0DD51C7C"/>
    <w:rsid w:val="0DD56120"/>
    <w:rsid w:val="0DD63101"/>
    <w:rsid w:val="0DD95C10"/>
    <w:rsid w:val="0DEF4AF4"/>
    <w:rsid w:val="0DF51C0D"/>
    <w:rsid w:val="0DFE67C9"/>
    <w:rsid w:val="0E060087"/>
    <w:rsid w:val="0E0D6E79"/>
    <w:rsid w:val="0E2055ED"/>
    <w:rsid w:val="0E236E8B"/>
    <w:rsid w:val="0E40102B"/>
    <w:rsid w:val="0E464928"/>
    <w:rsid w:val="0E4741D7"/>
    <w:rsid w:val="0E4806A0"/>
    <w:rsid w:val="0E5205B9"/>
    <w:rsid w:val="0E575B4B"/>
    <w:rsid w:val="0E590AFF"/>
    <w:rsid w:val="0E753A46"/>
    <w:rsid w:val="0E7C1046"/>
    <w:rsid w:val="0EA63619"/>
    <w:rsid w:val="0EB8792A"/>
    <w:rsid w:val="0EBC61DF"/>
    <w:rsid w:val="0EC341CA"/>
    <w:rsid w:val="0EDD34DE"/>
    <w:rsid w:val="0EFD148A"/>
    <w:rsid w:val="0F0A3692"/>
    <w:rsid w:val="0F0E18EA"/>
    <w:rsid w:val="0F3050A6"/>
    <w:rsid w:val="0F465E76"/>
    <w:rsid w:val="0F56503F"/>
    <w:rsid w:val="0F706264"/>
    <w:rsid w:val="0F9A1418"/>
    <w:rsid w:val="0FA17752"/>
    <w:rsid w:val="0FB22358"/>
    <w:rsid w:val="0FD57629"/>
    <w:rsid w:val="0FDC5544"/>
    <w:rsid w:val="10233C5D"/>
    <w:rsid w:val="10352EA6"/>
    <w:rsid w:val="108674CF"/>
    <w:rsid w:val="10922D88"/>
    <w:rsid w:val="109E0A4B"/>
    <w:rsid w:val="10A145F0"/>
    <w:rsid w:val="10A14840"/>
    <w:rsid w:val="10A23752"/>
    <w:rsid w:val="10C82C31"/>
    <w:rsid w:val="10CD2622"/>
    <w:rsid w:val="10D80992"/>
    <w:rsid w:val="10F352AD"/>
    <w:rsid w:val="11034D52"/>
    <w:rsid w:val="11126856"/>
    <w:rsid w:val="11243FFF"/>
    <w:rsid w:val="113718BF"/>
    <w:rsid w:val="11407F98"/>
    <w:rsid w:val="11557E4D"/>
    <w:rsid w:val="11565855"/>
    <w:rsid w:val="11665A0D"/>
    <w:rsid w:val="11743B70"/>
    <w:rsid w:val="1188642D"/>
    <w:rsid w:val="11902C28"/>
    <w:rsid w:val="119D1F55"/>
    <w:rsid w:val="11D01CF9"/>
    <w:rsid w:val="11EB7CC0"/>
    <w:rsid w:val="11FC60EA"/>
    <w:rsid w:val="12077CFA"/>
    <w:rsid w:val="121B43BF"/>
    <w:rsid w:val="12271A49"/>
    <w:rsid w:val="122907E8"/>
    <w:rsid w:val="124205D1"/>
    <w:rsid w:val="12613ED3"/>
    <w:rsid w:val="12635AA8"/>
    <w:rsid w:val="12696E37"/>
    <w:rsid w:val="126E62DF"/>
    <w:rsid w:val="127952CC"/>
    <w:rsid w:val="12A30FD7"/>
    <w:rsid w:val="12AA36D7"/>
    <w:rsid w:val="12CD386A"/>
    <w:rsid w:val="12F901BB"/>
    <w:rsid w:val="130D422A"/>
    <w:rsid w:val="130F3E82"/>
    <w:rsid w:val="13165211"/>
    <w:rsid w:val="132E143F"/>
    <w:rsid w:val="13471AD0"/>
    <w:rsid w:val="134753CA"/>
    <w:rsid w:val="134C478E"/>
    <w:rsid w:val="135B5878"/>
    <w:rsid w:val="13781A27"/>
    <w:rsid w:val="13826402"/>
    <w:rsid w:val="13845E89"/>
    <w:rsid w:val="13877EBC"/>
    <w:rsid w:val="13985C26"/>
    <w:rsid w:val="139D15ED"/>
    <w:rsid w:val="13B14F39"/>
    <w:rsid w:val="13E97B32"/>
    <w:rsid w:val="14092680"/>
    <w:rsid w:val="14226B92"/>
    <w:rsid w:val="14301B15"/>
    <w:rsid w:val="14530591"/>
    <w:rsid w:val="14564D5E"/>
    <w:rsid w:val="14661880"/>
    <w:rsid w:val="14726477"/>
    <w:rsid w:val="14870CC8"/>
    <w:rsid w:val="1492781C"/>
    <w:rsid w:val="14942891"/>
    <w:rsid w:val="1499025C"/>
    <w:rsid w:val="149B6797"/>
    <w:rsid w:val="14B678F8"/>
    <w:rsid w:val="14C41530"/>
    <w:rsid w:val="14C9686C"/>
    <w:rsid w:val="14E07884"/>
    <w:rsid w:val="14F15522"/>
    <w:rsid w:val="150337D5"/>
    <w:rsid w:val="1504174F"/>
    <w:rsid w:val="15084B3F"/>
    <w:rsid w:val="152135DE"/>
    <w:rsid w:val="152F6751"/>
    <w:rsid w:val="1553452D"/>
    <w:rsid w:val="15542020"/>
    <w:rsid w:val="156F29B6"/>
    <w:rsid w:val="157E0E4B"/>
    <w:rsid w:val="158263AD"/>
    <w:rsid w:val="158A77F0"/>
    <w:rsid w:val="158F501B"/>
    <w:rsid w:val="159452FD"/>
    <w:rsid w:val="15A9794A"/>
    <w:rsid w:val="15B036FB"/>
    <w:rsid w:val="15B14B22"/>
    <w:rsid w:val="15BA33B1"/>
    <w:rsid w:val="15CD0276"/>
    <w:rsid w:val="15E16D7A"/>
    <w:rsid w:val="15E46F00"/>
    <w:rsid w:val="15F1750E"/>
    <w:rsid w:val="15FA6724"/>
    <w:rsid w:val="15FE0734"/>
    <w:rsid w:val="16041350"/>
    <w:rsid w:val="16151C72"/>
    <w:rsid w:val="161A23FF"/>
    <w:rsid w:val="161F43DC"/>
    <w:rsid w:val="16290B92"/>
    <w:rsid w:val="16297009"/>
    <w:rsid w:val="16411B20"/>
    <w:rsid w:val="165C2217"/>
    <w:rsid w:val="167069E6"/>
    <w:rsid w:val="167D7D71"/>
    <w:rsid w:val="169F1079"/>
    <w:rsid w:val="16A3500D"/>
    <w:rsid w:val="16A362C6"/>
    <w:rsid w:val="16B36AE1"/>
    <w:rsid w:val="16C15493"/>
    <w:rsid w:val="16E42F30"/>
    <w:rsid w:val="16ED4897"/>
    <w:rsid w:val="16FE0496"/>
    <w:rsid w:val="172A0C99"/>
    <w:rsid w:val="174C7453"/>
    <w:rsid w:val="174D0264"/>
    <w:rsid w:val="17822E75"/>
    <w:rsid w:val="179A1DCD"/>
    <w:rsid w:val="17A15E0B"/>
    <w:rsid w:val="17AF1790"/>
    <w:rsid w:val="17B402E8"/>
    <w:rsid w:val="17C400EA"/>
    <w:rsid w:val="17DE3E23"/>
    <w:rsid w:val="17E53404"/>
    <w:rsid w:val="17EC5092"/>
    <w:rsid w:val="17F90C5D"/>
    <w:rsid w:val="18005C8D"/>
    <w:rsid w:val="1811244B"/>
    <w:rsid w:val="18187335"/>
    <w:rsid w:val="181D494B"/>
    <w:rsid w:val="183C2E3A"/>
    <w:rsid w:val="183D3240"/>
    <w:rsid w:val="18416A30"/>
    <w:rsid w:val="185B7321"/>
    <w:rsid w:val="186E09C7"/>
    <w:rsid w:val="18876948"/>
    <w:rsid w:val="188E5849"/>
    <w:rsid w:val="18937310"/>
    <w:rsid w:val="189E4F3F"/>
    <w:rsid w:val="18C83A9F"/>
    <w:rsid w:val="18F224FA"/>
    <w:rsid w:val="18FC77C6"/>
    <w:rsid w:val="190D49C0"/>
    <w:rsid w:val="191D4341"/>
    <w:rsid w:val="19206CA1"/>
    <w:rsid w:val="19265A82"/>
    <w:rsid w:val="1938288F"/>
    <w:rsid w:val="193C37AA"/>
    <w:rsid w:val="193D3C3C"/>
    <w:rsid w:val="193E360F"/>
    <w:rsid w:val="194C25DA"/>
    <w:rsid w:val="19597C05"/>
    <w:rsid w:val="195C344B"/>
    <w:rsid w:val="195C7136"/>
    <w:rsid w:val="197762DD"/>
    <w:rsid w:val="19786A87"/>
    <w:rsid w:val="198B5F6F"/>
    <w:rsid w:val="19A05834"/>
    <w:rsid w:val="19A1648E"/>
    <w:rsid w:val="19AE6C9F"/>
    <w:rsid w:val="19B1359D"/>
    <w:rsid w:val="19B24E93"/>
    <w:rsid w:val="19B25567"/>
    <w:rsid w:val="19B7455F"/>
    <w:rsid w:val="19DB4ABE"/>
    <w:rsid w:val="1A015E61"/>
    <w:rsid w:val="1A0667DD"/>
    <w:rsid w:val="1A1B00A3"/>
    <w:rsid w:val="1A2A15A2"/>
    <w:rsid w:val="1A366BD3"/>
    <w:rsid w:val="1A402B73"/>
    <w:rsid w:val="1A903AFB"/>
    <w:rsid w:val="1AA475A6"/>
    <w:rsid w:val="1AC11F06"/>
    <w:rsid w:val="1ACC0721"/>
    <w:rsid w:val="1B022F94"/>
    <w:rsid w:val="1B2B4344"/>
    <w:rsid w:val="1B310517"/>
    <w:rsid w:val="1B3C1FFD"/>
    <w:rsid w:val="1B7B7127"/>
    <w:rsid w:val="1B9118D8"/>
    <w:rsid w:val="1BA16335"/>
    <w:rsid w:val="1BA57132"/>
    <w:rsid w:val="1BA6218E"/>
    <w:rsid w:val="1BAD5FE6"/>
    <w:rsid w:val="1BB13D28"/>
    <w:rsid w:val="1BC13DCC"/>
    <w:rsid w:val="1BDF0508"/>
    <w:rsid w:val="1BE177E6"/>
    <w:rsid w:val="1BEE6D2B"/>
    <w:rsid w:val="1BF5598D"/>
    <w:rsid w:val="1C0148AF"/>
    <w:rsid w:val="1C116575"/>
    <w:rsid w:val="1C305105"/>
    <w:rsid w:val="1C485D0F"/>
    <w:rsid w:val="1C4A1A87"/>
    <w:rsid w:val="1C547B70"/>
    <w:rsid w:val="1C700BEF"/>
    <w:rsid w:val="1C7B17FA"/>
    <w:rsid w:val="1C896A53"/>
    <w:rsid w:val="1C972259"/>
    <w:rsid w:val="1C9D20E2"/>
    <w:rsid w:val="1CA05B4B"/>
    <w:rsid w:val="1CAF0157"/>
    <w:rsid w:val="1CB11B06"/>
    <w:rsid w:val="1CBF2781"/>
    <w:rsid w:val="1CC306E9"/>
    <w:rsid w:val="1CD70D11"/>
    <w:rsid w:val="1CDF09E4"/>
    <w:rsid w:val="1CF42E6E"/>
    <w:rsid w:val="1CF70848"/>
    <w:rsid w:val="1D085BCA"/>
    <w:rsid w:val="1D0D1432"/>
    <w:rsid w:val="1D104A7F"/>
    <w:rsid w:val="1D1074B6"/>
    <w:rsid w:val="1D444728"/>
    <w:rsid w:val="1D52005B"/>
    <w:rsid w:val="1D7711E5"/>
    <w:rsid w:val="1D7E60AC"/>
    <w:rsid w:val="1D8D5398"/>
    <w:rsid w:val="1DC36C05"/>
    <w:rsid w:val="1DD26A50"/>
    <w:rsid w:val="1DEB0CCB"/>
    <w:rsid w:val="1DFB128B"/>
    <w:rsid w:val="1E052B8D"/>
    <w:rsid w:val="1E0D7210"/>
    <w:rsid w:val="1E2A7D44"/>
    <w:rsid w:val="1E611A53"/>
    <w:rsid w:val="1E641526"/>
    <w:rsid w:val="1E67154A"/>
    <w:rsid w:val="1E6B19BE"/>
    <w:rsid w:val="1E8A02A3"/>
    <w:rsid w:val="1E933BB9"/>
    <w:rsid w:val="1E9E3807"/>
    <w:rsid w:val="1ECE2E43"/>
    <w:rsid w:val="1EE518CA"/>
    <w:rsid w:val="1EF1268E"/>
    <w:rsid w:val="1EFE4EDD"/>
    <w:rsid w:val="1F026649"/>
    <w:rsid w:val="1F1464D9"/>
    <w:rsid w:val="1F176598"/>
    <w:rsid w:val="1F2C4506"/>
    <w:rsid w:val="1F417171"/>
    <w:rsid w:val="1F437CC6"/>
    <w:rsid w:val="1F444EB4"/>
    <w:rsid w:val="1F4F074B"/>
    <w:rsid w:val="1F5A6485"/>
    <w:rsid w:val="1F6B5C4E"/>
    <w:rsid w:val="1F881E32"/>
    <w:rsid w:val="1F8D23B7"/>
    <w:rsid w:val="1FB45B95"/>
    <w:rsid w:val="1FC3519E"/>
    <w:rsid w:val="1FC61487"/>
    <w:rsid w:val="1FD405FC"/>
    <w:rsid w:val="1FF57B15"/>
    <w:rsid w:val="201C6394"/>
    <w:rsid w:val="202076CF"/>
    <w:rsid w:val="202D3B9A"/>
    <w:rsid w:val="20305F21"/>
    <w:rsid w:val="203B28A1"/>
    <w:rsid w:val="204A474C"/>
    <w:rsid w:val="20542ED4"/>
    <w:rsid w:val="2063580D"/>
    <w:rsid w:val="20644136"/>
    <w:rsid w:val="20695B32"/>
    <w:rsid w:val="207B343E"/>
    <w:rsid w:val="20801F1B"/>
    <w:rsid w:val="208D0084"/>
    <w:rsid w:val="20994D8B"/>
    <w:rsid w:val="20B35E4D"/>
    <w:rsid w:val="20BB73F7"/>
    <w:rsid w:val="20CF6A27"/>
    <w:rsid w:val="20D364EF"/>
    <w:rsid w:val="20DB1848"/>
    <w:rsid w:val="20DE6C42"/>
    <w:rsid w:val="20E95E3C"/>
    <w:rsid w:val="20EC75B1"/>
    <w:rsid w:val="20EF2BFD"/>
    <w:rsid w:val="21260D15"/>
    <w:rsid w:val="212C2C54"/>
    <w:rsid w:val="212C428E"/>
    <w:rsid w:val="212E52ED"/>
    <w:rsid w:val="2144119B"/>
    <w:rsid w:val="215D109F"/>
    <w:rsid w:val="215E090F"/>
    <w:rsid w:val="21613AFB"/>
    <w:rsid w:val="2164771A"/>
    <w:rsid w:val="216A13BE"/>
    <w:rsid w:val="21735A99"/>
    <w:rsid w:val="2177331E"/>
    <w:rsid w:val="21837F15"/>
    <w:rsid w:val="219A78C7"/>
    <w:rsid w:val="21A8557E"/>
    <w:rsid w:val="21CE3BBD"/>
    <w:rsid w:val="21D02A2F"/>
    <w:rsid w:val="21E55344"/>
    <w:rsid w:val="21E9116B"/>
    <w:rsid w:val="220B1CB9"/>
    <w:rsid w:val="220B2782"/>
    <w:rsid w:val="220F05CF"/>
    <w:rsid w:val="22205764"/>
    <w:rsid w:val="225275BA"/>
    <w:rsid w:val="225E003A"/>
    <w:rsid w:val="227B299A"/>
    <w:rsid w:val="227E692E"/>
    <w:rsid w:val="228E4923"/>
    <w:rsid w:val="228F6446"/>
    <w:rsid w:val="22910410"/>
    <w:rsid w:val="22A363ED"/>
    <w:rsid w:val="22AE65BE"/>
    <w:rsid w:val="22B63195"/>
    <w:rsid w:val="22BC4220"/>
    <w:rsid w:val="22E5250A"/>
    <w:rsid w:val="22F369D5"/>
    <w:rsid w:val="22F616B5"/>
    <w:rsid w:val="22FD0E5C"/>
    <w:rsid w:val="230778C7"/>
    <w:rsid w:val="231A510B"/>
    <w:rsid w:val="23331187"/>
    <w:rsid w:val="235F1197"/>
    <w:rsid w:val="235F406A"/>
    <w:rsid w:val="236A7616"/>
    <w:rsid w:val="236F7F68"/>
    <w:rsid w:val="2374647C"/>
    <w:rsid w:val="237C3267"/>
    <w:rsid w:val="23A21A79"/>
    <w:rsid w:val="23BC326A"/>
    <w:rsid w:val="23BD72DF"/>
    <w:rsid w:val="23BF2528"/>
    <w:rsid w:val="23DA1E7B"/>
    <w:rsid w:val="23E629DD"/>
    <w:rsid w:val="23E7405F"/>
    <w:rsid w:val="23EA5501"/>
    <w:rsid w:val="24156E1F"/>
    <w:rsid w:val="2417794A"/>
    <w:rsid w:val="243E45C7"/>
    <w:rsid w:val="2475240E"/>
    <w:rsid w:val="247955FF"/>
    <w:rsid w:val="24961E78"/>
    <w:rsid w:val="24AD5A93"/>
    <w:rsid w:val="24B56686"/>
    <w:rsid w:val="24BD3F2F"/>
    <w:rsid w:val="24D665AE"/>
    <w:rsid w:val="25201F1F"/>
    <w:rsid w:val="25207829"/>
    <w:rsid w:val="25275932"/>
    <w:rsid w:val="254C15F2"/>
    <w:rsid w:val="256A6BDA"/>
    <w:rsid w:val="256E456D"/>
    <w:rsid w:val="257D3EAF"/>
    <w:rsid w:val="257D68C9"/>
    <w:rsid w:val="258A399C"/>
    <w:rsid w:val="25AE72ED"/>
    <w:rsid w:val="25B34B41"/>
    <w:rsid w:val="26086C3B"/>
    <w:rsid w:val="261920D8"/>
    <w:rsid w:val="261B0492"/>
    <w:rsid w:val="26254703"/>
    <w:rsid w:val="262D7F52"/>
    <w:rsid w:val="26415CA9"/>
    <w:rsid w:val="26492DAF"/>
    <w:rsid w:val="264D0AF2"/>
    <w:rsid w:val="26571970"/>
    <w:rsid w:val="26655E3B"/>
    <w:rsid w:val="26E75394"/>
    <w:rsid w:val="26EA6552"/>
    <w:rsid w:val="26EF4335"/>
    <w:rsid w:val="270B4948"/>
    <w:rsid w:val="27215AAC"/>
    <w:rsid w:val="2723400E"/>
    <w:rsid w:val="273E668C"/>
    <w:rsid w:val="274041B2"/>
    <w:rsid w:val="27594AEA"/>
    <w:rsid w:val="27763E18"/>
    <w:rsid w:val="27767BD4"/>
    <w:rsid w:val="27A5262E"/>
    <w:rsid w:val="27B8643F"/>
    <w:rsid w:val="27C132F1"/>
    <w:rsid w:val="27CB7D80"/>
    <w:rsid w:val="27CD1F54"/>
    <w:rsid w:val="27D85841"/>
    <w:rsid w:val="27D86AE1"/>
    <w:rsid w:val="27DD7C53"/>
    <w:rsid w:val="27E014F2"/>
    <w:rsid w:val="281F201A"/>
    <w:rsid w:val="28201DDD"/>
    <w:rsid w:val="283F090E"/>
    <w:rsid w:val="2844798D"/>
    <w:rsid w:val="28691716"/>
    <w:rsid w:val="288307FB"/>
    <w:rsid w:val="28C45AE6"/>
    <w:rsid w:val="28C64B8B"/>
    <w:rsid w:val="28CD5F1A"/>
    <w:rsid w:val="28D366FF"/>
    <w:rsid w:val="28D9669A"/>
    <w:rsid w:val="28DF697D"/>
    <w:rsid w:val="2900094D"/>
    <w:rsid w:val="291458F7"/>
    <w:rsid w:val="294C6E3F"/>
    <w:rsid w:val="29763EBB"/>
    <w:rsid w:val="297B7724"/>
    <w:rsid w:val="29826D04"/>
    <w:rsid w:val="29B6075C"/>
    <w:rsid w:val="29D532D8"/>
    <w:rsid w:val="29EE6148"/>
    <w:rsid w:val="29FB219D"/>
    <w:rsid w:val="2A157B78"/>
    <w:rsid w:val="2A513F3A"/>
    <w:rsid w:val="2A5A558B"/>
    <w:rsid w:val="2A6B59EA"/>
    <w:rsid w:val="2A6C2FBF"/>
    <w:rsid w:val="2A7D127A"/>
    <w:rsid w:val="2A8D5961"/>
    <w:rsid w:val="2A957654"/>
    <w:rsid w:val="2AAD1B5F"/>
    <w:rsid w:val="2AB0164F"/>
    <w:rsid w:val="2AD92954"/>
    <w:rsid w:val="2AEA2DB3"/>
    <w:rsid w:val="2AEC6B2B"/>
    <w:rsid w:val="2B0139C3"/>
    <w:rsid w:val="2B0B4446"/>
    <w:rsid w:val="2B0B5F38"/>
    <w:rsid w:val="2B230BF3"/>
    <w:rsid w:val="2B471FB3"/>
    <w:rsid w:val="2B88437A"/>
    <w:rsid w:val="2B88534B"/>
    <w:rsid w:val="2BA6088A"/>
    <w:rsid w:val="2BB4516F"/>
    <w:rsid w:val="2BCD2F8E"/>
    <w:rsid w:val="2BE27F2E"/>
    <w:rsid w:val="2BE55328"/>
    <w:rsid w:val="2BFF463C"/>
    <w:rsid w:val="2C0E487F"/>
    <w:rsid w:val="2C161986"/>
    <w:rsid w:val="2C180916"/>
    <w:rsid w:val="2C1E35F3"/>
    <w:rsid w:val="2C35005E"/>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43CB8"/>
    <w:rsid w:val="2CF96C08"/>
    <w:rsid w:val="2CFF066C"/>
    <w:rsid w:val="2D2360D5"/>
    <w:rsid w:val="2D3575D7"/>
    <w:rsid w:val="2D392A9A"/>
    <w:rsid w:val="2D3F2720"/>
    <w:rsid w:val="2D6A3D37"/>
    <w:rsid w:val="2D8017AD"/>
    <w:rsid w:val="2D895D38"/>
    <w:rsid w:val="2DB43204"/>
    <w:rsid w:val="2DB54923"/>
    <w:rsid w:val="2DBF6A28"/>
    <w:rsid w:val="2DC75DE6"/>
    <w:rsid w:val="2DD04934"/>
    <w:rsid w:val="2DDB4BC1"/>
    <w:rsid w:val="2DDD3FC1"/>
    <w:rsid w:val="2E0F2B31"/>
    <w:rsid w:val="2E1F17F1"/>
    <w:rsid w:val="2E220AB6"/>
    <w:rsid w:val="2E2465DC"/>
    <w:rsid w:val="2E255EB0"/>
    <w:rsid w:val="2E3A7D96"/>
    <w:rsid w:val="2E4427DA"/>
    <w:rsid w:val="2E5C5D76"/>
    <w:rsid w:val="2E5D389C"/>
    <w:rsid w:val="2E5D477B"/>
    <w:rsid w:val="2E630C84"/>
    <w:rsid w:val="2E641B42"/>
    <w:rsid w:val="2E650F7F"/>
    <w:rsid w:val="2E837111"/>
    <w:rsid w:val="2E84600A"/>
    <w:rsid w:val="2E956466"/>
    <w:rsid w:val="2EAB0AAB"/>
    <w:rsid w:val="2EBF37A7"/>
    <w:rsid w:val="2EBF4B0B"/>
    <w:rsid w:val="2ED26038"/>
    <w:rsid w:val="2ED86F63"/>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4E5F54"/>
    <w:rsid w:val="30644D23"/>
    <w:rsid w:val="30894E1C"/>
    <w:rsid w:val="30957468"/>
    <w:rsid w:val="30B05F05"/>
    <w:rsid w:val="30CD3408"/>
    <w:rsid w:val="30CF4EA4"/>
    <w:rsid w:val="30DA5678"/>
    <w:rsid w:val="30F57DBC"/>
    <w:rsid w:val="30FA3624"/>
    <w:rsid w:val="31002A27"/>
    <w:rsid w:val="310A4AEB"/>
    <w:rsid w:val="310D2023"/>
    <w:rsid w:val="313308E4"/>
    <w:rsid w:val="314D7BF8"/>
    <w:rsid w:val="3163741B"/>
    <w:rsid w:val="31662CD4"/>
    <w:rsid w:val="31857392"/>
    <w:rsid w:val="318E1BB8"/>
    <w:rsid w:val="319475D5"/>
    <w:rsid w:val="319976C6"/>
    <w:rsid w:val="319A711F"/>
    <w:rsid w:val="31A15954"/>
    <w:rsid w:val="31C375C8"/>
    <w:rsid w:val="31E33FB1"/>
    <w:rsid w:val="31E75151"/>
    <w:rsid w:val="320643AF"/>
    <w:rsid w:val="32130E41"/>
    <w:rsid w:val="322841C1"/>
    <w:rsid w:val="322D6302"/>
    <w:rsid w:val="32562ADC"/>
    <w:rsid w:val="32632A63"/>
    <w:rsid w:val="326F46E0"/>
    <w:rsid w:val="327A3BC6"/>
    <w:rsid w:val="327D450D"/>
    <w:rsid w:val="327F745D"/>
    <w:rsid w:val="3284589B"/>
    <w:rsid w:val="328E671A"/>
    <w:rsid w:val="32962C35"/>
    <w:rsid w:val="32990C1B"/>
    <w:rsid w:val="32C24615"/>
    <w:rsid w:val="32CB013A"/>
    <w:rsid w:val="32D3412D"/>
    <w:rsid w:val="32DA017D"/>
    <w:rsid w:val="32E4458C"/>
    <w:rsid w:val="32E8120D"/>
    <w:rsid w:val="32F347CF"/>
    <w:rsid w:val="32F848CB"/>
    <w:rsid w:val="33007B2E"/>
    <w:rsid w:val="330306C4"/>
    <w:rsid w:val="330B1B18"/>
    <w:rsid w:val="331134D2"/>
    <w:rsid w:val="331D1161"/>
    <w:rsid w:val="33372EAB"/>
    <w:rsid w:val="3341378C"/>
    <w:rsid w:val="334C66DF"/>
    <w:rsid w:val="33596103"/>
    <w:rsid w:val="335C4122"/>
    <w:rsid w:val="335D1989"/>
    <w:rsid w:val="336F1756"/>
    <w:rsid w:val="33721B98"/>
    <w:rsid w:val="33786E01"/>
    <w:rsid w:val="337A0A4C"/>
    <w:rsid w:val="338056EA"/>
    <w:rsid w:val="33911204"/>
    <w:rsid w:val="33AF3D68"/>
    <w:rsid w:val="33AF6666"/>
    <w:rsid w:val="33BE6F4E"/>
    <w:rsid w:val="33C63C91"/>
    <w:rsid w:val="33CB572B"/>
    <w:rsid w:val="33CE657B"/>
    <w:rsid w:val="33EA3E24"/>
    <w:rsid w:val="33EC7B9C"/>
    <w:rsid w:val="33FB0977"/>
    <w:rsid w:val="34034EE6"/>
    <w:rsid w:val="340842AA"/>
    <w:rsid w:val="341C53BA"/>
    <w:rsid w:val="342C131A"/>
    <w:rsid w:val="34312EC5"/>
    <w:rsid w:val="344A041F"/>
    <w:rsid w:val="347C39A8"/>
    <w:rsid w:val="34847DD4"/>
    <w:rsid w:val="34853B4C"/>
    <w:rsid w:val="3493296C"/>
    <w:rsid w:val="34AE30A3"/>
    <w:rsid w:val="34B34723"/>
    <w:rsid w:val="34E41339"/>
    <w:rsid w:val="34EB6364"/>
    <w:rsid w:val="34F565DC"/>
    <w:rsid w:val="35132F06"/>
    <w:rsid w:val="35373099"/>
    <w:rsid w:val="3538296D"/>
    <w:rsid w:val="354B444E"/>
    <w:rsid w:val="354E440C"/>
    <w:rsid w:val="356F6F29"/>
    <w:rsid w:val="358A766C"/>
    <w:rsid w:val="358B2CE3"/>
    <w:rsid w:val="358C26FA"/>
    <w:rsid w:val="359C4C4F"/>
    <w:rsid w:val="35BE2E72"/>
    <w:rsid w:val="35C32BDC"/>
    <w:rsid w:val="35D5640E"/>
    <w:rsid w:val="3610064D"/>
    <w:rsid w:val="36401AD9"/>
    <w:rsid w:val="364610BA"/>
    <w:rsid w:val="36724494"/>
    <w:rsid w:val="3679649B"/>
    <w:rsid w:val="367D0F7F"/>
    <w:rsid w:val="36826C31"/>
    <w:rsid w:val="368F0CBF"/>
    <w:rsid w:val="36916FED"/>
    <w:rsid w:val="36A469C4"/>
    <w:rsid w:val="36A521D9"/>
    <w:rsid w:val="36F55EAA"/>
    <w:rsid w:val="370F0532"/>
    <w:rsid w:val="372B09DB"/>
    <w:rsid w:val="374E0226"/>
    <w:rsid w:val="37763F45"/>
    <w:rsid w:val="3784095E"/>
    <w:rsid w:val="37895E9F"/>
    <w:rsid w:val="37E40B8A"/>
    <w:rsid w:val="37EA2644"/>
    <w:rsid w:val="37EB1F18"/>
    <w:rsid w:val="38044D88"/>
    <w:rsid w:val="3806031D"/>
    <w:rsid w:val="382C513A"/>
    <w:rsid w:val="38417D8A"/>
    <w:rsid w:val="3842422E"/>
    <w:rsid w:val="3847643D"/>
    <w:rsid w:val="38526F7A"/>
    <w:rsid w:val="387243E8"/>
    <w:rsid w:val="387A2F34"/>
    <w:rsid w:val="387C555A"/>
    <w:rsid w:val="387E2D8D"/>
    <w:rsid w:val="389C521D"/>
    <w:rsid w:val="38E52970"/>
    <w:rsid w:val="38EA21D0"/>
    <w:rsid w:val="38F24DE8"/>
    <w:rsid w:val="38F372D7"/>
    <w:rsid w:val="38F65019"/>
    <w:rsid w:val="38FB43DD"/>
    <w:rsid w:val="3946752A"/>
    <w:rsid w:val="39641F82"/>
    <w:rsid w:val="39684912"/>
    <w:rsid w:val="397441F3"/>
    <w:rsid w:val="39764E9F"/>
    <w:rsid w:val="3984789B"/>
    <w:rsid w:val="398919E9"/>
    <w:rsid w:val="39A16C97"/>
    <w:rsid w:val="39A24859"/>
    <w:rsid w:val="39A56B84"/>
    <w:rsid w:val="39A77BB2"/>
    <w:rsid w:val="39AD5743"/>
    <w:rsid w:val="39BE5B37"/>
    <w:rsid w:val="39CD1EE3"/>
    <w:rsid w:val="39CD78A2"/>
    <w:rsid w:val="39D1471A"/>
    <w:rsid w:val="39ED6FFB"/>
    <w:rsid w:val="39F63332"/>
    <w:rsid w:val="3A19507F"/>
    <w:rsid w:val="3A67104B"/>
    <w:rsid w:val="3A81200E"/>
    <w:rsid w:val="3A850402"/>
    <w:rsid w:val="3A975B5D"/>
    <w:rsid w:val="3A9C399E"/>
    <w:rsid w:val="3AA52E29"/>
    <w:rsid w:val="3AA91B3C"/>
    <w:rsid w:val="3ABB7AA2"/>
    <w:rsid w:val="3AD1189A"/>
    <w:rsid w:val="3AD62A0C"/>
    <w:rsid w:val="3AFD68A7"/>
    <w:rsid w:val="3B1F45BC"/>
    <w:rsid w:val="3B255741"/>
    <w:rsid w:val="3B345984"/>
    <w:rsid w:val="3B36794F"/>
    <w:rsid w:val="3B367AA6"/>
    <w:rsid w:val="3B437161"/>
    <w:rsid w:val="3B506C62"/>
    <w:rsid w:val="3B514FD2"/>
    <w:rsid w:val="3B5A7643"/>
    <w:rsid w:val="3B6224F2"/>
    <w:rsid w:val="3B693880"/>
    <w:rsid w:val="3B755389"/>
    <w:rsid w:val="3B854AB6"/>
    <w:rsid w:val="3B8B7B2D"/>
    <w:rsid w:val="3B8E1539"/>
    <w:rsid w:val="3B9D177C"/>
    <w:rsid w:val="3BA046F2"/>
    <w:rsid w:val="3BA50630"/>
    <w:rsid w:val="3BD80550"/>
    <w:rsid w:val="3BE56E1B"/>
    <w:rsid w:val="3BED2DB3"/>
    <w:rsid w:val="3BFD2535"/>
    <w:rsid w:val="3C215F09"/>
    <w:rsid w:val="3C4075D1"/>
    <w:rsid w:val="3C436B55"/>
    <w:rsid w:val="3C5502A8"/>
    <w:rsid w:val="3C595E61"/>
    <w:rsid w:val="3C622D83"/>
    <w:rsid w:val="3C7324DC"/>
    <w:rsid w:val="3C920830"/>
    <w:rsid w:val="3CAA7145"/>
    <w:rsid w:val="3CB74ABF"/>
    <w:rsid w:val="3CBC6D81"/>
    <w:rsid w:val="3CC0618E"/>
    <w:rsid w:val="3CC35212"/>
    <w:rsid w:val="3CC828E4"/>
    <w:rsid w:val="3CD14C56"/>
    <w:rsid w:val="3CD25455"/>
    <w:rsid w:val="3CD87391"/>
    <w:rsid w:val="3D1D70A7"/>
    <w:rsid w:val="3D2263DC"/>
    <w:rsid w:val="3D2736E7"/>
    <w:rsid w:val="3D2C1009"/>
    <w:rsid w:val="3D3C1DEC"/>
    <w:rsid w:val="3D451409"/>
    <w:rsid w:val="3D502922"/>
    <w:rsid w:val="3D605157"/>
    <w:rsid w:val="3DD05E38"/>
    <w:rsid w:val="3DE042EE"/>
    <w:rsid w:val="3DE60DD6"/>
    <w:rsid w:val="3E004349"/>
    <w:rsid w:val="3E0F7B1D"/>
    <w:rsid w:val="3E234AB8"/>
    <w:rsid w:val="3E4009FD"/>
    <w:rsid w:val="3E444130"/>
    <w:rsid w:val="3E4C5C06"/>
    <w:rsid w:val="3E5C1BAD"/>
    <w:rsid w:val="3E60064C"/>
    <w:rsid w:val="3E9230EE"/>
    <w:rsid w:val="3E9F6F17"/>
    <w:rsid w:val="3EA37CD2"/>
    <w:rsid w:val="3EDF3E59"/>
    <w:rsid w:val="3EE06168"/>
    <w:rsid w:val="3EE85404"/>
    <w:rsid w:val="3EFA3D38"/>
    <w:rsid w:val="3F141725"/>
    <w:rsid w:val="3F1B1335"/>
    <w:rsid w:val="3F200257"/>
    <w:rsid w:val="3F286DBF"/>
    <w:rsid w:val="3F4028FA"/>
    <w:rsid w:val="3F8D1475"/>
    <w:rsid w:val="3F975C22"/>
    <w:rsid w:val="3FA70E1B"/>
    <w:rsid w:val="3FB47094"/>
    <w:rsid w:val="3FB5178A"/>
    <w:rsid w:val="3FC419A7"/>
    <w:rsid w:val="3FC64109"/>
    <w:rsid w:val="3FCC77A7"/>
    <w:rsid w:val="3FD65247"/>
    <w:rsid w:val="3FDB385A"/>
    <w:rsid w:val="3FDF6807"/>
    <w:rsid w:val="3FE23C01"/>
    <w:rsid w:val="3FE3145D"/>
    <w:rsid w:val="3FE71217"/>
    <w:rsid w:val="40061FE5"/>
    <w:rsid w:val="400E0CEC"/>
    <w:rsid w:val="401B4DC9"/>
    <w:rsid w:val="4022565B"/>
    <w:rsid w:val="402266F3"/>
    <w:rsid w:val="40290AEF"/>
    <w:rsid w:val="403629A3"/>
    <w:rsid w:val="403B122D"/>
    <w:rsid w:val="404B007A"/>
    <w:rsid w:val="404E11B5"/>
    <w:rsid w:val="405A7C3B"/>
    <w:rsid w:val="405B7334"/>
    <w:rsid w:val="405C70C5"/>
    <w:rsid w:val="40646D0C"/>
    <w:rsid w:val="406B3BF6"/>
    <w:rsid w:val="40875F80"/>
    <w:rsid w:val="40936195"/>
    <w:rsid w:val="40C31C84"/>
    <w:rsid w:val="40CD2BBC"/>
    <w:rsid w:val="40CE74E8"/>
    <w:rsid w:val="40D55514"/>
    <w:rsid w:val="40D7128C"/>
    <w:rsid w:val="40F96B4C"/>
    <w:rsid w:val="40FE0F0E"/>
    <w:rsid w:val="41107AF2"/>
    <w:rsid w:val="41390199"/>
    <w:rsid w:val="41561B7B"/>
    <w:rsid w:val="415D5C35"/>
    <w:rsid w:val="415F2382"/>
    <w:rsid w:val="41644CA3"/>
    <w:rsid w:val="416479F5"/>
    <w:rsid w:val="417C604D"/>
    <w:rsid w:val="418238EE"/>
    <w:rsid w:val="41C84587"/>
    <w:rsid w:val="41DF75B5"/>
    <w:rsid w:val="41E64E09"/>
    <w:rsid w:val="41F1351F"/>
    <w:rsid w:val="421568CA"/>
    <w:rsid w:val="422229DB"/>
    <w:rsid w:val="422F2C0A"/>
    <w:rsid w:val="427A77FA"/>
    <w:rsid w:val="427C658F"/>
    <w:rsid w:val="42997BDD"/>
    <w:rsid w:val="42AC4D28"/>
    <w:rsid w:val="42B32DDD"/>
    <w:rsid w:val="42B60CBA"/>
    <w:rsid w:val="42BA4570"/>
    <w:rsid w:val="42C43A92"/>
    <w:rsid w:val="42DB62DB"/>
    <w:rsid w:val="42F40D87"/>
    <w:rsid w:val="43157031"/>
    <w:rsid w:val="431F6F1A"/>
    <w:rsid w:val="43204D6E"/>
    <w:rsid w:val="433E0C67"/>
    <w:rsid w:val="433E3844"/>
    <w:rsid w:val="434171A0"/>
    <w:rsid w:val="434F476D"/>
    <w:rsid w:val="43661D30"/>
    <w:rsid w:val="436C09A1"/>
    <w:rsid w:val="436E0D52"/>
    <w:rsid w:val="436F047F"/>
    <w:rsid w:val="436F39FE"/>
    <w:rsid w:val="436F7EA2"/>
    <w:rsid w:val="437B082C"/>
    <w:rsid w:val="43863FBF"/>
    <w:rsid w:val="43B835F7"/>
    <w:rsid w:val="43BA63BC"/>
    <w:rsid w:val="43BD6A6D"/>
    <w:rsid w:val="43E56FFE"/>
    <w:rsid w:val="43E77A38"/>
    <w:rsid w:val="44033175"/>
    <w:rsid w:val="44071DF4"/>
    <w:rsid w:val="440C749E"/>
    <w:rsid w:val="441912DB"/>
    <w:rsid w:val="442347E8"/>
    <w:rsid w:val="442567B2"/>
    <w:rsid w:val="44384517"/>
    <w:rsid w:val="445B2639"/>
    <w:rsid w:val="44894274"/>
    <w:rsid w:val="44AD4165"/>
    <w:rsid w:val="44B17233"/>
    <w:rsid w:val="44C77869"/>
    <w:rsid w:val="44D51F86"/>
    <w:rsid w:val="44E70410"/>
    <w:rsid w:val="451720F2"/>
    <w:rsid w:val="452B604A"/>
    <w:rsid w:val="453C0257"/>
    <w:rsid w:val="45406B12"/>
    <w:rsid w:val="455A06DD"/>
    <w:rsid w:val="458F482B"/>
    <w:rsid w:val="45DA2553"/>
    <w:rsid w:val="45DA2E00"/>
    <w:rsid w:val="45ED3300"/>
    <w:rsid w:val="45EF1111"/>
    <w:rsid w:val="460C7409"/>
    <w:rsid w:val="460D74FE"/>
    <w:rsid w:val="461643C7"/>
    <w:rsid w:val="4636593F"/>
    <w:rsid w:val="464A2500"/>
    <w:rsid w:val="464C0026"/>
    <w:rsid w:val="465D4CB9"/>
    <w:rsid w:val="46864485"/>
    <w:rsid w:val="46B207DF"/>
    <w:rsid w:val="46B86825"/>
    <w:rsid w:val="46EA07B2"/>
    <w:rsid w:val="46F506BE"/>
    <w:rsid w:val="46F82CC1"/>
    <w:rsid w:val="4703337B"/>
    <w:rsid w:val="47150D60"/>
    <w:rsid w:val="471E65B1"/>
    <w:rsid w:val="471F1784"/>
    <w:rsid w:val="47242D51"/>
    <w:rsid w:val="473311E6"/>
    <w:rsid w:val="47347438"/>
    <w:rsid w:val="474074AC"/>
    <w:rsid w:val="475A2341"/>
    <w:rsid w:val="4760647F"/>
    <w:rsid w:val="476C689D"/>
    <w:rsid w:val="47A72EC9"/>
    <w:rsid w:val="47B71E17"/>
    <w:rsid w:val="47CA7D9C"/>
    <w:rsid w:val="47CC40D8"/>
    <w:rsid w:val="48082673"/>
    <w:rsid w:val="480B5E01"/>
    <w:rsid w:val="480E3260"/>
    <w:rsid w:val="48480CC1"/>
    <w:rsid w:val="48597B07"/>
    <w:rsid w:val="48691B36"/>
    <w:rsid w:val="48741AB6"/>
    <w:rsid w:val="487910EC"/>
    <w:rsid w:val="487B1097"/>
    <w:rsid w:val="48877A3B"/>
    <w:rsid w:val="48886A56"/>
    <w:rsid w:val="488C0CE1"/>
    <w:rsid w:val="489C2DB7"/>
    <w:rsid w:val="489C351F"/>
    <w:rsid w:val="489E1D09"/>
    <w:rsid w:val="48A028AB"/>
    <w:rsid w:val="48B14AB8"/>
    <w:rsid w:val="48BD520B"/>
    <w:rsid w:val="48C1039E"/>
    <w:rsid w:val="48EB1D78"/>
    <w:rsid w:val="490023BE"/>
    <w:rsid w:val="490E3CB9"/>
    <w:rsid w:val="49122019"/>
    <w:rsid w:val="491A265E"/>
    <w:rsid w:val="491D285B"/>
    <w:rsid w:val="491D3EFC"/>
    <w:rsid w:val="491F1A22"/>
    <w:rsid w:val="493666B5"/>
    <w:rsid w:val="494877A6"/>
    <w:rsid w:val="49663358"/>
    <w:rsid w:val="49683634"/>
    <w:rsid w:val="49724393"/>
    <w:rsid w:val="497C0C22"/>
    <w:rsid w:val="497F6965"/>
    <w:rsid w:val="49816239"/>
    <w:rsid w:val="49833CCC"/>
    <w:rsid w:val="49975BE8"/>
    <w:rsid w:val="49C425C9"/>
    <w:rsid w:val="49EF3581"/>
    <w:rsid w:val="49F66C27"/>
    <w:rsid w:val="49FA5FEB"/>
    <w:rsid w:val="4A1C69A8"/>
    <w:rsid w:val="4A282B58"/>
    <w:rsid w:val="4A2C2648"/>
    <w:rsid w:val="4A372D9B"/>
    <w:rsid w:val="4A38723F"/>
    <w:rsid w:val="4A3E05CE"/>
    <w:rsid w:val="4A5676C5"/>
    <w:rsid w:val="4A5A4C2D"/>
    <w:rsid w:val="4A622805"/>
    <w:rsid w:val="4A791606"/>
    <w:rsid w:val="4A83500A"/>
    <w:rsid w:val="4A995804"/>
    <w:rsid w:val="4AA246B9"/>
    <w:rsid w:val="4AA541A9"/>
    <w:rsid w:val="4AB27C27"/>
    <w:rsid w:val="4ABA748E"/>
    <w:rsid w:val="4AC24D5B"/>
    <w:rsid w:val="4AD3077D"/>
    <w:rsid w:val="4B1F5D09"/>
    <w:rsid w:val="4B21248D"/>
    <w:rsid w:val="4B2B3A38"/>
    <w:rsid w:val="4B313C8F"/>
    <w:rsid w:val="4B6C61E6"/>
    <w:rsid w:val="4B6D633F"/>
    <w:rsid w:val="4B797CFE"/>
    <w:rsid w:val="4B7A6071"/>
    <w:rsid w:val="4B80662D"/>
    <w:rsid w:val="4B96714B"/>
    <w:rsid w:val="4BA95F1B"/>
    <w:rsid w:val="4BB16CD5"/>
    <w:rsid w:val="4BB5666E"/>
    <w:rsid w:val="4BB723FD"/>
    <w:rsid w:val="4BEE2F77"/>
    <w:rsid w:val="4BF73906"/>
    <w:rsid w:val="4C0F1BEA"/>
    <w:rsid w:val="4C3A2445"/>
    <w:rsid w:val="4C3C28EB"/>
    <w:rsid w:val="4C87625C"/>
    <w:rsid w:val="4CA56323"/>
    <w:rsid w:val="4CF66F3E"/>
    <w:rsid w:val="4D0478AD"/>
    <w:rsid w:val="4D0A4797"/>
    <w:rsid w:val="4D0C69C4"/>
    <w:rsid w:val="4D187642"/>
    <w:rsid w:val="4D2553D4"/>
    <w:rsid w:val="4D2F41FE"/>
    <w:rsid w:val="4D56422A"/>
    <w:rsid w:val="4D6F3B43"/>
    <w:rsid w:val="4D712FDA"/>
    <w:rsid w:val="4D746E8E"/>
    <w:rsid w:val="4D800456"/>
    <w:rsid w:val="4D862070"/>
    <w:rsid w:val="4D92310A"/>
    <w:rsid w:val="4D9D385D"/>
    <w:rsid w:val="4DC4703C"/>
    <w:rsid w:val="4DCD7C9F"/>
    <w:rsid w:val="4DE17BEE"/>
    <w:rsid w:val="4E1C02AE"/>
    <w:rsid w:val="4E1E6324"/>
    <w:rsid w:val="4E4F4B57"/>
    <w:rsid w:val="4E5C1A72"/>
    <w:rsid w:val="4E615284"/>
    <w:rsid w:val="4E7A2BCF"/>
    <w:rsid w:val="4EA64556"/>
    <w:rsid w:val="4EAD29E4"/>
    <w:rsid w:val="4EC310A1"/>
    <w:rsid w:val="4F043B94"/>
    <w:rsid w:val="4F0B67EE"/>
    <w:rsid w:val="4F1A55F3"/>
    <w:rsid w:val="4F1B205A"/>
    <w:rsid w:val="4F2876DE"/>
    <w:rsid w:val="4F2A7373"/>
    <w:rsid w:val="4F2B6F15"/>
    <w:rsid w:val="4F2E5442"/>
    <w:rsid w:val="4F2F1144"/>
    <w:rsid w:val="4F30313F"/>
    <w:rsid w:val="4F52580A"/>
    <w:rsid w:val="4F691C49"/>
    <w:rsid w:val="4F6A776F"/>
    <w:rsid w:val="4F702FD7"/>
    <w:rsid w:val="4F707F08"/>
    <w:rsid w:val="4F9273F2"/>
    <w:rsid w:val="4FA52193"/>
    <w:rsid w:val="4FD277EE"/>
    <w:rsid w:val="4FDA7D75"/>
    <w:rsid w:val="4FF57980"/>
    <w:rsid w:val="501E6ED7"/>
    <w:rsid w:val="50787096"/>
    <w:rsid w:val="507C775A"/>
    <w:rsid w:val="508D5E0B"/>
    <w:rsid w:val="508F1B83"/>
    <w:rsid w:val="50B25281"/>
    <w:rsid w:val="50E579F5"/>
    <w:rsid w:val="50E87836"/>
    <w:rsid w:val="50EA500B"/>
    <w:rsid w:val="50ED1E61"/>
    <w:rsid w:val="50F83282"/>
    <w:rsid w:val="50FB4B23"/>
    <w:rsid w:val="51173459"/>
    <w:rsid w:val="511E2B79"/>
    <w:rsid w:val="51265C7E"/>
    <w:rsid w:val="514814EC"/>
    <w:rsid w:val="5153670D"/>
    <w:rsid w:val="515E4990"/>
    <w:rsid w:val="515F1555"/>
    <w:rsid w:val="519C765E"/>
    <w:rsid w:val="51A83B47"/>
    <w:rsid w:val="51AC22C1"/>
    <w:rsid w:val="51B17E6B"/>
    <w:rsid w:val="51CB2747"/>
    <w:rsid w:val="51DB032E"/>
    <w:rsid w:val="51EB4B97"/>
    <w:rsid w:val="51EE6435"/>
    <w:rsid w:val="5201260D"/>
    <w:rsid w:val="52072F1E"/>
    <w:rsid w:val="5217644D"/>
    <w:rsid w:val="523D6181"/>
    <w:rsid w:val="523F4EE3"/>
    <w:rsid w:val="524620FA"/>
    <w:rsid w:val="5274360D"/>
    <w:rsid w:val="52756B57"/>
    <w:rsid w:val="52972F71"/>
    <w:rsid w:val="52BF7DD2"/>
    <w:rsid w:val="52DA5E34"/>
    <w:rsid w:val="52EC1919"/>
    <w:rsid w:val="530A3743"/>
    <w:rsid w:val="532145E9"/>
    <w:rsid w:val="53395DD6"/>
    <w:rsid w:val="5347038D"/>
    <w:rsid w:val="534A6CD4"/>
    <w:rsid w:val="534E7AD3"/>
    <w:rsid w:val="536553EF"/>
    <w:rsid w:val="538B4884"/>
    <w:rsid w:val="53A3143D"/>
    <w:rsid w:val="53A63921"/>
    <w:rsid w:val="53AC47FA"/>
    <w:rsid w:val="53CC5791"/>
    <w:rsid w:val="53D95D45"/>
    <w:rsid w:val="53DA1367"/>
    <w:rsid w:val="53E2646E"/>
    <w:rsid w:val="53EB53BD"/>
    <w:rsid w:val="53F8359B"/>
    <w:rsid w:val="54505185"/>
    <w:rsid w:val="545671EC"/>
    <w:rsid w:val="54611097"/>
    <w:rsid w:val="5487370E"/>
    <w:rsid w:val="54915C10"/>
    <w:rsid w:val="54CD4A28"/>
    <w:rsid w:val="54D15F1A"/>
    <w:rsid w:val="54D264E2"/>
    <w:rsid w:val="54D65699"/>
    <w:rsid w:val="54E01D6C"/>
    <w:rsid w:val="54E47B17"/>
    <w:rsid w:val="54E9481D"/>
    <w:rsid w:val="54F226E1"/>
    <w:rsid w:val="55046B0A"/>
    <w:rsid w:val="55094443"/>
    <w:rsid w:val="551142AB"/>
    <w:rsid w:val="55192675"/>
    <w:rsid w:val="554127C0"/>
    <w:rsid w:val="55560EC1"/>
    <w:rsid w:val="5579695E"/>
    <w:rsid w:val="557D19A9"/>
    <w:rsid w:val="55B87486"/>
    <w:rsid w:val="55C470D8"/>
    <w:rsid w:val="55CD41D9"/>
    <w:rsid w:val="55CE6CAA"/>
    <w:rsid w:val="55DF5DA8"/>
    <w:rsid w:val="55EF136D"/>
    <w:rsid w:val="55F55C55"/>
    <w:rsid w:val="56156687"/>
    <w:rsid w:val="56177EC9"/>
    <w:rsid w:val="5635492A"/>
    <w:rsid w:val="563F0838"/>
    <w:rsid w:val="5684052B"/>
    <w:rsid w:val="56921A85"/>
    <w:rsid w:val="56927CD7"/>
    <w:rsid w:val="569976E5"/>
    <w:rsid w:val="56E16569"/>
    <w:rsid w:val="56EE460E"/>
    <w:rsid w:val="56F25D16"/>
    <w:rsid w:val="56F72230"/>
    <w:rsid w:val="56F770C8"/>
    <w:rsid w:val="56F95FA8"/>
    <w:rsid w:val="57087F99"/>
    <w:rsid w:val="570F0DAD"/>
    <w:rsid w:val="57136DC9"/>
    <w:rsid w:val="571C1C97"/>
    <w:rsid w:val="57342B3C"/>
    <w:rsid w:val="57394670"/>
    <w:rsid w:val="57443D1C"/>
    <w:rsid w:val="575738E1"/>
    <w:rsid w:val="5769056B"/>
    <w:rsid w:val="57715B3F"/>
    <w:rsid w:val="577949F3"/>
    <w:rsid w:val="579068FA"/>
    <w:rsid w:val="579730CB"/>
    <w:rsid w:val="579857A6"/>
    <w:rsid w:val="579B705F"/>
    <w:rsid w:val="57BE07E5"/>
    <w:rsid w:val="57E427B4"/>
    <w:rsid w:val="57F02C2A"/>
    <w:rsid w:val="57F246BE"/>
    <w:rsid w:val="57F648EB"/>
    <w:rsid w:val="5809221B"/>
    <w:rsid w:val="5814296E"/>
    <w:rsid w:val="582A3F3F"/>
    <w:rsid w:val="582B03E3"/>
    <w:rsid w:val="582F35B7"/>
    <w:rsid w:val="58464DC9"/>
    <w:rsid w:val="585F0D52"/>
    <w:rsid w:val="586525C2"/>
    <w:rsid w:val="586557AC"/>
    <w:rsid w:val="5867455C"/>
    <w:rsid w:val="587A5C94"/>
    <w:rsid w:val="588B42F5"/>
    <w:rsid w:val="588D4BFA"/>
    <w:rsid w:val="58A81A34"/>
    <w:rsid w:val="58B42ACF"/>
    <w:rsid w:val="58C139D3"/>
    <w:rsid w:val="58C93758"/>
    <w:rsid w:val="58DE5456"/>
    <w:rsid w:val="5939268C"/>
    <w:rsid w:val="59617E35"/>
    <w:rsid w:val="596E25BB"/>
    <w:rsid w:val="59722042"/>
    <w:rsid w:val="59777658"/>
    <w:rsid w:val="59796F2C"/>
    <w:rsid w:val="599E0ACF"/>
    <w:rsid w:val="59A9097F"/>
    <w:rsid w:val="59AD3D34"/>
    <w:rsid w:val="59B03888"/>
    <w:rsid w:val="59C503C4"/>
    <w:rsid w:val="59EC76FE"/>
    <w:rsid w:val="59F91818"/>
    <w:rsid w:val="5A172243"/>
    <w:rsid w:val="5A196ED2"/>
    <w:rsid w:val="5A3317D1"/>
    <w:rsid w:val="5A395B76"/>
    <w:rsid w:val="5A432F55"/>
    <w:rsid w:val="5A5878B5"/>
    <w:rsid w:val="5A5C69D5"/>
    <w:rsid w:val="5A636344"/>
    <w:rsid w:val="5A696FA1"/>
    <w:rsid w:val="5AA2093F"/>
    <w:rsid w:val="5AA95EA4"/>
    <w:rsid w:val="5AD63E09"/>
    <w:rsid w:val="5AFF3461"/>
    <w:rsid w:val="5B123195"/>
    <w:rsid w:val="5B223606"/>
    <w:rsid w:val="5B266C40"/>
    <w:rsid w:val="5B2E6FAA"/>
    <w:rsid w:val="5B4332B6"/>
    <w:rsid w:val="5B4B66A7"/>
    <w:rsid w:val="5B5E0F00"/>
    <w:rsid w:val="5B972453"/>
    <w:rsid w:val="5B9E7C72"/>
    <w:rsid w:val="5BA87F9D"/>
    <w:rsid w:val="5BAF4E87"/>
    <w:rsid w:val="5BDE39BF"/>
    <w:rsid w:val="5BE65C1B"/>
    <w:rsid w:val="5BFD68E7"/>
    <w:rsid w:val="5C0B7B76"/>
    <w:rsid w:val="5C1271C4"/>
    <w:rsid w:val="5C203E7F"/>
    <w:rsid w:val="5C675762"/>
    <w:rsid w:val="5C682BEC"/>
    <w:rsid w:val="5C9A1694"/>
    <w:rsid w:val="5C9D1184"/>
    <w:rsid w:val="5CA644DC"/>
    <w:rsid w:val="5CA7123C"/>
    <w:rsid w:val="5CAE15E3"/>
    <w:rsid w:val="5CC42BB4"/>
    <w:rsid w:val="5CC826A5"/>
    <w:rsid w:val="5CDC7EFE"/>
    <w:rsid w:val="5CF77950"/>
    <w:rsid w:val="5D101956"/>
    <w:rsid w:val="5D441D14"/>
    <w:rsid w:val="5D4A542D"/>
    <w:rsid w:val="5D777C27"/>
    <w:rsid w:val="5D972077"/>
    <w:rsid w:val="5DAE426C"/>
    <w:rsid w:val="5DAF467E"/>
    <w:rsid w:val="5DCD04E0"/>
    <w:rsid w:val="5DD03A54"/>
    <w:rsid w:val="5DD15BF4"/>
    <w:rsid w:val="5DD25BBB"/>
    <w:rsid w:val="5DDE1134"/>
    <w:rsid w:val="5E1D1CEB"/>
    <w:rsid w:val="5E23390B"/>
    <w:rsid w:val="5E311C0C"/>
    <w:rsid w:val="5E421185"/>
    <w:rsid w:val="5E895C8E"/>
    <w:rsid w:val="5E921A27"/>
    <w:rsid w:val="5ED510A9"/>
    <w:rsid w:val="5F20216B"/>
    <w:rsid w:val="5F3062DF"/>
    <w:rsid w:val="5F36439B"/>
    <w:rsid w:val="5F755A2A"/>
    <w:rsid w:val="5F814D8D"/>
    <w:rsid w:val="5F8328B3"/>
    <w:rsid w:val="5F8959EF"/>
    <w:rsid w:val="5F920D48"/>
    <w:rsid w:val="5FA40A7B"/>
    <w:rsid w:val="5FB07420"/>
    <w:rsid w:val="5FC04410"/>
    <w:rsid w:val="5FC652C4"/>
    <w:rsid w:val="5FC845C3"/>
    <w:rsid w:val="5FCB6F0A"/>
    <w:rsid w:val="5FE62E42"/>
    <w:rsid w:val="60160AA9"/>
    <w:rsid w:val="6016735B"/>
    <w:rsid w:val="601C6864"/>
    <w:rsid w:val="601F4747"/>
    <w:rsid w:val="602F6597"/>
    <w:rsid w:val="6052321D"/>
    <w:rsid w:val="60696BC9"/>
    <w:rsid w:val="608508AD"/>
    <w:rsid w:val="609A3376"/>
    <w:rsid w:val="60A42170"/>
    <w:rsid w:val="60B47D5B"/>
    <w:rsid w:val="60E5134B"/>
    <w:rsid w:val="60FD45FF"/>
    <w:rsid w:val="611A0FF5"/>
    <w:rsid w:val="61220F29"/>
    <w:rsid w:val="612B3202"/>
    <w:rsid w:val="616008F1"/>
    <w:rsid w:val="61847169"/>
    <w:rsid w:val="618625DD"/>
    <w:rsid w:val="61903065"/>
    <w:rsid w:val="61932B55"/>
    <w:rsid w:val="61A905CB"/>
    <w:rsid w:val="61B7149D"/>
    <w:rsid w:val="61B9080E"/>
    <w:rsid w:val="61CA1C79"/>
    <w:rsid w:val="61D61932"/>
    <w:rsid w:val="620852F1"/>
    <w:rsid w:val="621048C9"/>
    <w:rsid w:val="6210694A"/>
    <w:rsid w:val="621231A6"/>
    <w:rsid w:val="621641CF"/>
    <w:rsid w:val="62210161"/>
    <w:rsid w:val="62861F1F"/>
    <w:rsid w:val="629139EC"/>
    <w:rsid w:val="62917095"/>
    <w:rsid w:val="62A16A87"/>
    <w:rsid w:val="62AA7C17"/>
    <w:rsid w:val="62BA646B"/>
    <w:rsid w:val="62CF7FE7"/>
    <w:rsid w:val="62D94CCA"/>
    <w:rsid w:val="631D2A8C"/>
    <w:rsid w:val="63462575"/>
    <w:rsid w:val="63493E13"/>
    <w:rsid w:val="635A1B7D"/>
    <w:rsid w:val="63666773"/>
    <w:rsid w:val="638B7F88"/>
    <w:rsid w:val="63936E3D"/>
    <w:rsid w:val="639B087E"/>
    <w:rsid w:val="63A64DC2"/>
    <w:rsid w:val="63A90E76"/>
    <w:rsid w:val="63B55005"/>
    <w:rsid w:val="63BA6D0B"/>
    <w:rsid w:val="63CB5CCC"/>
    <w:rsid w:val="63EB4ECB"/>
    <w:rsid w:val="63F36A7C"/>
    <w:rsid w:val="63F975E8"/>
    <w:rsid w:val="63FA3360"/>
    <w:rsid w:val="640B731B"/>
    <w:rsid w:val="640C5AA6"/>
    <w:rsid w:val="641745A0"/>
    <w:rsid w:val="644665A5"/>
    <w:rsid w:val="645C36D2"/>
    <w:rsid w:val="64657739"/>
    <w:rsid w:val="64754794"/>
    <w:rsid w:val="64824B18"/>
    <w:rsid w:val="64881976"/>
    <w:rsid w:val="648F1CFA"/>
    <w:rsid w:val="64942E6C"/>
    <w:rsid w:val="64AE3CB5"/>
    <w:rsid w:val="64B90B25"/>
    <w:rsid w:val="64CD637E"/>
    <w:rsid w:val="64D15E6F"/>
    <w:rsid w:val="64DC03FF"/>
    <w:rsid w:val="64F425BA"/>
    <w:rsid w:val="650D6603"/>
    <w:rsid w:val="65202952"/>
    <w:rsid w:val="65210C32"/>
    <w:rsid w:val="652225D5"/>
    <w:rsid w:val="652F2B95"/>
    <w:rsid w:val="65311E05"/>
    <w:rsid w:val="65451957"/>
    <w:rsid w:val="65623E76"/>
    <w:rsid w:val="659770B8"/>
    <w:rsid w:val="65995BCE"/>
    <w:rsid w:val="65B46366"/>
    <w:rsid w:val="65BD63F3"/>
    <w:rsid w:val="65D025CA"/>
    <w:rsid w:val="65F570CF"/>
    <w:rsid w:val="66002CD4"/>
    <w:rsid w:val="6613137D"/>
    <w:rsid w:val="66215782"/>
    <w:rsid w:val="6624387D"/>
    <w:rsid w:val="662824C8"/>
    <w:rsid w:val="66320B8F"/>
    <w:rsid w:val="663E7534"/>
    <w:rsid w:val="664B6B47"/>
    <w:rsid w:val="66661757"/>
    <w:rsid w:val="66763171"/>
    <w:rsid w:val="667C005C"/>
    <w:rsid w:val="66976C44"/>
    <w:rsid w:val="669B7B39"/>
    <w:rsid w:val="66AC7A81"/>
    <w:rsid w:val="66AE4D0B"/>
    <w:rsid w:val="66B5494D"/>
    <w:rsid w:val="66B84695"/>
    <w:rsid w:val="66C176C3"/>
    <w:rsid w:val="66D103A8"/>
    <w:rsid w:val="66D47E98"/>
    <w:rsid w:val="66DE0D17"/>
    <w:rsid w:val="66EF6A80"/>
    <w:rsid w:val="66F978FF"/>
    <w:rsid w:val="66FB71D3"/>
    <w:rsid w:val="670523DE"/>
    <w:rsid w:val="670C5884"/>
    <w:rsid w:val="670D5158"/>
    <w:rsid w:val="67256946"/>
    <w:rsid w:val="67461D48"/>
    <w:rsid w:val="67472418"/>
    <w:rsid w:val="67486190"/>
    <w:rsid w:val="674A6CAF"/>
    <w:rsid w:val="676034DA"/>
    <w:rsid w:val="67694A84"/>
    <w:rsid w:val="67784F2E"/>
    <w:rsid w:val="678A67A9"/>
    <w:rsid w:val="678F1925"/>
    <w:rsid w:val="67942577"/>
    <w:rsid w:val="67A92539"/>
    <w:rsid w:val="67B51A77"/>
    <w:rsid w:val="67CA4EF1"/>
    <w:rsid w:val="67E20393"/>
    <w:rsid w:val="67F76A7E"/>
    <w:rsid w:val="67F86871"/>
    <w:rsid w:val="684352D5"/>
    <w:rsid w:val="684D1CB0"/>
    <w:rsid w:val="686F7E78"/>
    <w:rsid w:val="687E455F"/>
    <w:rsid w:val="687E630D"/>
    <w:rsid w:val="688B0A2A"/>
    <w:rsid w:val="68A5389A"/>
    <w:rsid w:val="68AF3CA2"/>
    <w:rsid w:val="68BB130F"/>
    <w:rsid w:val="68CB0E27"/>
    <w:rsid w:val="68CC560D"/>
    <w:rsid w:val="68E97265"/>
    <w:rsid w:val="68EF0FB9"/>
    <w:rsid w:val="69072F07"/>
    <w:rsid w:val="691E189E"/>
    <w:rsid w:val="692635EB"/>
    <w:rsid w:val="69342E70"/>
    <w:rsid w:val="693B41FE"/>
    <w:rsid w:val="6951757E"/>
    <w:rsid w:val="69561384"/>
    <w:rsid w:val="69775165"/>
    <w:rsid w:val="69807E63"/>
    <w:rsid w:val="69B230A2"/>
    <w:rsid w:val="69CB3977"/>
    <w:rsid w:val="69E2224C"/>
    <w:rsid w:val="69F819AA"/>
    <w:rsid w:val="6A136F29"/>
    <w:rsid w:val="6A187723"/>
    <w:rsid w:val="6A1D1B56"/>
    <w:rsid w:val="6A1D2B18"/>
    <w:rsid w:val="6A595414"/>
    <w:rsid w:val="6A5A4A67"/>
    <w:rsid w:val="6A6B4794"/>
    <w:rsid w:val="6A6E7FF3"/>
    <w:rsid w:val="6A700C09"/>
    <w:rsid w:val="6A82630A"/>
    <w:rsid w:val="6A8E3BBF"/>
    <w:rsid w:val="6AA67D9D"/>
    <w:rsid w:val="6AAD6A36"/>
    <w:rsid w:val="6AC57AA5"/>
    <w:rsid w:val="6ADD3291"/>
    <w:rsid w:val="6B0A70A4"/>
    <w:rsid w:val="6B3B6738"/>
    <w:rsid w:val="6B3D24B0"/>
    <w:rsid w:val="6B685053"/>
    <w:rsid w:val="6B7F4739"/>
    <w:rsid w:val="6B8A4FC9"/>
    <w:rsid w:val="6B9A5FD4"/>
    <w:rsid w:val="6BA75B7B"/>
    <w:rsid w:val="6BC71CFD"/>
    <w:rsid w:val="6C042FCD"/>
    <w:rsid w:val="6C20148A"/>
    <w:rsid w:val="6C44786E"/>
    <w:rsid w:val="6C617599"/>
    <w:rsid w:val="6C9431CC"/>
    <w:rsid w:val="6CA672EC"/>
    <w:rsid w:val="6CAB1AEE"/>
    <w:rsid w:val="6CAE2F39"/>
    <w:rsid w:val="6CAF10DA"/>
    <w:rsid w:val="6CB513FE"/>
    <w:rsid w:val="6CC35382"/>
    <w:rsid w:val="6CDA06B8"/>
    <w:rsid w:val="6D0715F8"/>
    <w:rsid w:val="6D30394E"/>
    <w:rsid w:val="6D426B56"/>
    <w:rsid w:val="6D505108"/>
    <w:rsid w:val="6D592EA5"/>
    <w:rsid w:val="6D77297F"/>
    <w:rsid w:val="6D8238F3"/>
    <w:rsid w:val="6D8617C0"/>
    <w:rsid w:val="6D920165"/>
    <w:rsid w:val="6DBB5AC1"/>
    <w:rsid w:val="6DCF4F15"/>
    <w:rsid w:val="6E0468F3"/>
    <w:rsid w:val="6E0F7A08"/>
    <w:rsid w:val="6E38263C"/>
    <w:rsid w:val="6E526272"/>
    <w:rsid w:val="6E573B2B"/>
    <w:rsid w:val="6E616223"/>
    <w:rsid w:val="6E94481B"/>
    <w:rsid w:val="6EA2373C"/>
    <w:rsid w:val="6EDF387E"/>
    <w:rsid w:val="6F0357BE"/>
    <w:rsid w:val="6F0B01CF"/>
    <w:rsid w:val="6F241291"/>
    <w:rsid w:val="6F4066AD"/>
    <w:rsid w:val="6F4A1C6F"/>
    <w:rsid w:val="6F6C326F"/>
    <w:rsid w:val="6F6F075E"/>
    <w:rsid w:val="6F7658CB"/>
    <w:rsid w:val="6F976FBE"/>
    <w:rsid w:val="6FA359EB"/>
    <w:rsid w:val="6FA6381A"/>
    <w:rsid w:val="6FB42615"/>
    <w:rsid w:val="6FC36CFC"/>
    <w:rsid w:val="6FCA63E4"/>
    <w:rsid w:val="6FD26F3F"/>
    <w:rsid w:val="6FE022AE"/>
    <w:rsid w:val="6FF005A6"/>
    <w:rsid w:val="6FF218DD"/>
    <w:rsid w:val="6FF42BE0"/>
    <w:rsid w:val="6FFC41AF"/>
    <w:rsid w:val="6FFF339E"/>
    <w:rsid w:val="700C0A1A"/>
    <w:rsid w:val="704C4F43"/>
    <w:rsid w:val="706804A2"/>
    <w:rsid w:val="706C2EEF"/>
    <w:rsid w:val="70761F1B"/>
    <w:rsid w:val="708C1ED2"/>
    <w:rsid w:val="70B30B1E"/>
    <w:rsid w:val="70CB230C"/>
    <w:rsid w:val="70DD3506"/>
    <w:rsid w:val="70E32593"/>
    <w:rsid w:val="70E801A2"/>
    <w:rsid w:val="7104581E"/>
    <w:rsid w:val="71132E62"/>
    <w:rsid w:val="711D41EA"/>
    <w:rsid w:val="71222297"/>
    <w:rsid w:val="71231438"/>
    <w:rsid w:val="714348B5"/>
    <w:rsid w:val="71504B10"/>
    <w:rsid w:val="71554590"/>
    <w:rsid w:val="715A0F06"/>
    <w:rsid w:val="715D01AD"/>
    <w:rsid w:val="71762326"/>
    <w:rsid w:val="71942C0F"/>
    <w:rsid w:val="719941B8"/>
    <w:rsid w:val="719E357C"/>
    <w:rsid w:val="71A87F57"/>
    <w:rsid w:val="71BD1788"/>
    <w:rsid w:val="71C50B09"/>
    <w:rsid w:val="71F907B3"/>
    <w:rsid w:val="71FB452B"/>
    <w:rsid w:val="722515A8"/>
    <w:rsid w:val="723979C9"/>
    <w:rsid w:val="725E7ADD"/>
    <w:rsid w:val="726631BE"/>
    <w:rsid w:val="727265AC"/>
    <w:rsid w:val="727B1B10"/>
    <w:rsid w:val="727D13E4"/>
    <w:rsid w:val="729C3F60"/>
    <w:rsid w:val="72A526E9"/>
    <w:rsid w:val="72D71070"/>
    <w:rsid w:val="72EC1039"/>
    <w:rsid w:val="72F13B80"/>
    <w:rsid w:val="72FF57F4"/>
    <w:rsid w:val="73004C2C"/>
    <w:rsid w:val="7304330F"/>
    <w:rsid w:val="732E5FCC"/>
    <w:rsid w:val="73337CF4"/>
    <w:rsid w:val="733817AF"/>
    <w:rsid w:val="73412411"/>
    <w:rsid w:val="73440778"/>
    <w:rsid w:val="734463A5"/>
    <w:rsid w:val="73520AC2"/>
    <w:rsid w:val="7358775B"/>
    <w:rsid w:val="73840550"/>
    <w:rsid w:val="739509AF"/>
    <w:rsid w:val="73BE077C"/>
    <w:rsid w:val="73C052CC"/>
    <w:rsid w:val="73DC3547"/>
    <w:rsid w:val="73ED2599"/>
    <w:rsid w:val="73F750FA"/>
    <w:rsid w:val="73F957F0"/>
    <w:rsid w:val="740D6797"/>
    <w:rsid w:val="74113F05"/>
    <w:rsid w:val="74163F16"/>
    <w:rsid w:val="741C69DA"/>
    <w:rsid w:val="742424F5"/>
    <w:rsid w:val="744103B3"/>
    <w:rsid w:val="7450221E"/>
    <w:rsid w:val="74566390"/>
    <w:rsid w:val="749F595E"/>
    <w:rsid w:val="74AA2238"/>
    <w:rsid w:val="74D13C69"/>
    <w:rsid w:val="74DF0134"/>
    <w:rsid w:val="74E223D0"/>
    <w:rsid w:val="74F87650"/>
    <w:rsid w:val="75054390"/>
    <w:rsid w:val="75114065"/>
    <w:rsid w:val="751A5610"/>
    <w:rsid w:val="7539539D"/>
    <w:rsid w:val="75695C4F"/>
    <w:rsid w:val="757B0B57"/>
    <w:rsid w:val="759248B8"/>
    <w:rsid w:val="759C7DD3"/>
    <w:rsid w:val="75A153E9"/>
    <w:rsid w:val="75C12EB6"/>
    <w:rsid w:val="75CB6E7D"/>
    <w:rsid w:val="75EA3234"/>
    <w:rsid w:val="75ED3231"/>
    <w:rsid w:val="75FC2C73"/>
    <w:rsid w:val="75FD5C4B"/>
    <w:rsid w:val="76047756"/>
    <w:rsid w:val="76155660"/>
    <w:rsid w:val="761B33ED"/>
    <w:rsid w:val="761E5D99"/>
    <w:rsid w:val="761F03BE"/>
    <w:rsid w:val="762B1157"/>
    <w:rsid w:val="764A5A81"/>
    <w:rsid w:val="764C7A4B"/>
    <w:rsid w:val="766111DA"/>
    <w:rsid w:val="76612DCA"/>
    <w:rsid w:val="766528BB"/>
    <w:rsid w:val="767B20DE"/>
    <w:rsid w:val="767B7C93"/>
    <w:rsid w:val="768C42EB"/>
    <w:rsid w:val="7694586D"/>
    <w:rsid w:val="76B4739E"/>
    <w:rsid w:val="76C75323"/>
    <w:rsid w:val="76CB6D8E"/>
    <w:rsid w:val="76D1655C"/>
    <w:rsid w:val="76D25D41"/>
    <w:rsid w:val="76E666DE"/>
    <w:rsid w:val="76E72AA0"/>
    <w:rsid w:val="76F8372F"/>
    <w:rsid w:val="7701090C"/>
    <w:rsid w:val="771A711A"/>
    <w:rsid w:val="771D4F43"/>
    <w:rsid w:val="772A600E"/>
    <w:rsid w:val="77336515"/>
    <w:rsid w:val="77362975"/>
    <w:rsid w:val="77444A87"/>
    <w:rsid w:val="77444BC6"/>
    <w:rsid w:val="77577349"/>
    <w:rsid w:val="775A6197"/>
    <w:rsid w:val="776D7992"/>
    <w:rsid w:val="7772349F"/>
    <w:rsid w:val="777C4360"/>
    <w:rsid w:val="778238FB"/>
    <w:rsid w:val="77955421"/>
    <w:rsid w:val="779C7DE9"/>
    <w:rsid w:val="77A411C1"/>
    <w:rsid w:val="77B238DE"/>
    <w:rsid w:val="77E85551"/>
    <w:rsid w:val="77F71C38"/>
    <w:rsid w:val="77F90661"/>
    <w:rsid w:val="7808174F"/>
    <w:rsid w:val="780D57F6"/>
    <w:rsid w:val="78106856"/>
    <w:rsid w:val="781E4FE7"/>
    <w:rsid w:val="783764D9"/>
    <w:rsid w:val="7840256B"/>
    <w:rsid w:val="78485FF0"/>
    <w:rsid w:val="7884096A"/>
    <w:rsid w:val="78850FF2"/>
    <w:rsid w:val="788E0A67"/>
    <w:rsid w:val="789524E8"/>
    <w:rsid w:val="78B611AB"/>
    <w:rsid w:val="78CA10FB"/>
    <w:rsid w:val="78E03E67"/>
    <w:rsid w:val="78EA52F9"/>
    <w:rsid w:val="78F06D68"/>
    <w:rsid w:val="78F55DA6"/>
    <w:rsid w:val="790E548B"/>
    <w:rsid w:val="7921166B"/>
    <w:rsid w:val="79236E7C"/>
    <w:rsid w:val="792A1B99"/>
    <w:rsid w:val="794013BD"/>
    <w:rsid w:val="796B1B89"/>
    <w:rsid w:val="797352EE"/>
    <w:rsid w:val="797B008A"/>
    <w:rsid w:val="797B7D48"/>
    <w:rsid w:val="798516DF"/>
    <w:rsid w:val="798C015E"/>
    <w:rsid w:val="79921C19"/>
    <w:rsid w:val="79A46F00"/>
    <w:rsid w:val="79C618C2"/>
    <w:rsid w:val="79D73ACF"/>
    <w:rsid w:val="79E46056"/>
    <w:rsid w:val="79F226B7"/>
    <w:rsid w:val="79FF4DD4"/>
    <w:rsid w:val="7A0C534E"/>
    <w:rsid w:val="7A222CE3"/>
    <w:rsid w:val="7A735C4D"/>
    <w:rsid w:val="7A8C2B0C"/>
    <w:rsid w:val="7A8E7C8A"/>
    <w:rsid w:val="7A9F01F0"/>
    <w:rsid w:val="7AAA6765"/>
    <w:rsid w:val="7ABB7B5C"/>
    <w:rsid w:val="7AD87AFF"/>
    <w:rsid w:val="7B0152A5"/>
    <w:rsid w:val="7B112B38"/>
    <w:rsid w:val="7B2A5E81"/>
    <w:rsid w:val="7B2C7E4B"/>
    <w:rsid w:val="7B2F16E9"/>
    <w:rsid w:val="7B4636CB"/>
    <w:rsid w:val="7B7567C0"/>
    <w:rsid w:val="7B7B66DC"/>
    <w:rsid w:val="7B7D2454"/>
    <w:rsid w:val="7B845591"/>
    <w:rsid w:val="7B9072BC"/>
    <w:rsid w:val="7B944A08"/>
    <w:rsid w:val="7B960850"/>
    <w:rsid w:val="7B9F57C7"/>
    <w:rsid w:val="7BDE61B7"/>
    <w:rsid w:val="7BF5023D"/>
    <w:rsid w:val="7BF97C74"/>
    <w:rsid w:val="7C19584E"/>
    <w:rsid w:val="7C266648"/>
    <w:rsid w:val="7C2823C0"/>
    <w:rsid w:val="7C354382"/>
    <w:rsid w:val="7C563402"/>
    <w:rsid w:val="7C5E2286"/>
    <w:rsid w:val="7C686C61"/>
    <w:rsid w:val="7C765D1B"/>
    <w:rsid w:val="7C7B659E"/>
    <w:rsid w:val="7C7E0232"/>
    <w:rsid w:val="7C831CEC"/>
    <w:rsid w:val="7C9712F4"/>
    <w:rsid w:val="7C9B0FDB"/>
    <w:rsid w:val="7CA83501"/>
    <w:rsid w:val="7CAD6D69"/>
    <w:rsid w:val="7CBA4D6C"/>
    <w:rsid w:val="7CC85951"/>
    <w:rsid w:val="7CCC5441"/>
    <w:rsid w:val="7CD23C7F"/>
    <w:rsid w:val="7CD24BAE"/>
    <w:rsid w:val="7CE56503"/>
    <w:rsid w:val="7D033147"/>
    <w:rsid w:val="7D1066E2"/>
    <w:rsid w:val="7D1B3CD3"/>
    <w:rsid w:val="7D227CB6"/>
    <w:rsid w:val="7D300C5A"/>
    <w:rsid w:val="7D4C0330"/>
    <w:rsid w:val="7D811B7B"/>
    <w:rsid w:val="7D836171"/>
    <w:rsid w:val="7DAB13F5"/>
    <w:rsid w:val="7DAB2803"/>
    <w:rsid w:val="7DBA0B43"/>
    <w:rsid w:val="7DF47503"/>
    <w:rsid w:val="7E186464"/>
    <w:rsid w:val="7E3E4800"/>
    <w:rsid w:val="7E696CC0"/>
    <w:rsid w:val="7E7B41B8"/>
    <w:rsid w:val="7E7F0292"/>
    <w:rsid w:val="7E835AFC"/>
    <w:rsid w:val="7E851714"/>
    <w:rsid w:val="7E88060D"/>
    <w:rsid w:val="7E966D9F"/>
    <w:rsid w:val="7EA45F4A"/>
    <w:rsid w:val="7ECA197C"/>
    <w:rsid w:val="7EDF79CA"/>
    <w:rsid w:val="7EE02B0F"/>
    <w:rsid w:val="7EF16259"/>
    <w:rsid w:val="7EF163A6"/>
    <w:rsid w:val="7F0D7FB9"/>
    <w:rsid w:val="7F11635C"/>
    <w:rsid w:val="7F2B0D53"/>
    <w:rsid w:val="7F4E65E2"/>
    <w:rsid w:val="7F6A7194"/>
    <w:rsid w:val="7F714152"/>
    <w:rsid w:val="7F7F5D5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Body Text Indent"/>
    <w:basedOn w:val="1"/>
    <w:qFormat/>
    <w:uiPriority w:val="0"/>
    <w:pPr>
      <w:tabs>
        <w:tab w:val="left" w:pos="840"/>
      </w:tabs>
      <w:snapToGrid w:val="0"/>
      <w:spacing w:line="300" w:lineRule="exact"/>
      <w:ind w:left="630" w:leftChars="300"/>
    </w:pPr>
  </w:style>
  <w:style w:type="paragraph" w:styleId="6">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7">
    <w:name w:val="Balloon Text"/>
    <w:basedOn w:val="1"/>
    <w:link w:val="22"/>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annotation subject"/>
    <w:basedOn w:val="3"/>
    <w:next w:val="3"/>
    <w:link w:val="24"/>
    <w:qFormat/>
    <w:uiPriority w:val="0"/>
    <w:rPr>
      <w:b/>
      <w:bCs/>
    </w:rPr>
  </w:style>
  <w:style w:type="paragraph" w:styleId="14">
    <w:name w:val="Body Text First Indent 2"/>
    <w:basedOn w:val="5"/>
    <w:qFormat/>
    <w:uiPriority w:val="0"/>
    <w:pPr>
      <w:tabs>
        <w:tab w:val="left" w:pos="-116"/>
        <w:tab w:val="left" w:pos="420"/>
      </w:tabs>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page number"/>
    <w:basedOn w:val="17"/>
    <w:qFormat/>
    <w:uiPriority w:val="0"/>
  </w:style>
  <w:style w:type="character" w:styleId="20">
    <w:name w:val="Emphasis"/>
    <w:basedOn w:val="17"/>
    <w:qFormat/>
    <w:uiPriority w:val="0"/>
    <w:rPr>
      <w:i/>
    </w:rPr>
  </w:style>
  <w:style w:type="character" w:styleId="21">
    <w:name w:val="annotation reference"/>
    <w:basedOn w:val="17"/>
    <w:qFormat/>
    <w:uiPriority w:val="0"/>
    <w:rPr>
      <w:sz w:val="21"/>
      <w:szCs w:val="21"/>
    </w:rPr>
  </w:style>
  <w:style w:type="character" w:customStyle="1" w:styleId="22">
    <w:name w:val="批注框文本 Char"/>
    <w:basedOn w:val="17"/>
    <w:link w:val="7"/>
    <w:qFormat/>
    <w:uiPriority w:val="0"/>
    <w:rPr>
      <w:rFonts w:ascii="Times New Roman" w:hAnsi="Times New Roman"/>
      <w:kern w:val="2"/>
      <w:sz w:val="18"/>
      <w:szCs w:val="18"/>
    </w:rPr>
  </w:style>
  <w:style w:type="character" w:customStyle="1" w:styleId="23">
    <w:name w:val="批注文字 Char"/>
    <w:basedOn w:val="17"/>
    <w:link w:val="3"/>
    <w:qFormat/>
    <w:uiPriority w:val="0"/>
    <w:rPr>
      <w:rFonts w:ascii="Times New Roman" w:hAnsi="Times New Roman"/>
      <w:kern w:val="2"/>
      <w:sz w:val="21"/>
      <w:szCs w:val="22"/>
    </w:rPr>
  </w:style>
  <w:style w:type="character" w:customStyle="1" w:styleId="24">
    <w:name w:val="批注主题 Char"/>
    <w:basedOn w:val="23"/>
    <w:link w:val="13"/>
    <w:qFormat/>
    <w:uiPriority w:val="0"/>
  </w:style>
  <w:style w:type="character" w:customStyle="1" w:styleId="25">
    <w:name w:val="font51"/>
    <w:basedOn w:val="17"/>
    <w:qFormat/>
    <w:uiPriority w:val="0"/>
    <w:rPr>
      <w:rFonts w:hint="eastAsia" w:ascii="宋体" w:hAnsi="宋体" w:eastAsia="宋体" w:cs="宋体"/>
      <w:color w:val="000000"/>
      <w:sz w:val="20"/>
      <w:szCs w:val="20"/>
      <w:u w:val="none"/>
    </w:rPr>
  </w:style>
  <w:style w:type="paragraph" w:customStyle="1" w:styleId="26">
    <w:name w:val="WPSOffice手动目录 1"/>
    <w:qFormat/>
    <w:uiPriority w:val="0"/>
    <w:pPr>
      <w:ind w:leftChars="0"/>
    </w:pPr>
    <w:rPr>
      <w:rFonts w:ascii="Times New Roman" w:hAnsi="Times New Roman" w:eastAsia="宋体" w:cs="Times New Roman"/>
      <w:sz w:val="20"/>
      <w:szCs w:val="20"/>
    </w:rPr>
  </w:style>
  <w:style w:type="character" w:customStyle="1" w:styleId="27">
    <w:name w:val="font31"/>
    <w:basedOn w:val="17"/>
    <w:qFormat/>
    <w:uiPriority w:val="0"/>
    <w:rPr>
      <w:rFonts w:hint="eastAsia" w:ascii="宋体" w:hAnsi="宋体" w:eastAsia="宋体" w:cs="宋体"/>
      <w:color w:val="000000"/>
      <w:sz w:val="20"/>
      <w:szCs w:val="20"/>
      <w:u w:val="none"/>
    </w:rPr>
  </w:style>
  <w:style w:type="character" w:customStyle="1" w:styleId="28">
    <w:name w:val="font21"/>
    <w:qFormat/>
    <w:uiPriority w:val="0"/>
    <w:rPr>
      <w:rFonts w:hint="eastAsia" w:ascii="宋体" w:hAnsi="宋体" w:eastAsia="宋体" w:cs="宋体"/>
      <w:color w:val="000000"/>
      <w:sz w:val="20"/>
      <w:szCs w:val="20"/>
      <w:u w:val="none"/>
    </w:rPr>
  </w:style>
  <w:style w:type="table" w:customStyle="1" w:styleId="29">
    <w:name w:val="Table Normal"/>
    <w:unhideWhenUsed/>
    <w:qFormat/>
    <w:uiPriority w:val="0"/>
    <w:tblPr>
      <w:tblCellMar>
        <w:top w:w="0" w:type="dxa"/>
        <w:left w:w="0" w:type="dxa"/>
        <w:bottom w:w="0" w:type="dxa"/>
        <w:right w:w="0" w:type="dxa"/>
      </w:tblCellMar>
    </w:tblPr>
  </w:style>
  <w:style w:type="paragraph" w:customStyle="1" w:styleId="30">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62</Pages>
  <Words>25531</Words>
  <Characters>26820</Characters>
  <Lines>1</Lines>
  <Paragraphs>1</Paragraphs>
  <TotalTime>3</TotalTime>
  <ScaleCrop>false</ScaleCrop>
  <LinksUpToDate>false</LinksUpToDate>
  <CharactersWithSpaces>27152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2024-12-31T06:32:00Z</cp:lastPrinted>
  <dcterms:modified xsi:type="dcterms:W3CDTF">2025-05-19T09:51:08Z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E52430F6085A47E083E8CF671C6794D4_13</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