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079D0">
      <w:pPr>
        <w:jc w:val="right"/>
        <w:rPr>
          <w:rFonts w:hint="default" w:ascii="仿宋" w:hAnsi="仿宋" w:eastAsia="仿宋" w:cs="仿宋"/>
          <w:highlight w:val="none"/>
          <w:lang w:val="en-US" w:eastAsia="zh-CN"/>
        </w:rPr>
      </w:pPr>
    </w:p>
    <w:p w14:paraId="0ECA36CA">
      <w:pPr>
        <w:jc w:val="both"/>
        <w:rPr>
          <w:rFonts w:hint="eastAsia" w:ascii="仿宋" w:hAnsi="仿宋" w:eastAsia="仿宋" w:cs="仿宋"/>
          <w:b/>
          <w:sz w:val="72"/>
          <w:highlight w:val="none"/>
          <w:lang w:val="en-US" w:eastAsia="zh-CN"/>
        </w:rPr>
      </w:pPr>
      <w:r>
        <w:rPr>
          <w:rFonts w:hint="eastAsia" w:ascii="仿宋" w:hAnsi="仿宋" w:eastAsia="仿宋" w:cs="仿宋"/>
          <w:kern w:val="0"/>
          <w:sz w:val="24"/>
          <w:szCs w:val="24"/>
          <w:highlight w:val="none"/>
        </w:rPr>
        <w:drawing>
          <wp:anchor distT="0" distB="0" distL="114300" distR="114300" simplePos="0" relativeHeight="251659264" behindDoc="0" locked="0" layoutInCell="1" allowOverlap="1">
            <wp:simplePos x="0" y="0"/>
            <wp:positionH relativeFrom="column">
              <wp:posOffset>920115</wp:posOffset>
            </wp:positionH>
            <wp:positionV relativeFrom="paragraph">
              <wp:posOffset>19685</wp:posOffset>
            </wp:positionV>
            <wp:extent cx="4288790" cy="525780"/>
            <wp:effectExtent l="0" t="0" r="16510" b="7620"/>
            <wp:wrapNone/>
            <wp:docPr id="1"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619fd34e89ba868d862bb3661be41"/>
                    <pic:cNvPicPr>
                      <a:picLocks noChangeAspect="1"/>
                    </pic:cNvPicPr>
                  </pic:nvPicPr>
                  <pic:blipFill>
                    <a:blip r:embed="rId7"/>
                    <a:stretch>
                      <a:fillRect/>
                    </a:stretch>
                  </pic:blipFill>
                  <pic:spPr>
                    <a:xfrm>
                      <a:off x="0" y="0"/>
                      <a:ext cx="4288790" cy="525780"/>
                    </a:xfrm>
                    <a:prstGeom prst="rect">
                      <a:avLst/>
                    </a:prstGeom>
                    <a:noFill/>
                    <a:ln>
                      <a:noFill/>
                    </a:ln>
                  </pic:spPr>
                </pic:pic>
              </a:graphicData>
            </a:graphic>
          </wp:anchor>
        </w:drawing>
      </w:r>
    </w:p>
    <w:p w14:paraId="000BE8F1">
      <w:pPr>
        <w:jc w:val="center"/>
        <w:rPr>
          <w:rFonts w:hint="eastAsia" w:ascii="仿宋" w:hAnsi="仿宋" w:eastAsia="仿宋" w:cs="仿宋"/>
          <w:b/>
          <w:sz w:val="56"/>
          <w:szCs w:val="22"/>
          <w:highlight w:val="none"/>
          <w:lang w:val="en-US" w:eastAsia="zh-CN"/>
        </w:rPr>
      </w:pPr>
    </w:p>
    <w:p w14:paraId="24B4C9FC">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sz w:val="52"/>
          <w:szCs w:val="52"/>
          <w:highlight w:val="none"/>
          <w:lang w:val="en-US" w:eastAsia="zh-CN"/>
        </w:rPr>
      </w:pPr>
      <w:r>
        <w:rPr>
          <w:rFonts w:hint="eastAsia" w:ascii="仿宋" w:hAnsi="仿宋" w:eastAsia="仿宋" w:cs="仿宋"/>
          <w:b w:val="0"/>
          <w:bCs/>
          <w:sz w:val="52"/>
          <w:szCs w:val="52"/>
          <w:highlight w:val="none"/>
          <w:lang w:val="en-US" w:eastAsia="zh-CN"/>
        </w:rPr>
        <w:t>南京现代表面处理科技产业中心项目</w:t>
      </w:r>
    </w:p>
    <w:p w14:paraId="27341F3D">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color w:val="auto"/>
          <w:sz w:val="52"/>
          <w:szCs w:val="52"/>
          <w:highlight w:val="none"/>
          <w:u w:val="none"/>
          <w:lang w:val="en-US" w:eastAsia="zh-CN"/>
        </w:rPr>
      </w:pPr>
      <w:r>
        <w:rPr>
          <w:rFonts w:hint="eastAsia" w:ascii="仿宋" w:hAnsi="仿宋" w:eastAsia="仿宋" w:cs="仿宋"/>
          <w:b w:val="0"/>
          <w:bCs/>
          <w:sz w:val="52"/>
          <w:szCs w:val="52"/>
          <w:highlight w:val="none"/>
          <w:lang w:val="en-US" w:eastAsia="zh-CN"/>
        </w:rPr>
        <w:t>A地</w:t>
      </w:r>
      <w:r>
        <w:rPr>
          <w:rFonts w:hint="eastAsia" w:ascii="仿宋" w:hAnsi="仿宋" w:eastAsia="仿宋" w:cs="仿宋"/>
          <w:b w:val="0"/>
          <w:bCs/>
          <w:color w:val="auto"/>
          <w:sz w:val="52"/>
          <w:szCs w:val="52"/>
          <w:highlight w:val="none"/>
          <w:lang w:val="en-US" w:eastAsia="zh-CN"/>
        </w:rPr>
        <w:t>块水泥稳定碎石</w:t>
      </w:r>
    </w:p>
    <w:p w14:paraId="072FBC94">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val="0"/>
          <w:bCs/>
          <w:sz w:val="52"/>
          <w:szCs w:val="52"/>
          <w:highlight w:val="none"/>
          <w:lang w:val="en-US" w:eastAsia="zh-CN"/>
        </w:rPr>
      </w:pPr>
      <w:bookmarkStart w:id="0" w:name="_Toc19337"/>
      <w:bookmarkStart w:id="1" w:name="_Toc32625"/>
      <w:bookmarkStart w:id="2" w:name="_Toc7524"/>
      <w:bookmarkStart w:id="3" w:name="_Toc13418"/>
      <w:bookmarkStart w:id="4" w:name="_Toc782"/>
      <w:bookmarkStart w:id="5" w:name="_Toc25876"/>
      <w:bookmarkStart w:id="6" w:name="_Toc927"/>
      <w:r>
        <w:rPr>
          <w:rFonts w:hint="eastAsia" w:ascii="仿宋" w:hAnsi="仿宋" w:eastAsia="仿宋" w:cs="仿宋"/>
          <w:b w:val="0"/>
          <w:bCs/>
          <w:sz w:val="52"/>
          <w:szCs w:val="52"/>
          <w:highlight w:val="none"/>
          <w:lang w:val="en-US" w:eastAsia="zh-CN"/>
        </w:rPr>
        <w:t>购</w:t>
      </w:r>
      <w:bookmarkEnd w:id="0"/>
      <w:bookmarkEnd w:id="1"/>
      <w:bookmarkEnd w:id="2"/>
      <w:bookmarkEnd w:id="3"/>
      <w:bookmarkEnd w:id="4"/>
      <w:bookmarkEnd w:id="5"/>
      <w:bookmarkEnd w:id="6"/>
    </w:p>
    <w:p w14:paraId="2A2EE401">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val="0"/>
          <w:bCs/>
          <w:sz w:val="52"/>
          <w:szCs w:val="52"/>
          <w:highlight w:val="none"/>
          <w:lang w:val="en-US" w:eastAsia="zh-CN"/>
        </w:rPr>
      </w:pPr>
      <w:bookmarkStart w:id="7" w:name="_Toc516"/>
      <w:bookmarkStart w:id="8" w:name="_Toc14109"/>
      <w:bookmarkStart w:id="9" w:name="_Toc9247"/>
      <w:bookmarkStart w:id="10" w:name="_Toc31704"/>
      <w:bookmarkStart w:id="11" w:name="_Toc11958"/>
      <w:bookmarkStart w:id="12" w:name="_Toc16578"/>
      <w:bookmarkStart w:id="13" w:name="_Toc15725"/>
      <w:r>
        <w:rPr>
          <w:rFonts w:hint="eastAsia" w:ascii="仿宋" w:hAnsi="仿宋" w:eastAsia="仿宋" w:cs="仿宋"/>
          <w:b w:val="0"/>
          <w:bCs/>
          <w:sz w:val="52"/>
          <w:szCs w:val="52"/>
          <w:highlight w:val="none"/>
          <w:lang w:val="en-US" w:eastAsia="zh-CN"/>
        </w:rPr>
        <w:t>销</w:t>
      </w:r>
      <w:bookmarkEnd w:id="7"/>
      <w:bookmarkEnd w:id="8"/>
      <w:bookmarkEnd w:id="9"/>
      <w:bookmarkEnd w:id="10"/>
      <w:bookmarkEnd w:id="11"/>
      <w:bookmarkEnd w:id="12"/>
      <w:bookmarkEnd w:id="13"/>
    </w:p>
    <w:p w14:paraId="436EC44D">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val="0"/>
          <w:bCs/>
          <w:sz w:val="52"/>
          <w:szCs w:val="52"/>
          <w:highlight w:val="none"/>
          <w:lang w:val="en-US" w:eastAsia="zh-CN"/>
        </w:rPr>
      </w:pPr>
      <w:bookmarkStart w:id="14" w:name="_Toc9045"/>
      <w:bookmarkStart w:id="15" w:name="_Toc14406"/>
      <w:bookmarkStart w:id="16" w:name="_Toc16372"/>
      <w:bookmarkStart w:id="17" w:name="_Toc2454"/>
      <w:bookmarkStart w:id="18" w:name="_Toc4020"/>
      <w:bookmarkStart w:id="19" w:name="_Toc28545"/>
      <w:bookmarkStart w:id="20" w:name="_Toc23318"/>
      <w:r>
        <w:rPr>
          <w:rFonts w:hint="eastAsia" w:ascii="仿宋" w:hAnsi="仿宋" w:eastAsia="仿宋" w:cs="仿宋"/>
          <w:b w:val="0"/>
          <w:bCs/>
          <w:sz w:val="52"/>
          <w:szCs w:val="52"/>
          <w:highlight w:val="none"/>
          <w:lang w:val="en-US" w:eastAsia="zh-CN"/>
        </w:rPr>
        <w:t>合</w:t>
      </w:r>
      <w:bookmarkEnd w:id="14"/>
      <w:bookmarkEnd w:id="15"/>
      <w:bookmarkEnd w:id="16"/>
      <w:bookmarkEnd w:id="17"/>
      <w:bookmarkEnd w:id="18"/>
      <w:bookmarkEnd w:id="19"/>
      <w:bookmarkEnd w:id="20"/>
    </w:p>
    <w:p w14:paraId="242494F5">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val="0"/>
          <w:bCs/>
          <w:sz w:val="52"/>
          <w:szCs w:val="52"/>
          <w:highlight w:val="none"/>
          <w:lang w:val="en-US" w:eastAsia="zh-CN"/>
        </w:rPr>
      </w:pPr>
      <w:bookmarkStart w:id="21" w:name="_Toc2686"/>
      <w:bookmarkStart w:id="22" w:name="_Toc2173"/>
      <w:bookmarkStart w:id="23" w:name="_Toc2473"/>
      <w:bookmarkStart w:id="24" w:name="_Toc29668"/>
      <w:bookmarkStart w:id="25" w:name="_Toc9859"/>
      <w:bookmarkStart w:id="26" w:name="_Toc20513"/>
      <w:bookmarkStart w:id="27" w:name="_Toc16859"/>
      <w:r>
        <w:rPr>
          <w:rFonts w:hint="eastAsia" w:ascii="仿宋" w:hAnsi="仿宋" w:eastAsia="仿宋" w:cs="仿宋"/>
          <w:b w:val="0"/>
          <w:bCs/>
          <w:sz w:val="52"/>
          <w:szCs w:val="52"/>
          <w:highlight w:val="none"/>
          <w:lang w:val="en-US" w:eastAsia="zh-CN"/>
        </w:rPr>
        <w:t>同</w:t>
      </w:r>
      <w:bookmarkEnd w:id="21"/>
      <w:bookmarkEnd w:id="22"/>
      <w:bookmarkEnd w:id="23"/>
      <w:bookmarkEnd w:id="24"/>
      <w:bookmarkEnd w:id="25"/>
      <w:bookmarkEnd w:id="26"/>
      <w:bookmarkEnd w:id="27"/>
    </w:p>
    <w:p w14:paraId="13FCB094">
      <w:pPr>
        <w:jc w:val="both"/>
        <w:rPr>
          <w:rFonts w:hint="eastAsia" w:ascii="仿宋" w:hAnsi="仿宋" w:eastAsia="仿宋" w:cs="仿宋"/>
          <w:highlight w:val="none"/>
          <w:lang w:val="en-US" w:eastAsia="zh-CN"/>
        </w:rPr>
      </w:pPr>
    </w:p>
    <w:p w14:paraId="19824DAA">
      <w:pPr>
        <w:jc w:val="both"/>
        <w:rPr>
          <w:rFonts w:hint="eastAsia" w:ascii="仿宋" w:hAnsi="仿宋" w:eastAsia="仿宋" w:cs="仿宋"/>
          <w:highlight w:val="none"/>
          <w:lang w:val="en-US" w:eastAsia="zh-CN"/>
        </w:rPr>
      </w:pPr>
    </w:p>
    <w:p w14:paraId="69BF9EDE">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val="0"/>
          <w:bCs w:val="0"/>
          <w:sz w:val="28"/>
          <w:szCs w:val="28"/>
          <w:highlight w:val="none"/>
          <w:lang w:val="en-US" w:eastAsia="zh-CN"/>
        </w:rPr>
      </w:pPr>
    </w:p>
    <w:p w14:paraId="597A6DFF">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sz w:val="28"/>
          <w:szCs w:val="28"/>
          <w:highlight w:val="none"/>
          <w:lang w:val="en-US" w:eastAsia="zh-CN"/>
        </w:rPr>
      </w:pPr>
    </w:p>
    <w:p w14:paraId="600C8BD0">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sz w:val="28"/>
          <w:szCs w:val="28"/>
          <w:highlight w:val="none"/>
          <w:u w:val="single"/>
          <w:lang w:val="en-US" w:eastAsia="zh-CN"/>
        </w:rPr>
      </w:pPr>
      <w:r>
        <w:rPr>
          <w:rFonts w:hint="eastAsia" w:ascii="仿宋" w:hAnsi="仿宋" w:eastAsia="仿宋" w:cs="仿宋"/>
          <w:b w:val="0"/>
          <w:bCs w:val="0"/>
          <w:sz w:val="28"/>
          <w:szCs w:val="28"/>
          <w:highlight w:val="none"/>
          <w:lang w:val="en-US" w:eastAsia="zh-CN"/>
        </w:rPr>
        <w:t>合同编号：</w:t>
      </w:r>
    </w:p>
    <w:p w14:paraId="63E33EF9">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sz w:val="28"/>
          <w:szCs w:val="28"/>
          <w:highlight w:val="none"/>
          <w:u w:val="single"/>
          <w:lang w:val="en-US" w:eastAsia="zh-CN"/>
        </w:rPr>
      </w:pPr>
      <w:r>
        <w:rPr>
          <w:rFonts w:hint="eastAsia" w:ascii="仿宋" w:hAnsi="仿宋" w:eastAsia="仿宋" w:cs="仿宋"/>
          <w:b w:val="0"/>
          <w:bCs w:val="0"/>
          <w:sz w:val="28"/>
          <w:szCs w:val="28"/>
          <w:highlight w:val="none"/>
          <w:lang w:val="en-US" w:eastAsia="zh-CN"/>
        </w:rPr>
        <w:t>甲方（需方）：东莞市中泰建安工程有限公司</w:t>
      </w:r>
    </w:p>
    <w:p w14:paraId="5D69191C">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乙方（供方）：</w:t>
      </w:r>
    </w:p>
    <w:p w14:paraId="11B2F296">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签订日期：</w:t>
      </w:r>
      <w:r>
        <w:rPr>
          <w:rFonts w:hint="eastAsia" w:ascii="仿宋" w:hAnsi="仿宋" w:eastAsia="仿宋" w:cs="仿宋"/>
          <w:b w:val="0"/>
          <w:bCs w:val="0"/>
          <w:sz w:val="28"/>
          <w:szCs w:val="28"/>
          <w:highlight w:val="none"/>
          <w:u w:val="single"/>
          <w:lang w:val="en-US" w:eastAsia="zh-CN"/>
        </w:rPr>
        <w:t xml:space="preserve">  2024 </w:t>
      </w:r>
      <w:r>
        <w:rPr>
          <w:rFonts w:hint="eastAsia" w:ascii="仿宋" w:hAnsi="仿宋" w:eastAsia="仿宋" w:cs="仿宋"/>
          <w:b w:val="0"/>
          <w:bCs w:val="0"/>
          <w:sz w:val="28"/>
          <w:szCs w:val="28"/>
          <w:highlight w:val="none"/>
          <w:u w:val="none"/>
          <w:lang w:val="en-US" w:eastAsia="zh-CN"/>
        </w:rPr>
        <w:t>年</w:t>
      </w:r>
      <w:r>
        <w:rPr>
          <w:rFonts w:hint="eastAsia" w:ascii="仿宋" w:hAnsi="仿宋" w:eastAsia="仿宋" w:cs="仿宋"/>
          <w:b w:val="0"/>
          <w:bCs w:val="0"/>
          <w:sz w:val="28"/>
          <w:szCs w:val="28"/>
          <w:highlight w:val="none"/>
          <w:u w:val="single"/>
          <w:lang w:val="en-US" w:eastAsia="zh-CN"/>
        </w:rPr>
        <w:t xml:space="preserve">    </w:t>
      </w:r>
      <w:r>
        <w:rPr>
          <w:rFonts w:hint="eastAsia" w:ascii="仿宋" w:hAnsi="仿宋" w:eastAsia="仿宋" w:cs="仿宋"/>
          <w:b w:val="0"/>
          <w:bCs w:val="0"/>
          <w:sz w:val="28"/>
          <w:szCs w:val="28"/>
          <w:highlight w:val="none"/>
          <w:u w:val="none"/>
          <w:lang w:val="en-US" w:eastAsia="zh-CN"/>
        </w:rPr>
        <w:t>月</w:t>
      </w:r>
      <w:r>
        <w:rPr>
          <w:rFonts w:hint="eastAsia" w:ascii="仿宋" w:hAnsi="仿宋" w:eastAsia="仿宋" w:cs="仿宋"/>
          <w:b w:val="0"/>
          <w:bCs w:val="0"/>
          <w:sz w:val="28"/>
          <w:szCs w:val="28"/>
          <w:highlight w:val="none"/>
          <w:u w:val="single"/>
          <w:lang w:val="en-US" w:eastAsia="zh-CN"/>
        </w:rPr>
        <w:t xml:space="preserve">  </w:t>
      </w:r>
      <w:r>
        <w:rPr>
          <w:rFonts w:hint="eastAsia" w:ascii="仿宋" w:hAnsi="仿宋" w:eastAsia="仿宋" w:cs="仿宋"/>
          <w:b w:val="0"/>
          <w:bCs w:val="0"/>
          <w:sz w:val="28"/>
          <w:szCs w:val="28"/>
          <w:highlight w:val="none"/>
          <w:u w:val="none"/>
          <w:lang w:val="en-US" w:eastAsia="zh-CN"/>
        </w:rPr>
        <w:t>日</w:t>
      </w:r>
    </w:p>
    <w:p w14:paraId="782E573B">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highlight w:val="none"/>
          <w:lang w:val="en-US" w:eastAsia="zh-CN"/>
        </w:rPr>
      </w:pPr>
      <w:r>
        <w:rPr>
          <w:rFonts w:hint="eastAsia" w:ascii="仿宋" w:hAnsi="仿宋" w:eastAsia="仿宋" w:cs="仿宋"/>
          <w:b w:val="0"/>
          <w:bCs w:val="0"/>
          <w:sz w:val="28"/>
          <w:szCs w:val="28"/>
          <w:highlight w:val="none"/>
          <w:u w:val="none"/>
          <w:lang w:val="en-US" w:eastAsia="zh-CN"/>
        </w:rPr>
        <w:t>签订地点：广东东莞。</w:t>
      </w:r>
    </w:p>
    <w:p w14:paraId="273B7A3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2"/>
          <w:sz w:val="32"/>
          <w:szCs w:val="32"/>
          <w:highlight w:val="none"/>
          <w:u w:val="none"/>
          <w:lang w:val="en-US" w:eastAsia="zh-CN" w:bidi="ar-SA"/>
        </w:rPr>
        <w:sectPr>
          <w:headerReference r:id="rId3" w:type="default"/>
          <w:footerReference r:id="rId4" w:type="default"/>
          <w:pgSz w:w="11906" w:h="16838"/>
          <w:pgMar w:top="1440" w:right="1247" w:bottom="1440" w:left="1247"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p>
    <w:p w14:paraId="74789149">
      <w:pPr>
        <w:spacing w:before="0" w:beforeLines="0" w:after="0" w:afterLines="0" w:line="240" w:lineRule="auto"/>
        <w:ind w:left="0" w:leftChars="0" w:right="0" w:rightChars="0" w:firstLine="0" w:firstLineChars="0"/>
        <w:jc w:val="center"/>
        <w:rPr>
          <w:sz w:val="32"/>
          <w:szCs w:val="40"/>
          <w:highlight w:val="none"/>
        </w:rPr>
      </w:pPr>
      <w:r>
        <w:rPr>
          <w:rFonts w:ascii="宋体" w:hAnsi="宋体" w:eastAsia="宋体"/>
          <w:sz w:val="32"/>
          <w:szCs w:val="40"/>
          <w:highlight w:val="none"/>
        </w:rPr>
        <w:t>目录</w:t>
      </w:r>
    </w:p>
    <w:p w14:paraId="7FC8C69A">
      <w:pPr>
        <w:pStyle w:val="8"/>
        <w:tabs>
          <w:tab w:val="right" w:leader="dot" w:pos="9240"/>
        </w:tabs>
      </w:pPr>
      <w:r>
        <w:rPr>
          <w:sz w:val="28"/>
          <w:szCs w:val="28"/>
          <w:highlight w:val="none"/>
        </w:rPr>
        <w:fldChar w:fldCharType="begin"/>
      </w:r>
      <w:r>
        <w:rPr>
          <w:sz w:val="28"/>
          <w:szCs w:val="28"/>
          <w:highlight w:val="none"/>
        </w:rPr>
        <w:instrText xml:space="preserve">TOC \o "1-1" \h \u </w:instrText>
      </w:r>
      <w:r>
        <w:rPr>
          <w:sz w:val="28"/>
          <w:szCs w:val="28"/>
          <w:highlight w:val="none"/>
        </w:rPr>
        <w:fldChar w:fldCharType="separate"/>
      </w:r>
    </w:p>
    <w:p w14:paraId="0EB4E6C4">
      <w:pPr>
        <w:pStyle w:val="8"/>
        <w:tabs>
          <w:tab w:val="right" w:leader="dot" w:pos="9240"/>
        </w:tabs>
      </w:pPr>
      <w:r>
        <w:rPr>
          <w:szCs w:val="28"/>
          <w:highlight w:val="none"/>
        </w:rPr>
        <w:fldChar w:fldCharType="begin"/>
      </w:r>
      <w:r>
        <w:rPr>
          <w:szCs w:val="28"/>
          <w:highlight w:val="none"/>
        </w:rPr>
        <w:instrText xml:space="preserve"> HYPERLINK \l _Toc18179 </w:instrText>
      </w:r>
      <w:r>
        <w:rPr>
          <w:szCs w:val="28"/>
          <w:highlight w:val="none"/>
        </w:rPr>
        <w:fldChar w:fldCharType="separate"/>
      </w:r>
      <w:r>
        <w:rPr>
          <w:rFonts w:hint="eastAsia" w:ascii="仿宋" w:hAnsi="仿宋" w:eastAsia="仿宋" w:cs="仿宋"/>
          <w:bCs/>
          <w:szCs w:val="28"/>
          <w:highlight w:val="none"/>
          <w:lang w:val="en-US" w:eastAsia="zh-CN"/>
        </w:rPr>
        <w:t>第一章、产品内容及合同价款</w:t>
      </w:r>
      <w:r>
        <w:tab/>
      </w:r>
      <w:r>
        <w:fldChar w:fldCharType="begin"/>
      </w:r>
      <w:r>
        <w:instrText xml:space="preserve"> PAGEREF _Toc18179 \h </w:instrText>
      </w:r>
      <w:r>
        <w:fldChar w:fldCharType="separate"/>
      </w:r>
      <w:r>
        <w:t>5</w:t>
      </w:r>
      <w:r>
        <w:fldChar w:fldCharType="end"/>
      </w:r>
      <w:r>
        <w:rPr>
          <w:szCs w:val="28"/>
          <w:highlight w:val="none"/>
        </w:rPr>
        <w:fldChar w:fldCharType="end"/>
      </w:r>
    </w:p>
    <w:p w14:paraId="5AE4DE1D">
      <w:pPr>
        <w:pStyle w:val="8"/>
        <w:tabs>
          <w:tab w:val="right" w:leader="dot" w:pos="9240"/>
        </w:tabs>
      </w:pPr>
      <w:r>
        <w:rPr>
          <w:szCs w:val="28"/>
          <w:highlight w:val="none"/>
        </w:rPr>
        <w:fldChar w:fldCharType="begin"/>
      </w:r>
      <w:r>
        <w:rPr>
          <w:szCs w:val="28"/>
          <w:highlight w:val="none"/>
        </w:rPr>
        <w:instrText xml:space="preserve"> HYPERLINK \l _Toc16178 </w:instrText>
      </w:r>
      <w:r>
        <w:rPr>
          <w:szCs w:val="28"/>
          <w:highlight w:val="none"/>
        </w:rPr>
        <w:fldChar w:fldCharType="separate"/>
      </w:r>
      <w:r>
        <w:rPr>
          <w:rFonts w:hint="eastAsia" w:ascii="仿宋" w:hAnsi="仿宋" w:eastAsia="仿宋" w:cs="仿宋"/>
          <w:bCs/>
          <w:szCs w:val="28"/>
          <w:highlight w:val="none"/>
          <w:lang w:val="en-US" w:eastAsia="zh-CN"/>
        </w:rPr>
        <w:t>第二章、付款方式</w:t>
      </w:r>
      <w:r>
        <w:tab/>
      </w:r>
      <w:r>
        <w:fldChar w:fldCharType="begin"/>
      </w:r>
      <w:r>
        <w:instrText xml:space="preserve"> PAGEREF _Toc16178 \h </w:instrText>
      </w:r>
      <w:r>
        <w:fldChar w:fldCharType="separate"/>
      </w:r>
      <w:r>
        <w:t>5</w:t>
      </w:r>
      <w:r>
        <w:fldChar w:fldCharType="end"/>
      </w:r>
      <w:r>
        <w:rPr>
          <w:szCs w:val="28"/>
          <w:highlight w:val="none"/>
        </w:rPr>
        <w:fldChar w:fldCharType="end"/>
      </w:r>
    </w:p>
    <w:p w14:paraId="3F6B6083">
      <w:pPr>
        <w:pStyle w:val="8"/>
        <w:tabs>
          <w:tab w:val="right" w:leader="dot" w:pos="9240"/>
        </w:tabs>
      </w:pPr>
      <w:r>
        <w:rPr>
          <w:szCs w:val="28"/>
          <w:highlight w:val="none"/>
        </w:rPr>
        <w:fldChar w:fldCharType="begin"/>
      </w:r>
      <w:r>
        <w:rPr>
          <w:szCs w:val="28"/>
          <w:highlight w:val="none"/>
        </w:rPr>
        <w:instrText xml:space="preserve"> HYPERLINK \l _Toc19220 </w:instrText>
      </w:r>
      <w:r>
        <w:rPr>
          <w:szCs w:val="28"/>
          <w:highlight w:val="none"/>
        </w:rPr>
        <w:fldChar w:fldCharType="separate"/>
      </w:r>
      <w:r>
        <w:rPr>
          <w:rFonts w:hint="eastAsia" w:ascii="仿宋" w:hAnsi="仿宋" w:eastAsia="仿宋" w:cs="仿宋"/>
          <w:bCs/>
          <w:szCs w:val="28"/>
          <w:highlight w:val="none"/>
          <w:lang w:val="en-US" w:eastAsia="zh-CN"/>
        </w:rPr>
        <w:t>第三章、产品质量要求</w:t>
      </w:r>
      <w:r>
        <w:tab/>
      </w:r>
      <w:r>
        <w:fldChar w:fldCharType="begin"/>
      </w:r>
      <w:r>
        <w:instrText xml:space="preserve"> PAGEREF _Toc19220 \h </w:instrText>
      </w:r>
      <w:r>
        <w:fldChar w:fldCharType="separate"/>
      </w:r>
      <w:r>
        <w:t>9</w:t>
      </w:r>
      <w:r>
        <w:fldChar w:fldCharType="end"/>
      </w:r>
      <w:r>
        <w:rPr>
          <w:szCs w:val="28"/>
          <w:highlight w:val="none"/>
        </w:rPr>
        <w:fldChar w:fldCharType="end"/>
      </w:r>
    </w:p>
    <w:p w14:paraId="7D26E384">
      <w:pPr>
        <w:pStyle w:val="8"/>
        <w:tabs>
          <w:tab w:val="right" w:leader="dot" w:pos="9240"/>
        </w:tabs>
      </w:pPr>
      <w:r>
        <w:rPr>
          <w:szCs w:val="28"/>
          <w:highlight w:val="none"/>
        </w:rPr>
        <w:fldChar w:fldCharType="begin"/>
      </w:r>
      <w:r>
        <w:rPr>
          <w:szCs w:val="28"/>
          <w:highlight w:val="none"/>
        </w:rPr>
        <w:instrText xml:space="preserve"> HYPERLINK \l _Toc23310 </w:instrText>
      </w:r>
      <w:r>
        <w:rPr>
          <w:szCs w:val="28"/>
          <w:highlight w:val="none"/>
        </w:rPr>
        <w:fldChar w:fldCharType="separate"/>
      </w:r>
      <w:r>
        <w:rPr>
          <w:rFonts w:hint="eastAsia" w:ascii="仿宋" w:hAnsi="仿宋" w:eastAsia="仿宋" w:cs="仿宋"/>
          <w:bCs/>
          <w:szCs w:val="28"/>
          <w:highlight w:val="none"/>
          <w:lang w:val="en-US" w:eastAsia="zh-CN"/>
        </w:rPr>
        <w:t>第四章、订货、交货、验收</w:t>
      </w:r>
      <w:r>
        <w:tab/>
      </w:r>
      <w:r>
        <w:fldChar w:fldCharType="begin"/>
      </w:r>
      <w:r>
        <w:instrText xml:space="preserve"> PAGEREF _Toc23310 \h </w:instrText>
      </w:r>
      <w:r>
        <w:fldChar w:fldCharType="separate"/>
      </w:r>
      <w:r>
        <w:t>10</w:t>
      </w:r>
      <w:r>
        <w:fldChar w:fldCharType="end"/>
      </w:r>
      <w:r>
        <w:rPr>
          <w:szCs w:val="28"/>
          <w:highlight w:val="none"/>
        </w:rPr>
        <w:fldChar w:fldCharType="end"/>
      </w:r>
    </w:p>
    <w:p w14:paraId="707F8B12">
      <w:pPr>
        <w:pStyle w:val="8"/>
        <w:tabs>
          <w:tab w:val="right" w:leader="dot" w:pos="9240"/>
        </w:tabs>
      </w:pPr>
      <w:r>
        <w:rPr>
          <w:szCs w:val="28"/>
          <w:highlight w:val="none"/>
        </w:rPr>
        <w:fldChar w:fldCharType="begin"/>
      </w:r>
      <w:r>
        <w:rPr>
          <w:szCs w:val="28"/>
          <w:highlight w:val="none"/>
        </w:rPr>
        <w:instrText xml:space="preserve"> HYPERLINK \l _Toc7532 </w:instrText>
      </w:r>
      <w:r>
        <w:rPr>
          <w:szCs w:val="28"/>
          <w:highlight w:val="none"/>
        </w:rPr>
        <w:fldChar w:fldCharType="separate"/>
      </w:r>
      <w:r>
        <w:rPr>
          <w:rFonts w:hint="eastAsia" w:ascii="仿宋" w:hAnsi="仿宋" w:eastAsia="仿宋" w:cs="仿宋"/>
          <w:bCs/>
          <w:szCs w:val="28"/>
          <w:highlight w:val="none"/>
          <w:lang w:val="en-US" w:eastAsia="zh-CN"/>
        </w:rPr>
        <w:t>第五章、质保</w:t>
      </w:r>
      <w:r>
        <w:tab/>
      </w:r>
      <w:r>
        <w:fldChar w:fldCharType="begin"/>
      </w:r>
      <w:r>
        <w:instrText xml:space="preserve"> PAGEREF _Toc7532 \h </w:instrText>
      </w:r>
      <w:r>
        <w:fldChar w:fldCharType="separate"/>
      </w:r>
      <w:r>
        <w:t>14</w:t>
      </w:r>
      <w:r>
        <w:fldChar w:fldCharType="end"/>
      </w:r>
      <w:r>
        <w:rPr>
          <w:szCs w:val="28"/>
          <w:highlight w:val="none"/>
        </w:rPr>
        <w:fldChar w:fldCharType="end"/>
      </w:r>
    </w:p>
    <w:p w14:paraId="1AC5706A">
      <w:pPr>
        <w:pStyle w:val="8"/>
        <w:tabs>
          <w:tab w:val="right" w:leader="dot" w:pos="9240"/>
        </w:tabs>
      </w:pPr>
      <w:r>
        <w:rPr>
          <w:szCs w:val="28"/>
          <w:highlight w:val="none"/>
        </w:rPr>
        <w:fldChar w:fldCharType="begin"/>
      </w:r>
      <w:r>
        <w:rPr>
          <w:szCs w:val="28"/>
          <w:highlight w:val="none"/>
        </w:rPr>
        <w:instrText xml:space="preserve"> HYPERLINK \l _Toc6114 </w:instrText>
      </w:r>
      <w:r>
        <w:rPr>
          <w:szCs w:val="28"/>
          <w:highlight w:val="none"/>
        </w:rPr>
        <w:fldChar w:fldCharType="separate"/>
      </w:r>
      <w:r>
        <w:rPr>
          <w:rFonts w:hint="eastAsia" w:ascii="仿宋" w:hAnsi="仿宋" w:eastAsia="仿宋" w:cs="仿宋"/>
          <w:bCs/>
          <w:szCs w:val="28"/>
          <w:highlight w:val="none"/>
          <w:lang w:val="en-US" w:eastAsia="zh-CN"/>
        </w:rPr>
        <w:t>第六章、</w:t>
      </w:r>
      <w:r>
        <w:rPr>
          <w:rFonts w:hint="eastAsia" w:cs="仿宋"/>
          <w:bCs/>
          <w:szCs w:val="28"/>
          <w:highlight w:val="none"/>
          <w:lang w:val="en-US" w:eastAsia="zh-CN"/>
        </w:rPr>
        <w:t>违约</w:t>
      </w:r>
      <w:r>
        <w:rPr>
          <w:rFonts w:hint="eastAsia" w:ascii="仿宋" w:hAnsi="仿宋" w:eastAsia="仿宋" w:cs="仿宋"/>
          <w:bCs/>
          <w:szCs w:val="28"/>
          <w:highlight w:val="none"/>
          <w:lang w:val="en-US" w:eastAsia="zh-CN"/>
        </w:rPr>
        <w:t>责任</w:t>
      </w:r>
      <w:r>
        <w:tab/>
      </w:r>
      <w:r>
        <w:fldChar w:fldCharType="begin"/>
      </w:r>
      <w:r>
        <w:instrText xml:space="preserve"> PAGEREF _Toc6114 \h </w:instrText>
      </w:r>
      <w:r>
        <w:fldChar w:fldCharType="separate"/>
      </w:r>
      <w:r>
        <w:t>15</w:t>
      </w:r>
      <w:r>
        <w:fldChar w:fldCharType="end"/>
      </w:r>
      <w:r>
        <w:rPr>
          <w:szCs w:val="28"/>
          <w:highlight w:val="none"/>
        </w:rPr>
        <w:fldChar w:fldCharType="end"/>
      </w:r>
    </w:p>
    <w:p w14:paraId="539B5E2A">
      <w:pPr>
        <w:pStyle w:val="8"/>
        <w:tabs>
          <w:tab w:val="right" w:leader="dot" w:pos="9240"/>
        </w:tabs>
      </w:pPr>
      <w:r>
        <w:rPr>
          <w:szCs w:val="28"/>
          <w:highlight w:val="none"/>
        </w:rPr>
        <w:fldChar w:fldCharType="begin"/>
      </w:r>
      <w:r>
        <w:rPr>
          <w:szCs w:val="28"/>
          <w:highlight w:val="none"/>
        </w:rPr>
        <w:instrText xml:space="preserve"> HYPERLINK \l _Toc23174 </w:instrText>
      </w:r>
      <w:r>
        <w:rPr>
          <w:szCs w:val="28"/>
          <w:highlight w:val="none"/>
        </w:rPr>
        <w:fldChar w:fldCharType="separate"/>
      </w:r>
      <w:r>
        <w:rPr>
          <w:rFonts w:hint="eastAsia" w:ascii="仿宋" w:hAnsi="仿宋" w:eastAsia="仿宋" w:cs="仿宋"/>
          <w:bCs/>
          <w:szCs w:val="28"/>
          <w:highlight w:val="none"/>
          <w:lang w:val="en-US" w:eastAsia="zh-CN"/>
        </w:rPr>
        <w:t>第七章、廉洁条款</w:t>
      </w:r>
      <w:r>
        <w:tab/>
      </w:r>
      <w:r>
        <w:fldChar w:fldCharType="begin"/>
      </w:r>
      <w:r>
        <w:instrText xml:space="preserve"> PAGEREF _Toc23174 \h </w:instrText>
      </w:r>
      <w:r>
        <w:fldChar w:fldCharType="separate"/>
      </w:r>
      <w:r>
        <w:t>17</w:t>
      </w:r>
      <w:r>
        <w:fldChar w:fldCharType="end"/>
      </w:r>
      <w:r>
        <w:rPr>
          <w:szCs w:val="28"/>
          <w:highlight w:val="none"/>
        </w:rPr>
        <w:fldChar w:fldCharType="end"/>
      </w:r>
    </w:p>
    <w:p w14:paraId="7B12696B">
      <w:pPr>
        <w:pStyle w:val="8"/>
        <w:tabs>
          <w:tab w:val="right" w:leader="dot" w:pos="9240"/>
        </w:tabs>
      </w:pPr>
      <w:r>
        <w:rPr>
          <w:szCs w:val="28"/>
          <w:highlight w:val="none"/>
        </w:rPr>
        <w:fldChar w:fldCharType="begin"/>
      </w:r>
      <w:r>
        <w:rPr>
          <w:szCs w:val="28"/>
          <w:highlight w:val="none"/>
        </w:rPr>
        <w:instrText xml:space="preserve"> HYPERLINK \l _Toc22646 </w:instrText>
      </w:r>
      <w:r>
        <w:rPr>
          <w:szCs w:val="28"/>
          <w:highlight w:val="none"/>
        </w:rPr>
        <w:fldChar w:fldCharType="separate"/>
      </w:r>
      <w:r>
        <w:rPr>
          <w:rFonts w:hint="eastAsia" w:ascii="仿宋" w:hAnsi="仿宋" w:eastAsia="仿宋" w:cs="仿宋"/>
          <w:bCs/>
          <w:szCs w:val="28"/>
          <w:highlight w:val="none"/>
          <w:lang w:val="en-US" w:eastAsia="zh-CN"/>
        </w:rPr>
        <w:t>第八章、其他</w:t>
      </w:r>
      <w:r>
        <w:tab/>
      </w:r>
      <w:r>
        <w:fldChar w:fldCharType="begin"/>
      </w:r>
      <w:r>
        <w:instrText xml:space="preserve"> PAGEREF _Toc22646 \h </w:instrText>
      </w:r>
      <w:r>
        <w:fldChar w:fldCharType="separate"/>
      </w:r>
      <w:r>
        <w:t>18</w:t>
      </w:r>
      <w:r>
        <w:fldChar w:fldCharType="end"/>
      </w:r>
      <w:r>
        <w:rPr>
          <w:szCs w:val="28"/>
          <w:highlight w:val="none"/>
        </w:rPr>
        <w:fldChar w:fldCharType="end"/>
      </w:r>
    </w:p>
    <w:p w14:paraId="3A5E7825">
      <w:pPr>
        <w:pStyle w:val="8"/>
        <w:tabs>
          <w:tab w:val="right" w:leader="dot" w:pos="9240"/>
        </w:tabs>
      </w:pPr>
    </w:p>
    <w:p w14:paraId="358401BA">
      <w:pPr>
        <w:spacing w:line="600" w:lineRule="auto"/>
        <w:ind w:firstLine="420" w:firstLineChars="200"/>
        <w:rPr>
          <w:rFonts w:hint="eastAsia" w:ascii="仿宋" w:hAnsi="仿宋" w:eastAsia="仿宋" w:cs="仿宋"/>
          <w:kern w:val="2"/>
          <w:sz w:val="21"/>
          <w:szCs w:val="28"/>
          <w:highlight w:val="none"/>
          <w:lang w:val="en-US" w:eastAsia="zh-CN" w:bidi="ar-SA"/>
        </w:rPr>
      </w:pPr>
      <w:r>
        <w:rPr>
          <w:szCs w:val="28"/>
          <w:highlight w:val="none"/>
        </w:rPr>
        <w:fldChar w:fldCharType="end"/>
      </w: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TOC \o "1-1" \h \u </w:instrText>
      </w:r>
      <w:r>
        <w:rPr>
          <w:rFonts w:hint="eastAsia" w:ascii="仿宋" w:hAnsi="仿宋" w:eastAsia="仿宋" w:cs="仿宋"/>
          <w:sz w:val="28"/>
          <w:szCs w:val="28"/>
          <w:highlight w:val="none"/>
          <w:lang w:val="en-US" w:eastAsia="zh-CN"/>
        </w:rPr>
        <w:fldChar w:fldCharType="separate"/>
      </w:r>
    </w:p>
    <w:p w14:paraId="285D3A46">
      <w:pPr>
        <w:pStyle w:val="8"/>
        <w:tabs>
          <w:tab w:val="right" w:leader="dot" w:pos="9240"/>
        </w:tabs>
      </w:pPr>
    </w:p>
    <w:p w14:paraId="50697CCE">
      <w:pPr>
        <w:pStyle w:val="8"/>
        <w:tabs>
          <w:tab w:val="right" w:leader="dot" w:pos="9240"/>
        </w:tabs>
      </w:pPr>
    </w:p>
    <w:p w14:paraId="09861354">
      <w:pPr>
        <w:spacing w:line="600" w:lineRule="auto"/>
        <w:ind w:firstLine="420" w:firstLineChars="200"/>
        <w:rPr>
          <w:rFonts w:hint="eastAsia" w:ascii="仿宋" w:hAnsi="仿宋" w:eastAsia="仿宋" w:cs="仿宋"/>
          <w:sz w:val="28"/>
          <w:szCs w:val="28"/>
          <w:highlight w:val="none"/>
          <w:lang w:val="en-US" w:eastAsia="zh-CN"/>
        </w:rPr>
      </w:pPr>
      <w:r>
        <w:rPr>
          <w:rFonts w:hint="eastAsia" w:ascii="仿宋" w:hAnsi="仿宋" w:eastAsia="仿宋" w:cs="仿宋"/>
          <w:szCs w:val="28"/>
          <w:highlight w:val="none"/>
          <w:lang w:val="en-US" w:eastAsia="zh-CN"/>
        </w:rPr>
        <w:fldChar w:fldCharType="end"/>
      </w:r>
    </w:p>
    <w:p w14:paraId="1B40EE5A">
      <w:pPr>
        <w:ind w:firstLine="560" w:firstLineChars="200"/>
        <w:rPr>
          <w:rFonts w:hint="eastAsia" w:ascii="仿宋" w:hAnsi="仿宋" w:eastAsia="仿宋" w:cs="仿宋"/>
          <w:sz w:val="28"/>
          <w:szCs w:val="28"/>
          <w:highlight w:val="none"/>
          <w:lang w:val="en-US" w:eastAsia="zh-CN"/>
        </w:rPr>
      </w:pPr>
    </w:p>
    <w:p w14:paraId="656C22FF">
      <w:pPr>
        <w:ind w:firstLine="560" w:firstLineChars="200"/>
        <w:rPr>
          <w:rFonts w:hint="eastAsia" w:ascii="仿宋" w:hAnsi="仿宋" w:eastAsia="仿宋" w:cs="仿宋"/>
          <w:sz w:val="28"/>
          <w:szCs w:val="28"/>
          <w:highlight w:val="none"/>
          <w:lang w:val="en-US" w:eastAsia="zh-CN"/>
        </w:rPr>
      </w:pPr>
    </w:p>
    <w:p w14:paraId="77FFE29D">
      <w:pPr>
        <w:ind w:firstLine="560" w:firstLineChars="200"/>
        <w:rPr>
          <w:rFonts w:hint="eastAsia" w:ascii="仿宋" w:hAnsi="仿宋" w:eastAsia="仿宋" w:cs="仿宋"/>
          <w:sz w:val="28"/>
          <w:szCs w:val="28"/>
          <w:highlight w:val="none"/>
          <w:lang w:val="en-US" w:eastAsia="zh-CN"/>
        </w:rPr>
      </w:pPr>
    </w:p>
    <w:p w14:paraId="358235D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甲、乙双方在平等、自愿、公平和诚实信用的原则上，依据《中华人民共和国民法典》《中华人民共和国产品质量法》及其他有关法律法规，就拟用于</w:t>
      </w:r>
      <w:r>
        <w:rPr>
          <w:rFonts w:hint="eastAsia" w:ascii="仿宋" w:hAnsi="仿宋" w:eastAsia="仿宋" w:cs="仿宋"/>
          <w:sz w:val="28"/>
          <w:szCs w:val="28"/>
          <w:highlight w:val="none"/>
          <w:u w:val="single"/>
          <w:lang w:val="en-US" w:eastAsia="zh-CN"/>
        </w:rPr>
        <w:t>南京现代表面处理科技产业中心项目A地块</w:t>
      </w:r>
      <w:r>
        <w:rPr>
          <w:rFonts w:hint="eastAsia" w:ascii="仿宋" w:hAnsi="仿宋" w:eastAsia="仿宋" w:cs="仿宋"/>
          <w:sz w:val="28"/>
          <w:szCs w:val="28"/>
          <w:highlight w:val="none"/>
          <w:lang w:val="en-US" w:eastAsia="zh-CN"/>
        </w:rPr>
        <w:t>（以下简称“本项目”）</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u w:val="single"/>
          <w:lang w:val="en-US" w:eastAsia="zh-CN"/>
        </w:rPr>
        <w:t>水泥稳定碎石</w:t>
      </w:r>
      <w:r>
        <w:rPr>
          <w:rFonts w:hint="eastAsia" w:ascii="仿宋" w:hAnsi="仿宋" w:eastAsia="仿宋" w:cs="仿宋"/>
          <w:color w:val="auto"/>
          <w:sz w:val="28"/>
          <w:szCs w:val="28"/>
          <w:highlight w:val="none"/>
          <w:lang w:val="en-US" w:eastAsia="zh-CN"/>
        </w:rPr>
        <w:t>（以下简称“产品”） 购销事宜协商一致，特签订本合同。（本合同范围内，</w:t>
      </w:r>
      <w:r>
        <w:rPr>
          <w:rFonts w:hint="eastAsia" w:ascii="仿宋" w:hAnsi="仿宋" w:eastAsia="仿宋" w:cs="仿宋"/>
          <w:sz w:val="28"/>
          <w:szCs w:val="28"/>
          <w:highlight w:val="none"/>
          <w:lang w:val="en-US" w:eastAsia="zh-CN"/>
        </w:rPr>
        <w:t>对以</w:t>
      </w:r>
      <w:r>
        <w:rPr>
          <w:rFonts w:hint="eastAsia" w:ascii="仿宋" w:hAnsi="仿宋" w:eastAsia="仿宋" w:cs="仿宋"/>
          <w:sz w:val="28"/>
          <w:szCs w:val="28"/>
          <w:highlight w:val="none"/>
          <w:lang w:val="en-US" w:eastAsia="zh-CN"/>
        </w:rPr>
        <w:sym w:font="Wingdings" w:char="00A8"/>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lang w:val="en-US" w:eastAsia="zh-CN"/>
        </w:rPr>
        <w:sym w:font="Wingdings" w:char="00FE"/>
      </w:r>
      <w:r>
        <w:rPr>
          <w:rFonts w:hint="eastAsia" w:ascii="仿宋" w:hAnsi="仿宋" w:eastAsia="仿宋" w:cs="仿宋"/>
          <w:sz w:val="28"/>
          <w:szCs w:val="28"/>
          <w:highlight w:val="none"/>
          <w:lang w:val="en-US" w:eastAsia="zh-CN"/>
        </w:rPr>
        <w:t>开头的内容，以</w:t>
      </w:r>
      <w:r>
        <w:rPr>
          <w:rFonts w:hint="eastAsia" w:ascii="仿宋" w:hAnsi="仿宋" w:eastAsia="仿宋" w:cs="仿宋"/>
          <w:sz w:val="28"/>
          <w:szCs w:val="28"/>
          <w:highlight w:val="none"/>
          <w:lang w:val="en-US" w:eastAsia="zh-CN"/>
        </w:rPr>
        <w:sym w:font="Wingdings" w:char="00FE"/>
      </w:r>
      <w:r>
        <w:rPr>
          <w:rFonts w:hint="eastAsia" w:ascii="仿宋" w:hAnsi="仿宋" w:eastAsia="仿宋" w:cs="仿宋"/>
          <w:sz w:val="28"/>
          <w:szCs w:val="28"/>
          <w:highlight w:val="none"/>
          <w:lang w:val="en-US" w:eastAsia="zh-CN"/>
        </w:rPr>
        <w:t>开头的内容为准。）</w:t>
      </w:r>
    </w:p>
    <w:p w14:paraId="24FA6612">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sz w:val="28"/>
          <w:szCs w:val="28"/>
          <w:highlight w:val="none"/>
          <w:lang w:val="en-US" w:eastAsia="zh-CN"/>
        </w:rPr>
      </w:pPr>
      <w:bookmarkStart w:id="28" w:name="_Toc2019"/>
      <w:bookmarkStart w:id="29" w:name="_Toc20142"/>
      <w:bookmarkStart w:id="30" w:name="_Toc18179"/>
      <w:bookmarkStart w:id="31" w:name="_Toc830"/>
      <w:bookmarkStart w:id="32" w:name="_Toc30517"/>
      <w:bookmarkStart w:id="33" w:name="_Toc5311"/>
      <w:bookmarkStart w:id="34" w:name="_Toc26009"/>
      <w:r>
        <w:rPr>
          <w:rFonts w:hint="eastAsia" w:ascii="仿宋" w:hAnsi="仿宋" w:eastAsia="仿宋" w:cs="仿宋"/>
          <w:b/>
          <w:bCs/>
          <w:sz w:val="28"/>
          <w:szCs w:val="28"/>
          <w:highlight w:val="none"/>
          <w:lang w:val="en-US" w:eastAsia="zh-CN"/>
        </w:rPr>
        <w:t>第一章、产品内容及合同价款</w:t>
      </w:r>
      <w:bookmarkEnd w:id="28"/>
      <w:bookmarkEnd w:id="29"/>
      <w:bookmarkEnd w:id="30"/>
      <w:bookmarkEnd w:id="31"/>
      <w:r>
        <w:rPr>
          <w:rFonts w:hint="eastAsia" w:ascii="仿宋" w:hAnsi="仿宋" w:eastAsia="仿宋" w:cs="仿宋"/>
          <w:b/>
          <w:bCs/>
          <w:sz w:val="28"/>
          <w:szCs w:val="28"/>
          <w:highlight w:val="none"/>
          <w:lang w:val="en-US" w:eastAsia="zh-CN"/>
        </w:rPr>
        <w:tab/>
      </w:r>
      <w:bookmarkEnd w:id="32"/>
      <w:bookmarkEnd w:id="33"/>
      <w:bookmarkEnd w:id="34"/>
    </w:p>
    <w:tbl>
      <w:tblPr>
        <w:tblStyle w:val="10"/>
        <w:tblW w:w="5101" w:type="pct"/>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2708"/>
        <w:gridCol w:w="2341"/>
        <w:gridCol w:w="918"/>
        <w:gridCol w:w="812"/>
        <w:gridCol w:w="978"/>
        <w:gridCol w:w="1000"/>
        <w:gridCol w:w="899"/>
      </w:tblGrid>
      <w:tr w14:paraId="37AB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08" w:type="pct"/>
            <w:noWrap w:val="0"/>
            <w:vAlign w:val="center"/>
          </w:tcPr>
          <w:p w14:paraId="0D47AFA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序号</w:t>
            </w:r>
          </w:p>
        </w:tc>
        <w:tc>
          <w:tcPr>
            <w:tcW w:w="1343" w:type="pct"/>
            <w:noWrap w:val="0"/>
            <w:vAlign w:val="center"/>
          </w:tcPr>
          <w:p w14:paraId="2AD8047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产品名称</w:t>
            </w:r>
          </w:p>
        </w:tc>
        <w:tc>
          <w:tcPr>
            <w:tcW w:w="1161" w:type="pct"/>
            <w:noWrap w:val="0"/>
            <w:vAlign w:val="center"/>
          </w:tcPr>
          <w:p w14:paraId="3DE0124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rPr>
            </w:pPr>
            <w:r>
              <w:rPr>
                <w:rFonts w:hint="eastAsia" w:ascii="仿宋" w:hAnsi="仿宋" w:eastAsia="仿宋" w:cs="仿宋"/>
                <w:color w:val="auto"/>
                <w:sz w:val="28"/>
                <w:szCs w:val="28"/>
                <w:highlight w:val="none"/>
                <w:vertAlign w:val="baseline"/>
                <w:lang w:eastAsia="zh-CN"/>
              </w:rPr>
              <w:t>型号、规格、</w:t>
            </w:r>
            <w:r>
              <w:rPr>
                <w:rFonts w:hint="eastAsia" w:ascii="仿宋" w:hAnsi="仿宋" w:eastAsia="仿宋" w:cs="仿宋"/>
                <w:color w:val="auto"/>
                <w:sz w:val="28"/>
                <w:szCs w:val="28"/>
                <w:highlight w:val="none"/>
                <w:vertAlign w:val="baseline"/>
                <w:lang w:val="en-US" w:eastAsia="zh-CN"/>
              </w:rPr>
              <w:t>尺寸、材质、颜色、质量等级等技术</w:t>
            </w:r>
            <w:r>
              <w:rPr>
                <w:rFonts w:hint="eastAsia" w:ascii="仿宋" w:hAnsi="仿宋" w:eastAsia="仿宋" w:cs="仿宋"/>
                <w:color w:val="auto"/>
                <w:sz w:val="28"/>
                <w:szCs w:val="28"/>
                <w:highlight w:val="none"/>
                <w:vertAlign w:val="baseline"/>
                <w:lang w:eastAsia="zh-CN"/>
              </w:rPr>
              <w:t>参数（</w:t>
            </w:r>
            <w:r>
              <w:rPr>
                <w:rFonts w:hint="eastAsia" w:ascii="仿宋" w:hAnsi="仿宋" w:eastAsia="仿宋" w:cs="仿宋"/>
                <w:color w:val="auto"/>
                <w:sz w:val="28"/>
                <w:szCs w:val="28"/>
                <w:highlight w:val="none"/>
                <w:vertAlign w:val="baseline"/>
                <w:lang w:val="en-US" w:eastAsia="zh-CN"/>
              </w:rPr>
              <w:t>如有图纸，详见附件</w:t>
            </w:r>
            <w:r>
              <w:rPr>
                <w:rFonts w:hint="eastAsia" w:ascii="仿宋" w:hAnsi="仿宋" w:eastAsia="仿宋" w:cs="仿宋"/>
                <w:color w:val="auto"/>
                <w:sz w:val="28"/>
                <w:szCs w:val="28"/>
                <w:highlight w:val="none"/>
                <w:vertAlign w:val="baseline"/>
                <w:lang w:eastAsia="zh-CN"/>
              </w:rPr>
              <w:t>）</w:t>
            </w:r>
          </w:p>
        </w:tc>
        <w:tc>
          <w:tcPr>
            <w:tcW w:w="455" w:type="pct"/>
            <w:noWrap w:val="0"/>
            <w:vAlign w:val="center"/>
          </w:tcPr>
          <w:p w14:paraId="0686430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单位</w:t>
            </w:r>
          </w:p>
        </w:tc>
        <w:tc>
          <w:tcPr>
            <w:tcW w:w="402" w:type="pct"/>
            <w:noWrap w:val="0"/>
            <w:vAlign w:val="center"/>
          </w:tcPr>
          <w:p w14:paraId="4DA0C81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暂定数量</w:t>
            </w:r>
          </w:p>
        </w:tc>
        <w:tc>
          <w:tcPr>
            <w:tcW w:w="485" w:type="pct"/>
            <w:noWrap w:val="0"/>
            <w:vAlign w:val="center"/>
          </w:tcPr>
          <w:p w14:paraId="71B5C0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eastAsia="zh-CN"/>
              </w:rPr>
              <w:t>合同单价（元</w:t>
            </w:r>
            <w:r>
              <w:rPr>
                <w:rFonts w:hint="eastAsia" w:ascii="仿宋" w:hAnsi="仿宋" w:eastAsia="仿宋" w:cs="仿宋"/>
                <w:color w:val="auto"/>
                <w:sz w:val="28"/>
                <w:szCs w:val="28"/>
                <w:highlight w:val="none"/>
                <w:vertAlign w:val="baseline"/>
                <w:lang w:val="en-US" w:eastAsia="zh-CN"/>
              </w:rPr>
              <w:t>）</w:t>
            </w:r>
          </w:p>
        </w:tc>
        <w:tc>
          <w:tcPr>
            <w:tcW w:w="496" w:type="pct"/>
            <w:noWrap w:val="0"/>
            <w:vAlign w:val="center"/>
          </w:tcPr>
          <w:p w14:paraId="7357830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暂定</w:t>
            </w:r>
            <w:r>
              <w:rPr>
                <w:rFonts w:hint="eastAsia" w:ascii="仿宋" w:hAnsi="仿宋" w:eastAsia="仿宋" w:cs="仿宋"/>
                <w:color w:val="auto"/>
                <w:sz w:val="28"/>
                <w:szCs w:val="28"/>
                <w:highlight w:val="none"/>
                <w:vertAlign w:val="baseline"/>
                <w:lang w:val="en-US" w:eastAsia="zh-CN"/>
              </w:rPr>
              <w:t>合</w:t>
            </w:r>
            <w:r>
              <w:rPr>
                <w:rFonts w:hint="eastAsia" w:ascii="仿宋" w:hAnsi="仿宋" w:eastAsia="仿宋" w:cs="仿宋"/>
                <w:color w:val="auto"/>
                <w:sz w:val="28"/>
                <w:szCs w:val="28"/>
                <w:highlight w:val="none"/>
                <w:vertAlign w:val="baseline"/>
                <w:lang w:eastAsia="zh-CN"/>
              </w:rPr>
              <w:t>价（元）</w:t>
            </w:r>
          </w:p>
        </w:tc>
        <w:tc>
          <w:tcPr>
            <w:tcW w:w="446" w:type="pct"/>
            <w:noWrap w:val="0"/>
            <w:vAlign w:val="center"/>
          </w:tcPr>
          <w:p w14:paraId="718FA6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备注</w:t>
            </w:r>
          </w:p>
        </w:tc>
      </w:tr>
      <w:tr w14:paraId="05E3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08" w:type="pct"/>
            <w:noWrap w:val="0"/>
            <w:vAlign w:val="center"/>
          </w:tcPr>
          <w:p w14:paraId="2D186F9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w:t>
            </w:r>
          </w:p>
        </w:tc>
        <w:tc>
          <w:tcPr>
            <w:tcW w:w="1343" w:type="pct"/>
            <w:noWrap w:val="0"/>
            <w:vAlign w:val="center"/>
          </w:tcPr>
          <w:p w14:paraId="6038BF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u w:val="none"/>
                <w:vertAlign w:val="baseline"/>
                <w:lang w:val="en-US" w:eastAsia="zh-CN"/>
              </w:rPr>
            </w:pPr>
            <w:r>
              <w:rPr>
                <w:rFonts w:hint="eastAsia" w:ascii="仿宋" w:hAnsi="仿宋" w:eastAsia="仿宋" w:cs="仿宋"/>
                <w:color w:val="auto"/>
                <w:sz w:val="28"/>
                <w:szCs w:val="28"/>
                <w:highlight w:val="none"/>
                <w:vertAlign w:val="baseline"/>
                <w:lang w:val="en-US" w:eastAsia="zh-CN"/>
              </w:rPr>
              <w:t>水泥稳定碎石层</w:t>
            </w:r>
          </w:p>
        </w:tc>
        <w:tc>
          <w:tcPr>
            <w:tcW w:w="1161" w:type="pct"/>
            <w:noWrap w:val="0"/>
            <w:vAlign w:val="center"/>
          </w:tcPr>
          <w:p w14:paraId="5190CA6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4%水泥含量</w:t>
            </w:r>
          </w:p>
        </w:tc>
        <w:tc>
          <w:tcPr>
            <w:tcW w:w="455" w:type="pct"/>
            <w:noWrap w:val="0"/>
            <w:vAlign w:val="center"/>
          </w:tcPr>
          <w:p w14:paraId="0A563D1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t</w:t>
            </w:r>
          </w:p>
        </w:tc>
        <w:tc>
          <w:tcPr>
            <w:tcW w:w="402" w:type="pct"/>
            <w:noWrap w:val="0"/>
            <w:vAlign w:val="center"/>
          </w:tcPr>
          <w:p w14:paraId="42A3D13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836</w:t>
            </w:r>
          </w:p>
        </w:tc>
        <w:tc>
          <w:tcPr>
            <w:tcW w:w="485" w:type="pct"/>
            <w:noWrap w:val="0"/>
            <w:vAlign w:val="center"/>
          </w:tcPr>
          <w:p w14:paraId="343195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96" w:type="pct"/>
            <w:noWrap w:val="0"/>
            <w:vAlign w:val="center"/>
          </w:tcPr>
          <w:p w14:paraId="61BB37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46" w:type="pct"/>
            <w:noWrap w:val="0"/>
            <w:vAlign w:val="center"/>
          </w:tcPr>
          <w:p w14:paraId="0E06562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r>
      <w:tr w14:paraId="5661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08" w:type="pct"/>
            <w:noWrap w:val="0"/>
            <w:vAlign w:val="center"/>
          </w:tcPr>
          <w:p w14:paraId="2CBEE2F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w:t>
            </w:r>
          </w:p>
        </w:tc>
        <w:tc>
          <w:tcPr>
            <w:tcW w:w="1343" w:type="pct"/>
            <w:noWrap w:val="0"/>
            <w:vAlign w:val="center"/>
          </w:tcPr>
          <w:p w14:paraId="17085F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u w:val="none"/>
                <w:vertAlign w:val="baseline"/>
                <w:lang w:val="en-US" w:eastAsia="zh-CN"/>
              </w:rPr>
            </w:pPr>
            <w:r>
              <w:rPr>
                <w:rFonts w:hint="eastAsia" w:ascii="仿宋" w:hAnsi="仿宋" w:eastAsia="仿宋" w:cs="仿宋"/>
                <w:color w:val="auto"/>
                <w:sz w:val="28"/>
                <w:szCs w:val="28"/>
                <w:highlight w:val="none"/>
                <w:vertAlign w:val="baseline"/>
                <w:lang w:val="en-US" w:eastAsia="zh-CN"/>
              </w:rPr>
              <w:t>水泥稳定碎石层</w:t>
            </w:r>
          </w:p>
        </w:tc>
        <w:tc>
          <w:tcPr>
            <w:tcW w:w="1161" w:type="pct"/>
            <w:noWrap w:val="0"/>
            <w:vAlign w:val="center"/>
          </w:tcPr>
          <w:p w14:paraId="6407008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5%水泥含量</w:t>
            </w:r>
          </w:p>
        </w:tc>
        <w:tc>
          <w:tcPr>
            <w:tcW w:w="455" w:type="pct"/>
            <w:noWrap w:val="0"/>
            <w:vAlign w:val="center"/>
          </w:tcPr>
          <w:p w14:paraId="43A1E2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t</w:t>
            </w:r>
          </w:p>
        </w:tc>
        <w:tc>
          <w:tcPr>
            <w:tcW w:w="402" w:type="pct"/>
            <w:noWrap w:val="0"/>
            <w:vAlign w:val="center"/>
          </w:tcPr>
          <w:p w14:paraId="25E45B0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1463</w:t>
            </w:r>
          </w:p>
        </w:tc>
        <w:tc>
          <w:tcPr>
            <w:tcW w:w="485" w:type="pct"/>
            <w:noWrap w:val="0"/>
            <w:vAlign w:val="center"/>
          </w:tcPr>
          <w:p w14:paraId="41CDB3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96" w:type="pct"/>
            <w:noWrap w:val="0"/>
            <w:vAlign w:val="center"/>
          </w:tcPr>
          <w:p w14:paraId="5F9594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46" w:type="pct"/>
            <w:noWrap w:val="0"/>
            <w:vAlign w:val="center"/>
          </w:tcPr>
          <w:p w14:paraId="71C6FE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r>
      <w:tr w14:paraId="694F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exact"/>
        </w:trPr>
        <w:tc>
          <w:tcPr>
            <w:tcW w:w="1552" w:type="pct"/>
            <w:gridSpan w:val="2"/>
            <w:noWrap w:val="0"/>
            <w:vAlign w:val="center"/>
          </w:tcPr>
          <w:p w14:paraId="32DF77A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lang w:val="en-US" w:eastAsia="zh-CN"/>
              </w:rPr>
              <w:t>合同暂定总价（1+2）</w:t>
            </w:r>
          </w:p>
        </w:tc>
        <w:tc>
          <w:tcPr>
            <w:tcW w:w="3447" w:type="pct"/>
            <w:gridSpan w:val="6"/>
            <w:noWrap w:val="0"/>
            <w:vAlign w:val="center"/>
          </w:tcPr>
          <w:p w14:paraId="2D315BB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u w:val="single"/>
                <w:vertAlign w:val="baseline"/>
                <w:lang w:val="en-US" w:eastAsia="zh-CN"/>
              </w:rPr>
              <w:t xml:space="preserve">          </w:t>
            </w:r>
            <w:r>
              <w:rPr>
                <w:rFonts w:hint="eastAsia" w:ascii="仿宋" w:hAnsi="仿宋" w:eastAsia="仿宋" w:cs="仿宋"/>
                <w:b/>
                <w:bCs/>
                <w:color w:val="auto"/>
                <w:sz w:val="28"/>
                <w:szCs w:val="28"/>
                <w:highlight w:val="none"/>
                <w:vertAlign w:val="baseline"/>
                <w:lang w:val="en-US" w:eastAsia="zh-CN"/>
              </w:rPr>
              <w:t>元</w:t>
            </w:r>
          </w:p>
          <w:p w14:paraId="71EC04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w:t>
            </w:r>
            <w:r>
              <w:rPr>
                <w:rFonts w:hint="eastAsia" w:ascii="仿宋" w:hAnsi="仿宋" w:eastAsia="仿宋" w:cs="仿宋"/>
                <w:b/>
                <w:bCs/>
                <w:sz w:val="28"/>
                <w:szCs w:val="28"/>
                <w:highlight w:val="none"/>
              </w:rPr>
              <w:t>合同暂定总价仅供参考，不作结算用途</w:t>
            </w:r>
            <w:r>
              <w:rPr>
                <w:rFonts w:hint="eastAsia" w:ascii="仿宋" w:hAnsi="仿宋" w:eastAsia="仿宋" w:cs="仿宋"/>
                <w:b/>
                <w:bCs/>
                <w:color w:val="auto"/>
                <w:sz w:val="28"/>
                <w:szCs w:val="28"/>
                <w:highlight w:val="none"/>
                <w:vertAlign w:val="baseline"/>
                <w:lang w:val="en-US" w:eastAsia="zh-CN"/>
              </w:rPr>
              <w:t xml:space="preserve">） </w:t>
            </w:r>
          </w:p>
        </w:tc>
      </w:tr>
    </w:tbl>
    <w:p w14:paraId="31F5AC3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sz w:val="28"/>
          <w:szCs w:val="28"/>
          <w:highlight w:val="none"/>
          <w:lang w:val="en-US" w:eastAsia="zh-CN"/>
        </w:rPr>
        <w:t>1.1本合同为固定单价合同，</w:t>
      </w:r>
      <w:r>
        <w:rPr>
          <w:rFonts w:hint="eastAsia" w:ascii="仿宋" w:hAnsi="仿宋" w:eastAsia="仿宋" w:cs="仿宋"/>
          <w:sz w:val="28"/>
          <w:szCs w:val="28"/>
          <w:highlight w:val="none"/>
        </w:rPr>
        <w:t>合同单价含材料原价、材料运杂费、运输费、损耗费、采购保管费等运至施工现场的各项费用</w:t>
      </w:r>
      <w:r>
        <w:rPr>
          <w:rFonts w:hint="eastAsia" w:ascii="仿宋" w:hAnsi="仿宋" w:eastAsia="仿宋" w:cs="仿宋"/>
          <w:sz w:val="28"/>
          <w:szCs w:val="28"/>
          <w:highlight w:val="none"/>
          <w:lang w:val="en-US" w:eastAsia="zh-CN"/>
        </w:rPr>
        <w:t>和</w:t>
      </w:r>
      <w:r>
        <w:rPr>
          <w:rFonts w:hint="eastAsia" w:ascii="仿宋" w:hAnsi="仿宋" w:eastAsia="仿宋" w:cs="仿宋"/>
          <w:color w:val="auto"/>
          <w:sz w:val="28"/>
          <w:szCs w:val="28"/>
          <w:highlight w:val="none"/>
          <w:lang w:eastAsia="zh-CN"/>
        </w:rPr>
        <w:t>人工费</w:t>
      </w:r>
      <w:r>
        <w:rPr>
          <w:rFonts w:hint="eastAsia" w:ascii="仿宋" w:hAnsi="仿宋" w:eastAsia="仿宋" w:cs="仿宋"/>
          <w:sz w:val="28"/>
          <w:szCs w:val="28"/>
          <w:highlight w:val="none"/>
        </w:rPr>
        <w:t>，也包含税金、提供检验检测所需材料费（数量按当地送检取样要求)、检验检测费(材料移交甲方前的所有检验检测费用，检验检测结果须符合工程所在地政府主管部门要求)、装卸费</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lang w:val="en-US" w:eastAsia="zh-CN"/>
        </w:rPr>
        <w:t>产品由乙方负责装车，卸车由：</w:t>
      </w:r>
      <w:r>
        <w:rPr>
          <w:rFonts w:hint="eastAsia" w:ascii="仿宋" w:hAnsi="仿宋" w:eastAsia="仿宋" w:cs="仿宋"/>
          <w:color w:val="auto"/>
          <w:sz w:val="28"/>
          <w:szCs w:val="28"/>
          <w:highlight w:val="none"/>
          <w:vertAlign w:val="baseline"/>
          <w:lang w:val="en-US" w:eastAsia="zh-CN"/>
        </w:rPr>
        <w:sym w:font="Wingdings 2" w:char="0052"/>
      </w:r>
      <w:r>
        <w:rPr>
          <w:rFonts w:hint="eastAsia" w:ascii="仿宋" w:hAnsi="仿宋" w:eastAsia="仿宋" w:cs="仿宋"/>
          <w:color w:val="auto"/>
          <w:sz w:val="28"/>
          <w:szCs w:val="28"/>
          <w:highlight w:val="none"/>
          <w:vertAlign w:val="baseline"/>
          <w:lang w:val="en-US" w:eastAsia="zh-CN"/>
        </w:rPr>
        <w:t>乙方负责/</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甲方负责</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sz w:val="28"/>
          <w:szCs w:val="28"/>
          <w:highlight w:val="none"/>
        </w:rPr>
        <w:t>、风险费、保险费、利润、管理费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税金</w:t>
      </w:r>
      <w:r>
        <w:rPr>
          <w:rFonts w:hint="eastAsia" w:ascii="仿宋" w:hAnsi="仿宋" w:eastAsia="仿宋" w:cs="仿宋"/>
          <w:sz w:val="28"/>
          <w:szCs w:val="28"/>
          <w:highlight w:val="none"/>
        </w:rPr>
        <w:t>等承担合同义务、责任、风险所涉及的全部费用。</w:t>
      </w:r>
      <w:r>
        <w:rPr>
          <w:rFonts w:hint="eastAsia" w:ascii="仿宋" w:hAnsi="仿宋" w:eastAsia="仿宋" w:cs="仿宋"/>
          <w:sz w:val="28"/>
          <w:szCs w:val="28"/>
          <w:highlight w:val="none"/>
          <w:lang w:val="en-US" w:eastAsia="zh-CN"/>
        </w:rPr>
        <w:t>乙方</w:t>
      </w:r>
      <w:r>
        <w:rPr>
          <w:rFonts w:hint="eastAsia" w:ascii="仿宋" w:hAnsi="仿宋" w:eastAsia="仿宋" w:cs="仿宋"/>
          <w:sz w:val="28"/>
          <w:szCs w:val="28"/>
          <w:highlight w:val="none"/>
        </w:rPr>
        <w:t>开具税率</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的增值税专用</w:t>
      </w:r>
      <w:r>
        <w:rPr>
          <w:rFonts w:hint="eastAsia" w:ascii="仿宋" w:hAnsi="仿宋" w:eastAsia="仿宋" w:cs="仿宋"/>
          <w:color w:val="auto"/>
          <w:sz w:val="28"/>
          <w:szCs w:val="28"/>
          <w:highlight w:val="none"/>
          <w:lang w:val="en-US" w:eastAsia="zh-CN"/>
        </w:rPr>
        <w:t>发票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税率按国家政策执行，</w:t>
      </w:r>
      <w:r>
        <w:rPr>
          <w:rFonts w:hint="eastAsia" w:ascii="仿宋" w:hAnsi="仿宋" w:eastAsia="仿宋" w:cs="仿宋"/>
          <w:color w:val="auto"/>
          <w:sz w:val="28"/>
          <w:szCs w:val="28"/>
          <w:highlight w:val="none"/>
          <w:lang w:eastAsia="zh-CN"/>
        </w:rPr>
        <w:t>如</w:t>
      </w:r>
      <w:r>
        <w:rPr>
          <w:rFonts w:hint="eastAsia" w:ascii="仿宋" w:hAnsi="仿宋" w:eastAsia="仿宋" w:cs="仿宋"/>
          <w:color w:val="auto"/>
          <w:sz w:val="28"/>
          <w:szCs w:val="28"/>
          <w:highlight w:val="none"/>
          <w:lang w:val="en-US" w:eastAsia="zh-CN"/>
        </w:rPr>
        <w:t>税率</w:t>
      </w:r>
      <w:r>
        <w:rPr>
          <w:rFonts w:hint="eastAsia" w:ascii="仿宋" w:hAnsi="仿宋" w:eastAsia="仿宋" w:cs="仿宋"/>
          <w:color w:val="auto"/>
          <w:sz w:val="28"/>
          <w:szCs w:val="28"/>
          <w:highlight w:val="none"/>
          <w:lang w:eastAsia="zh-CN"/>
        </w:rPr>
        <w:t>调整，</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单价随之调整</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除合同另有约定外</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lang w:eastAsia="zh-CN"/>
        </w:rPr>
        <w:t>单价</w:t>
      </w:r>
      <w:r>
        <w:rPr>
          <w:rFonts w:hint="eastAsia" w:ascii="仿宋" w:hAnsi="仿宋" w:eastAsia="仿宋" w:cs="仿宋"/>
          <w:color w:val="auto"/>
          <w:sz w:val="28"/>
          <w:szCs w:val="28"/>
          <w:highlight w:val="none"/>
        </w:rPr>
        <w:t>不</w:t>
      </w:r>
      <w:r>
        <w:rPr>
          <w:rFonts w:hint="eastAsia" w:ascii="仿宋" w:hAnsi="仿宋" w:eastAsia="仿宋" w:cs="仿宋"/>
          <w:color w:val="auto"/>
          <w:sz w:val="28"/>
          <w:szCs w:val="28"/>
          <w:highlight w:val="none"/>
          <w:lang w:eastAsia="zh-CN"/>
        </w:rPr>
        <w:t>作</w:t>
      </w:r>
      <w:r>
        <w:rPr>
          <w:rFonts w:hint="eastAsia" w:ascii="仿宋" w:hAnsi="仿宋" w:eastAsia="仿宋" w:cs="仿宋"/>
          <w:color w:val="auto"/>
          <w:sz w:val="28"/>
          <w:szCs w:val="28"/>
          <w:highlight w:val="none"/>
        </w:rPr>
        <w:t>任何调整</w:t>
      </w:r>
      <w:r>
        <w:rPr>
          <w:rFonts w:hint="eastAsia" w:ascii="仿宋" w:hAnsi="仿宋" w:eastAsia="仿宋" w:cs="仿宋"/>
          <w:color w:val="auto"/>
          <w:sz w:val="28"/>
          <w:szCs w:val="28"/>
          <w:highlight w:val="none"/>
          <w:lang w:eastAsia="zh-CN"/>
        </w:rPr>
        <w:t>。</w:t>
      </w:r>
    </w:p>
    <w:p w14:paraId="51D59B4B">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乙方的送货数量由甲方决定，乙方无条件配合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上述</w:t>
      </w:r>
      <w:r>
        <w:rPr>
          <w:rFonts w:hint="eastAsia" w:ascii="仿宋" w:hAnsi="仿宋" w:eastAsia="仿宋" w:cs="仿宋"/>
          <w:color w:val="auto"/>
          <w:sz w:val="28"/>
          <w:szCs w:val="28"/>
          <w:highlight w:val="none"/>
          <w:lang w:eastAsia="zh-CN"/>
        </w:rPr>
        <w:t>数量仅作参考，不作为结算依据。</w:t>
      </w:r>
      <w:r>
        <w:rPr>
          <w:rFonts w:hint="eastAsia" w:ascii="仿宋" w:hAnsi="仿宋" w:eastAsia="仿宋" w:cs="仿宋"/>
          <w:color w:val="auto"/>
          <w:sz w:val="28"/>
          <w:szCs w:val="28"/>
          <w:highlight w:val="none"/>
        </w:rPr>
        <w:t>产品购销数量按甲方实际</w:t>
      </w:r>
      <w:r>
        <w:rPr>
          <w:rFonts w:hint="eastAsia" w:ascii="仿宋" w:hAnsi="仿宋" w:eastAsia="仿宋" w:cs="仿宋"/>
          <w:color w:val="auto"/>
          <w:sz w:val="28"/>
          <w:szCs w:val="28"/>
          <w:highlight w:val="none"/>
          <w:lang w:val="en-US" w:eastAsia="zh-CN"/>
        </w:rPr>
        <w:t>接收并</w:t>
      </w:r>
      <w:r>
        <w:rPr>
          <w:rFonts w:hint="eastAsia" w:ascii="仿宋" w:hAnsi="仿宋" w:eastAsia="仿宋" w:cs="仿宋"/>
          <w:color w:val="auto"/>
          <w:sz w:val="28"/>
          <w:szCs w:val="28"/>
          <w:highlight w:val="none"/>
        </w:rPr>
        <w:t>验收合格的数量结算</w:t>
      </w:r>
      <w:r>
        <w:rPr>
          <w:rFonts w:hint="eastAsia" w:ascii="仿宋" w:hAnsi="仿宋" w:eastAsia="仿宋" w:cs="仿宋"/>
          <w:color w:val="auto"/>
          <w:sz w:val="28"/>
          <w:szCs w:val="28"/>
          <w:highlight w:val="none"/>
          <w:lang w:eastAsia="zh-CN"/>
        </w:rPr>
        <w:t>。</w:t>
      </w:r>
    </w:p>
    <w:p w14:paraId="579EE843">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sz w:val="28"/>
          <w:szCs w:val="28"/>
          <w:highlight w:val="none"/>
          <w:lang w:val="en-US" w:eastAsia="zh-CN"/>
        </w:rPr>
      </w:pPr>
      <w:bookmarkStart w:id="35" w:name="_Toc8210"/>
      <w:bookmarkStart w:id="36" w:name="_Toc16178"/>
      <w:bookmarkStart w:id="37" w:name="_Toc5237"/>
      <w:bookmarkStart w:id="38" w:name="_Toc13656"/>
      <w:r>
        <w:rPr>
          <w:rFonts w:hint="eastAsia" w:ascii="仿宋" w:hAnsi="仿宋" w:eastAsia="仿宋" w:cs="仿宋"/>
          <w:b/>
          <w:bCs/>
          <w:sz w:val="28"/>
          <w:szCs w:val="28"/>
          <w:highlight w:val="none"/>
          <w:lang w:val="en-US" w:eastAsia="zh-CN"/>
        </w:rPr>
        <w:t>第二章、付款方式</w:t>
      </w:r>
      <w:bookmarkEnd w:id="35"/>
      <w:bookmarkEnd w:id="36"/>
      <w:bookmarkEnd w:id="37"/>
      <w:bookmarkEnd w:id="38"/>
    </w:p>
    <w:p w14:paraId="63887F30">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□办法一</w:t>
      </w:r>
    </w:p>
    <w:p w14:paraId="1D3965B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2.1每月货款在该月起的第五个月底前付清（即五月份付一月份的货款，六月份付二月份的货款，依此类推）。乙方按合同约定的时间交齐当月对账资料且与甲方完成对账的，甲方则按合同约定时限完成付款，若乙方逾期交齐对账资料或完成对账，甲方付款时间则按完成对账月对应的付款节点支付。</w:t>
      </w:r>
      <w:r>
        <w:rPr>
          <w:rFonts w:hint="eastAsia" w:ascii="仿宋" w:hAnsi="仿宋" w:eastAsia="仿宋" w:cs="仿宋"/>
          <w:b w:val="0"/>
          <w:bCs w:val="0"/>
          <w:sz w:val="28"/>
          <w:szCs w:val="28"/>
          <w:highlight w:val="none"/>
          <w:u w:val="single"/>
          <w:lang w:val="en-US" w:eastAsia="zh-CN"/>
        </w:rPr>
        <w:t>甲乙双方须每月对账并确认对账结果，对账结果须经甲方项目成本管理员签认。</w:t>
      </w:r>
    </w:p>
    <w:p w14:paraId="39828AD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对账日期：每月3日至每月8日，乙方在每月3日前一次性提交上月供货的对账资料至甲方项目部，双方在每月8日前（遇节假日则顺延）完成对账，如乙方逾期交齐对账资料，则对账日期顺延至次月的3日至8日，次月乙方对账的同时须提供“延迟付款声明函”（格式详见附件），依此类推。(例：乙方在6月3日前交齐5月份货款的对账资料给甲方对账人员并在6月8日完成对账的，则甲方在9月30日前支付5月份货款；若乙方6月9日交齐5月份货款的对账资料给甲方，则对账期顺延至7月3日至7月8日，付款顺延至10月31日底前支付。)</w:t>
      </w:r>
    </w:p>
    <w:p w14:paraId="6C9E4BE3">
      <w:pPr>
        <w:keepNext w:val="0"/>
        <w:keepLines w:val="0"/>
        <w:pageBreakBefore w:val="0"/>
        <w:widowControl w:val="0"/>
        <w:kinsoku/>
        <w:wordWrap/>
        <w:overflowPunct/>
        <w:topLinePunct w:val="0"/>
        <w:autoSpaceDE/>
        <w:autoSpaceDN/>
        <w:bidi w:val="0"/>
        <w:adjustRightInd/>
        <w:snapToGrid w:val="0"/>
        <w:spacing w:line="360" w:lineRule="auto"/>
        <w:ind w:left="0" w:leftChars="0" w:firstLine="562" w:firstLineChars="200"/>
        <w:textAlignment w:val="auto"/>
        <w:rPr>
          <w:rFonts w:hint="eastAsia"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☑办法二</w:t>
      </w:r>
    </w:p>
    <w:p w14:paraId="19762069">
      <w:pPr>
        <w:keepNext w:val="0"/>
        <w:keepLines w:val="0"/>
        <w:pageBreakBefore w:val="0"/>
        <w:widowControl w:val="0"/>
        <w:kinsoku/>
        <w:wordWrap/>
        <w:overflowPunct/>
        <w:topLinePunct w:val="0"/>
        <w:autoSpaceDE/>
        <w:autoSpaceDN/>
        <w:bidi w:val="0"/>
        <w:adjustRightInd/>
        <w:snapToGrid w:val="0"/>
        <w:spacing w:line="360" w:lineRule="auto"/>
        <w:ind w:left="0" w:leftChars="0" w:firstLine="562" w:firstLineChars="200"/>
        <w:textAlignment w:val="auto"/>
        <w:rPr>
          <w:rFonts w:hint="eastAsia" w:ascii="仿宋" w:hAnsi="仿宋" w:eastAsia="仿宋" w:cs="仿宋"/>
          <w:b w:val="0"/>
          <w:bCs w:val="0"/>
          <w:sz w:val="28"/>
          <w:szCs w:val="28"/>
          <w:highlight w:val="none"/>
          <w:u w:val="single"/>
          <w:lang w:val="en-US" w:eastAsia="zh-CN"/>
        </w:rPr>
      </w:pPr>
      <w:r>
        <w:rPr>
          <w:rFonts w:hint="eastAsia" w:ascii="仿宋" w:hAnsi="仿宋" w:eastAsia="仿宋" w:cs="仿宋"/>
          <w:b/>
          <w:bCs/>
          <w:sz w:val="28"/>
          <w:szCs w:val="28"/>
          <w:highlight w:val="none"/>
          <w:u w:val="none"/>
          <w:lang w:val="en-US" w:eastAsia="zh-CN"/>
        </w:rPr>
        <w:t>2.1</w:t>
      </w:r>
      <w:r>
        <w:rPr>
          <w:rFonts w:hint="eastAsia" w:ascii="仿宋" w:hAnsi="仿宋" w:eastAsia="仿宋" w:cs="仿宋"/>
          <w:b/>
          <w:bCs/>
          <w:color w:val="auto"/>
          <w:sz w:val="28"/>
          <w:highlight w:val="none"/>
          <w:u w:val="none"/>
          <w:lang w:val="en-US" w:eastAsia="zh-CN"/>
        </w:rPr>
        <w:t>每月货款下月支付，具体为：乙方按合同约定的时间交齐上月货款对账资料且与甲方完成对账后，甲方付清上月货款。乙方逾期交齐对账资料或完成对账的，付款日期顺延至货款完成对账月份的下月底前</w:t>
      </w:r>
      <w:r>
        <w:rPr>
          <w:rFonts w:hint="eastAsia" w:ascii="仿宋" w:hAnsi="仿宋" w:eastAsia="仿宋" w:cs="仿宋"/>
          <w:color w:val="auto"/>
          <w:sz w:val="28"/>
          <w:highlight w:val="none"/>
          <w:u w:val="none"/>
          <w:lang w:val="en-US" w:eastAsia="zh-CN"/>
        </w:rPr>
        <w:t>。</w:t>
      </w:r>
    </w:p>
    <w:p w14:paraId="275EB17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single"/>
          <w:lang w:val="en-US" w:eastAsia="zh-CN"/>
        </w:rPr>
      </w:pPr>
      <w:r>
        <w:rPr>
          <w:rFonts w:hint="eastAsia" w:ascii="仿宋" w:hAnsi="仿宋" w:eastAsia="仿宋" w:cs="仿宋"/>
          <w:b w:val="0"/>
          <w:bCs w:val="0"/>
          <w:sz w:val="28"/>
          <w:szCs w:val="28"/>
          <w:highlight w:val="none"/>
          <w:u w:val="none"/>
          <w:lang w:val="en-US" w:eastAsia="zh-CN"/>
        </w:rPr>
        <w:t>对账日期：每月3日至每月8日，乙方在每月3日前一次性提交上月供货的对账资料至甲方项目部，双方在每月8日前（遇节假日则顺延）完成对账，如乙方逾期交齐对账资料，则对账日期顺延至次月的3日至8日，次月乙方对账的同时须提供“延迟付款声明函”（格式详见附件），依此类推。(例：乙方在6月3日前交齐5月份货款的对账资料给甲方对账人员并在6月8日完成对账的，则甲方在9月30日前支付5月份货款；若乙方6月9日交齐5月份货款的对账资料给甲方，则对账期顺延至7月3日至7月8日，付款顺延至10月31日底前支付。)</w:t>
      </w:r>
    </w:p>
    <w:p w14:paraId="54EE0C5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default" w:ascii="仿宋" w:hAnsi="仿宋" w:eastAsia="仿宋" w:cs="仿宋"/>
          <w:b w:val="0"/>
          <w:bCs w:val="0"/>
          <w:sz w:val="28"/>
          <w:szCs w:val="28"/>
          <w:highlight w:val="none"/>
          <w:u w:val="single"/>
          <w:lang w:val="en-US" w:eastAsia="zh-CN"/>
        </w:rPr>
      </w:pPr>
      <w:r>
        <w:rPr>
          <w:rFonts w:hint="eastAsia" w:ascii="仿宋" w:hAnsi="仿宋" w:eastAsia="仿宋" w:cs="仿宋"/>
          <w:b w:val="0"/>
          <w:bCs w:val="0"/>
          <w:sz w:val="28"/>
          <w:szCs w:val="28"/>
          <w:highlight w:val="none"/>
          <w:u w:val="none"/>
          <w:lang w:val="en-US" w:eastAsia="zh-CN"/>
        </w:rPr>
        <w:t>2.2履行本合同过程中，凡甲方收取的款项（包括但不限于：各类押金、保证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7F3D4768">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2.3乙方每次对账须提供：甲方下料订单(即甲方发出的《物料申购单》，格式详见附件)、乙方对账单（结算单）、本合同复印件（含调价函）、材料签收单、乙方送货单（发货单）、材料收货水印照片、材料款申报确认表、付款台账汇总表、供应商月度对账单（格式详见附件）、结清承诺书。</w:t>
      </w:r>
    </w:p>
    <w:p w14:paraId="2C5E12C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2.3.1对账资料具体要求：</w:t>
      </w:r>
    </w:p>
    <w:p w14:paraId="5C2BDDE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①乙方对账单（结算单）：该单据须乙方盖章及乙方人员签名和日期，经甲方人员（甲方合同执行人、甲方仓管员）核对无误后签名和日期，原则上款项内容处填写的对账日期应与签注的日期一致。</w:t>
      </w:r>
    </w:p>
    <w:p w14:paraId="1F70092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②本合同复印件（含调价函、合同约定的施工当期“信息价”复印件）：合同复印件以签章完毕的为准，包括本合同及附属补充协议；调价函及调税率函以适用的为准，过期或者不适用的不附，以加盖甲乙双方公章的为准，不调价/不调税则不提供；合同约定的施工当期“信息价”复印件（须加盖乙方公章）。</w:t>
      </w:r>
    </w:p>
    <w:p w14:paraId="33CDC06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③材料签收单：注明材料所用项目、地块、第几期，并正确填写日期、乙方全称、材料名称、规格型号、数量及金额等信息，不得随意修改或涂划，若确有修改，则在需修正数据旁进行修正并附甲方合同执行人、甲方仓管员签名。关于甲乙双方人员（甲方合同执行人、甲方仓管员，乙方送货员、乙方合同授权代表）签字，甲方如有规定则按相关规定办理。</w:t>
      </w:r>
    </w:p>
    <w:p w14:paraId="1F1B5014">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④乙方送货单（发货单）：此单据须乙方盖章及甲乙双方人员（甲方合同执行人、甲方仓管员、乙方送货员、乙方合同授权代表）签字，具体按甲方《</w:t>
      </w:r>
      <w:r>
        <w:rPr>
          <w:rFonts w:hint="eastAsia" w:ascii="仿宋" w:hAnsi="仿宋" w:eastAsia="仿宋" w:cs="仿宋"/>
          <w:b w:val="0"/>
          <w:bCs w:val="0"/>
          <w:sz w:val="28"/>
          <w:szCs w:val="28"/>
          <w:highlight w:val="none"/>
          <w:u w:val="none"/>
          <w:lang w:val="en-US" w:eastAsia="zh-CN"/>
        </w:rPr>
        <w:fldChar w:fldCharType="begin"/>
      </w:r>
      <w:r>
        <w:rPr>
          <w:rFonts w:hint="eastAsia" w:ascii="仿宋" w:hAnsi="仿宋" w:eastAsia="仿宋" w:cs="仿宋"/>
          <w:b w:val="0"/>
          <w:bCs w:val="0"/>
          <w:sz w:val="28"/>
          <w:szCs w:val="28"/>
          <w:highlight w:val="none"/>
          <w:u w:val="none"/>
          <w:lang w:val="en-US" w:eastAsia="zh-CN"/>
        </w:rPr>
        <w:instrText xml:space="preserve"> HYPERLINK "javascript:openFullWindowForXtable('DocDsp.jsp?id=111204&amp;meetingid=0&amp;votingId=0&amp;versionId=123347&amp;imagefileId=138428&amp;from=&amp;userCategory=0&amp;isFromAccessory=true');" </w:instrText>
      </w:r>
      <w:r>
        <w:rPr>
          <w:rFonts w:hint="eastAsia" w:ascii="仿宋" w:hAnsi="仿宋" w:eastAsia="仿宋" w:cs="仿宋"/>
          <w:b w:val="0"/>
          <w:bCs w:val="0"/>
          <w:sz w:val="28"/>
          <w:szCs w:val="28"/>
          <w:highlight w:val="none"/>
          <w:u w:val="none"/>
          <w:lang w:val="en-US" w:eastAsia="zh-CN"/>
        </w:rPr>
        <w:fldChar w:fldCharType="separate"/>
      </w:r>
      <w:r>
        <w:rPr>
          <w:rFonts w:hint="eastAsia" w:ascii="仿宋" w:hAnsi="仿宋" w:eastAsia="仿宋" w:cs="仿宋"/>
          <w:b w:val="0"/>
          <w:bCs w:val="0"/>
          <w:color w:val="auto"/>
          <w:sz w:val="28"/>
          <w:szCs w:val="28"/>
          <w:highlight w:val="none"/>
          <w:u w:val="none"/>
          <w:lang w:val="en-US" w:eastAsia="zh-CN"/>
        </w:rPr>
        <w:t>商品混凝土、砂浆验</w:t>
      </w:r>
      <w:r>
        <w:rPr>
          <w:rFonts w:hint="eastAsia" w:ascii="仿宋" w:hAnsi="仿宋" w:eastAsia="仿宋" w:cs="仿宋"/>
          <w:b w:val="0"/>
          <w:bCs w:val="0"/>
          <w:sz w:val="28"/>
          <w:szCs w:val="28"/>
          <w:highlight w:val="none"/>
          <w:u w:val="none"/>
          <w:lang w:val="en-US" w:eastAsia="zh-CN"/>
        </w:rPr>
        <w:t>收管理制度</w:t>
      </w:r>
      <w:r>
        <w:rPr>
          <w:rFonts w:hint="eastAsia" w:ascii="仿宋" w:hAnsi="仿宋" w:eastAsia="仿宋" w:cs="仿宋"/>
          <w:b w:val="0"/>
          <w:bCs w:val="0"/>
          <w:sz w:val="28"/>
          <w:szCs w:val="28"/>
          <w:highlight w:val="none"/>
          <w:u w:val="none"/>
          <w:lang w:val="en-US" w:eastAsia="zh-CN"/>
        </w:rPr>
        <w:fldChar w:fldCharType="end"/>
      </w:r>
      <w:r>
        <w:rPr>
          <w:rFonts w:hint="eastAsia" w:ascii="仿宋" w:hAnsi="仿宋" w:eastAsia="仿宋" w:cs="仿宋"/>
          <w:b w:val="0"/>
          <w:bCs w:val="0"/>
          <w:sz w:val="28"/>
          <w:szCs w:val="28"/>
          <w:highlight w:val="none"/>
          <w:u w:val="none"/>
          <w:lang w:val="en-US" w:eastAsia="zh-CN"/>
        </w:rPr>
        <w:t>》规定的验收组人员执行。</w:t>
      </w:r>
    </w:p>
    <w:p w14:paraId="745CC268">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⑤材料收货水印照片：含甲乙双方参加材料签收人员留影，材料卸货前后对比照，材料实物规格、品牌等参数照，车辆、车牌信息照，卸货现场工程背景照，所有照片均须有水印备注，水印须有项目地址定位和拍照时间、日期。</w:t>
      </w:r>
    </w:p>
    <w:p w14:paraId="019000F0">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⑥材料款申报确认表：格式详见附件。</w:t>
      </w:r>
    </w:p>
    <w:p w14:paraId="6981EFA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⑦付款台账汇总表：格式详见附件。</w:t>
      </w:r>
    </w:p>
    <w:p w14:paraId="1FAB0483">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⑧结清承诺书：格式详见附件。</w:t>
      </w:r>
    </w:p>
    <w:p w14:paraId="78D77144">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2.4付款形式：优先使用网银、银行承兑汇票等，支票、电汇视情况而定。甲方选择其中任意一种支付形式给乙方合同款，均视为乙方收到该货款。</w:t>
      </w:r>
    </w:p>
    <w:p w14:paraId="09C7C8E9">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2.5发票要求：甲乙双方对账完成后，甲方项目部通知乙方开票，乙方开具的发票内容须与合同约定内容一致。乙方每次开票金额必须与当次对账金额一致而非与当次请款金额一致，并按甲方要求分项目、分地块、分楼栋分别开具发票，否则视为乙方逾期提供发票给甲方，属乙方违约。乙方延迟提供发票的，在申请相关合同款时须提供“延迟付款声明函”（格式详见附件），同时甲方按签收合格发票之日起顺延相应日历天付款且不违约。（甲方顺延付款的日历天数=甲方实际签收合格发票日-合同约定的乙方提供合格发票日）</w:t>
      </w:r>
    </w:p>
    <w:p w14:paraId="72428B66">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如因特殊情况甲方在收齐发票前已付款，乙方未按要求及时提供发票，每逾期1个日历天按合同暂定总价的1%向甲方支付违约金。如乙方经甲方书面催告后、超过5个日历天仍不提供的，乙方另按合同暂定总价的30%向甲方支付违约金。</w:t>
      </w:r>
    </w:p>
    <w:p w14:paraId="0E8448F2">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2.6乙方收款账户开户名称须与本合同乙方名称、收款发票开具单位名称一致，否则甲方有权不支付货款且不视为甲方违约，直到乙方提供甲方认可的发票再计付款周期。如甲方发现乙方开具假发票的，属乙方违约，乙方须书面向甲方承认开具假发票行为并重新开具合法发票，若乙方发生开具假发票行为则视乙方逾期提供发票，按第3.5条逾期提供发票支付违约金。因乙方提供假发票行为导致的不良后果（包括但不限于行政处罚或使甲方遭受损失等所有费用及损失）由乙方全部承担。</w:t>
      </w:r>
    </w:p>
    <w:p w14:paraId="1E46E53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2.7乙方必须按税法规定的四流合一执行合同，即合同流、货物流、发票流、资金流一致，否则视为乙方违约，且由乙方承担所有责任及损失，直至满足四流合一，甲方方才付款。</w:t>
      </w:r>
    </w:p>
    <w:p w14:paraId="2AB06C6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2.8乙方每次向甲方请款时，应按甲方要求注明该次请款所含的每个组团、每个地块、每栋楼具体金额，否则甲方有权不付款且不违约。</w:t>
      </w:r>
    </w:p>
    <w:p w14:paraId="233E94A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2.9如甲乙双方对付款金额/结算金额产生争议，甲方有权暂缓付款且不违约，甲方无需向乙方支付违约金或利息，直至双方达成一致意见，方可按甲方相应流程办理付款手续。</w:t>
      </w:r>
    </w:p>
    <w:p w14:paraId="3A073634">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2.10甲方支付完任一批次货款或双方完成本项目货款结算或合同款支付完毕后，视为乙方关于除质保金外的合同款支付事宜的全部权利全部消灭，乙方不得基于合同款支付事宜向甲方提出任何权利主张或追索其他任何费用。</w:t>
      </w:r>
    </w:p>
    <w:p w14:paraId="7FE8FE6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 xml:space="preserve">2.11乙方每次收取合同款时，当期乙方如有未付清给甲方的款项（如：罚款、违约金、代支付款、赔偿、加固、押金等），乙方须一次性付清后，甲方方才支付当期合同款，如乙方未付清所有当期应向甲方支付的款额，则甲方付款周期顺延且属乙方违约，直至乙方付清为止。                                                                              </w:t>
      </w:r>
    </w:p>
    <w:p w14:paraId="1E7F7487">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sz w:val="28"/>
          <w:szCs w:val="28"/>
          <w:highlight w:val="none"/>
          <w:lang w:val="en-US" w:eastAsia="zh-CN"/>
        </w:rPr>
      </w:pPr>
      <w:bookmarkStart w:id="39" w:name="_Toc17081"/>
      <w:bookmarkStart w:id="40" w:name="_Toc13709"/>
      <w:bookmarkStart w:id="41" w:name="_Toc19220"/>
      <w:bookmarkStart w:id="42" w:name="_Toc9375"/>
      <w:r>
        <w:rPr>
          <w:rFonts w:hint="eastAsia" w:ascii="仿宋" w:hAnsi="仿宋" w:eastAsia="仿宋" w:cs="仿宋"/>
          <w:b/>
          <w:bCs/>
          <w:sz w:val="28"/>
          <w:szCs w:val="28"/>
          <w:highlight w:val="none"/>
          <w:lang w:val="en-US" w:eastAsia="zh-CN"/>
        </w:rPr>
        <w:t>第三章、产品质量</w:t>
      </w:r>
      <w:bookmarkEnd w:id="39"/>
      <w:bookmarkEnd w:id="40"/>
      <w:r>
        <w:rPr>
          <w:rFonts w:hint="eastAsia" w:ascii="仿宋" w:hAnsi="仿宋" w:eastAsia="仿宋" w:cs="仿宋"/>
          <w:b/>
          <w:bCs/>
          <w:sz w:val="28"/>
          <w:szCs w:val="28"/>
          <w:highlight w:val="none"/>
          <w:lang w:val="en-US" w:eastAsia="zh-CN"/>
        </w:rPr>
        <w:t>要求</w:t>
      </w:r>
      <w:bookmarkEnd w:id="41"/>
      <w:bookmarkEnd w:id="42"/>
    </w:p>
    <w:p w14:paraId="41D69158">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val="en-US" w:eastAsia="zh-CN"/>
        </w:rPr>
        <w:t>3.1</w:t>
      </w:r>
      <w:r>
        <w:rPr>
          <w:rFonts w:hint="eastAsia" w:ascii="仿宋" w:hAnsi="仿宋" w:eastAsia="仿宋" w:cs="仿宋"/>
          <w:sz w:val="28"/>
          <w:szCs w:val="28"/>
          <w:highlight w:val="none"/>
        </w:rPr>
        <w:t>乙方所供</w:t>
      </w:r>
      <w:r>
        <w:rPr>
          <w:rFonts w:hint="eastAsia" w:ascii="仿宋" w:hAnsi="仿宋" w:eastAsia="仿宋" w:cs="仿宋"/>
          <w:sz w:val="28"/>
          <w:szCs w:val="28"/>
          <w:highlight w:val="none"/>
          <w:lang w:val="en-US" w:eastAsia="zh-CN"/>
        </w:rPr>
        <w:t>产品</w:t>
      </w:r>
      <w:r>
        <w:rPr>
          <w:rFonts w:hint="eastAsia" w:ascii="仿宋" w:hAnsi="仿宋" w:eastAsia="仿宋" w:cs="仿宋"/>
          <w:sz w:val="28"/>
          <w:szCs w:val="28"/>
          <w:highlight w:val="none"/>
        </w:rPr>
        <w:t>须满足</w:t>
      </w:r>
      <w:r>
        <w:rPr>
          <w:rFonts w:hint="eastAsia" w:ascii="仿宋" w:hAnsi="仿宋" w:eastAsia="仿宋" w:cs="仿宋"/>
          <w:sz w:val="28"/>
          <w:szCs w:val="28"/>
          <w:highlight w:val="none"/>
          <w:lang w:val="en-US" w:eastAsia="zh-CN"/>
        </w:rPr>
        <w:t>合同约定、</w:t>
      </w:r>
      <w:r>
        <w:rPr>
          <w:rFonts w:hint="eastAsia" w:ascii="仿宋" w:hAnsi="仿宋" w:eastAsia="仿宋" w:cs="仿宋"/>
          <w:sz w:val="28"/>
          <w:szCs w:val="28"/>
          <w:highlight w:val="none"/>
        </w:rPr>
        <w:t>甲方验收要求且符合</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所在地</w:t>
      </w:r>
      <w:r>
        <w:rPr>
          <w:rFonts w:hint="eastAsia" w:ascii="仿宋" w:hAnsi="仿宋" w:eastAsia="仿宋" w:cs="仿宋"/>
          <w:sz w:val="28"/>
          <w:szCs w:val="28"/>
          <w:highlight w:val="none"/>
          <w:lang w:val="en-US" w:eastAsia="zh-CN"/>
        </w:rPr>
        <w:t>政府</w:t>
      </w:r>
      <w:r>
        <w:rPr>
          <w:rFonts w:hint="eastAsia" w:ascii="仿宋" w:hAnsi="仿宋" w:eastAsia="仿宋" w:cs="仿宋"/>
          <w:sz w:val="28"/>
          <w:szCs w:val="28"/>
          <w:highlight w:val="none"/>
        </w:rPr>
        <w:t>主管</w:t>
      </w:r>
      <w:r>
        <w:rPr>
          <w:rFonts w:hint="eastAsia" w:ascii="仿宋" w:hAnsi="仿宋" w:eastAsia="仿宋" w:cs="仿宋"/>
          <w:color w:val="auto"/>
          <w:sz w:val="28"/>
          <w:szCs w:val="28"/>
          <w:highlight w:val="none"/>
        </w:rPr>
        <w:t>部门相关质量验收规范标准和文件要求。</w:t>
      </w:r>
    </w:p>
    <w:p w14:paraId="2DE04196">
      <w:pPr>
        <w:pStyle w:val="4"/>
        <w:keepNext w:val="0"/>
        <w:keepLines w:val="0"/>
        <w:pageBreakBefore w:val="0"/>
        <w:widowControl w:val="0"/>
        <w:kinsoku/>
        <w:wordWrap w:val="0"/>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2乙方提供的</w:t>
      </w:r>
      <w:r>
        <w:rPr>
          <w:rFonts w:hint="eastAsia" w:ascii="仿宋" w:hAnsi="仿宋" w:eastAsia="仿宋" w:cs="仿宋"/>
          <w:color w:val="auto"/>
          <w:sz w:val="28"/>
          <w:szCs w:val="28"/>
          <w:highlight w:val="none"/>
          <w:lang w:val="en-US" w:eastAsia="zh-CN"/>
        </w:rPr>
        <w:t>水泥稳定碎石</w:t>
      </w:r>
      <w:r>
        <w:rPr>
          <w:rFonts w:hint="eastAsia" w:ascii="仿宋" w:hAnsi="仿宋" w:eastAsia="仿宋" w:cs="仿宋"/>
          <w:color w:val="auto"/>
          <w:sz w:val="28"/>
          <w:szCs w:val="28"/>
          <w:highlight w:val="none"/>
        </w:rPr>
        <w:t>质量</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符合最新的国家标准等有关行业和地方标准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w:t>
      </w:r>
      <w:r>
        <w:rPr>
          <w:rFonts w:hint="eastAsia" w:ascii="仿宋" w:hAnsi="仿宋" w:eastAsia="仿宋" w:cs="仿宋"/>
          <w:color w:val="auto"/>
          <w:sz w:val="28"/>
          <w:szCs w:val="28"/>
          <w:highlight w:val="none"/>
        </w:rPr>
        <w:t>向甲方提供相应的技术资料（</w:t>
      </w:r>
      <w:r>
        <w:rPr>
          <w:rFonts w:hint="eastAsia" w:ascii="仿宋" w:hAnsi="仿宋" w:eastAsia="仿宋" w:cs="仿宋"/>
          <w:color w:val="auto"/>
          <w:sz w:val="28"/>
          <w:szCs w:val="28"/>
          <w:highlight w:val="none"/>
          <w:lang w:val="en-US" w:eastAsia="zh-CN"/>
        </w:rPr>
        <w:t>包括</w:t>
      </w:r>
      <w:r>
        <w:rPr>
          <w:rFonts w:hint="eastAsia" w:ascii="仿宋" w:hAnsi="仿宋" w:eastAsia="仿宋" w:cs="仿宋"/>
          <w:color w:val="auto"/>
          <w:sz w:val="28"/>
          <w:szCs w:val="28"/>
          <w:highlight w:val="none"/>
        </w:rPr>
        <w:t>出厂质量证明书等）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以满足并符合本项目当地住建主管部门要求为准</w:t>
      </w:r>
      <w:r>
        <w:rPr>
          <w:rFonts w:hint="eastAsia" w:ascii="仿宋" w:hAnsi="仿宋" w:eastAsia="仿宋" w:cs="仿宋"/>
          <w:color w:val="auto"/>
          <w:sz w:val="28"/>
          <w:szCs w:val="28"/>
          <w:highlight w:val="none"/>
        </w:rPr>
        <w:t>。</w:t>
      </w:r>
    </w:p>
    <w:p w14:paraId="5A3A55C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3.3乙方供应的产品质量不符合本合同要求的，乙方承担补救费用并赔偿甲方因此造成的损失（包括但不限于：甲方拆除不合格施工部位、重新施工、甲方向第三方采购产生的差价、甲方因此延误工期而向建设方承担的违约责任、赔偿责任等损失）。</w:t>
      </w:r>
    </w:p>
    <w:p w14:paraId="597DEC0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3.4因乙方送错产品或产品质量问题造成甲方损失的，由乙方全额赔偿甲方损失。</w:t>
      </w:r>
    </w:p>
    <w:p w14:paraId="4F3C1A34">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3.5其他要求：</w:t>
      </w:r>
      <w:bookmarkStart w:id="43" w:name="_Toc23033"/>
      <w:bookmarkStart w:id="44" w:name="_Toc4462"/>
      <w:r>
        <w:rPr>
          <w:rFonts w:hint="eastAsia" w:ascii="仿宋" w:hAnsi="仿宋" w:eastAsia="仿宋" w:cs="仿宋"/>
          <w:sz w:val="28"/>
          <w:szCs w:val="28"/>
          <w:highlight w:val="none"/>
          <w:u w:val="single"/>
          <w:lang w:val="en-US" w:eastAsia="zh-CN"/>
        </w:rPr>
        <w:t xml:space="preserve"> 无。</w:t>
      </w:r>
      <w:r>
        <w:rPr>
          <w:rFonts w:hint="eastAsia" w:ascii="仿宋" w:hAnsi="仿宋" w:eastAsia="仿宋" w:cs="仿宋"/>
          <w:sz w:val="28"/>
          <w:szCs w:val="28"/>
          <w:highlight w:val="none"/>
          <w:lang w:val="en-US" w:eastAsia="zh-CN"/>
        </w:rPr>
        <w:t xml:space="preserve">       </w:t>
      </w:r>
    </w:p>
    <w:p w14:paraId="4C489859">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sz w:val="28"/>
          <w:szCs w:val="28"/>
          <w:highlight w:val="none"/>
          <w:lang w:val="en-US" w:eastAsia="zh-CN"/>
        </w:rPr>
      </w:pPr>
      <w:bookmarkStart w:id="45" w:name="_Toc23310"/>
      <w:bookmarkStart w:id="46" w:name="_Toc7396"/>
      <w:r>
        <w:rPr>
          <w:rFonts w:hint="eastAsia" w:ascii="仿宋" w:hAnsi="仿宋" w:eastAsia="仿宋" w:cs="仿宋"/>
          <w:b/>
          <w:bCs/>
          <w:sz w:val="28"/>
          <w:szCs w:val="28"/>
          <w:highlight w:val="none"/>
          <w:lang w:val="en-US" w:eastAsia="zh-CN"/>
        </w:rPr>
        <w:t>第四章、订货、交货</w:t>
      </w:r>
      <w:bookmarkEnd w:id="43"/>
      <w:bookmarkEnd w:id="44"/>
      <w:r>
        <w:rPr>
          <w:rFonts w:hint="eastAsia" w:ascii="仿宋" w:hAnsi="仿宋" w:eastAsia="仿宋" w:cs="仿宋"/>
          <w:b/>
          <w:bCs/>
          <w:sz w:val="28"/>
          <w:szCs w:val="28"/>
          <w:highlight w:val="none"/>
          <w:lang w:val="en-US" w:eastAsia="zh-CN"/>
        </w:rPr>
        <w:t>、验收</w:t>
      </w:r>
      <w:bookmarkEnd w:id="45"/>
      <w:bookmarkEnd w:id="46"/>
    </w:p>
    <w:p w14:paraId="0256421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4.1</w:t>
      </w:r>
      <w:r>
        <w:rPr>
          <w:rFonts w:hint="eastAsia" w:ascii="仿宋" w:hAnsi="仿宋" w:eastAsia="仿宋" w:cs="仿宋"/>
          <w:sz w:val="28"/>
          <w:szCs w:val="28"/>
          <w:highlight w:val="none"/>
          <w:lang w:eastAsia="zh-CN"/>
        </w:rPr>
        <w:t>订单确认方式：</w:t>
      </w:r>
      <w:r>
        <w:rPr>
          <w:rFonts w:hint="eastAsia" w:ascii="仿宋" w:hAnsi="仿宋" w:eastAsia="仿宋" w:cs="仿宋"/>
          <w:sz w:val="28"/>
          <w:szCs w:val="28"/>
          <w:highlight w:val="none"/>
          <w:lang w:val="en-US" w:eastAsia="zh-CN"/>
        </w:rPr>
        <w:t>甲方</w:t>
      </w:r>
      <w:r>
        <w:rPr>
          <w:rFonts w:hint="eastAsia" w:ascii="仿宋" w:hAnsi="仿宋" w:eastAsia="仿宋" w:cs="仿宋"/>
          <w:sz w:val="28"/>
          <w:szCs w:val="28"/>
          <w:highlight w:val="none"/>
          <w:lang w:eastAsia="zh-CN"/>
        </w:rPr>
        <w:t>在产品</w:t>
      </w:r>
      <w:r>
        <w:rPr>
          <w:rFonts w:hint="eastAsia" w:ascii="仿宋" w:hAnsi="仿宋" w:eastAsia="仿宋" w:cs="仿宋"/>
          <w:sz w:val="28"/>
          <w:szCs w:val="28"/>
          <w:highlight w:val="none"/>
          <w:lang w:val="en-US" w:eastAsia="zh-CN"/>
        </w:rPr>
        <w:t>使用之日的前</w:t>
      </w:r>
      <w:r>
        <w:rPr>
          <w:rFonts w:hint="eastAsia" w:ascii="仿宋" w:hAnsi="仿宋" w:eastAsia="仿宋" w:cs="仿宋"/>
          <w:sz w:val="28"/>
          <w:szCs w:val="28"/>
          <w:highlight w:val="none"/>
          <w:u w:val="none"/>
          <w:lang w:val="en-US" w:eastAsia="zh-CN"/>
        </w:rPr>
        <w:t>一个日历天17</w:t>
      </w:r>
      <w:r>
        <w:rPr>
          <w:rFonts w:hint="eastAsia" w:ascii="仿宋" w:hAnsi="仿宋" w:eastAsia="仿宋" w:cs="仿宋"/>
          <w:sz w:val="28"/>
          <w:szCs w:val="28"/>
          <w:highlight w:val="none"/>
          <w:u w:val="none"/>
          <w:lang w:eastAsia="zh-CN"/>
        </w:rPr>
        <w:t>：00</w:t>
      </w:r>
      <w:r>
        <w:rPr>
          <w:rFonts w:hint="eastAsia" w:ascii="仿宋" w:hAnsi="仿宋" w:eastAsia="仿宋" w:cs="仿宋"/>
          <w:sz w:val="28"/>
          <w:szCs w:val="28"/>
          <w:highlight w:val="none"/>
          <w:u w:val="none"/>
          <w:lang w:val="en-US" w:eastAsia="zh-CN"/>
        </w:rPr>
        <w:t>前，将符合甲方相关制度规定、有甲方相关人员签字完善的“物料申购单”（格式详见附件）发送给</w:t>
      </w:r>
      <w:r>
        <w:rPr>
          <w:rFonts w:hint="eastAsia" w:ascii="仿宋" w:hAnsi="仿宋" w:eastAsia="仿宋" w:cs="仿宋"/>
          <w:sz w:val="28"/>
          <w:szCs w:val="28"/>
          <w:highlight w:val="none"/>
          <w:lang w:val="en-US" w:eastAsia="zh-CN"/>
        </w:rPr>
        <w:t>合同约定的乙方合同</w:t>
      </w:r>
      <w:r>
        <w:rPr>
          <w:rFonts w:hint="eastAsia" w:ascii="仿宋" w:hAnsi="仿宋" w:eastAsia="仿宋" w:cs="仿宋"/>
          <w:sz w:val="28"/>
          <w:szCs w:val="28"/>
          <w:highlight w:val="none"/>
          <w:lang w:eastAsia="zh-CN"/>
        </w:rPr>
        <w:t>执行</w:t>
      </w:r>
      <w:r>
        <w:rPr>
          <w:rFonts w:hint="eastAsia" w:ascii="仿宋" w:hAnsi="仿宋" w:eastAsia="仿宋" w:cs="仿宋"/>
          <w:sz w:val="28"/>
          <w:szCs w:val="28"/>
          <w:highlight w:val="none"/>
          <w:lang w:val="en-US" w:eastAsia="zh-CN"/>
        </w:rPr>
        <w:t>代表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甲方发送方式</w:t>
      </w:r>
      <w:r>
        <w:rPr>
          <w:rFonts w:hint="eastAsia" w:ascii="仿宋" w:hAnsi="仿宋" w:eastAsia="仿宋" w:cs="仿宋"/>
          <w:sz w:val="28"/>
          <w:szCs w:val="28"/>
          <w:highlight w:val="none"/>
          <w:lang w:eastAsia="zh-CN"/>
        </w:rPr>
        <w:t>包括但不限于传真、</w:t>
      </w:r>
      <w:r>
        <w:rPr>
          <w:rFonts w:hint="eastAsia" w:ascii="仿宋" w:hAnsi="仿宋" w:eastAsia="仿宋" w:cs="仿宋"/>
          <w:sz w:val="28"/>
          <w:szCs w:val="28"/>
          <w:highlight w:val="none"/>
          <w:lang w:val="en-US" w:eastAsia="zh-CN"/>
        </w:rPr>
        <w:t>短信</w:t>
      </w:r>
      <w:r>
        <w:rPr>
          <w:rFonts w:hint="eastAsia" w:ascii="仿宋" w:hAnsi="仿宋" w:eastAsia="仿宋" w:cs="仿宋"/>
          <w:sz w:val="28"/>
          <w:szCs w:val="28"/>
          <w:highlight w:val="none"/>
          <w:lang w:eastAsia="zh-CN"/>
        </w:rPr>
        <w:t>、微信等方式。</w:t>
      </w:r>
    </w:p>
    <w:p w14:paraId="31B0D604">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sz w:val="28"/>
          <w:szCs w:val="28"/>
          <w:highlight w:val="none"/>
          <w:lang w:val="en-US" w:eastAsia="zh-CN"/>
        </w:rPr>
        <w:t>4.2</w:t>
      </w:r>
      <w:r>
        <w:rPr>
          <w:rFonts w:hint="eastAsia" w:ascii="仿宋" w:hAnsi="仿宋" w:eastAsia="仿宋" w:cs="仿宋"/>
          <w:sz w:val="28"/>
          <w:szCs w:val="28"/>
          <w:highlight w:val="none"/>
        </w:rPr>
        <w:t>交货地点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施工现场</w:t>
      </w:r>
      <w:r>
        <w:rPr>
          <w:rFonts w:hint="eastAsia" w:ascii="仿宋" w:hAnsi="仿宋" w:eastAsia="仿宋" w:cs="仿宋"/>
          <w:sz w:val="28"/>
          <w:szCs w:val="28"/>
          <w:highlight w:val="none"/>
          <w:lang w:eastAsia="zh-CN"/>
        </w:rPr>
        <w:t>）：</w:t>
      </w:r>
      <w:r>
        <w:rPr>
          <w:rFonts w:hint="eastAsia" w:ascii="仿宋" w:hAnsi="仿宋" w:eastAsia="仿宋" w:cs="仿宋"/>
          <w:b w:val="0"/>
          <w:bCs w:val="0"/>
          <w:color w:val="auto"/>
          <w:sz w:val="28"/>
          <w:szCs w:val="28"/>
          <w:highlight w:val="none"/>
          <w:u w:val="single"/>
          <w:lang w:val="en-US" w:eastAsia="zh-CN"/>
        </w:rPr>
        <w:t>南京市六合区南京现代表面处理科技产业中心项目A地块</w:t>
      </w:r>
      <w:r>
        <w:rPr>
          <w:rFonts w:hint="eastAsia" w:ascii="仿宋" w:hAnsi="仿宋" w:eastAsia="仿宋" w:cs="仿宋"/>
          <w:b w:val="0"/>
          <w:bCs w:val="0"/>
          <w:color w:val="auto"/>
          <w:sz w:val="28"/>
          <w:szCs w:val="28"/>
          <w:highlight w:val="none"/>
          <w:u w:val="single"/>
          <w:lang w:eastAsia="zh-CN"/>
        </w:rPr>
        <w:t>甲方指定地点</w:t>
      </w:r>
      <w:r>
        <w:rPr>
          <w:rFonts w:hint="eastAsia" w:ascii="仿宋" w:hAnsi="仿宋" w:eastAsia="仿宋" w:cs="仿宋"/>
          <w:b w:val="0"/>
          <w:bCs w:val="0"/>
          <w:color w:val="auto"/>
          <w:sz w:val="28"/>
          <w:szCs w:val="28"/>
          <w:highlight w:val="none"/>
          <w:lang w:val="en-US" w:eastAsia="zh-CN"/>
        </w:rPr>
        <w:t>。</w:t>
      </w:r>
    </w:p>
    <w:p w14:paraId="6894957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en-US" w:eastAsia="zh-CN"/>
        </w:rPr>
        <w:t>4.3</w:t>
      </w:r>
      <w:r>
        <w:rPr>
          <w:rFonts w:hint="eastAsia" w:ascii="仿宋" w:hAnsi="仿宋" w:eastAsia="仿宋" w:cs="仿宋"/>
          <w:color w:val="auto"/>
          <w:sz w:val="28"/>
          <w:szCs w:val="28"/>
          <w:highlight w:val="none"/>
        </w:rPr>
        <w:t>交货期限</w:t>
      </w:r>
      <w:r>
        <w:rPr>
          <w:rFonts w:hint="eastAsia" w:ascii="仿宋" w:hAnsi="仿宋" w:eastAsia="仿宋" w:cs="仿宋"/>
          <w:color w:val="auto"/>
          <w:sz w:val="28"/>
          <w:szCs w:val="28"/>
          <w:highlight w:val="none"/>
          <w:lang w:eastAsia="zh-CN"/>
        </w:rPr>
        <w:t>：</w:t>
      </w:r>
      <w:r>
        <w:rPr>
          <w:rFonts w:hint="eastAsia" w:ascii="仿宋" w:hAnsi="仿宋" w:eastAsia="仿宋" w:cs="仿宋"/>
          <w:b/>
          <w:bCs/>
          <w:color w:val="auto"/>
          <w:sz w:val="28"/>
          <w:szCs w:val="28"/>
          <w:highlight w:val="none"/>
          <w:lang w:eastAsia="zh-CN"/>
        </w:rPr>
        <w:t>乙方自</w:t>
      </w:r>
      <w:r>
        <w:rPr>
          <w:rFonts w:hint="eastAsia" w:ascii="仿宋" w:hAnsi="仿宋" w:eastAsia="仿宋" w:cs="仿宋"/>
          <w:b/>
          <w:bCs/>
          <w:color w:val="auto"/>
          <w:sz w:val="28"/>
          <w:szCs w:val="28"/>
          <w:highlight w:val="none"/>
          <w:lang w:val="en-US" w:eastAsia="zh-CN"/>
        </w:rPr>
        <w:t>甲方通知起</w:t>
      </w:r>
      <w:r>
        <w:rPr>
          <w:rFonts w:hint="eastAsia" w:ascii="仿宋" w:hAnsi="仿宋" w:eastAsia="仿宋" w:cs="仿宋"/>
          <w:b/>
          <w:bCs/>
          <w:color w:val="auto"/>
          <w:sz w:val="28"/>
          <w:szCs w:val="28"/>
          <w:highlight w:val="none"/>
          <w:u w:val="single"/>
          <w:lang w:val="en-US" w:eastAsia="zh-CN"/>
        </w:rPr>
        <w:t xml:space="preserve"> 24 小时</w:t>
      </w:r>
      <w:r>
        <w:rPr>
          <w:rFonts w:hint="eastAsia" w:ascii="仿宋" w:hAnsi="仿宋" w:eastAsia="仿宋" w:cs="仿宋"/>
          <w:b/>
          <w:bCs/>
          <w:sz w:val="28"/>
          <w:szCs w:val="28"/>
          <w:highlight w:val="none"/>
        </w:rPr>
        <w:t>内</w:t>
      </w:r>
      <w:r>
        <w:rPr>
          <w:rFonts w:hint="eastAsia" w:ascii="仿宋" w:hAnsi="仿宋" w:eastAsia="仿宋" w:cs="仿宋"/>
          <w:b/>
          <w:bCs/>
          <w:sz w:val="28"/>
          <w:szCs w:val="28"/>
          <w:highlight w:val="none"/>
          <w:lang w:eastAsia="zh-CN"/>
        </w:rPr>
        <w:t>把</w:t>
      </w:r>
      <w:r>
        <w:rPr>
          <w:rFonts w:hint="eastAsia" w:ascii="仿宋" w:hAnsi="仿宋" w:eastAsia="仿宋" w:cs="仿宋"/>
          <w:b/>
          <w:bCs/>
          <w:sz w:val="28"/>
          <w:szCs w:val="28"/>
          <w:highlight w:val="none"/>
          <w:lang w:val="en-US" w:eastAsia="zh-CN"/>
        </w:rPr>
        <w:t>订单对应的该批</w:t>
      </w:r>
      <w:r>
        <w:rPr>
          <w:rFonts w:hint="eastAsia" w:ascii="仿宋" w:hAnsi="仿宋" w:eastAsia="仿宋" w:cs="仿宋"/>
          <w:b/>
          <w:bCs/>
          <w:sz w:val="28"/>
          <w:szCs w:val="28"/>
          <w:highlight w:val="none"/>
          <w:lang w:eastAsia="zh-CN"/>
        </w:rPr>
        <w:t>产品按照甲方要求送齐至甲方指定地点</w:t>
      </w:r>
      <w:r>
        <w:rPr>
          <w:rFonts w:hint="eastAsia" w:ascii="仿宋" w:hAnsi="仿宋" w:eastAsia="仿宋" w:cs="仿宋"/>
          <w:sz w:val="28"/>
          <w:szCs w:val="28"/>
          <w:highlight w:val="none"/>
          <w:lang w:val="en-US" w:eastAsia="zh-CN"/>
        </w:rPr>
        <w:t>。</w:t>
      </w:r>
    </w:p>
    <w:p w14:paraId="722B1B4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default"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4.4联系人及权限：</w:t>
      </w:r>
      <w:bookmarkStart w:id="157" w:name="_GoBack"/>
      <w:bookmarkEnd w:id="157"/>
    </w:p>
    <w:p w14:paraId="7265B13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4.4.1甲方指定</w:t>
      </w:r>
      <w:r>
        <w:rPr>
          <w:rFonts w:hint="eastAsia" w:ascii="仿宋" w:hAnsi="仿宋" w:eastAsia="仿宋" w:cs="仿宋"/>
          <w:b w:val="0"/>
          <w:bCs w:val="0"/>
          <w:color w:val="auto"/>
          <w:sz w:val="28"/>
          <w:highlight w:val="none"/>
          <w:u w:val="single"/>
          <w:lang w:val="en-US" w:eastAsia="zh-CN"/>
        </w:rPr>
        <w:t xml:space="preserve"> 彭善海（手机号码：13592796498 ）</w:t>
      </w:r>
      <w:r>
        <w:rPr>
          <w:rFonts w:hint="eastAsia" w:ascii="仿宋" w:hAnsi="仿宋" w:eastAsia="仿宋" w:cs="仿宋"/>
          <w:b w:val="0"/>
          <w:bCs w:val="0"/>
          <w:color w:val="auto"/>
          <w:sz w:val="28"/>
          <w:highlight w:val="none"/>
          <w:lang w:val="en-US" w:eastAsia="zh-CN"/>
        </w:rPr>
        <w:t>为本合同甲方执行联系人；指定</w:t>
      </w:r>
      <w:r>
        <w:rPr>
          <w:rFonts w:hint="eastAsia" w:ascii="仿宋" w:hAnsi="仿宋" w:eastAsia="仿宋" w:cs="仿宋"/>
          <w:b w:val="0"/>
          <w:bCs w:val="0"/>
          <w:color w:val="auto"/>
          <w:sz w:val="28"/>
          <w:highlight w:val="none"/>
          <w:u w:val="single"/>
          <w:lang w:val="en-US" w:eastAsia="zh-CN"/>
        </w:rPr>
        <w:t>杨军（仓管员）为产品签收人，联系电话 13652456602</w:t>
      </w:r>
      <w:r>
        <w:rPr>
          <w:rFonts w:hint="eastAsia"/>
          <w:lang w:eastAsia="zh-CN"/>
        </w:rPr>
        <w:t>。</w:t>
      </w:r>
      <w:r>
        <w:rPr>
          <w:rFonts w:hint="eastAsia" w:ascii="仿宋" w:hAnsi="仿宋" w:eastAsia="仿宋" w:cs="仿宋"/>
          <w:b w:val="0"/>
          <w:bCs w:val="0"/>
          <w:color w:val="auto"/>
          <w:sz w:val="28"/>
          <w:highlight w:val="none"/>
          <w:lang w:val="en-US" w:eastAsia="zh-CN"/>
        </w:rPr>
        <w:t>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执行联系人签名并加盖甲方项目章方为有效，否则为无效文件，仅盖章或者签名的文件亦无效。甲方项目负责人、合同执行联系人变更的，甲方将以书面形式通知乙方。</w:t>
      </w:r>
    </w:p>
    <w:p w14:paraId="09839B4A">
      <w:pPr>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360" w:lineRule="auto"/>
        <w:ind w:left="0" w:leftChars="0" w:firstLine="560" w:firstLineChars="200"/>
        <w:jc w:val="both"/>
        <w:textAlignment w:val="auto"/>
        <w:rPr>
          <w:rFonts w:hint="eastAsia" w:ascii="仿宋" w:hAnsi="仿宋" w:eastAsia="仿宋" w:cs="仿宋"/>
          <w:color w:val="auto"/>
          <w:sz w:val="28"/>
          <w:highlight w:val="none"/>
          <w:shd w:val="clear" w:color="auto" w:fill="auto"/>
          <w:lang w:val="en-US" w:eastAsia="zh-CN"/>
        </w:rPr>
      </w:pPr>
      <w:r>
        <w:rPr>
          <w:rFonts w:hint="eastAsia" w:ascii="仿宋" w:hAnsi="仿宋" w:eastAsia="仿宋" w:cs="仿宋"/>
          <w:color w:val="auto"/>
          <w:sz w:val="28"/>
          <w:highlight w:val="none"/>
          <w:shd w:val="clear" w:color="auto" w:fill="auto"/>
          <w:lang w:val="en-US" w:eastAsia="zh-CN"/>
        </w:rPr>
        <w:t>双方确认，甲方项目章仅供甲方项目部与乙方联系工作和确认产品技术、资料之用。乙方知悉并同意，该项目章用于以下情形时无效：</w:t>
      </w:r>
    </w:p>
    <w:p w14:paraId="0865079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4.4.1.1签订合同；</w:t>
      </w:r>
    </w:p>
    <w:p w14:paraId="7A701A3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4.4.1.2任何类型的欠条或收据；</w:t>
      </w:r>
    </w:p>
    <w:p w14:paraId="63641BC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4.4.1.3任何形式的经济结算凭证；</w:t>
      </w:r>
    </w:p>
    <w:p w14:paraId="17DC015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4.4.1.4为他人或他单位提供任何形式的担保；</w:t>
      </w:r>
    </w:p>
    <w:p w14:paraId="48254B1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28"/>
          <w:highlight w:val="none"/>
          <w:shd w:val="clear" w:color="auto" w:fill="auto"/>
          <w:lang w:eastAsia="zh-CN"/>
        </w:rPr>
      </w:pPr>
      <w:r>
        <w:rPr>
          <w:rFonts w:hint="eastAsia" w:ascii="仿宋" w:hAnsi="仿宋" w:eastAsia="仿宋" w:cs="仿宋"/>
          <w:b w:val="0"/>
          <w:bCs w:val="0"/>
          <w:color w:val="auto"/>
          <w:sz w:val="28"/>
          <w:highlight w:val="none"/>
          <w:lang w:val="en-US" w:eastAsia="zh-CN"/>
        </w:rPr>
        <w:t>4.4.1.5确认任何形式的包含权利义</w:t>
      </w:r>
      <w:r>
        <w:rPr>
          <w:rFonts w:hint="eastAsia" w:ascii="仿宋" w:hAnsi="仿宋" w:eastAsia="仿宋" w:cs="仿宋"/>
          <w:color w:val="auto"/>
          <w:sz w:val="28"/>
          <w:highlight w:val="none"/>
          <w:shd w:val="clear" w:color="auto" w:fill="auto"/>
          <w:lang w:eastAsia="zh-CN"/>
        </w:rPr>
        <w:t>务及责任承担的文件。</w:t>
      </w:r>
    </w:p>
    <w:p w14:paraId="4F3CC70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4.4.2乙方指定</w:t>
      </w:r>
      <w:r>
        <w:rPr>
          <w:rFonts w:hint="eastAsia" w:ascii="仿宋" w:hAnsi="仿宋" w:eastAsia="仿宋" w:cs="仿宋"/>
          <w:b w:val="0"/>
          <w:bCs w:val="0"/>
          <w:color w:val="auto"/>
          <w:sz w:val="28"/>
          <w:highlight w:val="none"/>
          <w:u w:val="single"/>
          <w:lang w:val="en-US" w:eastAsia="zh-CN"/>
        </w:rPr>
        <w:t xml:space="preserve">       （身份证号码：            ；手机号码：         ）</w:t>
      </w:r>
      <w:r>
        <w:rPr>
          <w:rFonts w:hint="eastAsia" w:ascii="仿宋" w:hAnsi="仿宋" w:eastAsia="仿宋" w:cs="仿宋"/>
          <w:b w:val="0"/>
          <w:bCs w:val="0"/>
          <w:color w:val="auto"/>
          <w:sz w:val="28"/>
          <w:highlight w:val="none"/>
          <w:lang w:val="en-US" w:eastAsia="zh-CN"/>
        </w:rPr>
        <w:t>作为其授权代表，在本合同有效期内执行与本合同有关的事项。乙方授权代表以乙方的名义处理与本合同相关的一切事务，乙方对其行为均认可并承担一切责任。乙方如需更换授权代表，</w:t>
      </w:r>
      <w:r>
        <w:rPr>
          <w:rFonts w:hint="eastAsia" w:ascii="仿宋" w:hAnsi="仿宋" w:eastAsia="仿宋" w:cs="仿宋"/>
          <w:color w:val="auto"/>
          <w:sz w:val="28"/>
          <w:highlight w:val="none"/>
          <w:u w:val="none"/>
          <w:shd w:val="clear" w:color="auto" w:fill="auto"/>
          <w:lang w:val="en-US" w:eastAsia="zh-CN"/>
        </w:rPr>
        <w:t>须</w:t>
      </w:r>
      <w:r>
        <w:rPr>
          <w:rFonts w:hint="eastAsia" w:ascii="仿宋" w:hAnsi="仿宋" w:eastAsia="仿宋" w:cs="仿宋"/>
          <w:color w:val="auto"/>
          <w:sz w:val="28"/>
          <w:highlight w:val="none"/>
          <w:u w:val="none"/>
          <w:shd w:val="clear" w:color="auto" w:fill="auto"/>
          <w:lang w:eastAsia="zh-CN"/>
        </w:rPr>
        <w:t>提前</w:t>
      </w:r>
      <w:r>
        <w:rPr>
          <w:rFonts w:hint="eastAsia" w:ascii="仿宋" w:hAnsi="仿宋" w:eastAsia="仿宋" w:cs="仿宋"/>
          <w:color w:val="auto"/>
          <w:sz w:val="28"/>
          <w:highlight w:val="none"/>
          <w:u w:val="none"/>
          <w:shd w:val="clear" w:color="auto" w:fill="auto"/>
          <w:lang w:val="en-US" w:eastAsia="zh-CN"/>
        </w:rPr>
        <w:t>5</w:t>
      </w:r>
      <w:r>
        <w:rPr>
          <w:rFonts w:hint="eastAsia" w:ascii="仿宋" w:hAnsi="仿宋" w:eastAsia="仿宋" w:cs="仿宋"/>
          <w:color w:val="auto"/>
          <w:sz w:val="28"/>
          <w:highlight w:val="none"/>
          <w:u w:val="none"/>
          <w:shd w:val="clear" w:color="auto" w:fill="auto"/>
          <w:lang w:eastAsia="zh-CN"/>
        </w:rPr>
        <w:t>个日历天以书面形式通知甲方</w:t>
      </w:r>
      <w:r>
        <w:rPr>
          <w:rFonts w:hint="eastAsia" w:ascii="仿宋" w:hAnsi="仿宋" w:eastAsia="仿宋" w:cs="仿宋"/>
          <w:b w:val="0"/>
          <w:bCs w:val="0"/>
          <w:color w:val="auto"/>
          <w:sz w:val="28"/>
          <w:highlight w:val="none"/>
          <w:lang w:val="en-US" w:eastAsia="zh-CN"/>
        </w:rPr>
        <w:t>。</w:t>
      </w:r>
    </w:p>
    <w:p w14:paraId="3E4D9C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b w:val="0"/>
          <w:bCs w:val="0"/>
          <w:color w:val="auto"/>
          <w:sz w:val="28"/>
          <w:highlight w:val="none"/>
          <w:lang w:val="en-US" w:eastAsia="zh-CN"/>
        </w:rPr>
        <w:t>4.5除甲方本合</w:t>
      </w:r>
      <w:r>
        <w:rPr>
          <w:rFonts w:hint="eastAsia" w:ascii="仿宋" w:hAnsi="仿宋" w:eastAsia="仿宋" w:cs="仿宋"/>
          <w:color w:val="auto"/>
          <w:sz w:val="28"/>
          <w:highlight w:val="none"/>
          <w:u w:val="none"/>
          <w:shd w:val="clear" w:color="auto" w:fill="auto"/>
          <w:lang w:eastAsia="zh-CN"/>
        </w:rPr>
        <w:t>同执行联系人外，甲方项目部其他任何人对涉及费用的所有文件、资料无权进行确定、批准。甲方的本合同执行联系人在履行本合同过程中，对涉及费用的所有文件、资料审批权限为不超过三千元/次（含税）。三千元/次以该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3A6826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lang w:val="en-US" w:eastAsia="zh-CN"/>
        </w:rPr>
        <w:t>4.6乙方在选择运输产品的机具、设备时，须提前报经甲方项目部安全员同意，选择适合的路线准时抵达，避免现场拥堵，运输设备、车辆与产品总重不得超过现场道路限载，并服从甲方人员指挥，装卸时注意施工安全。</w:t>
      </w:r>
    </w:p>
    <w:p w14:paraId="0AE814E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lang w:val="en-US" w:eastAsia="zh-CN"/>
        </w:rPr>
        <w:t>4.7收货验收流程</w:t>
      </w:r>
      <w:r>
        <w:rPr>
          <w:rFonts w:hint="eastAsia" w:ascii="仿宋" w:hAnsi="仿宋" w:eastAsia="仿宋" w:cs="仿宋"/>
          <w:color w:val="auto"/>
          <w:sz w:val="28"/>
          <w:highlight w:val="none"/>
          <w:u w:val="none"/>
          <w:shd w:val="clear" w:color="auto" w:fill="auto"/>
          <w:lang w:val="en-US" w:eastAsia="zh-CN"/>
        </w:rPr>
        <w:t>及标准：</w:t>
      </w:r>
    </w:p>
    <w:p w14:paraId="40B7762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4.7.1乙方送货前须提前向甲方项目部告知送货司机的姓名、联系电话、车辆规格、车牌号，乙方送货单须盖乙方公章。</w:t>
      </w:r>
    </w:p>
    <w:p w14:paraId="658CD90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4.7.2产品进场时乙方须向甲方提供产品出厂合格证、出厂质量证明书等相关资料并在当天移交甲方存档。</w:t>
      </w:r>
    </w:p>
    <w:p w14:paraId="7A949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4.7.3甲方项目施工员在产品进场时对品牌、规格、型号、质量等进行全检并拍照留存。</w:t>
      </w:r>
    </w:p>
    <w:p w14:paraId="7E6674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4.7.4产品如与合同约定不符（如产品的品牌、厂地、规格、型号、质量等），甲方本合同执行联系人按合同要求直接拒收、退场并作好记录备查，甲方不折价签收不符合合同要求的产品，且乙方向甲方承担违约金（违约金额等于不符合合同约定的产品金额的三倍且最少不低于一万元/次），甲方有权在任意一笔应付乙方的合同款中自行扣取违约金。</w:t>
      </w:r>
    </w:p>
    <w:p w14:paraId="1BA58ED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4.8</w:t>
      </w:r>
      <w:r>
        <w:rPr>
          <w:rFonts w:hint="eastAsia" w:ascii="仿宋" w:hAnsi="仿宋" w:eastAsia="仿宋" w:cs="仿宋"/>
          <w:b w:val="0"/>
          <w:bCs w:val="0"/>
          <w:color w:val="auto"/>
          <w:sz w:val="28"/>
          <w:highlight w:val="none"/>
          <w:u w:val="none"/>
          <w:lang w:eastAsia="zh-CN"/>
        </w:rPr>
        <w:t>乙方每批送货数量少于送货单所写数量或</w:t>
      </w:r>
      <w:r>
        <w:rPr>
          <w:rFonts w:hint="eastAsia" w:ascii="仿宋" w:hAnsi="仿宋" w:eastAsia="仿宋" w:cs="仿宋"/>
          <w:b w:val="0"/>
          <w:bCs w:val="0"/>
          <w:color w:val="auto"/>
          <w:sz w:val="28"/>
          <w:highlight w:val="none"/>
          <w:u w:val="none"/>
          <w:lang w:val="en-US" w:eastAsia="zh-CN"/>
        </w:rPr>
        <w:t>有</w:t>
      </w:r>
      <w:r>
        <w:rPr>
          <w:rFonts w:hint="eastAsia" w:ascii="仿宋" w:hAnsi="仿宋" w:eastAsia="仿宋" w:cs="仿宋"/>
          <w:b w:val="0"/>
          <w:bCs w:val="0"/>
          <w:color w:val="auto"/>
          <w:sz w:val="28"/>
          <w:highlight w:val="none"/>
          <w:u w:val="none"/>
          <w:lang w:eastAsia="zh-CN"/>
        </w:rPr>
        <w:t>破损的，</w:t>
      </w:r>
      <w:r>
        <w:rPr>
          <w:rFonts w:hint="eastAsia" w:ascii="仿宋" w:hAnsi="仿宋" w:eastAsia="仿宋" w:cs="仿宋"/>
          <w:b w:val="0"/>
          <w:bCs w:val="0"/>
          <w:color w:val="auto"/>
          <w:sz w:val="28"/>
          <w:highlight w:val="none"/>
          <w:u w:val="none"/>
          <w:lang w:val="en-US" w:eastAsia="zh-CN"/>
        </w:rPr>
        <w:t>甲方</w:t>
      </w:r>
      <w:r>
        <w:rPr>
          <w:rFonts w:hint="eastAsia" w:ascii="仿宋" w:hAnsi="仿宋" w:eastAsia="仿宋" w:cs="仿宋"/>
          <w:b w:val="0"/>
          <w:bCs w:val="0"/>
          <w:color w:val="auto"/>
          <w:sz w:val="28"/>
          <w:highlight w:val="none"/>
          <w:u w:val="none"/>
          <w:lang w:eastAsia="zh-CN"/>
        </w:rPr>
        <w:t>按缺少或破损数量的三倍扣减乙方费用，甲方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损失由乙方全部承担。产品如与合同约定不符或验收不合格，乙方自甲方要求之日起两个日历天内无条件更换</w:t>
      </w:r>
      <w:r>
        <w:rPr>
          <w:rFonts w:hint="eastAsia" w:ascii="仿宋" w:hAnsi="仿宋" w:eastAsia="仿宋" w:cs="仿宋"/>
          <w:b w:val="0"/>
          <w:bCs w:val="0"/>
          <w:color w:val="auto"/>
          <w:sz w:val="28"/>
          <w:highlight w:val="none"/>
          <w:u w:val="none"/>
          <w:lang w:val="en-US" w:eastAsia="zh-CN"/>
        </w:rPr>
        <w:t>为</w:t>
      </w:r>
      <w:r>
        <w:rPr>
          <w:rFonts w:hint="eastAsia" w:ascii="仿宋" w:hAnsi="仿宋" w:eastAsia="仿宋" w:cs="仿宋"/>
          <w:b w:val="0"/>
          <w:bCs w:val="0"/>
          <w:color w:val="auto"/>
          <w:sz w:val="28"/>
          <w:highlight w:val="none"/>
          <w:u w:val="none"/>
          <w:lang w:eastAsia="zh-CN"/>
        </w:rPr>
        <w:t>符合本合同要求的产品，乙方承担由此产生的费用及逾期责任；乙方不更换或更换一次仍不合格的，甲方有权单方终止合同，乙方自甲方要求之日起三个日历天内按当批送货金额（以乙方送货单金额为准）的10%支付违约金并赔偿甲方损失。甲方验收完成后，如对产品数量、质量等级等再次复查，乙方须无条件配合，且复查结果可作为结算依据，复查程序等要求按甲方规定执行。乙方指派人员配合、参与甲方验收，如乙方未指派人员配合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，视为乙方认可甲方自行验收、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的结果，乙方不得提出异议。</w:t>
      </w:r>
    </w:p>
    <w:p w14:paraId="0D2870B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9</w:t>
      </w:r>
      <w:r>
        <w:rPr>
          <w:rFonts w:hint="eastAsia" w:ascii="仿宋" w:hAnsi="仿宋" w:eastAsia="仿宋" w:cs="仿宋"/>
          <w:b w:val="0"/>
          <w:bCs w:val="0"/>
          <w:color w:val="auto"/>
          <w:sz w:val="28"/>
          <w:highlight w:val="none"/>
          <w:u w:val="none"/>
          <w:lang w:eastAsia="zh-CN"/>
        </w:rPr>
        <w:t>产品进场后，如甲方要求对产品进行超出合同的检验、检测，检验、检测合格则检验、检测费用由甲方承担，不合格则由乙方承担且乙方承担由此产生的责任、费用并无条件将该批产品自甲方要求之日起两个日历天内更换为合格产品，同时甲方有权单方终止合同且不付款；如甲方单方终止合同，乙方须按该批产品总价的10%支付违约金且赔偿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w:t>
      </w:r>
    </w:p>
    <w:p w14:paraId="0CCB0D7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.10产品</w:t>
      </w:r>
      <w:r>
        <w:rPr>
          <w:rFonts w:hint="eastAsia" w:ascii="仿宋" w:hAnsi="仿宋" w:eastAsia="仿宋" w:cs="仿宋"/>
          <w:b w:val="0"/>
          <w:bCs w:val="0"/>
          <w:color w:val="auto"/>
          <w:sz w:val="28"/>
          <w:highlight w:val="none"/>
          <w:u w:val="none"/>
          <w:lang w:eastAsia="zh-CN"/>
        </w:rPr>
        <w:t>数量结算依据为甲方指定的本合同执行联系人和验收组人员共同签名的签收单及甲方认可的相关资料。</w:t>
      </w:r>
    </w:p>
    <w:p w14:paraId="6530432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4.11由甲方仓管员对进场产品组织验收，如甲方栋号施工员不能第一时间进行验收，由甲方仓管员组织保安组长共同进行验收并签名，栋号施工员在产品进场12小时内进行复验，验收完成后在材料签收单签名。</w:t>
      </w:r>
    </w:p>
    <w:p w14:paraId="7569F3F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4.12甲方仓管员按甲方规定开具材料签收单，一式三联，白联由甲方项目部留底，红联交至甲方财务部，绿联交乙方用于请款。</w:t>
      </w:r>
    </w:p>
    <w:p w14:paraId="15C842F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4.13所有票据、资料必须经办人亲自签名，严禁他人代签名，一旦发现则乙方向甲方承担违约金（违约金额等于代签票据所列材料金额的三倍但最少不低于二千元/次），甲方有权在任意一笔应付乙方的合同款中自行扣取违约金。</w:t>
      </w:r>
    </w:p>
    <w:p w14:paraId="34DCB8E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highlight w:val="none"/>
          <w:lang w:val="en-US" w:eastAsia="zh-CN"/>
        </w:rPr>
        <w:t>4.14产品送至交货地点后，尽管现场表观验收结果合格，如果有下列情形之一的，则由乙方承担全</w:t>
      </w:r>
      <w:r>
        <w:rPr>
          <w:rFonts w:hint="eastAsia" w:ascii="仿宋" w:hAnsi="仿宋" w:eastAsia="仿宋" w:cs="仿宋"/>
          <w:color w:val="auto"/>
          <w:sz w:val="28"/>
          <w:szCs w:val="28"/>
          <w:highlight w:val="none"/>
          <w:lang w:val="en-US" w:eastAsia="zh-CN"/>
        </w:rPr>
        <w:t>部责任、损失及费用：</w:t>
      </w:r>
    </w:p>
    <w:p w14:paraId="4AEAE4C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4.14.1水泥稳定碎石使用原材料不合格的及水泥稳定碎石质量不符合国家相关规范规定及地方标准文件的；</w:t>
      </w:r>
    </w:p>
    <w:p w14:paraId="514FAD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4.14.2水泥稳定碎石配合比设计或实际使用的生产配比有误的；</w:t>
      </w:r>
    </w:p>
    <w:p w14:paraId="051664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4.14.3因乙方送错料或水泥稳定碎石本身质量问题的；</w:t>
      </w:r>
    </w:p>
    <w:p w14:paraId="6DEE253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en-US" w:eastAsia="zh-CN"/>
        </w:rPr>
        <w:t>4.14.4水泥稳定碎石施工过程当中发现有离</w:t>
      </w:r>
      <w:r>
        <w:rPr>
          <w:rFonts w:hint="eastAsia" w:ascii="仿宋" w:hAnsi="仿宋" w:eastAsia="仿宋" w:cs="仿宋"/>
          <w:sz w:val="28"/>
          <w:szCs w:val="28"/>
          <w:highlight w:val="none"/>
          <w:lang w:val="en-US" w:eastAsia="zh-CN"/>
        </w:rPr>
        <w:t>析现象等质量问题的；</w:t>
      </w:r>
    </w:p>
    <w:p w14:paraId="34C69EB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4.14.5乙方在其原材料检验检测，施工配合比设计，生产过程中不按国家相关规范执行的。</w:t>
      </w:r>
    </w:p>
    <w:p w14:paraId="365952C0">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sz w:val="28"/>
          <w:szCs w:val="28"/>
          <w:highlight w:val="none"/>
          <w:lang w:val="en-US" w:eastAsia="zh-CN"/>
        </w:rPr>
      </w:pPr>
      <w:bookmarkStart w:id="47" w:name="_Toc7651"/>
      <w:bookmarkStart w:id="48" w:name="_Toc3158"/>
      <w:bookmarkStart w:id="49" w:name="_Toc7532"/>
      <w:bookmarkStart w:id="50" w:name="_Toc7486"/>
      <w:r>
        <w:rPr>
          <w:rFonts w:hint="eastAsia" w:ascii="仿宋" w:hAnsi="仿宋" w:eastAsia="仿宋" w:cs="仿宋"/>
          <w:b/>
          <w:bCs/>
          <w:sz w:val="28"/>
          <w:szCs w:val="28"/>
          <w:highlight w:val="none"/>
          <w:lang w:val="en-US" w:eastAsia="zh-CN"/>
        </w:rPr>
        <w:t>第五章、</w:t>
      </w:r>
      <w:bookmarkEnd w:id="47"/>
      <w:r>
        <w:rPr>
          <w:rFonts w:hint="eastAsia" w:ascii="仿宋" w:hAnsi="仿宋" w:eastAsia="仿宋" w:cs="仿宋"/>
          <w:b/>
          <w:bCs/>
          <w:sz w:val="28"/>
          <w:szCs w:val="28"/>
          <w:highlight w:val="none"/>
          <w:lang w:val="en-US" w:eastAsia="zh-CN"/>
        </w:rPr>
        <w:t>质保</w:t>
      </w:r>
      <w:bookmarkEnd w:id="48"/>
      <w:bookmarkEnd w:id="49"/>
      <w:bookmarkEnd w:id="50"/>
    </w:p>
    <w:p w14:paraId="7577F875">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5.1</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按法律、法规和国家有关规定对产品在质保期内承担质量保修责任</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质保期内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如产品不能使用</w:t>
      </w:r>
      <w:r>
        <w:rPr>
          <w:rFonts w:hint="eastAsia" w:ascii="仿宋" w:hAnsi="仿宋" w:eastAsia="仿宋" w:cs="仿宋"/>
          <w:sz w:val="28"/>
          <w:szCs w:val="28"/>
          <w:highlight w:val="none"/>
          <w:lang w:val="en-US" w:eastAsia="zh-CN"/>
        </w:rPr>
        <w:t>需</w:t>
      </w:r>
      <w:r>
        <w:rPr>
          <w:rFonts w:hint="eastAsia" w:ascii="仿宋" w:hAnsi="仿宋" w:eastAsia="仿宋" w:cs="仿宋"/>
          <w:sz w:val="28"/>
          <w:szCs w:val="28"/>
          <w:highlight w:val="none"/>
        </w:rPr>
        <w:t>更换，则该</w:t>
      </w:r>
      <w:r>
        <w:rPr>
          <w:rFonts w:hint="eastAsia" w:ascii="仿宋" w:hAnsi="仿宋" w:eastAsia="仿宋" w:cs="仿宋"/>
          <w:sz w:val="28"/>
          <w:szCs w:val="28"/>
          <w:highlight w:val="none"/>
          <w:lang w:val="en-US" w:eastAsia="zh-CN"/>
        </w:rPr>
        <w:t>部位</w:t>
      </w:r>
      <w:r>
        <w:rPr>
          <w:rFonts w:hint="eastAsia" w:ascii="仿宋" w:hAnsi="仿宋" w:eastAsia="仿宋" w:cs="仿宋"/>
          <w:sz w:val="28"/>
          <w:szCs w:val="28"/>
          <w:highlight w:val="none"/>
        </w:rPr>
        <w:t>产品质保期自更换之日起重新计算。 </w:t>
      </w:r>
    </w:p>
    <w:p w14:paraId="40F5985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5.2</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对产品实行</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en-US" w:eastAsia="zh-CN"/>
        </w:rPr>
        <w:t xml:space="preserve">2 </w:t>
      </w:r>
      <w:r>
        <w:rPr>
          <w:rFonts w:hint="eastAsia" w:ascii="仿宋" w:hAnsi="仿宋" w:eastAsia="仿宋" w:cs="仿宋"/>
          <w:sz w:val="28"/>
          <w:szCs w:val="28"/>
          <w:highlight w:val="none"/>
        </w:rPr>
        <w:t>年免费质保(</w:t>
      </w:r>
      <w:r>
        <w:rPr>
          <w:rFonts w:hint="eastAsia" w:ascii="仿宋" w:hAnsi="仿宋" w:eastAsia="仿宋" w:cs="仿宋"/>
          <w:sz w:val="28"/>
          <w:szCs w:val="28"/>
          <w:highlight w:val="none"/>
          <w:lang w:val="en-US" w:eastAsia="zh-CN"/>
        </w:rPr>
        <w:t>政府主管部门</w:t>
      </w:r>
      <w:r>
        <w:rPr>
          <w:rFonts w:hint="eastAsia" w:ascii="仿宋" w:hAnsi="仿宋" w:eastAsia="仿宋" w:cs="仿宋"/>
          <w:sz w:val="28"/>
          <w:szCs w:val="28"/>
          <w:highlight w:val="none"/>
        </w:rPr>
        <w:t>另有更长质保</w:t>
      </w:r>
      <w:r>
        <w:rPr>
          <w:rFonts w:hint="eastAsia" w:ascii="仿宋" w:hAnsi="仿宋" w:eastAsia="仿宋" w:cs="仿宋"/>
          <w:sz w:val="28"/>
          <w:szCs w:val="28"/>
          <w:highlight w:val="none"/>
          <w:lang w:val="en-US" w:eastAsia="zh-CN"/>
        </w:rPr>
        <w:t>期限</w:t>
      </w:r>
      <w:r>
        <w:rPr>
          <w:rFonts w:hint="eastAsia" w:ascii="仿宋" w:hAnsi="仿宋" w:eastAsia="仿宋" w:cs="仿宋"/>
          <w:sz w:val="28"/>
          <w:szCs w:val="28"/>
          <w:highlight w:val="none"/>
        </w:rPr>
        <w:t>规定的，从其规定)，质保期自</w:t>
      </w:r>
      <w:r>
        <w:rPr>
          <w:rFonts w:hint="eastAsia" w:ascii="仿宋" w:hAnsi="仿宋" w:eastAsia="仿宋" w:cs="仿宋"/>
          <w:sz w:val="28"/>
          <w:szCs w:val="28"/>
          <w:highlight w:val="none"/>
          <w:lang w:eastAsia="zh-CN"/>
        </w:rPr>
        <w:t>产品经甲方</w:t>
      </w:r>
      <w:r>
        <w:rPr>
          <w:rFonts w:hint="eastAsia" w:ascii="仿宋" w:hAnsi="仿宋" w:eastAsia="仿宋" w:cs="仿宋"/>
          <w:sz w:val="28"/>
          <w:szCs w:val="28"/>
          <w:highlight w:val="none"/>
        </w:rPr>
        <w:t>验收合格</w:t>
      </w:r>
      <w:r>
        <w:rPr>
          <w:rFonts w:hint="eastAsia" w:ascii="仿宋" w:hAnsi="仿宋" w:eastAsia="仿宋" w:cs="仿宋"/>
          <w:sz w:val="28"/>
          <w:szCs w:val="28"/>
          <w:highlight w:val="none"/>
          <w:lang w:eastAsia="zh-CN"/>
        </w:rPr>
        <w:t>并</w:t>
      </w:r>
      <w:r>
        <w:rPr>
          <w:rFonts w:hint="eastAsia" w:ascii="仿宋" w:hAnsi="仿宋" w:eastAsia="仿宋" w:cs="仿宋"/>
          <w:sz w:val="28"/>
          <w:szCs w:val="28"/>
          <w:highlight w:val="none"/>
        </w:rPr>
        <w:t>移交</w:t>
      </w:r>
      <w:r>
        <w:rPr>
          <w:rFonts w:hint="eastAsia" w:ascii="仿宋" w:hAnsi="仿宋" w:eastAsia="仿宋" w:cs="仿宋"/>
          <w:sz w:val="28"/>
          <w:szCs w:val="28"/>
          <w:highlight w:val="none"/>
          <w:lang w:val="en-US" w:eastAsia="zh-CN"/>
        </w:rPr>
        <w:t>建设</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之日起计。</w:t>
      </w:r>
    </w:p>
    <w:p w14:paraId="1E3A707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质保期内，若产品出现质量问题，</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在收到</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或使用</w:t>
      </w:r>
      <w:r>
        <w:rPr>
          <w:rFonts w:hint="eastAsia" w:ascii="仿宋" w:hAnsi="仿宋" w:eastAsia="仿宋" w:cs="仿宋"/>
          <w:sz w:val="28"/>
          <w:szCs w:val="28"/>
          <w:highlight w:val="none"/>
          <w:lang w:eastAsia="zh-CN"/>
        </w:rPr>
        <w:t>单位</w:t>
      </w:r>
      <w:r>
        <w:rPr>
          <w:rFonts w:hint="eastAsia" w:ascii="仿宋" w:hAnsi="仿宋" w:eastAsia="仿宋" w:cs="仿宋"/>
          <w:sz w:val="28"/>
          <w:szCs w:val="28"/>
          <w:highlight w:val="none"/>
        </w:rPr>
        <w:t>通知后24小时内必须到达现场进行</w:t>
      </w:r>
      <w:r>
        <w:rPr>
          <w:rFonts w:hint="eastAsia" w:ascii="仿宋" w:hAnsi="仿宋" w:eastAsia="仿宋" w:cs="仿宋"/>
          <w:sz w:val="28"/>
          <w:szCs w:val="28"/>
          <w:highlight w:val="none"/>
          <w:lang w:val="en-US" w:eastAsia="zh-CN"/>
        </w:rPr>
        <w:t>处理</w:t>
      </w:r>
      <w:r>
        <w:rPr>
          <w:rFonts w:hint="eastAsia" w:ascii="仿宋" w:hAnsi="仿宋" w:eastAsia="仿宋" w:cs="仿宋"/>
          <w:sz w:val="28"/>
          <w:szCs w:val="28"/>
          <w:highlight w:val="none"/>
        </w:rPr>
        <w:t>。如甲乙双方共同确认非</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原因导致问题发生，</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仍应提供</w:t>
      </w:r>
      <w:r>
        <w:rPr>
          <w:rFonts w:hint="eastAsia" w:ascii="仿宋" w:hAnsi="仿宋" w:eastAsia="仿宋" w:cs="仿宋"/>
          <w:sz w:val="28"/>
          <w:szCs w:val="28"/>
          <w:highlight w:val="none"/>
          <w:lang w:val="en-US" w:eastAsia="zh-CN"/>
        </w:rPr>
        <w:t>售后</w:t>
      </w:r>
      <w:r>
        <w:rPr>
          <w:rFonts w:hint="eastAsia" w:ascii="仿宋" w:hAnsi="仿宋" w:eastAsia="仿宋" w:cs="仿宋"/>
          <w:sz w:val="28"/>
          <w:szCs w:val="28"/>
          <w:highlight w:val="none"/>
        </w:rPr>
        <w:t>服务，相关费用经双方商定后由</w:t>
      </w:r>
      <w:r>
        <w:rPr>
          <w:rFonts w:hint="eastAsia" w:ascii="仿宋" w:hAnsi="仿宋" w:eastAsia="仿宋" w:cs="仿宋"/>
          <w:sz w:val="28"/>
          <w:szCs w:val="28"/>
          <w:highlight w:val="none"/>
          <w:lang w:val="en-US" w:eastAsia="zh-CN"/>
        </w:rPr>
        <w:t>责任</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承担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甲方负责协调</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未准时到达现场，</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可自行处理，</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同时承担违约责任。</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自行处理所耗费用</w:t>
      </w:r>
      <w:r>
        <w:rPr>
          <w:rFonts w:hint="eastAsia" w:ascii="仿宋" w:hAnsi="仿宋" w:eastAsia="仿宋" w:cs="仿宋"/>
          <w:sz w:val="28"/>
          <w:szCs w:val="28"/>
          <w:highlight w:val="none"/>
          <w:lang w:eastAsia="zh-CN"/>
        </w:rPr>
        <w:t>另加</w:t>
      </w:r>
      <w:r>
        <w:rPr>
          <w:rFonts w:hint="eastAsia" w:ascii="仿宋" w:hAnsi="仿宋" w:eastAsia="仿宋" w:cs="仿宋"/>
          <w:sz w:val="28"/>
          <w:szCs w:val="28"/>
          <w:highlight w:val="none"/>
          <w:lang w:val="en-US" w:eastAsia="zh-CN"/>
        </w:rPr>
        <w:t>50%</w:t>
      </w:r>
      <w:r>
        <w:rPr>
          <w:rFonts w:hint="eastAsia" w:ascii="仿宋" w:hAnsi="仿宋" w:eastAsia="仿宋" w:cs="仿宋"/>
          <w:sz w:val="28"/>
          <w:szCs w:val="28"/>
          <w:highlight w:val="none"/>
        </w:rPr>
        <w:t>由</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收到</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通知之日起</w:t>
      </w:r>
      <w:r>
        <w:rPr>
          <w:rFonts w:hint="eastAsia" w:ascii="仿宋" w:hAnsi="仿宋" w:eastAsia="仿宋" w:cs="仿宋"/>
          <w:sz w:val="28"/>
          <w:szCs w:val="28"/>
          <w:highlight w:val="none"/>
          <w:lang w:val="en-US" w:eastAsia="zh-CN"/>
        </w:rPr>
        <w:t>10个</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eastAsia="zh-CN"/>
        </w:rPr>
        <w:t>历天</w:t>
      </w:r>
      <w:r>
        <w:rPr>
          <w:rFonts w:hint="eastAsia" w:ascii="仿宋" w:hAnsi="仿宋" w:eastAsia="仿宋" w:cs="仿宋"/>
          <w:sz w:val="28"/>
          <w:szCs w:val="28"/>
          <w:highlight w:val="none"/>
        </w:rPr>
        <w:t>内支付，因此造成的损失由</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负责全额赔偿。</w:t>
      </w:r>
      <w:r>
        <w:rPr>
          <w:rFonts w:hint="eastAsia" w:ascii="仿宋" w:hAnsi="仿宋" w:eastAsia="仿宋" w:cs="仿宋"/>
          <w:sz w:val="28"/>
          <w:szCs w:val="28"/>
          <w:highlight w:val="none"/>
          <w:lang w:eastAsia="zh-CN"/>
        </w:rPr>
        <w:t>乙方未在</w:t>
      </w:r>
      <w:r>
        <w:rPr>
          <w:rFonts w:hint="eastAsia" w:ascii="仿宋" w:hAnsi="仿宋" w:eastAsia="仿宋" w:cs="仿宋"/>
          <w:sz w:val="28"/>
          <w:szCs w:val="28"/>
          <w:highlight w:val="none"/>
          <w:lang w:val="en-US" w:eastAsia="zh-CN"/>
        </w:rPr>
        <w:t>24小时内到达现场的，出现的质量问题一律视为乙方原因导致的。</w:t>
      </w:r>
      <w:r>
        <w:rPr>
          <w:rFonts w:hint="eastAsia" w:ascii="仿宋" w:hAnsi="仿宋" w:eastAsia="仿宋" w:cs="仿宋"/>
          <w:sz w:val="28"/>
          <w:szCs w:val="28"/>
          <w:highlight w:val="none"/>
        </w:rPr>
        <w:t>质保期内，由</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原因造成的缺陷和事故，</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承担</w:t>
      </w:r>
      <w:r>
        <w:rPr>
          <w:rFonts w:hint="eastAsia" w:ascii="仿宋" w:hAnsi="仿宋" w:eastAsia="仿宋" w:cs="仿宋"/>
          <w:sz w:val="28"/>
          <w:szCs w:val="28"/>
          <w:highlight w:val="none"/>
          <w:lang w:eastAsia="zh-CN"/>
        </w:rPr>
        <w:t>事故所产生的</w:t>
      </w:r>
      <w:r>
        <w:rPr>
          <w:rFonts w:hint="eastAsia" w:ascii="仿宋" w:hAnsi="仿宋" w:eastAsia="仿宋" w:cs="仿宋"/>
          <w:sz w:val="28"/>
          <w:szCs w:val="28"/>
          <w:highlight w:val="none"/>
        </w:rPr>
        <w:t>全部费用。如</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不维修也不承担费用，由</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承担违约责任及</w:t>
      </w:r>
      <w:r>
        <w:rPr>
          <w:rFonts w:hint="eastAsia" w:ascii="仿宋" w:hAnsi="仿宋" w:eastAsia="仿宋" w:cs="仿宋"/>
          <w:sz w:val="28"/>
          <w:szCs w:val="28"/>
          <w:highlight w:val="none"/>
          <w:lang w:eastAsia="zh-CN"/>
        </w:rPr>
        <w:t>所有损失的</w:t>
      </w:r>
      <w:r>
        <w:rPr>
          <w:rFonts w:hint="eastAsia" w:ascii="仿宋" w:hAnsi="仿宋" w:eastAsia="仿宋" w:cs="仿宋"/>
          <w:sz w:val="28"/>
          <w:szCs w:val="28"/>
          <w:highlight w:val="none"/>
        </w:rPr>
        <w:t>责任。</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维修并承担相应费用后，不免除对</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/第三方的损失赔偿责任。</w:t>
      </w:r>
    </w:p>
    <w:p w14:paraId="2C602106">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5.4</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或使用</w:t>
      </w:r>
      <w:r>
        <w:rPr>
          <w:rFonts w:hint="eastAsia" w:ascii="仿宋" w:hAnsi="仿宋" w:eastAsia="仿宋" w:cs="仿宋"/>
          <w:sz w:val="28"/>
          <w:szCs w:val="28"/>
          <w:highlight w:val="none"/>
          <w:lang w:eastAsia="zh-CN"/>
        </w:rPr>
        <w:t>单位在</w:t>
      </w:r>
      <w:r>
        <w:rPr>
          <w:rFonts w:hint="eastAsia" w:ascii="仿宋" w:hAnsi="仿宋" w:eastAsia="仿宋" w:cs="仿宋"/>
          <w:sz w:val="28"/>
          <w:szCs w:val="28"/>
          <w:highlight w:val="none"/>
        </w:rPr>
        <w:t>产品</w:t>
      </w:r>
      <w:r>
        <w:rPr>
          <w:rFonts w:hint="eastAsia" w:ascii="仿宋" w:hAnsi="仿宋" w:eastAsia="仿宋" w:cs="仿宋"/>
          <w:sz w:val="28"/>
          <w:szCs w:val="28"/>
          <w:highlight w:val="none"/>
          <w:lang w:eastAsia="zh-CN"/>
        </w:rPr>
        <w:t>使用过程</w:t>
      </w:r>
      <w:r>
        <w:rPr>
          <w:rFonts w:hint="eastAsia" w:ascii="仿宋" w:hAnsi="仿宋" w:eastAsia="仿宋" w:cs="仿宋"/>
          <w:sz w:val="28"/>
          <w:szCs w:val="28"/>
          <w:highlight w:val="none"/>
        </w:rPr>
        <w:t>中遇到的问题，</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须随时提供电话答疑（答疑负责人及其电话在质量保修书里注明）。凡与产品相关联的一切问题（如操作、产品的保养及维护等）都属于答疑范围</w:t>
      </w:r>
      <w:r>
        <w:rPr>
          <w:rFonts w:hint="eastAsia" w:ascii="仿宋" w:hAnsi="仿宋" w:eastAsia="仿宋" w:cs="仿宋"/>
          <w:sz w:val="28"/>
          <w:szCs w:val="28"/>
          <w:highlight w:val="none"/>
          <w:lang w:eastAsia="zh-CN"/>
        </w:rPr>
        <w:t>，所需费用已包含在合同</w:t>
      </w:r>
      <w:r>
        <w:rPr>
          <w:rFonts w:hint="eastAsia" w:ascii="仿宋" w:hAnsi="仿宋" w:eastAsia="仿宋" w:cs="仿宋"/>
          <w:sz w:val="28"/>
          <w:szCs w:val="28"/>
          <w:highlight w:val="none"/>
          <w:lang w:val="en-US" w:eastAsia="zh-CN"/>
        </w:rPr>
        <w:t>单</w:t>
      </w:r>
      <w:r>
        <w:rPr>
          <w:rFonts w:hint="eastAsia" w:ascii="仿宋" w:hAnsi="仿宋" w:eastAsia="仿宋" w:cs="仿宋"/>
          <w:sz w:val="28"/>
          <w:szCs w:val="28"/>
          <w:highlight w:val="none"/>
          <w:lang w:eastAsia="zh-CN"/>
        </w:rPr>
        <w:t>价中，不另计费。</w:t>
      </w:r>
    </w:p>
    <w:p w14:paraId="26B53D73">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根据</w:t>
      </w:r>
      <w:r>
        <w:rPr>
          <w:rFonts w:hint="eastAsia" w:ascii="仿宋" w:hAnsi="仿宋" w:eastAsia="仿宋" w:cs="仿宋"/>
          <w:sz w:val="28"/>
          <w:szCs w:val="28"/>
          <w:highlight w:val="none"/>
          <w:lang w:val="en-US" w:eastAsia="zh-CN"/>
        </w:rPr>
        <w:t>甲方</w:t>
      </w:r>
      <w:r>
        <w:rPr>
          <w:rFonts w:hint="eastAsia" w:ascii="仿宋" w:hAnsi="仿宋" w:eastAsia="仿宋" w:cs="仿宋"/>
          <w:sz w:val="28"/>
          <w:szCs w:val="28"/>
          <w:highlight w:val="none"/>
        </w:rPr>
        <w:t>需要提供现场临时指导</w:t>
      </w:r>
      <w:r>
        <w:rPr>
          <w:rFonts w:hint="eastAsia" w:ascii="仿宋" w:hAnsi="仿宋" w:eastAsia="仿宋" w:cs="仿宋"/>
          <w:sz w:val="28"/>
          <w:szCs w:val="28"/>
          <w:highlight w:val="none"/>
          <w:lang w:eastAsia="zh-CN"/>
        </w:rPr>
        <w:t>和培训，费用已包含在</w:t>
      </w:r>
      <w:r>
        <w:rPr>
          <w:rFonts w:hint="eastAsia" w:ascii="仿宋" w:hAnsi="仿宋" w:eastAsia="仿宋" w:cs="仿宋"/>
          <w:sz w:val="28"/>
          <w:szCs w:val="28"/>
          <w:highlight w:val="none"/>
          <w:lang w:val="en-US" w:eastAsia="zh-CN"/>
        </w:rPr>
        <w:t>合同单价</w:t>
      </w:r>
      <w:r>
        <w:rPr>
          <w:rFonts w:hint="eastAsia" w:ascii="仿宋" w:hAnsi="仿宋" w:eastAsia="仿宋" w:cs="仿宋"/>
          <w:sz w:val="28"/>
          <w:szCs w:val="28"/>
          <w:highlight w:val="none"/>
          <w:lang w:eastAsia="zh-CN"/>
        </w:rPr>
        <w:t>中，不另计费。</w:t>
      </w:r>
    </w:p>
    <w:p w14:paraId="1E2049F3">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5.6</w:t>
      </w:r>
      <w:r>
        <w:rPr>
          <w:rFonts w:hint="eastAsia" w:ascii="仿宋" w:hAnsi="仿宋" w:eastAsia="仿宋" w:cs="仿宋"/>
          <w:sz w:val="28"/>
          <w:szCs w:val="28"/>
          <w:highlight w:val="none"/>
        </w:rPr>
        <w:t>质保期</w:t>
      </w:r>
      <w:r>
        <w:rPr>
          <w:rFonts w:hint="eastAsia" w:ascii="仿宋" w:hAnsi="仿宋" w:eastAsia="仿宋" w:cs="仿宋"/>
          <w:sz w:val="28"/>
          <w:szCs w:val="28"/>
          <w:highlight w:val="none"/>
          <w:lang w:val="en-US" w:eastAsia="zh-CN"/>
        </w:rPr>
        <w:t>届满后第</w:t>
      </w:r>
      <w:r>
        <w:rPr>
          <w:rFonts w:hint="eastAsia" w:ascii="仿宋" w:hAnsi="仿宋" w:eastAsia="仿宋" w:cs="仿宋"/>
          <w:sz w:val="28"/>
          <w:szCs w:val="28"/>
          <w:highlight w:val="none"/>
        </w:rPr>
        <w:t>一周内，甲乙双方对产品进行全面检查。</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自费负责对检查中发现的问题予以及时处理和解决。</w:t>
      </w:r>
    </w:p>
    <w:p w14:paraId="6DFE7F52">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sz w:val="28"/>
          <w:szCs w:val="28"/>
          <w:highlight w:val="none"/>
          <w:lang w:val="en-US" w:eastAsia="zh-CN"/>
        </w:rPr>
      </w:pPr>
      <w:bookmarkStart w:id="51" w:name="_Toc30305"/>
      <w:bookmarkStart w:id="52" w:name="_Toc23822"/>
      <w:bookmarkStart w:id="53" w:name="_Toc28932"/>
      <w:bookmarkStart w:id="54" w:name="_Toc6114"/>
      <w:r>
        <w:rPr>
          <w:rFonts w:hint="eastAsia" w:ascii="仿宋" w:hAnsi="仿宋" w:eastAsia="仿宋" w:cs="仿宋"/>
          <w:b/>
          <w:bCs/>
          <w:sz w:val="28"/>
          <w:szCs w:val="28"/>
          <w:highlight w:val="none"/>
          <w:lang w:val="en-US" w:eastAsia="zh-CN"/>
        </w:rPr>
        <w:t>第六章、违约责任</w:t>
      </w:r>
      <w:bookmarkEnd w:id="51"/>
      <w:bookmarkEnd w:id="52"/>
      <w:bookmarkEnd w:id="53"/>
      <w:bookmarkEnd w:id="54"/>
    </w:p>
    <w:p w14:paraId="481C698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u w:val="none"/>
          <w:lang w:val="en-US" w:eastAsia="zh-CN"/>
        </w:rPr>
        <w:t>6.1</w:t>
      </w:r>
      <w:r>
        <w:rPr>
          <w:rFonts w:hint="eastAsia" w:ascii="仿宋" w:hAnsi="仿宋" w:eastAsia="仿宋" w:cs="仿宋"/>
          <w:color w:val="auto"/>
          <w:sz w:val="28"/>
          <w:highlight w:val="none"/>
          <w:u w:val="none"/>
          <w:lang w:eastAsia="zh-CN"/>
        </w:rPr>
        <w:t>乙方逾期交齐任意一批产品（含随品、配件、产品说明书、操作手册、质量证明资料等）给甲方的，每逾期1个日历天（不可抗力因素除外），属乙方违约，乙方向甲方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lang w:eastAsia="zh-CN"/>
        </w:rPr>
        <w:t>合同暂定总价的5</w:t>
      </w:r>
      <w:r>
        <w:rPr>
          <w:rFonts w:hint="eastAsia"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eastAsia="zh-CN"/>
        </w:rPr>
        <w:t>违约金；逾期2个日历天以上的，属乙方严重违约，甲方有权</w:t>
      </w:r>
      <w:r>
        <w:rPr>
          <w:rFonts w:hint="eastAsia" w:ascii="仿宋" w:hAnsi="仿宋" w:eastAsia="仿宋" w:cs="仿宋"/>
          <w:color w:val="auto"/>
          <w:sz w:val="28"/>
          <w:highlight w:val="none"/>
          <w:u w:val="none"/>
          <w:lang w:val="en-US" w:eastAsia="zh-CN"/>
        </w:rPr>
        <w:t>单方</w:t>
      </w:r>
      <w:r>
        <w:rPr>
          <w:rFonts w:hint="eastAsia" w:ascii="仿宋" w:hAnsi="仿宋" w:eastAsia="仿宋" w:cs="仿宋"/>
          <w:color w:val="auto"/>
          <w:sz w:val="28"/>
          <w:highlight w:val="none"/>
          <w:u w:val="none"/>
          <w:lang w:eastAsia="zh-CN"/>
        </w:rPr>
        <w:t>解除合同并另行向他人采购产品，乙方返还已收款给甲方及向甲方支付合同暂定总价的20%作为违约金，同时乙方赔偿甲方因此遭受的损失。</w:t>
      </w:r>
    </w:p>
    <w:p w14:paraId="2D13D92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6.2乙方产品出现质量或缺陷问题的，除按本合同约定进行更换、维修外，每出现一次，</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乙方须再向甲方支付金额等于</w:t>
      </w:r>
      <w:r>
        <w:rPr>
          <w:rFonts w:hint="eastAsia" w:ascii="仿宋" w:hAnsi="仿宋" w:eastAsia="仿宋" w:cs="仿宋"/>
          <w:color w:val="auto"/>
          <w:sz w:val="28"/>
          <w:highlight w:val="none"/>
          <w:u w:val="none"/>
          <w:lang w:eastAsia="zh-CN"/>
        </w:rPr>
        <w:t>合同暂定总价的</w:t>
      </w:r>
      <w:r>
        <w:rPr>
          <w:rFonts w:hint="eastAsia" w:ascii="仿宋" w:hAnsi="仿宋" w:eastAsia="仿宋" w:cs="仿宋"/>
          <w:color w:val="auto"/>
          <w:sz w:val="28"/>
          <w:highlight w:val="none"/>
          <w:u w:val="none"/>
          <w:lang w:val="en-US" w:eastAsia="zh-CN"/>
        </w:rPr>
        <w:t>10%违约金，且甲方有权退货、解除合同，产生的全部责任和经济损失由乙方承担；</w:t>
      </w:r>
      <w:r>
        <w:rPr>
          <w:rFonts w:hint="eastAsia" w:ascii="仿宋" w:hAnsi="仿宋" w:eastAsia="仿宋" w:cs="仿宋"/>
          <w:color w:val="auto"/>
          <w:sz w:val="28"/>
          <w:highlight w:val="none"/>
          <w:u w:val="none"/>
        </w:rPr>
        <w:t>因</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产品问题造成的</w:t>
      </w:r>
      <w:r>
        <w:rPr>
          <w:rFonts w:hint="eastAsia" w:ascii="仿宋" w:hAnsi="仿宋" w:eastAsia="仿宋" w:cs="仿宋"/>
          <w:color w:val="auto"/>
          <w:sz w:val="28"/>
          <w:highlight w:val="none"/>
          <w:u w:val="none"/>
          <w:lang w:eastAsia="zh-CN"/>
        </w:rPr>
        <w:t>人身、财产损害赔偿责任或刑事、行政责任等均由乙方承担。</w:t>
      </w:r>
    </w:p>
    <w:p w14:paraId="5366BDA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6.3</w:t>
      </w:r>
      <w:r>
        <w:rPr>
          <w:rFonts w:hint="eastAsia" w:ascii="仿宋" w:hAnsi="仿宋" w:eastAsia="仿宋" w:cs="仿宋"/>
          <w:color w:val="auto"/>
          <w:sz w:val="28"/>
          <w:highlight w:val="none"/>
          <w:u w:val="none"/>
        </w:rPr>
        <w:t>若</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所交产品品种、</w:t>
      </w:r>
      <w:r>
        <w:rPr>
          <w:rFonts w:hint="eastAsia" w:ascii="仿宋" w:hAnsi="仿宋" w:eastAsia="仿宋" w:cs="仿宋"/>
          <w:color w:val="auto"/>
          <w:sz w:val="28"/>
          <w:highlight w:val="none"/>
          <w:u w:val="none"/>
          <w:lang w:eastAsia="zh-CN"/>
        </w:rPr>
        <w:t>品牌、</w:t>
      </w:r>
      <w:r>
        <w:rPr>
          <w:rFonts w:hint="eastAsia" w:ascii="仿宋" w:hAnsi="仿宋" w:eastAsia="仿宋" w:cs="仿宋"/>
          <w:color w:val="auto"/>
          <w:sz w:val="28"/>
          <w:highlight w:val="none"/>
          <w:u w:val="none"/>
        </w:rPr>
        <w:t>规格、</w:t>
      </w:r>
      <w:r>
        <w:rPr>
          <w:rFonts w:hint="eastAsia" w:ascii="仿宋" w:hAnsi="仿宋" w:eastAsia="仿宋" w:cs="仿宋"/>
          <w:color w:val="auto"/>
          <w:sz w:val="28"/>
          <w:highlight w:val="none"/>
          <w:u w:val="none"/>
          <w:lang w:eastAsia="zh-CN"/>
        </w:rPr>
        <w:t>型号、</w:t>
      </w:r>
      <w:r>
        <w:rPr>
          <w:rFonts w:hint="eastAsia" w:ascii="仿宋" w:hAnsi="仿宋" w:eastAsia="仿宋" w:cs="仿宋"/>
          <w:color w:val="auto"/>
          <w:sz w:val="28"/>
          <w:highlight w:val="none"/>
          <w:u w:val="none"/>
        </w:rPr>
        <w:t>质量</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材质等</w:t>
      </w:r>
      <w:r>
        <w:rPr>
          <w:rFonts w:hint="eastAsia" w:ascii="仿宋" w:hAnsi="仿宋" w:eastAsia="仿宋" w:cs="仿宋"/>
          <w:color w:val="auto"/>
          <w:sz w:val="28"/>
          <w:highlight w:val="none"/>
          <w:u w:val="none"/>
        </w:rPr>
        <w:t>不符合</w:t>
      </w:r>
      <w:r>
        <w:rPr>
          <w:rFonts w:hint="eastAsia" w:ascii="仿宋" w:hAnsi="仿宋" w:eastAsia="仿宋" w:cs="仿宋"/>
          <w:color w:val="auto"/>
          <w:sz w:val="28"/>
          <w:highlight w:val="none"/>
          <w:u w:val="none"/>
          <w:lang w:val="en-US" w:eastAsia="zh-CN"/>
        </w:rPr>
        <w:t>合同</w:t>
      </w:r>
      <w:r>
        <w:rPr>
          <w:rFonts w:hint="eastAsia" w:ascii="仿宋" w:hAnsi="仿宋" w:eastAsia="仿宋" w:cs="仿宋"/>
          <w:color w:val="auto"/>
          <w:sz w:val="28"/>
          <w:highlight w:val="none"/>
          <w:u w:val="none"/>
        </w:rPr>
        <w:t>要求，</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w:t>
      </w:r>
      <w:r>
        <w:rPr>
          <w:rFonts w:hint="eastAsia" w:ascii="仿宋" w:hAnsi="仿宋" w:eastAsia="仿宋" w:cs="仿宋"/>
          <w:color w:val="auto"/>
          <w:sz w:val="28"/>
          <w:highlight w:val="none"/>
          <w:u w:val="none"/>
          <w:lang w:eastAsia="zh-CN"/>
        </w:rPr>
        <w:t>无偿</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或退货，</w:t>
      </w:r>
      <w:r>
        <w:rPr>
          <w:rFonts w:hint="eastAsia" w:ascii="仿宋" w:hAnsi="仿宋" w:eastAsia="仿宋" w:cs="仿宋"/>
          <w:color w:val="auto"/>
          <w:sz w:val="28"/>
          <w:highlight w:val="none"/>
          <w:u w:val="none"/>
        </w:rPr>
        <w:t>并承担退货更换所</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rPr>
        <w:t>的一切费用和损失。</w:t>
      </w:r>
      <w:r>
        <w:rPr>
          <w:rFonts w:hint="eastAsia" w:ascii="仿宋" w:hAnsi="仿宋" w:eastAsia="仿宋" w:cs="仿宋"/>
          <w:color w:val="auto"/>
          <w:sz w:val="28"/>
          <w:highlight w:val="none"/>
          <w:u w:val="none"/>
        </w:rPr>
        <w:tab/>
      </w:r>
    </w:p>
    <w:p w14:paraId="456B04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6.4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履约</w:t>
      </w:r>
      <w:r>
        <w:rPr>
          <w:rFonts w:hint="eastAsia" w:ascii="仿宋" w:hAnsi="仿宋" w:eastAsia="仿宋" w:cs="仿宋"/>
          <w:color w:val="auto"/>
          <w:sz w:val="28"/>
          <w:highlight w:val="none"/>
          <w:u w:val="none"/>
        </w:rPr>
        <w:t>过程中如有弄虚作假等欺骗行为，</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另行支付至少金额等于合同暂定总价30%的违约金</w:t>
      </w:r>
      <w:r>
        <w:rPr>
          <w:rFonts w:hint="eastAsia" w:ascii="仿宋" w:hAnsi="仿宋" w:eastAsia="仿宋" w:cs="仿宋"/>
          <w:color w:val="auto"/>
          <w:sz w:val="28"/>
          <w:highlight w:val="none"/>
          <w:u w:val="none"/>
        </w:rPr>
        <w:t>。</w:t>
      </w:r>
      <w:r>
        <w:rPr>
          <w:rFonts w:hint="eastAsia" w:ascii="仿宋" w:hAnsi="仿宋" w:eastAsia="仿宋" w:cs="仿宋"/>
          <w:color w:val="auto"/>
          <w:sz w:val="28"/>
          <w:highlight w:val="none"/>
          <w:u w:val="none"/>
        </w:rPr>
        <w:tab/>
      </w:r>
    </w:p>
    <w:p w14:paraId="15338F6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6.5</w:t>
      </w:r>
      <w:r>
        <w:rPr>
          <w:rFonts w:hint="eastAsia" w:ascii="仿宋" w:hAnsi="仿宋" w:eastAsia="仿宋" w:cs="仿宋"/>
          <w:color w:val="auto"/>
          <w:sz w:val="28"/>
          <w:highlight w:val="none"/>
          <w:u w:val="none"/>
        </w:rPr>
        <w:t>合同履行期间，</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必须服从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的安排，否则</w:t>
      </w:r>
      <w:r>
        <w:rPr>
          <w:rFonts w:hint="eastAsia" w:ascii="仿宋" w:hAnsi="仿宋" w:eastAsia="仿宋" w:cs="仿宋"/>
          <w:color w:val="auto"/>
          <w:sz w:val="28"/>
          <w:highlight w:val="none"/>
          <w:u w:val="none"/>
          <w:lang w:eastAsia="zh-CN"/>
        </w:rPr>
        <w:t>属乙方违约，甲方</w:t>
      </w:r>
      <w:r>
        <w:rPr>
          <w:rFonts w:hint="eastAsia" w:ascii="仿宋" w:hAnsi="仿宋" w:eastAsia="仿宋" w:cs="仿宋"/>
          <w:color w:val="auto"/>
          <w:sz w:val="28"/>
          <w:highlight w:val="none"/>
          <w:u w:val="none"/>
        </w:rPr>
        <w:t>有权对</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进行处罚。</w:t>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46304D4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6.6乙方违反本合同任何约定均属违约，乙方除按相应条款承担包括但不限于以上所述的违约责任外，甲方可随时单方解除合同，同时乙方赔偿甲方因此遭受的损失。</w:t>
      </w:r>
    </w:p>
    <w:p w14:paraId="58E62B1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6.7乙方违反本合同约定给甲方造成损失的，除按本合同约定承担违约责任外，甲方有权直接从应付合同款中直接扣除乙方应承担的违约金、罚款等费用，如应付合同款及乙方支付的违约金、罚款不足补偿甲方损失，乙方在甲方通知之日起七个日历天内补齐，且甲方向乙方追偿责任所产生的律师费、差旅费、诉讼费、鉴定费、财产保全担保费由乙方全额承担。</w:t>
      </w:r>
    </w:p>
    <w:p w14:paraId="61D054F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6</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8基于本项目的特殊性，乙方已充分了解其供货责任并自愿承担相应风险，合同所约定的违约金标准经双方友好协商确定，乙方同意不对违约金标准提出任何主张或抗辩。</w:t>
      </w:r>
    </w:p>
    <w:p w14:paraId="7DAEF73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6.9</w:t>
      </w:r>
      <w:r>
        <w:rPr>
          <w:rFonts w:hint="eastAsia" w:ascii="仿宋" w:hAnsi="仿宋" w:eastAsia="仿宋" w:cs="仿宋"/>
          <w:color w:val="auto"/>
          <w:sz w:val="28"/>
          <w:highlight w:val="none"/>
          <w:u w:val="none"/>
          <w:lang w:eastAsia="zh-CN"/>
        </w:rPr>
        <w:t>本合同履行过程中</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lang w:eastAsia="zh-CN"/>
        </w:rPr>
        <w:t>的</w:t>
      </w:r>
      <w:r>
        <w:rPr>
          <w:rFonts w:hint="eastAsia" w:ascii="仿宋" w:hAnsi="仿宋" w:eastAsia="仿宋" w:cs="仿宋"/>
          <w:color w:val="auto"/>
          <w:sz w:val="28"/>
          <w:highlight w:val="none"/>
          <w:u w:val="none"/>
          <w:lang w:val="en-US" w:eastAsia="zh-CN"/>
        </w:rPr>
        <w:t>送货单、</w:t>
      </w:r>
      <w:r>
        <w:rPr>
          <w:rFonts w:hint="eastAsia" w:ascii="仿宋" w:hAnsi="仿宋" w:eastAsia="仿宋" w:cs="仿宋"/>
          <w:color w:val="auto"/>
          <w:sz w:val="28"/>
          <w:highlight w:val="none"/>
          <w:u w:val="none"/>
          <w:lang w:eastAsia="zh-CN"/>
        </w:rPr>
        <w:t>提货单、出入库单等类似单据、小票仅作为确认双方</w:t>
      </w:r>
      <w:r>
        <w:rPr>
          <w:rFonts w:hint="eastAsia" w:ascii="仿宋" w:hAnsi="仿宋" w:eastAsia="仿宋" w:cs="仿宋"/>
          <w:color w:val="auto"/>
          <w:sz w:val="28"/>
          <w:highlight w:val="none"/>
          <w:u w:val="none"/>
          <w:lang w:val="en-US" w:eastAsia="zh-CN"/>
        </w:rPr>
        <w:t>产品</w:t>
      </w:r>
      <w:r>
        <w:rPr>
          <w:rFonts w:hint="eastAsia" w:ascii="仿宋" w:hAnsi="仿宋" w:eastAsia="仿宋" w:cs="仿宋"/>
          <w:color w:val="auto"/>
          <w:sz w:val="28"/>
          <w:highlight w:val="none"/>
          <w:u w:val="none"/>
          <w:lang w:eastAsia="zh-CN"/>
        </w:rPr>
        <w:t>数量的依据。单据、</w:t>
      </w:r>
      <w:r>
        <w:rPr>
          <w:rFonts w:hint="eastAsia" w:ascii="仿宋" w:hAnsi="仿宋" w:eastAsia="仿宋" w:cs="仿宋"/>
          <w:color w:val="auto"/>
          <w:sz w:val="28"/>
          <w:highlight w:val="none"/>
          <w:u w:val="none"/>
          <w:lang w:val="en-US" w:eastAsia="zh-CN"/>
        </w:rPr>
        <w:t>小票</w:t>
      </w:r>
      <w:r>
        <w:rPr>
          <w:rFonts w:hint="eastAsia" w:ascii="仿宋" w:hAnsi="仿宋" w:eastAsia="仿宋" w:cs="仿宋"/>
          <w:color w:val="auto"/>
          <w:sz w:val="28"/>
          <w:highlight w:val="none"/>
          <w:u w:val="none"/>
          <w:lang w:eastAsia="zh-CN"/>
        </w:rPr>
        <w:t>中对争议管辖、赔偿和违约责任等事项与本合同约定不一致的，</w:t>
      </w:r>
      <w:r>
        <w:rPr>
          <w:rFonts w:hint="eastAsia" w:ascii="仿宋" w:hAnsi="仿宋" w:eastAsia="仿宋" w:cs="仿宋"/>
          <w:color w:val="auto"/>
          <w:sz w:val="28"/>
          <w:highlight w:val="none"/>
          <w:u w:val="none"/>
          <w:lang w:val="en-US" w:eastAsia="zh-CN"/>
        </w:rPr>
        <w:t>乙方确认</w:t>
      </w:r>
      <w:r>
        <w:rPr>
          <w:rFonts w:hint="eastAsia" w:ascii="仿宋" w:hAnsi="仿宋" w:eastAsia="仿宋" w:cs="仿宋"/>
          <w:color w:val="auto"/>
          <w:sz w:val="28"/>
          <w:highlight w:val="none"/>
          <w:u w:val="none"/>
          <w:lang w:eastAsia="zh-CN"/>
        </w:rPr>
        <w:t>以本合同</w:t>
      </w:r>
      <w:r>
        <w:rPr>
          <w:rFonts w:hint="eastAsia" w:ascii="仿宋" w:hAnsi="仿宋" w:eastAsia="仿宋" w:cs="仿宋"/>
          <w:color w:val="auto"/>
          <w:sz w:val="28"/>
          <w:highlight w:val="none"/>
          <w:u w:val="none"/>
          <w:lang w:val="en-US" w:eastAsia="zh-CN"/>
        </w:rPr>
        <w:t>条款</w:t>
      </w:r>
      <w:r>
        <w:rPr>
          <w:rFonts w:hint="eastAsia" w:ascii="仿宋" w:hAnsi="仿宋" w:eastAsia="仿宋" w:cs="仿宋"/>
          <w:color w:val="auto"/>
          <w:sz w:val="28"/>
          <w:highlight w:val="none"/>
          <w:u w:val="none"/>
          <w:lang w:eastAsia="zh-CN"/>
        </w:rPr>
        <w:t>为准，但如约定的乙方赔偿和违约责任</w:t>
      </w:r>
      <w:r>
        <w:rPr>
          <w:rFonts w:hint="eastAsia" w:ascii="仿宋" w:hAnsi="仿宋" w:eastAsia="仿宋" w:cs="仿宋"/>
          <w:color w:val="auto"/>
          <w:sz w:val="28"/>
          <w:highlight w:val="none"/>
          <w:u w:val="none"/>
          <w:lang w:val="en-US" w:eastAsia="zh-CN"/>
        </w:rPr>
        <w:t>标准</w:t>
      </w:r>
      <w:r>
        <w:rPr>
          <w:rFonts w:hint="eastAsia" w:ascii="仿宋" w:hAnsi="仿宋" w:eastAsia="仿宋" w:cs="仿宋"/>
          <w:color w:val="auto"/>
          <w:sz w:val="28"/>
          <w:highlight w:val="none"/>
          <w:u w:val="none"/>
          <w:lang w:eastAsia="zh-CN"/>
        </w:rPr>
        <w:t>高于本合同约定，则适用更高标准。</w:t>
      </w:r>
    </w:p>
    <w:p w14:paraId="227AF4B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color w:val="auto"/>
          <w:sz w:val="28"/>
          <w:highlight w:val="none"/>
          <w:u w:val="none"/>
          <w:lang w:val="en-US" w:eastAsia="zh-CN"/>
        </w:rPr>
        <w:t>6.10</w:t>
      </w:r>
      <w:r>
        <w:rPr>
          <w:rFonts w:hint="eastAsia" w:ascii="仿宋" w:hAnsi="仿宋" w:eastAsia="仿宋" w:cs="仿宋"/>
          <w:b w:val="0"/>
          <w:bCs w:val="0"/>
          <w:color w:val="auto"/>
          <w:sz w:val="28"/>
          <w:highlight w:val="none"/>
          <w:u w:val="none"/>
          <w:lang w:eastAsia="zh-CN"/>
        </w:rPr>
        <w:t>本合同履行过程中，可能因乙方原因造成</w:t>
      </w:r>
      <w:r>
        <w:rPr>
          <w:rFonts w:hint="eastAsia" w:ascii="仿宋" w:hAnsi="仿宋" w:eastAsia="仿宋" w:cs="仿宋"/>
          <w:b w:val="0"/>
          <w:bCs w:val="0"/>
          <w:color w:val="auto"/>
          <w:sz w:val="28"/>
          <w:highlight w:val="none"/>
          <w:u w:val="none"/>
          <w:lang w:val="en-US" w:eastAsia="zh-CN"/>
        </w:rPr>
        <w:t>产品</w:t>
      </w:r>
      <w:r>
        <w:rPr>
          <w:rFonts w:hint="eastAsia" w:ascii="仿宋" w:hAnsi="仿宋" w:eastAsia="仿宋" w:cs="仿宋"/>
          <w:b w:val="0"/>
          <w:bCs w:val="0"/>
          <w:color w:val="auto"/>
          <w:sz w:val="28"/>
          <w:highlight w:val="none"/>
          <w:u w:val="none"/>
          <w:lang w:eastAsia="zh-CN"/>
        </w:rPr>
        <w:t>质量、安全文明等无法满足甲方及规范要求的，乙方须提供不属于其责任的证明并得到甲方的书面认可，否则视为乙方违约，全部责任、费用和损失由乙方承担。</w:t>
      </w:r>
    </w:p>
    <w:p w14:paraId="686B747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6.11合同履行期间，因乙方原因导致建设单位或其他单位对甲方进行处罚扣款的，甲方有权按该处罚金额的2倍以上向乙方收取违约金。</w:t>
      </w:r>
    </w:p>
    <w:p w14:paraId="70C2DAE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6.12</w:t>
      </w:r>
      <w:r>
        <w:rPr>
          <w:rFonts w:hint="default" w:ascii="仿宋" w:hAnsi="仿宋" w:eastAsia="仿宋" w:cs="仿宋"/>
          <w:b w:val="0"/>
          <w:bCs w:val="0"/>
          <w:color w:val="auto"/>
          <w:sz w:val="28"/>
          <w:highlight w:val="none"/>
          <w:u w:val="none"/>
          <w:lang w:val="en-US" w:eastAsia="zh-CN"/>
        </w:rPr>
        <w:t>乙方未及时发放工人工资或及时支付货款，导致影响甲方或本项目的，每发生一次劳资纠纷或货款纠纷事件，乙方向甲方另行支付违约金叁万元</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若因乙方拖欠工人工资或货款，导致媒体曝光或政府部门介入的，乙方另向甲方支付违约金不少于100000元/次。</w:t>
      </w:r>
    </w:p>
    <w:p w14:paraId="476FC15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6.13</w:t>
      </w:r>
      <w:r>
        <w:rPr>
          <w:rFonts w:hint="default" w:ascii="仿宋" w:hAnsi="仿宋" w:eastAsia="仿宋" w:cs="仿宋"/>
          <w:b w:val="0"/>
          <w:bCs w:val="0"/>
          <w:color w:val="auto"/>
          <w:sz w:val="28"/>
          <w:highlight w:val="none"/>
          <w:u w:val="none"/>
          <w:lang w:val="en-US" w:eastAsia="zh-CN"/>
        </w:rPr>
        <w:t>因乙方原因导致甲方被起诉的，乙方除赔偿甲方损失外，甲方每被起诉一次，乙方向甲方支付五万元的违约金。若</w:t>
      </w:r>
      <w:r>
        <w:rPr>
          <w:rFonts w:hint="eastAsia" w:ascii="仿宋" w:hAnsi="仿宋" w:eastAsia="仿宋" w:cs="仿宋"/>
          <w:b w:val="0"/>
          <w:bCs w:val="0"/>
          <w:color w:val="auto"/>
          <w:sz w:val="28"/>
          <w:highlight w:val="none"/>
          <w:u w:val="none"/>
          <w:lang w:val="en-US" w:eastAsia="zh-CN"/>
        </w:rPr>
        <w:t>乙方</w:t>
      </w:r>
      <w:r>
        <w:rPr>
          <w:rFonts w:hint="default" w:ascii="仿宋" w:hAnsi="仿宋" w:eastAsia="仿宋" w:cs="仿宋"/>
          <w:b w:val="0"/>
          <w:bCs w:val="0"/>
          <w:color w:val="auto"/>
          <w:sz w:val="28"/>
          <w:highlight w:val="none"/>
          <w:u w:val="none"/>
          <w:lang w:val="en-US" w:eastAsia="zh-CN"/>
        </w:rPr>
        <w:t>导致甲方</w:t>
      </w:r>
      <w:r>
        <w:rPr>
          <w:rFonts w:hint="eastAsia" w:ascii="仿宋" w:hAnsi="仿宋" w:eastAsia="仿宋" w:cs="仿宋"/>
          <w:b w:val="0"/>
          <w:bCs w:val="0"/>
          <w:color w:val="auto"/>
          <w:sz w:val="28"/>
          <w:highlight w:val="none"/>
          <w:u w:val="none"/>
          <w:lang w:val="en-US" w:eastAsia="zh-CN"/>
        </w:rPr>
        <w:t>资金</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被冻结，乙方还</w:t>
      </w:r>
      <w:r>
        <w:rPr>
          <w:rFonts w:hint="eastAsia" w:ascii="仿宋" w:hAnsi="仿宋" w:eastAsia="仿宋" w:cs="仿宋"/>
          <w:b w:val="0"/>
          <w:bCs w:val="0"/>
          <w:color w:val="auto"/>
          <w:sz w:val="28"/>
          <w:highlight w:val="none"/>
          <w:u w:val="none"/>
          <w:lang w:val="en-US" w:eastAsia="zh-CN"/>
        </w:rPr>
        <w:t>须</w:t>
      </w:r>
      <w:r>
        <w:rPr>
          <w:rFonts w:hint="default" w:ascii="仿宋" w:hAnsi="仿宋" w:eastAsia="仿宋" w:cs="仿宋"/>
          <w:b w:val="0"/>
          <w:bCs w:val="0"/>
          <w:color w:val="auto"/>
          <w:sz w:val="28"/>
          <w:highlight w:val="none"/>
          <w:u w:val="none"/>
          <w:lang w:val="en-US" w:eastAsia="zh-CN"/>
        </w:rPr>
        <w:t>按冻结资金总额的日千分之一向甲方支付利息</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乙方</w:t>
      </w:r>
      <w:r>
        <w:rPr>
          <w:rFonts w:hint="eastAsia" w:ascii="仿宋" w:hAnsi="仿宋" w:eastAsia="仿宋" w:cs="仿宋"/>
          <w:b w:val="0"/>
          <w:bCs w:val="0"/>
          <w:color w:val="auto"/>
          <w:sz w:val="28"/>
          <w:highlight w:val="none"/>
          <w:u w:val="none"/>
          <w:lang w:val="en-US" w:eastAsia="zh-CN"/>
        </w:rPr>
        <w:t>同时赔偿</w:t>
      </w:r>
      <w:r>
        <w:rPr>
          <w:rFonts w:hint="default" w:ascii="仿宋" w:hAnsi="仿宋" w:eastAsia="仿宋" w:cs="仿宋"/>
          <w:b w:val="0"/>
          <w:bCs w:val="0"/>
          <w:color w:val="auto"/>
          <w:sz w:val="28"/>
          <w:highlight w:val="none"/>
          <w:u w:val="none"/>
          <w:lang w:val="en-US" w:eastAsia="zh-CN"/>
        </w:rPr>
        <w:t>甲方遭受的所有损失，并</w:t>
      </w:r>
      <w:r>
        <w:rPr>
          <w:rFonts w:hint="eastAsia" w:ascii="仿宋" w:hAnsi="仿宋" w:eastAsia="仿宋" w:cs="仿宋"/>
          <w:b w:val="0"/>
          <w:bCs w:val="0"/>
          <w:color w:val="auto"/>
          <w:sz w:val="28"/>
          <w:highlight w:val="none"/>
          <w:u w:val="none"/>
          <w:lang w:val="en-US" w:eastAsia="zh-CN"/>
        </w:rPr>
        <w:t>按</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被冻结次数每次额外向甲方</w:t>
      </w:r>
      <w:r>
        <w:rPr>
          <w:rFonts w:hint="eastAsia" w:ascii="仿宋" w:hAnsi="仿宋" w:eastAsia="仿宋" w:cs="仿宋"/>
          <w:b w:val="0"/>
          <w:bCs w:val="0"/>
          <w:color w:val="auto"/>
          <w:sz w:val="28"/>
          <w:highlight w:val="none"/>
          <w:u w:val="none"/>
          <w:lang w:val="en-US" w:eastAsia="zh-CN"/>
        </w:rPr>
        <w:t>承担</w:t>
      </w:r>
      <w:r>
        <w:rPr>
          <w:rFonts w:hint="default" w:ascii="仿宋" w:hAnsi="仿宋" w:eastAsia="仿宋" w:cs="仿宋"/>
          <w:b w:val="0"/>
          <w:bCs w:val="0"/>
          <w:color w:val="auto"/>
          <w:sz w:val="28"/>
          <w:highlight w:val="none"/>
          <w:u w:val="none"/>
          <w:lang w:val="en-US" w:eastAsia="zh-CN"/>
        </w:rPr>
        <w:t>50000元违约金。</w:t>
      </w:r>
    </w:p>
    <w:p w14:paraId="394D9F7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6.14乙方与第三人签订的劳动、租赁、买卖等一切合同，与甲方无关。乙方在施工期间发生的与第三方一切合同债务，由乙方负全责处理并承担责任。</w:t>
      </w:r>
    </w:p>
    <w:p w14:paraId="5E8EFC2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6.15乙方与第三方发生的任何经济往来、债务纠纷均与甲方无关。乙方须保证所供应材料无权属上的瑕疵或无知识产权的争议，若因此对甲方造成损失，则由乙方负全责赔偿。</w:t>
      </w:r>
    </w:p>
    <w:p w14:paraId="5DCA5ACE">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sz w:val="28"/>
          <w:szCs w:val="28"/>
          <w:highlight w:val="none"/>
        </w:rPr>
      </w:pPr>
      <w:bookmarkStart w:id="55" w:name="_Toc23375"/>
      <w:bookmarkStart w:id="56" w:name="_Toc15930"/>
      <w:bookmarkStart w:id="57" w:name="_Toc29740"/>
      <w:bookmarkStart w:id="58" w:name="_Toc23174"/>
      <w:bookmarkStart w:id="59" w:name="_Toc6546"/>
      <w:bookmarkStart w:id="60" w:name="_Toc28370"/>
      <w:r>
        <w:rPr>
          <w:rFonts w:hint="eastAsia" w:ascii="仿宋" w:hAnsi="仿宋" w:eastAsia="仿宋" w:cs="仿宋"/>
          <w:b/>
          <w:bCs/>
          <w:sz w:val="28"/>
          <w:szCs w:val="28"/>
          <w:highlight w:val="none"/>
          <w:lang w:val="en-US" w:eastAsia="zh-CN"/>
        </w:rPr>
        <w:t>第七章、廉洁条款</w:t>
      </w:r>
      <w:bookmarkEnd w:id="55"/>
      <w:bookmarkEnd w:id="56"/>
      <w:bookmarkEnd w:id="57"/>
      <w:bookmarkEnd w:id="58"/>
      <w:bookmarkEnd w:id="59"/>
      <w:bookmarkEnd w:id="60"/>
      <w:r>
        <w:rPr>
          <w:rFonts w:hint="eastAsia" w:ascii="仿宋" w:hAnsi="仿宋" w:eastAsia="仿宋" w:cs="仿宋"/>
          <w:b/>
          <w:bCs/>
          <w:sz w:val="28"/>
          <w:szCs w:val="28"/>
          <w:highlight w:val="none"/>
          <w:lang w:val="en-US" w:eastAsia="zh-CN"/>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p>
    <w:p w14:paraId="0EB91045">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7.1</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在与</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合作期间（包括本合同</w:t>
      </w:r>
      <w:r>
        <w:rPr>
          <w:rFonts w:hint="eastAsia" w:ascii="仿宋" w:hAnsi="仿宋" w:eastAsia="仿宋" w:cs="仿宋"/>
          <w:sz w:val="28"/>
          <w:szCs w:val="28"/>
          <w:highlight w:val="none"/>
          <w:lang w:val="en-US" w:eastAsia="zh-CN"/>
        </w:rPr>
        <w:t>招采、</w:t>
      </w:r>
      <w:r>
        <w:rPr>
          <w:rFonts w:hint="eastAsia" w:ascii="仿宋" w:hAnsi="仿宋" w:eastAsia="仿宋" w:cs="仿宋"/>
          <w:sz w:val="28"/>
          <w:szCs w:val="28"/>
          <w:highlight w:val="none"/>
        </w:rPr>
        <w:t>签约、履约期间），不得向</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职员提供请吃、送礼、旅游、色情服务、行贿、回扣或其他好处，如有违反，</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每次向</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支付人民币十万元作为违约金（</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可从任意一笔合同款中扣款），造成</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经济或其他损失的，</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全额赔偿</w:t>
      </w:r>
      <w:r>
        <w:rPr>
          <w:rFonts w:hint="eastAsia" w:ascii="仿宋" w:hAnsi="仿宋" w:eastAsia="仿宋" w:cs="仿宋"/>
          <w:sz w:val="28"/>
          <w:szCs w:val="28"/>
          <w:highlight w:val="none"/>
          <w:lang w:eastAsia="zh-CN"/>
        </w:rPr>
        <w:t>，且甲方有权单方解除本合同。</w:t>
      </w:r>
    </w:p>
    <w:p w14:paraId="59DB302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7.2甲乙</w:t>
      </w:r>
      <w:r>
        <w:rPr>
          <w:rFonts w:hint="eastAsia" w:ascii="仿宋" w:hAnsi="仿宋" w:eastAsia="仿宋" w:cs="仿宋"/>
          <w:sz w:val="28"/>
          <w:szCs w:val="28"/>
          <w:highlight w:val="none"/>
        </w:rPr>
        <w:t>双方管理人员有权拒绝执行合同以外的违法要求。</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发现</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向</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人员或</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委托的其他人员行贿或输送不正当利益的，</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有权对</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进行处罚并单方解除合同，对所发生的工程量/工作量不予结算及不支付费用</w:t>
      </w:r>
      <w:r>
        <w:rPr>
          <w:rFonts w:hint="eastAsia" w:ascii="仿宋" w:hAnsi="仿宋" w:eastAsia="仿宋" w:cs="仿宋"/>
          <w:sz w:val="28"/>
          <w:szCs w:val="28"/>
          <w:highlight w:val="none"/>
          <w:lang w:eastAsia="zh-CN"/>
        </w:rPr>
        <w:t>。</w:t>
      </w:r>
    </w:p>
    <w:p w14:paraId="02660E24">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7.3如甲方发现乙方可能存在违反廉洁条款的行为时，甲方有权暂扣违约金/争议材料款/处罚款等对应等额的材料款，直至调查完毕后根据调查结果再作处理，甲方暂不付款的行为不视为甲方违约。</w:t>
      </w:r>
    </w:p>
    <w:p w14:paraId="2086D5C8">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sz w:val="28"/>
          <w:szCs w:val="28"/>
          <w:highlight w:val="none"/>
          <w:lang w:val="en-US" w:eastAsia="zh-CN"/>
        </w:rPr>
      </w:pPr>
      <w:bookmarkStart w:id="61" w:name="_Toc22646"/>
      <w:bookmarkStart w:id="62" w:name="_Toc2216"/>
      <w:bookmarkStart w:id="63" w:name="_Toc15812"/>
      <w:bookmarkStart w:id="64" w:name="_Toc7857"/>
      <w:r>
        <w:rPr>
          <w:rFonts w:hint="eastAsia" w:ascii="仿宋" w:hAnsi="仿宋" w:eastAsia="仿宋" w:cs="仿宋"/>
          <w:b/>
          <w:bCs/>
          <w:sz w:val="28"/>
          <w:szCs w:val="28"/>
          <w:highlight w:val="none"/>
          <w:lang w:val="en-US" w:eastAsia="zh-CN"/>
        </w:rPr>
        <w:t>第八章、其他</w:t>
      </w:r>
      <w:bookmarkEnd w:id="61"/>
      <w:bookmarkEnd w:id="62"/>
      <w:bookmarkEnd w:id="63"/>
      <w:bookmarkEnd w:id="64"/>
    </w:p>
    <w:p w14:paraId="316D0333">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8.1合同价款及合同条款已考虑各种疾病影响，乙方不以疫情为由要求甲方对合同价款、结算办法及货期等合同条款进行调整，防疫措施的一切费用由乙方承担。</w:t>
      </w:r>
    </w:p>
    <w:p w14:paraId="702FF93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8.2乙方人员在本合同履行期间所发生的所有安全事故，均由乙方承担所发生的全部费用及损失，对甲方造成损失的则由乙方赔偿甲方损失。</w:t>
      </w:r>
    </w:p>
    <w:p w14:paraId="0CE398B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8.3甲、乙双方对产品质量有争议的，由产品使用地点的、国家规定的质量检测机构鉴定，所需费用及因此造成的损失由责任方承担。如双方均有责任，由双方根据各自责任分别承担。不可抗力的情形按国家相应规定执行。</w:t>
      </w:r>
    </w:p>
    <w:p w14:paraId="09B6F2E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8.4甲方因参与本合同履行而发出、或与乙方达成合意所形成的一切相关文件，均须同时具备甲方公章及法定代表人（或授权代表人）签名，否则均不对甲方产生约束力，除非事后获得甲方另行追认。</w:t>
      </w:r>
    </w:p>
    <w:p w14:paraId="043132C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8.5本合同各条款相互矛盾、表达含糊的，按最有利于甲方的条款执行。</w:t>
      </w:r>
    </w:p>
    <w:p w14:paraId="3F67BBA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8.6专利技术及特殊工艺 </w:t>
      </w:r>
    </w:p>
    <w:p w14:paraId="6F157AE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8.6.1乙方须保障甲方在使用其提供的产品、服务不受到第三方关于侵权的指控。如果出现此类情况，由乙方与第三方交涉并承担一切费用和责任，如造成甲方损失的，乙方向甲方赔偿。 </w:t>
      </w:r>
    </w:p>
    <w:p w14:paraId="104766CC">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8.6.2乙方擅自使用他人专利技术，侵犯他人专利权的，乙方依法承担相应责任。</w:t>
      </w:r>
    </w:p>
    <w:p w14:paraId="33ED5D56">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8.7本合同履行过程中，乙方如进行企业名称变更，须提前5个日历天书面报告甲方并随附工商登记主管部门核发的相应证明文件，否则甲方有权中止合同付款义务，直至乙方就该变更事宜提交有效证明文件并配合甲方完成对乙方主体身份的核验，其过程所耽误的付款时间属乙方责任，其损失由乙方全部承担。本合同履行过程中，如乙方自身主体被工商登记主管部门注销，甲方有权不履行合同付款义务且属乙方责任，一切损失由乙方承担，甲方无须承担任何违约责任和费用。</w:t>
      </w:r>
    </w:p>
    <w:p w14:paraId="20B5016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8.8签订本合同后，乙方只是取得产品供应资格且向甲方确定了可接受的交易条件，并不意味着双方的成交，能否向甲方销售产品以甲方发出的书面通知为准。甲方随时有权另向第三方交易。在甲方未向乙方发出具体的订货通知之前，乙方无权以本合同为由要求甲方进行交易。</w:t>
      </w:r>
    </w:p>
    <w:p w14:paraId="1A784C0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8.9本合同未尽事宜或需变更的，甲乙双方另行签订补充协议进行明确。与本合同相关的争议，双方友好协商解决，协商不成则提交甲方所在地人民法院以诉讼方式解决。法院送达的文书以合同签章处所列地址为有效地址，以邮寄方式送达的，通过邮政特快专递寄出第三日视为送达。</w:t>
      </w:r>
    </w:p>
    <w:p w14:paraId="439BB67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8.10甲方编制的相关制度为本合同不可分割的组成部分，与合同正文具有同等效力，乙方须照章供应。此类文件及本合同附件表格格式以施工当期甲方提供的最新版为准，最终解释权归甲方所有。</w:t>
      </w:r>
    </w:p>
    <w:p w14:paraId="1A8450D9">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8.11本合同执行期间，甲方制度文件如有更新，按甲方最新版要求执行，最终解释权归甲方所有。</w:t>
      </w:r>
    </w:p>
    <w:p w14:paraId="139D1035">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8.12以下文件均为合同有效组成部分，各文件互相解释，互为说明。当前后合同文件、资料等出现不一致或矛盾时，以下排列顺序为合同文件的优先解释顺序；同一类文件以最新（近）时间为优先：</w:t>
      </w:r>
    </w:p>
    <w:p w14:paraId="2C0ECBAB">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① 合同履行过程中，双方法人代表或授权人签字并加盖公章的补充协议；</w:t>
      </w:r>
    </w:p>
    <w:p w14:paraId="652ED24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② 本合同书（含附件）；</w:t>
      </w:r>
    </w:p>
    <w:p w14:paraId="18595B52">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③ 经甲方确认的方案及相关设计变更；</w:t>
      </w:r>
    </w:p>
    <w:p w14:paraId="6E9C0C3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④ 本合同招采文件（含相关答疑、补充通知等）；</w:t>
      </w:r>
    </w:p>
    <w:p w14:paraId="34BEC068">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⑤ 乙方发出的、经甲方确认的本合同投标报价文件及相关澄清文件；</w:t>
      </w:r>
    </w:p>
    <w:p w14:paraId="13B44A8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⑥ 本项目所在地现行法律、法规、标准、规范及政府主管部门的强制性要求。</w:t>
      </w:r>
    </w:p>
    <w:p w14:paraId="763DB8B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8.13本合同正文为清洁打印文本，如双方对此合同有任何修改及补充均应另行签订补充协议。合同正文中任何非打印的文字或者图形，除非经双方确认同意，否则不产生约束力。</w:t>
      </w:r>
    </w:p>
    <w:p w14:paraId="080DECA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8.14甲乙双方均确认已经审阅并理解本合同的条款，且已经就条款相关的任何疑问得到满意的解释，并确认本合同的条款为双方本着诚信互利的原则友好协商一致的结果，不属于任何一方的格式条款。</w:t>
      </w:r>
    </w:p>
    <w:p w14:paraId="61289588">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8.15本合同一式二份，甲乙双方各执一份，均具同等效力。</w:t>
      </w:r>
    </w:p>
    <w:p w14:paraId="7681923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8.16本合同自甲乙双方签字、加盖公章（或合同章）之日起生效，双方履行完合同义务、责任之日起终止。</w:t>
      </w:r>
    </w:p>
    <w:p w14:paraId="0E753E90">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b/>
          <w:bCs/>
          <w:sz w:val="28"/>
          <w:szCs w:val="28"/>
          <w:highlight w:val="none"/>
          <w:lang w:eastAsia="zh-CN"/>
        </w:rPr>
        <w:t>以下无正文</w:t>
      </w:r>
      <w:r>
        <w:rPr>
          <w:rFonts w:hint="eastAsia" w:ascii="仿宋" w:hAnsi="仿宋" w:eastAsia="仿宋" w:cs="仿宋"/>
          <w:sz w:val="28"/>
          <w:szCs w:val="28"/>
          <w:highlight w:val="none"/>
          <w:lang w:eastAsia="zh-CN"/>
        </w:rPr>
        <w:t>）</w:t>
      </w:r>
    </w:p>
    <w:p w14:paraId="3A0E00B9">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65" w:name="_Toc31119"/>
      <w:bookmarkStart w:id="66" w:name="_Toc16084"/>
      <w:bookmarkStart w:id="67" w:name="_Toc14654"/>
      <w:bookmarkStart w:id="68" w:name="_Toc22179"/>
      <w:bookmarkStart w:id="69" w:name="_Toc29817"/>
      <w:bookmarkStart w:id="70" w:name="_Toc21822"/>
      <w:bookmarkStart w:id="71" w:name="_Toc21875"/>
      <w:r>
        <w:rPr>
          <w:rFonts w:hint="eastAsia" w:ascii="仿宋" w:hAnsi="仿宋" w:eastAsia="仿宋" w:cs="仿宋"/>
          <w:kern w:val="2"/>
          <w:sz w:val="28"/>
          <w:szCs w:val="28"/>
          <w:highlight w:val="none"/>
          <w:lang w:val="en-US" w:eastAsia="zh-CN" w:bidi="ar-SA"/>
        </w:rPr>
        <w:t>附件一：《甲方项目章》格式；</w:t>
      </w:r>
      <w:bookmarkEnd w:id="65"/>
      <w:bookmarkEnd w:id="66"/>
      <w:bookmarkEnd w:id="67"/>
      <w:bookmarkEnd w:id="68"/>
      <w:bookmarkEnd w:id="69"/>
    </w:p>
    <w:p w14:paraId="0A7C0B52">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72" w:name="_Toc23821"/>
      <w:bookmarkStart w:id="73" w:name="_Toc17039"/>
      <w:bookmarkStart w:id="74" w:name="_Toc28675"/>
      <w:bookmarkStart w:id="75" w:name="_Toc11622"/>
      <w:bookmarkStart w:id="76" w:name="_Toc30545"/>
      <w:r>
        <w:rPr>
          <w:rFonts w:hint="eastAsia" w:ascii="仿宋" w:hAnsi="仿宋" w:eastAsia="仿宋" w:cs="仿宋"/>
          <w:kern w:val="2"/>
          <w:sz w:val="28"/>
          <w:szCs w:val="28"/>
          <w:highlight w:val="none"/>
          <w:lang w:val="en-US" w:eastAsia="zh-CN" w:bidi="ar-SA"/>
        </w:rPr>
        <w:t>附件二：《延迟付款声明函》格式</w:t>
      </w:r>
      <w:bookmarkEnd w:id="70"/>
      <w:bookmarkEnd w:id="71"/>
      <w:r>
        <w:rPr>
          <w:rFonts w:hint="eastAsia" w:ascii="仿宋" w:hAnsi="仿宋" w:eastAsia="仿宋" w:cs="仿宋"/>
          <w:kern w:val="2"/>
          <w:sz w:val="28"/>
          <w:szCs w:val="28"/>
          <w:highlight w:val="none"/>
          <w:lang w:val="en-US" w:eastAsia="zh-CN" w:bidi="ar-SA"/>
        </w:rPr>
        <w:t>；</w:t>
      </w:r>
      <w:bookmarkEnd w:id="72"/>
      <w:bookmarkEnd w:id="73"/>
      <w:bookmarkEnd w:id="74"/>
      <w:bookmarkEnd w:id="75"/>
      <w:bookmarkEnd w:id="76"/>
    </w:p>
    <w:p w14:paraId="201B152B">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77" w:name="_Toc31961"/>
      <w:bookmarkStart w:id="78" w:name="_Toc21260"/>
      <w:bookmarkStart w:id="79" w:name="_Toc12464"/>
      <w:bookmarkStart w:id="80" w:name="_Toc12629"/>
      <w:bookmarkStart w:id="81" w:name="_Toc3654"/>
      <w:bookmarkStart w:id="82" w:name="_Toc18716"/>
      <w:bookmarkStart w:id="83" w:name="_Toc846"/>
      <w:r>
        <w:rPr>
          <w:rFonts w:hint="eastAsia" w:ascii="仿宋" w:hAnsi="仿宋" w:eastAsia="仿宋" w:cs="仿宋"/>
          <w:kern w:val="2"/>
          <w:sz w:val="28"/>
          <w:szCs w:val="28"/>
          <w:highlight w:val="none"/>
          <w:lang w:val="en-US" w:eastAsia="zh-CN" w:bidi="ar-SA"/>
        </w:rPr>
        <w:t>附件三：《材料款申报确认表》格式；</w:t>
      </w:r>
      <w:bookmarkEnd w:id="77"/>
      <w:bookmarkEnd w:id="78"/>
      <w:bookmarkEnd w:id="79"/>
      <w:bookmarkEnd w:id="80"/>
      <w:bookmarkEnd w:id="81"/>
      <w:r>
        <w:rPr>
          <w:rFonts w:hint="eastAsia" w:ascii="仿宋" w:hAnsi="仿宋" w:eastAsia="仿宋" w:cs="仿宋"/>
          <w:kern w:val="2"/>
          <w:sz w:val="28"/>
          <w:szCs w:val="28"/>
          <w:highlight w:val="none"/>
          <w:lang w:val="en-US" w:eastAsia="zh-CN" w:bidi="ar-SA"/>
        </w:rPr>
        <w:t xml:space="preserve">      </w:t>
      </w:r>
    </w:p>
    <w:p w14:paraId="6AC9919A">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84" w:name="_Toc20988"/>
      <w:bookmarkStart w:id="85" w:name="_Toc5880"/>
      <w:bookmarkStart w:id="86" w:name="_Toc30943"/>
      <w:bookmarkStart w:id="87" w:name="_Toc23496"/>
      <w:bookmarkStart w:id="88" w:name="_Toc21317"/>
      <w:r>
        <w:rPr>
          <w:rFonts w:hint="eastAsia" w:ascii="仿宋" w:hAnsi="仿宋" w:eastAsia="仿宋" w:cs="仿宋"/>
          <w:kern w:val="2"/>
          <w:sz w:val="28"/>
          <w:szCs w:val="28"/>
          <w:highlight w:val="none"/>
          <w:lang w:val="en-US" w:eastAsia="zh-CN" w:bidi="ar-SA"/>
        </w:rPr>
        <w:t>附件四：《付款台账汇总表》格式</w:t>
      </w:r>
      <w:bookmarkEnd w:id="82"/>
      <w:bookmarkEnd w:id="83"/>
      <w:bookmarkStart w:id="89" w:name="_Toc19217"/>
      <w:bookmarkStart w:id="90" w:name="_Toc10096"/>
      <w:r>
        <w:rPr>
          <w:rFonts w:hint="eastAsia" w:ascii="仿宋" w:hAnsi="仿宋" w:eastAsia="仿宋" w:cs="仿宋"/>
          <w:kern w:val="2"/>
          <w:sz w:val="28"/>
          <w:szCs w:val="28"/>
          <w:highlight w:val="none"/>
          <w:lang w:val="en-US" w:eastAsia="zh-CN" w:bidi="ar-SA"/>
        </w:rPr>
        <w:t>；</w:t>
      </w:r>
      <w:bookmarkEnd w:id="84"/>
      <w:bookmarkEnd w:id="85"/>
      <w:bookmarkEnd w:id="86"/>
      <w:bookmarkEnd w:id="87"/>
      <w:bookmarkEnd w:id="88"/>
    </w:p>
    <w:p w14:paraId="42730E1F">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91" w:name="_Toc25762"/>
      <w:bookmarkStart w:id="92" w:name="_Toc6998"/>
      <w:bookmarkStart w:id="93" w:name="_Toc2349"/>
      <w:bookmarkStart w:id="94" w:name="_Toc8459"/>
      <w:bookmarkStart w:id="95" w:name="_Toc29519"/>
      <w:r>
        <w:rPr>
          <w:rFonts w:hint="eastAsia" w:ascii="仿宋" w:hAnsi="仿宋" w:eastAsia="仿宋" w:cs="仿宋"/>
          <w:kern w:val="2"/>
          <w:sz w:val="28"/>
          <w:szCs w:val="28"/>
          <w:highlight w:val="none"/>
          <w:lang w:val="en-US" w:eastAsia="zh-CN" w:bidi="ar-SA"/>
        </w:rPr>
        <w:t>附件五：《结清承诺书》格式</w:t>
      </w:r>
      <w:bookmarkEnd w:id="89"/>
      <w:bookmarkEnd w:id="90"/>
      <w:r>
        <w:rPr>
          <w:rFonts w:hint="eastAsia" w:ascii="仿宋" w:hAnsi="仿宋" w:eastAsia="仿宋" w:cs="仿宋"/>
          <w:kern w:val="2"/>
          <w:sz w:val="28"/>
          <w:szCs w:val="28"/>
          <w:highlight w:val="none"/>
          <w:lang w:val="en-US" w:eastAsia="zh-CN" w:bidi="ar-SA"/>
        </w:rPr>
        <w:t>；</w:t>
      </w:r>
      <w:bookmarkEnd w:id="91"/>
      <w:bookmarkEnd w:id="92"/>
      <w:bookmarkEnd w:id="93"/>
      <w:bookmarkEnd w:id="94"/>
      <w:bookmarkEnd w:id="95"/>
    </w:p>
    <w:p w14:paraId="1E073EE5">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96" w:name="_Toc829"/>
      <w:bookmarkStart w:id="97" w:name="_Toc12121"/>
      <w:bookmarkStart w:id="98" w:name="_Toc13958"/>
      <w:bookmarkStart w:id="99" w:name="_Toc29272"/>
      <w:bookmarkStart w:id="100" w:name="_Toc19922"/>
      <w:r>
        <w:rPr>
          <w:rFonts w:hint="eastAsia" w:ascii="仿宋" w:hAnsi="仿宋" w:eastAsia="仿宋" w:cs="仿宋"/>
          <w:kern w:val="2"/>
          <w:sz w:val="28"/>
          <w:szCs w:val="28"/>
          <w:highlight w:val="none"/>
          <w:lang w:val="en-US" w:eastAsia="zh-CN" w:bidi="ar-SA"/>
        </w:rPr>
        <w:t>附件六：</w:t>
      </w:r>
      <w:bookmarkEnd w:id="96"/>
      <w:bookmarkEnd w:id="97"/>
      <w:bookmarkStart w:id="101" w:name="_Toc23179"/>
      <w:bookmarkStart w:id="102" w:name="_Toc11222"/>
      <w:r>
        <w:rPr>
          <w:rFonts w:hint="eastAsia" w:ascii="仿宋" w:hAnsi="仿宋" w:eastAsia="仿宋" w:cs="仿宋"/>
          <w:kern w:val="2"/>
          <w:sz w:val="28"/>
          <w:szCs w:val="28"/>
          <w:highlight w:val="none"/>
          <w:lang w:val="en-US" w:eastAsia="zh-CN" w:bidi="ar-SA"/>
        </w:rPr>
        <w:t>《供应商月度对账单》格式；</w:t>
      </w:r>
      <w:bookmarkEnd w:id="98"/>
      <w:bookmarkEnd w:id="99"/>
      <w:bookmarkEnd w:id="100"/>
      <w:bookmarkEnd w:id="101"/>
      <w:bookmarkEnd w:id="102"/>
    </w:p>
    <w:p w14:paraId="73DB4D09">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103" w:name="_Toc24747"/>
      <w:bookmarkStart w:id="104" w:name="_Toc7367"/>
      <w:bookmarkStart w:id="105" w:name="_Toc22264"/>
      <w:bookmarkStart w:id="106" w:name="_Toc9256"/>
      <w:bookmarkStart w:id="107" w:name="_Toc19612"/>
      <w:r>
        <w:rPr>
          <w:rFonts w:hint="eastAsia" w:ascii="仿宋" w:hAnsi="仿宋" w:eastAsia="仿宋" w:cs="仿宋"/>
          <w:kern w:val="2"/>
          <w:sz w:val="28"/>
          <w:szCs w:val="28"/>
          <w:highlight w:val="none"/>
          <w:lang w:val="en-US" w:eastAsia="zh-CN" w:bidi="ar-SA"/>
        </w:rPr>
        <w:t>附件七：《物料申购单》格式；</w:t>
      </w:r>
      <w:bookmarkEnd w:id="103"/>
      <w:bookmarkEnd w:id="104"/>
      <w:bookmarkEnd w:id="105"/>
      <w:bookmarkEnd w:id="106"/>
      <w:bookmarkEnd w:id="107"/>
    </w:p>
    <w:p w14:paraId="54B08D5B">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108" w:name="_Toc30556"/>
      <w:bookmarkStart w:id="109" w:name="_Toc11793"/>
      <w:bookmarkStart w:id="110" w:name="_Toc6117"/>
      <w:bookmarkStart w:id="111" w:name="_Toc15821"/>
      <w:bookmarkStart w:id="112" w:name="_Toc3219"/>
      <w:r>
        <w:rPr>
          <w:rFonts w:hint="eastAsia" w:ascii="仿宋" w:hAnsi="仿宋" w:eastAsia="仿宋" w:cs="仿宋"/>
          <w:kern w:val="2"/>
          <w:sz w:val="28"/>
          <w:szCs w:val="28"/>
          <w:highlight w:val="none"/>
          <w:lang w:val="en-US" w:eastAsia="zh-CN" w:bidi="ar-SA"/>
        </w:rPr>
        <w:t>附件八：《报价清单》。</w:t>
      </w:r>
      <w:bookmarkEnd w:id="108"/>
      <w:bookmarkEnd w:id="109"/>
      <w:bookmarkEnd w:id="110"/>
      <w:bookmarkEnd w:id="111"/>
      <w:bookmarkEnd w:id="112"/>
    </w:p>
    <w:p w14:paraId="723E4A88">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 xml:space="preserve">甲方(盖章):东莞市中泰建安工程有限公司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乙方(盖章): </w:t>
      </w:r>
      <w:r>
        <w:rPr>
          <w:rFonts w:hint="eastAsia" w:ascii="仿宋" w:hAnsi="仿宋" w:eastAsia="仿宋" w:cs="仿宋"/>
          <w:b/>
          <w:bCs/>
          <w:color w:val="auto"/>
          <w:sz w:val="24"/>
          <w:szCs w:val="24"/>
          <w:highlight w:val="none"/>
          <w:lang w:val="en-US" w:eastAsia="zh-CN"/>
        </w:rPr>
        <w:t xml:space="preserve"> </w:t>
      </w:r>
    </w:p>
    <w:p w14:paraId="0ABC8551">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val="en-US" w:eastAsia="zh-CN"/>
        </w:rPr>
      </w:pPr>
    </w:p>
    <w:p w14:paraId="3A5AC506">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签约代表:                                签约代表:</w:t>
      </w:r>
    </w:p>
    <w:p w14:paraId="50667006">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p>
    <w:p w14:paraId="51BBE5EE">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纳税号：91441900732168546R               纳税号：</w:t>
      </w:r>
      <w:r>
        <w:rPr>
          <w:rFonts w:hint="eastAsia" w:ascii="仿宋" w:hAnsi="仿宋" w:eastAsia="仿宋" w:cs="仿宋"/>
          <w:b/>
          <w:bCs/>
          <w:color w:val="auto"/>
          <w:sz w:val="24"/>
          <w:szCs w:val="24"/>
          <w:highlight w:val="none"/>
          <w:lang w:val="en-US" w:eastAsia="zh-CN"/>
        </w:rPr>
        <w:t xml:space="preserve"> </w:t>
      </w:r>
    </w:p>
    <w:p w14:paraId="7EA82D6F">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 xml:space="preserve">账  号：548000013639239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账  号：</w:t>
      </w:r>
      <w:r>
        <w:rPr>
          <w:rFonts w:hint="eastAsia" w:ascii="仿宋" w:hAnsi="仿宋" w:eastAsia="仿宋" w:cs="仿宋"/>
          <w:b/>
          <w:bCs/>
          <w:color w:val="auto"/>
          <w:sz w:val="24"/>
          <w:szCs w:val="24"/>
          <w:highlight w:val="none"/>
          <w:lang w:val="en-US" w:eastAsia="zh-CN"/>
        </w:rPr>
        <w:t xml:space="preserve"> </w:t>
      </w:r>
    </w:p>
    <w:p w14:paraId="7227CEED">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开户行：东莞银行股份有限公司元美支行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开户行：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w:t>
      </w:r>
    </w:p>
    <w:p w14:paraId="5E301A36">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 xml:space="preserve">地 址：广东省东莞市南城街道鸿福路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地址：</w:t>
      </w:r>
      <w:r>
        <w:rPr>
          <w:rFonts w:hint="eastAsia" w:ascii="仿宋" w:hAnsi="仿宋" w:eastAsia="仿宋" w:cs="仿宋"/>
          <w:b/>
          <w:bCs/>
          <w:color w:val="auto"/>
          <w:sz w:val="24"/>
          <w:szCs w:val="24"/>
          <w:highlight w:val="none"/>
          <w:lang w:val="en-US" w:eastAsia="zh-CN"/>
        </w:rPr>
        <w:t xml:space="preserve"> </w:t>
      </w:r>
    </w:p>
    <w:p w14:paraId="762A0F9B">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106号1栋1712室01                                  </w:t>
      </w:r>
    </w:p>
    <w:p w14:paraId="7677182D">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 xml:space="preserve">电  话：0769-22311322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电  话:</w:t>
      </w:r>
      <w:r>
        <w:rPr>
          <w:rFonts w:hint="eastAsia" w:ascii="仿宋" w:hAnsi="仿宋" w:eastAsia="仿宋" w:cs="仿宋"/>
          <w:b/>
          <w:bCs/>
          <w:color w:val="auto"/>
          <w:sz w:val="24"/>
          <w:szCs w:val="24"/>
          <w:highlight w:val="none"/>
          <w:lang w:val="en-US" w:eastAsia="zh-CN"/>
        </w:rPr>
        <w:t xml:space="preserve"> </w:t>
      </w:r>
    </w:p>
    <w:p w14:paraId="20D7612B">
      <w:pPr>
        <w:keepNext w:val="0"/>
        <w:keepLines w:val="0"/>
        <w:pageBreakBefore w:val="0"/>
        <w:widowControl w:val="0"/>
        <w:kinsoku/>
        <w:overflowPunct/>
        <w:topLinePunct w:val="0"/>
        <w:autoSpaceDE/>
        <w:autoSpaceDN/>
        <w:bidi w:val="0"/>
        <w:snapToGrid w:val="0"/>
        <w:spacing w:line="240" w:lineRule="auto"/>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sz w:val="24"/>
          <w:szCs w:val="24"/>
          <w:highlight w:val="none"/>
          <w:lang w:eastAsia="zh-CN"/>
        </w:rPr>
        <w:t>【甲方人员如有营私舞弊、吃拿卡要等损害乙方合法权益的行为，乙方可拨打投诉专线 4000968086或发邮件至投诉邮箱:zhglzx@nanfeng.cn，也可至广东省东莞市南城街道鸿福路 106 号南峰中心 12楼内控中心办公室面诉。】</w:t>
      </w:r>
      <w:bookmarkStart w:id="113" w:name="_Toc11233"/>
      <w:bookmarkStart w:id="114" w:name="_Toc19000"/>
    </w:p>
    <w:p w14:paraId="1035EAA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outlineLvl w:val="0"/>
        <w:rPr>
          <w:rFonts w:hint="eastAsia" w:ascii="仿宋" w:hAnsi="仿宋" w:eastAsia="仿宋" w:cs="仿宋"/>
          <w:b/>
          <w:bCs/>
          <w:color w:val="auto"/>
          <w:sz w:val="44"/>
          <w:szCs w:val="44"/>
          <w:highlight w:val="none"/>
          <w:lang w:val="en-US" w:eastAsia="zh-CN"/>
        </w:rPr>
      </w:pPr>
      <w:bookmarkStart w:id="115" w:name="_Toc17953"/>
      <w:bookmarkStart w:id="116" w:name="_Toc9127"/>
      <w:bookmarkStart w:id="117" w:name="_Toc30455"/>
      <w:bookmarkStart w:id="118" w:name="_Toc8317"/>
      <w:bookmarkStart w:id="119" w:name="_Toc15436"/>
    </w:p>
    <w:p w14:paraId="4FD8B9C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outlineLvl w:val="0"/>
        <w:rPr>
          <w:rFonts w:hint="eastAsia" w:ascii="仿宋" w:hAnsi="仿宋" w:eastAsia="仿宋" w:cs="仿宋"/>
          <w:b/>
          <w:bCs/>
          <w:color w:val="auto"/>
          <w:sz w:val="44"/>
          <w:szCs w:val="44"/>
          <w:highlight w:val="none"/>
          <w:lang w:val="en-US" w:eastAsia="zh-CN"/>
        </w:rPr>
      </w:pPr>
    </w:p>
    <w:p w14:paraId="4E249E6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outlineLvl w:val="0"/>
        <w:rPr>
          <w:rFonts w:hint="eastAsia" w:ascii="仿宋" w:hAnsi="仿宋" w:eastAsia="仿宋" w:cs="仿宋"/>
          <w:b/>
          <w:bCs/>
          <w:color w:val="auto"/>
          <w:sz w:val="44"/>
          <w:szCs w:val="44"/>
          <w:highlight w:val="none"/>
          <w:lang w:val="en-US" w:eastAsia="zh-CN"/>
        </w:rPr>
      </w:pPr>
    </w:p>
    <w:p w14:paraId="2E0B524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outlineLvl w:val="0"/>
        <w:rPr>
          <w:rFonts w:hint="eastAsia" w:ascii="仿宋" w:hAnsi="仿宋" w:eastAsia="仿宋" w:cs="仿宋"/>
          <w:b/>
          <w:bCs/>
          <w:color w:val="auto"/>
          <w:sz w:val="44"/>
          <w:szCs w:val="44"/>
          <w:highlight w:val="none"/>
          <w:lang w:val="en-US" w:eastAsia="zh-CN"/>
        </w:rPr>
      </w:pPr>
    </w:p>
    <w:p w14:paraId="5F5CAA8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outlineLvl w:val="0"/>
        <w:rPr>
          <w:rFonts w:hint="eastAsia" w:ascii="仿宋" w:hAnsi="仿宋" w:eastAsia="仿宋" w:cs="仿宋"/>
          <w:b/>
          <w:bCs/>
          <w:color w:val="auto"/>
          <w:sz w:val="44"/>
          <w:szCs w:val="44"/>
          <w:highlight w:val="none"/>
          <w:lang w:val="en-US" w:eastAsia="zh-CN"/>
        </w:rPr>
      </w:pPr>
    </w:p>
    <w:p w14:paraId="419B1EA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outlineLvl w:val="0"/>
        <w:rPr>
          <w:rFonts w:hint="eastAsia" w:ascii="仿宋" w:hAnsi="仿宋" w:eastAsia="仿宋" w:cs="仿宋"/>
          <w:b/>
          <w:bCs/>
          <w:color w:val="auto"/>
          <w:sz w:val="44"/>
          <w:szCs w:val="44"/>
          <w:highlight w:val="none"/>
          <w:lang w:val="en-US" w:eastAsia="zh-CN"/>
        </w:rPr>
      </w:pPr>
    </w:p>
    <w:p w14:paraId="1F9F0C2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outlineLvl w:val="0"/>
        <w:rPr>
          <w:rFonts w:hint="eastAsia" w:ascii="仿宋" w:hAnsi="仿宋" w:eastAsia="仿宋" w:cs="仿宋"/>
          <w:b/>
          <w:bCs/>
          <w:color w:val="auto"/>
          <w:sz w:val="44"/>
          <w:szCs w:val="44"/>
          <w:highlight w:val="none"/>
          <w:lang w:val="en-US" w:eastAsia="zh-CN"/>
        </w:rPr>
      </w:pPr>
    </w:p>
    <w:p w14:paraId="52FEDE7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outlineLvl w:val="0"/>
        <w:rPr>
          <w:rFonts w:hint="eastAsia" w:ascii="仿宋" w:hAnsi="仿宋" w:eastAsia="仿宋" w:cs="仿宋"/>
          <w:b/>
          <w:bCs/>
          <w:color w:val="auto"/>
          <w:sz w:val="44"/>
          <w:szCs w:val="44"/>
          <w:highlight w:val="none"/>
          <w:lang w:val="en-US" w:eastAsia="zh-CN"/>
        </w:rPr>
      </w:pPr>
    </w:p>
    <w:p w14:paraId="74FCAF2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outlineLvl w:val="0"/>
        <w:rPr>
          <w:rFonts w:hint="eastAsia" w:ascii="仿宋" w:hAnsi="仿宋" w:eastAsia="仿宋" w:cs="仿宋"/>
          <w:b/>
          <w:bCs/>
          <w:color w:val="auto"/>
          <w:sz w:val="44"/>
          <w:szCs w:val="44"/>
          <w:highlight w:val="none"/>
          <w:lang w:val="en-US" w:eastAsia="zh-CN"/>
        </w:rPr>
      </w:pPr>
    </w:p>
    <w:p w14:paraId="25FEF21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outlineLvl w:val="0"/>
        <w:rPr>
          <w:rFonts w:hint="eastAsia" w:ascii="仿宋" w:hAnsi="仿宋" w:eastAsia="仿宋" w:cs="仿宋"/>
          <w:b/>
          <w:bCs/>
          <w:color w:val="auto"/>
          <w:sz w:val="44"/>
          <w:szCs w:val="44"/>
          <w:highlight w:val="none"/>
          <w:lang w:val="en-US" w:eastAsia="zh-CN"/>
        </w:rPr>
      </w:pPr>
    </w:p>
    <w:p w14:paraId="5B138ED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outlineLvl w:val="0"/>
        <w:rPr>
          <w:rFonts w:hint="eastAsia" w:ascii="仿宋" w:hAnsi="仿宋" w:eastAsia="仿宋" w:cs="仿宋"/>
          <w:b/>
          <w:bCs/>
          <w:color w:val="auto"/>
          <w:sz w:val="44"/>
          <w:szCs w:val="44"/>
          <w:highlight w:val="none"/>
          <w:lang w:val="en-US" w:eastAsia="zh-CN"/>
        </w:rPr>
      </w:pPr>
    </w:p>
    <w:p w14:paraId="6F1DD59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outlineLvl w:val="0"/>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附件一</w:t>
      </w:r>
      <w:bookmarkEnd w:id="115"/>
      <w:bookmarkEnd w:id="116"/>
      <w:bookmarkEnd w:id="117"/>
      <w:bookmarkEnd w:id="118"/>
      <w:bookmarkEnd w:id="119"/>
    </w:p>
    <w:p w14:paraId="18DA374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3A5A6C5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6B8C420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451E31D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58D33AB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416AC1A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default" w:ascii="仿宋" w:hAnsi="仿宋" w:eastAsia="仿宋" w:cs="仿宋"/>
          <w:b/>
          <w:bCs/>
          <w:color w:val="auto"/>
          <w:sz w:val="30"/>
          <w:highlight w:val="none"/>
          <w:lang w:val="en-US" w:eastAsia="zh-CN"/>
        </w:rPr>
      </w:pPr>
      <w:bookmarkStart w:id="120" w:name="_Toc13325"/>
      <w:bookmarkStart w:id="121" w:name="_Toc32390"/>
      <w:bookmarkStart w:id="122" w:name="_Toc26990"/>
      <w:bookmarkStart w:id="123" w:name="_Toc2040"/>
      <w:bookmarkStart w:id="124" w:name="_Toc22046"/>
      <w:r>
        <w:rPr>
          <w:rFonts w:hint="eastAsia" w:ascii="仿宋" w:hAnsi="仿宋" w:eastAsia="仿宋" w:cs="仿宋"/>
          <w:b/>
          <w:bCs/>
          <w:color w:val="auto"/>
          <w:sz w:val="30"/>
          <w:highlight w:val="none"/>
          <w:lang w:val="en-US" w:eastAsia="zh-CN"/>
        </w:rPr>
        <w:t>甲方项目章</w:t>
      </w:r>
      <w:bookmarkEnd w:id="113"/>
      <w:bookmarkEnd w:id="114"/>
      <w:r>
        <w:rPr>
          <w:rFonts w:hint="eastAsia" w:ascii="仿宋" w:hAnsi="仿宋" w:eastAsia="仿宋" w:cs="仿宋"/>
          <w:b/>
          <w:bCs/>
          <w:color w:val="auto"/>
          <w:sz w:val="30"/>
          <w:highlight w:val="none"/>
          <w:lang w:val="en-US" w:eastAsia="zh-CN"/>
        </w:rPr>
        <w:t>样式</w:t>
      </w:r>
      <w:bookmarkEnd w:id="120"/>
      <w:bookmarkEnd w:id="121"/>
      <w:bookmarkEnd w:id="122"/>
      <w:bookmarkEnd w:id="123"/>
      <w:bookmarkEnd w:id="124"/>
    </w:p>
    <w:p w14:paraId="35C230F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0F2121E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bookmarkStart w:id="125" w:name="_Toc6747"/>
      <w:bookmarkStart w:id="126" w:name="_Toc8240"/>
      <w:bookmarkStart w:id="127" w:name="_Toc13609"/>
      <w:bookmarkStart w:id="128" w:name="_Toc28448"/>
      <w:bookmarkStart w:id="129" w:name="_Toc2259"/>
      <w:r>
        <w:rPr>
          <w:rFonts w:hint="eastAsia" w:ascii="仿宋" w:hAnsi="仿宋" w:eastAsia="仿宋" w:cs="仿宋"/>
          <w:b/>
          <w:bCs/>
          <w:color w:val="auto"/>
          <w:sz w:val="40"/>
          <w:szCs w:val="36"/>
          <w:highlight w:val="none"/>
          <w:lang w:val="en-US" w:eastAsia="zh-CN"/>
        </w:rPr>
        <w:drawing>
          <wp:inline distT="0" distB="0" distL="114300" distR="114300">
            <wp:extent cx="4476750" cy="3238500"/>
            <wp:effectExtent l="0" t="0" r="3810" b="7620"/>
            <wp:docPr id="4" name="图片 4" descr="1719802889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19802889972"/>
                    <pic:cNvPicPr>
                      <a:picLocks noChangeAspect="1"/>
                    </pic:cNvPicPr>
                  </pic:nvPicPr>
                  <pic:blipFill>
                    <a:blip r:embed="rId8"/>
                    <a:stretch>
                      <a:fillRect/>
                    </a:stretch>
                  </pic:blipFill>
                  <pic:spPr>
                    <a:xfrm>
                      <a:off x="0" y="0"/>
                      <a:ext cx="4476750" cy="3238500"/>
                    </a:xfrm>
                    <a:prstGeom prst="rect">
                      <a:avLst/>
                    </a:prstGeom>
                  </pic:spPr>
                </pic:pic>
              </a:graphicData>
            </a:graphic>
          </wp:inline>
        </w:drawing>
      </w:r>
      <w:bookmarkEnd w:id="125"/>
      <w:bookmarkEnd w:id="126"/>
      <w:bookmarkEnd w:id="127"/>
      <w:bookmarkEnd w:id="128"/>
      <w:bookmarkEnd w:id="129"/>
    </w:p>
    <w:p w14:paraId="0B5F44F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1BB6F88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762275C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1D8F32C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078E64E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47AB891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06C7D0E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4C48FF5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61DFF3E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323FC48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7D7A243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358CF15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52742DF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38853C0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7806917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4112002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30"/>
          <w:highlight w:val="none"/>
          <w:lang w:val="en-US" w:eastAsia="zh-CN"/>
        </w:rPr>
      </w:pPr>
      <w:r>
        <w:rPr>
          <w:rFonts w:hint="eastAsia" w:ascii="仿宋" w:hAnsi="仿宋" w:eastAsia="仿宋" w:cs="仿宋"/>
          <w:b/>
          <w:bCs/>
          <w:color w:val="auto"/>
          <w:sz w:val="44"/>
          <w:szCs w:val="40"/>
          <w:highlight w:val="none"/>
          <w:lang w:val="en-US" w:eastAsia="zh-CN"/>
        </w:rPr>
        <w:t>附件二</w:t>
      </w:r>
    </w:p>
    <w:p w14:paraId="2C3162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44"/>
          <w:szCs w:val="44"/>
          <w:highlight w:val="none"/>
          <w:lang w:val="en-US" w:eastAsia="zh-CN"/>
        </w:rPr>
      </w:pPr>
    </w:p>
    <w:p w14:paraId="51BAE6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44"/>
          <w:szCs w:val="44"/>
          <w:highlight w:val="none"/>
          <w:lang w:val="en-US" w:eastAsia="zh-CN"/>
        </w:rPr>
      </w:pPr>
      <w:r>
        <w:rPr>
          <w:rFonts w:hint="eastAsia" w:ascii="仿宋" w:hAnsi="仿宋" w:eastAsia="仿宋" w:cs="仿宋"/>
          <w:b/>
          <w:bCs/>
          <w:sz w:val="44"/>
          <w:szCs w:val="44"/>
          <w:highlight w:val="none"/>
          <w:lang w:val="en-US" w:eastAsia="zh-CN"/>
        </w:rPr>
        <w:t>延迟付款声明函</w:t>
      </w:r>
    </w:p>
    <w:p w14:paraId="49211D0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0"/>
          <w:szCs w:val="30"/>
          <w:highlight w:val="none"/>
          <w:lang w:val="en-US" w:eastAsia="zh-CN"/>
        </w:rPr>
      </w:pPr>
    </w:p>
    <w:p w14:paraId="5E0842B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致东莞市中泰建安工程有限公司：</w:t>
      </w:r>
    </w:p>
    <w:p w14:paraId="77B450D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u w:val="single"/>
          <w:lang w:val="en-US" w:eastAsia="zh-CN"/>
        </w:rPr>
        <w:t>对  年  月  日至  年  月  日送至贵司           项目/工程名称的     材料/设备（材料签收单单号：          ，货款金额：￥       元）</w:t>
      </w:r>
      <w:r>
        <w:rPr>
          <w:rFonts w:hint="eastAsia" w:ascii="仿宋" w:hAnsi="仿宋" w:eastAsia="仿宋" w:cs="仿宋"/>
          <w:sz w:val="30"/>
          <w:szCs w:val="30"/>
          <w:highlight w:val="none"/>
          <w:u w:val="none"/>
          <w:lang w:val="en-US" w:eastAsia="zh-CN"/>
        </w:rPr>
        <w:t>，因</w:t>
      </w:r>
      <w:r>
        <w:rPr>
          <w:rFonts w:hint="eastAsia" w:ascii="仿宋" w:hAnsi="仿宋" w:eastAsia="仿宋" w:cs="仿宋"/>
          <w:sz w:val="30"/>
          <w:szCs w:val="30"/>
          <w:highlight w:val="none"/>
          <w:lang w:val="en-US" w:eastAsia="zh-CN"/>
        </w:rPr>
        <w:t>我司</w:t>
      </w:r>
      <w:r>
        <w:rPr>
          <w:rFonts w:hint="eastAsia" w:ascii="仿宋" w:hAnsi="仿宋" w:eastAsia="仿宋" w:cs="仿宋"/>
          <w:sz w:val="30"/>
          <w:szCs w:val="30"/>
          <w:highlight w:val="none"/>
          <w:u w:val="none"/>
          <w:lang w:val="en-US" w:eastAsia="zh-CN"/>
        </w:rPr>
        <w:t>原因导致无法</w:t>
      </w:r>
      <w:r>
        <w:rPr>
          <w:rFonts w:hint="eastAsia" w:ascii="仿宋" w:hAnsi="仿宋" w:eastAsia="仿宋" w:cs="仿宋"/>
          <w:sz w:val="30"/>
          <w:szCs w:val="30"/>
          <w:highlight w:val="none"/>
          <w:lang w:val="en-US" w:eastAsia="zh-CN"/>
        </w:rPr>
        <w:t>按照贵我双方合同约定的时限与贵司完成对账并确定相应金额,属我司责任，与贵司无关。我司自愿接受按照合同约定延期支付该款项，我司承担因此导致的所有责任和损失。</w:t>
      </w:r>
    </w:p>
    <w:p w14:paraId="6F4ACF1A">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highlight w:val="none"/>
          <w:lang w:val="en-US" w:eastAsia="zh-CN"/>
        </w:rPr>
      </w:pPr>
      <w:r>
        <w:rPr>
          <w:rFonts w:hint="eastAsia" w:ascii="仿宋" w:hAnsi="仿宋" w:eastAsia="仿宋" w:cs="仿宋"/>
          <w:sz w:val="30"/>
          <w:szCs w:val="30"/>
          <w:highlight w:val="none"/>
          <w:lang w:val="en-US" w:eastAsia="zh-CN"/>
        </w:rPr>
        <w:t>特此声明。</w:t>
      </w:r>
    </w:p>
    <w:p w14:paraId="4446F8A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highlight w:val="none"/>
          <w:lang w:val="en-US" w:eastAsia="zh-CN"/>
        </w:rPr>
      </w:pPr>
    </w:p>
    <w:p w14:paraId="5F51634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highlight w:val="none"/>
          <w:lang w:val="en-US" w:eastAsia="zh-CN"/>
        </w:rPr>
      </w:pPr>
    </w:p>
    <w:p w14:paraId="66A8F13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highlight w:val="none"/>
          <w:lang w:val="en-US" w:eastAsia="zh-CN"/>
        </w:rPr>
      </w:pPr>
    </w:p>
    <w:p w14:paraId="0BFA4884">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声明单位：</w:t>
      </w:r>
    </w:p>
    <w:p w14:paraId="2BCFD4C1">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负责人：</w:t>
      </w:r>
    </w:p>
    <w:p w14:paraId="765E5D87">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（加盖公章及法定代表人或授权代表）     </w:t>
      </w:r>
    </w:p>
    <w:p w14:paraId="4978CF32">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年   月   日</w:t>
      </w:r>
    </w:p>
    <w:p w14:paraId="5E6DE05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1A8997F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2F03C44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592570F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4CADCB3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120C66B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303F537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7B70732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6A0A7A8B">
      <w:pPr>
        <w:keepNext/>
        <w:keepLines/>
        <w:widowControl w:val="0"/>
        <w:spacing w:before="120"/>
        <w:jc w:val="right"/>
        <w:outlineLvl w:val="0"/>
        <w:rPr>
          <w:rFonts w:hint="eastAsia" w:ascii="仿宋" w:hAnsi="仿宋" w:eastAsia="仿宋" w:cs="仿宋"/>
          <w:highlight w:val="none"/>
        </w:rPr>
      </w:pPr>
      <w:bookmarkStart w:id="130" w:name="_Toc25054"/>
      <w:bookmarkStart w:id="131" w:name="_Toc86334254"/>
      <w:bookmarkStart w:id="132" w:name="_Toc18596"/>
      <w:bookmarkStart w:id="133" w:name="_Toc2838"/>
      <w:bookmarkStart w:id="134" w:name="_Toc7796"/>
      <w:bookmarkStart w:id="135" w:name="_Toc3377"/>
      <w:bookmarkStart w:id="136" w:name="_Toc11341"/>
      <w:bookmarkStart w:id="137" w:name="_Toc23013"/>
      <w:r>
        <w:rPr>
          <w:rFonts w:hint="eastAsia" w:ascii="仿宋" w:hAnsi="仿宋" w:eastAsia="仿宋" w:cs="仿宋"/>
          <w:b/>
          <w:bCs/>
          <w:kern w:val="2"/>
          <w:sz w:val="44"/>
          <w:szCs w:val="48"/>
          <w:highlight w:val="none"/>
          <w:lang w:val="en-US" w:eastAsia="zh-CN" w:bidi="ar-SA"/>
        </w:rPr>
        <w:t>附件三</w:t>
      </w:r>
      <w:bookmarkEnd w:id="130"/>
      <w:bookmarkEnd w:id="131"/>
      <w:bookmarkEnd w:id="132"/>
      <w:bookmarkEnd w:id="133"/>
      <w:bookmarkEnd w:id="134"/>
      <w:bookmarkEnd w:id="135"/>
      <w:bookmarkEnd w:id="136"/>
      <w:bookmarkEnd w:id="137"/>
    </w:p>
    <w:p w14:paraId="441D78DD">
      <w:pPr>
        <w:tabs>
          <w:tab w:val="left" w:pos="720"/>
        </w:tabs>
        <w:adjustRightInd w:val="0"/>
        <w:snapToGrid w:val="0"/>
        <w:spacing w:line="360" w:lineRule="auto"/>
        <w:ind w:left="482" w:hanging="663" w:hangingChars="150"/>
        <w:jc w:val="center"/>
        <w:rPr>
          <w:rFonts w:hint="eastAsia" w:ascii="仿宋" w:hAnsi="仿宋" w:eastAsia="仿宋" w:cs="仿宋"/>
          <w:b/>
          <w:bCs w:val="0"/>
          <w:sz w:val="44"/>
          <w:szCs w:val="44"/>
          <w:highlight w:val="none"/>
        </w:rPr>
      </w:pPr>
      <w:r>
        <w:rPr>
          <w:rFonts w:hint="eastAsia" w:ascii="仿宋" w:hAnsi="仿宋" w:eastAsia="仿宋" w:cs="仿宋"/>
          <w:b/>
          <w:bCs w:val="0"/>
          <w:sz w:val="44"/>
          <w:szCs w:val="44"/>
          <w:highlight w:val="none"/>
        </w:rPr>
        <w:t>材料款申报确认表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402"/>
        <w:gridCol w:w="1276"/>
        <w:gridCol w:w="3423"/>
      </w:tblGrid>
      <w:tr w14:paraId="74F2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top"/>
          </w:tcPr>
          <w:p w14:paraId="355E4F35">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工程名称</w:t>
            </w:r>
          </w:p>
        </w:tc>
        <w:tc>
          <w:tcPr>
            <w:tcW w:w="3402" w:type="dxa"/>
            <w:noWrap w:val="0"/>
            <w:vAlign w:val="top"/>
          </w:tcPr>
          <w:p w14:paraId="2431987D">
            <w:pPr>
              <w:tabs>
                <w:tab w:val="left" w:pos="720"/>
              </w:tabs>
              <w:adjustRightInd w:val="0"/>
              <w:snapToGrid w:val="0"/>
              <w:spacing w:line="360" w:lineRule="auto"/>
              <w:jc w:val="left"/>
              <w:rPr>
                <w:rFonts w:hint="eastAsia" w:ascii="仿宋" w:hAnsi="仿宋" w:eastAsia="仿宋" w:cs="仿宋"/>
                <w:b w:val="0"/>
                <w:bCs/>
                <w:sz w:val="24"/>
                <w:highlight w:val="none"/>
              </w:rPr>
            </w:pPr>
          </w:p>
        </w:tc>
        <w:tc>
          <w:tcPr>
            <w:tcW w:w="1276" w:type="dxa"/>
            <w:noWrap w:val="0"/>
            <w:vAlign w:val="top"/>
          </w:tcPr>
          <w:p w14:paraId="797B1376">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合同名称</w:t>
            </w:r>
          </w:p>
        </w:tc>
        <w:tc>
          <w:tcPr>
            <w:tcW w:w="3423" w:type="dxa"/>
            <w:noWrap w:val="0"/>
            <w:vAlign w:val="top"/>
          </w:tcPr>
          <w:p w14:paraId="2620EBC8">
            <w:pPr>
              <w:tabs>
                <w:tab w:val="left" w:pos="720"/>
              </w:tabs>
              <w:adjustRightInd w:val="0"/>
              <w:snapToGrid w:val="0"/>
              <w:spacing w:line="360" w:lineRule="auto"/>
              <w:jc w:val="left"/>
              <w:rPr>
                <w:rFonts w:hint="eastAsia" w:ascii="仿宋" w:hAnsi="仿宋" w:eastAsia="仿宋" w:cs="仿宋"/>
                <w:b w:val="0"/>
                <w:bCs/>
                <w:sz w:val="24"/>
                <w:highlight w:val="none"/>
              </w:rPr>
            </w:pPr>
          </w:p>
        </w:tc>
      </w:tr>
      <w:tr w14:paraId="43B4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top"/>
          </w:tcPr>
          <w:p w14:paraId="5D95C332">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供货单位</w:t>
            </w:r>
          </w:p>
        </w:tc>
        <w:tc>
          <w:tcPr>
            <w:tcW w:w="3402" w:type="dxa"/>
            <w:noWrap w:val="0"/>
            <w:vAlign w:val="top"/>
          </w:tcPr>
          <w:p w14:paraId="1D83B99A">
            <w:pPr>
              <w:tabs>
                <w:tab w:val="left" w:pos="720"/>
              </w:tabs>
              <w:adjustRightInd w:val="0"/>
              <w:snapToGrid w:val="0"/>
              <w:spacing w:line="360" w:lineRule="auto"/>
              <w:jc w:val="left"/>
              <w:rPr>
                <w:rFonts w:hint="eastAsia" w:ascii="仿宋" w:hAnsi="仿宋" w:eastAsia="仿宋" w:cs="仿宋"/>
                <w:b w:val="0"/>
                <w:bCs/>
                <w:sz w:val="24"/>
                <w:highlight w:val="none"/>
              </w:rPr>
            </w:pPr>
          </w:p>
        </w:tc>
        <w:tc>
          <w:tcPr>
            <w:tcW w:w="1276" w:type="dxa"/>
            <w:noWrap w:val="0"/>
            <w:vAlign w:val="top"/>
          </w:tcPr>
          <w:p w14:paraId="1A852479">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合同编号</w:t>
            </w:r>
          </w:p>
        </w:tc>
        <w:tc>
          <w:tcPr>
            <w:tcW w:w="3423" w:type="dxa"/>
            <w:noWrap w:val="0"/>
            <w:vAlign w:val="top"/>
          </w:tcPr>
          <w:p w14:paraId="7DE2B2D0">
            <w:pPr>
              <w:tabs>
                <w:tab w:val="left" w:pos="720"/>
              </w:tabs>
              <w:adjustRightInd w:val="0"/>
              <w:snapToGrid w:val="0"/>
              <w:spacing w:line="360" w:lineRule="auto"/>
              <w:jc w:val="left"/>
              <w:rPr>
                <w:rFonts w:hint="eastAsia" w:ascii="仿宋" w:hAnsi="仿宋" w:eastAsia="仿宋" w:cs="仿宋"/>
                <w:b w:val="0"/>
                <w:bCs/>
                <w:sz w:val="24"/>
                <w:highlight w:val="none"/>
              </w:rPr>
            </w:pPr>
          </w:p>
        </w:tc>
      </w:tr>
      <w:tr w14:paraId="65D2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jc w:val="center"/>
        </w:trPr>
        <w:tc>
          <w:tcPr>
            <w:tcW w:w="9377" w:type="dxa"/>
            <w:gridSpan w:val="4"/>
            <w:noWrap w:val="0"/>
            <w:vAlign w:val="top"/>
          </w:tcPr>
          <w:p w14:paraId="3B0F7E3A">
            <w:pPr>
              <w:tabs>
                <w:tab w:val="left" w:pos="720"/>
              </w:tabs>
              <w:adjustRightInd w:val="0"/>
              <w:snapToGrid w:val="0"/>
              <w:spacing w:line="360" w:lineRule="auto"/>
              <w:ind w:firstLine="120" w:firstLineChars="50"/>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材料申报内容：</w:t>
            </w:r>
          </w:p>
          <w:p w14:paraId="1CEB047C">
            <w:pPr>
              <w:tabs>
                <w:tab w:val="left" w:pos="720"/>
              </w:tabs>
              <w:adjustRightInd w:val="0"/>
              <w:snapToGrid w:val="0"/>
              <w:spacing w:line="360" w:lineRule="auto"/>
              <w:jc w:val="left"/>
              <w:rPr>
                <w:rFonts w:hint="eastAsia" w:ascii="仿宋" w:hAnsi="仿宋" w:eastAsia="仿宋" w:cs="仿宋"/>
                <w:b w:val="0"/>
                <w:bCs/>
                <w:sz w:val="24"/>
                <w:highlight w:val="none"/>
              </w:rPr>
            </w:pPr>
          </w:p>
          <w:p w14:paraId="2B35554E">
            <w:pPr>
              <w:tabs>
                <w:tab w:val="left" w:pos="720"/>
              </w:tabs>
              <w:adjustRightInd w:val="0"/>
              <w:snapToGrid w:val="0"/>
              <w:spacing w:line="360" w:lineRule="auto"/>
              <w:jc w:val="left"/>
              <w:rPr>
                <w:rFonts w:hint="eastAsia" w:ascii="仿宋" w:hAnsi="仿宋" w:eastAsia="仿宋" w:cs="仿宋"/>
                <w:b w:val="0"/>
                <w:bCs/>
                <w:sz w:val="24"/>
                <w:highlight w:val="none"/>
              </w:rPr>
            </w:pPr>
          </w:p>
          <w:p w14:paraId="1E6EB071">
            <w:pPr>
              <w:tabs>
                <w:tab w:val="left" w:pos="720"/>
              </w:tabs>
              <w:adjustRightInd w:val="0"/>
              <w:snapToGrid w:val="0"/>
              <w:spacing w:line="360" w:lineRule="auto"/>
              <w:jc w:val="left"/>
              <w:rPr>
                <w:rFonts w:hint="eastAsia" w:ascii="仿宋" w:hAnsi="仿宋" w:eastAsia="仿宋" w:cs="仿宋"/>
                <w:b w:val="0"/>
                <w:bCs/>
                <w:sz w:val="24"/>
                <w:highlight w:val="none"/>
              </w:rPr>
            </w:pPr>
          </w:p>
          <w:p w14:paraId="10FC5FB7">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 xml:space="preserve">                                       供货单位（章）：</w:t>
            </w:r>
          </w:p>
          <w:p w14:paraId="6E9096BA">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 xml:space="preserve">                                       供货单位负责人：</w:t>
            </w:r>
          </w:p>
        </w:tc>
      </w:tr>
      <w:tr w14:paraId="2060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9377" w:type="dxa"/>
            <w:gridSpan w:val="4"/>
            <w:noWrap w:val="0"/>
            <w:vAlign w:val="top"/>
          </w:tcPr>
          <w:p w14:paraId="6F2F52CD">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仓管员①/经办人审核意见：</w:t>
            </w:r>
          </w:p>
          <w:p w14:paraId="24D0B41B">
            <w:pPr>
              <w:tabs>
                <w:tab w:val="left" w:pos="720"/>
              </w:tabs>
              <w:adjustRightInd w:val="0"/>
              <w:snapToGrid w:val="0"/>
              <w:spacing w:line="360" w:lineRule="auto"/>
              <w:ind w:left="5421" w:hanging="5400" w:hangingChars="2250"/>
              <w:jc w:val="left"/>
              <w:rPr>
                <w:rFonts w:hint="eastAsia" w:ascii="仿宋" w:hAnsi="仿宋" w:eastAsia="仿宋" w:cs="仿宋"/>
                <w:b w:val="0"/>
                <w:bCs/>
                <w:sz w:val="24"/>
                <w:highlight w:val="none"/>
              </w:rPr>
            </w:pPr>
          </w:p>
          <w:p w14:paraId="0F04E9CF">
            <w:pPr>
              <w:tabs>
                <w:tab w:val="left" w:pos="720"/>
              </w:tabs>
              <w:adjustRightInd w:val="0"/>
              <w:snapToGrid w:val="0"/>
              <w:spacing w:line="360" w:lineRule="auto"/>
              <w:ind w:left="5421" w:hanging="5400" w:hangingChars="2250"/>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 xml:space="preserve">                                      签名及日期：</w:t>
            </w:r>
          </w:p>
        </w:tc>
      </w:tr>
      <w:tr w14:paraId="7024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9377" w:type="dxa"/>
            <w:gridSpan w:val="4"/>
            <w:noWrap w:val="0"/>
            <w:vAlign w:val="top"/>
          </w:tcPr>
          <w:p w14:paraId="08F61C55">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仓管员②审核意见：</w:t>
            </w:r>
          </w:p>
          <w:p w14:paraId="52D89CFC">
            <w:pPr>
              <w:tabs>
                <w:tab w:val="left" w:pos="720"/>
              </w:tabs>
              <w:adjustRightInd w:val="0"/>
              <w:snapToGrid w:val="0"/>
              <w:spacing w:line="360" w:lineRule="auto"/>
              <w:jc w:val="left"/>
              <w:rPr>
                <w:rFonts w:hint="eastAsia" w:ascii="仿宋" w:hAnsi="仿宋" w:eastAsia="仿宋" w:cs="仿宋"/>
                <w:b w:val="0"/>
                <w:bCs/>
                <w:sz w:val="24"/>
                <w:highlight w:val="none"/>
              </w:rPr>
            </w:pPr>
          </w:p>
          <w:p w14:paraId="339DBF86">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 xml:space="preserve">                                      签名及日期： </w:t>
            </w:r>
          </w:p>
        </w:tc>
      </w:tr>
      <w:tr w14:paraId="14EE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9377" w:type="dxa"/>
            <w:gridSpan w:val="4"/>
            <w:noWrap w:val="0"/>
            <w:vAlign w:val="top"/>
          </w:tcPr>
          <w:p w14:paraId="69CCDD98">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项目成本管理员审核意见：</w:t>
            </w:r>
          </w:p>
          <w:p w14:paraId="4B5E82AB">
            <w:pPr>
              <w:tabs>
                <w:tab w:val="left" w:pos="720"/>
              </w:tabs>
              <w:adjustRightInd w:val="0"/>
              <w:snapToGrid w:val="0"/>
              <w:spacing w:line="360" w:lineRule="auto"/>
              <w:jc w:val="left"/>
              <w:rPr>
                <w:rFonts w:hint="eastAsia" w:ascii="仿宋" w:hAnsi="仿宋" w:eastAsia="仿宋" w:cs="仿宋"/>
                <w:b w:val="0"/>
                <w:bCs/>
                <w:sz w:val="24"/>
                <w:highlight w:val="none"/>
              </w:rPr>
            </w:pPr>
          </w:p>
          <w:p w14:paraId="1847B12F">
            <w:pPr>
              <w:tabs>
                <w:tab w:val="left" w:pos="720"/>
              </w:tabs>
              <w:adjustRightInd w:val="0"/>
              <w:snapToGrid w:val="0"/>
              <w:spacing w:line="360" w:lineRule="auto"/>
              <w:jc w:val="left"/>
              <w:rPr>
                <w:rFonts w:hint="eastAsia" w:ascii="仿宋" w:hAnsi="仿宋" w:eastAsia="仿宋" w:cs="仿宋"/>
                <w:b w:val="0"/>
                <w:bCs/>
                <w:sz w:val="24"/>
                <w:highlight w:val="none"/>
              </w:rPr>
            </w:pPr>
          </w:p>
          <w:p w14:paraId="33975E23">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 xml:space="preserve">                                      签名及日期：</w:t>
            </w:r>
          </w:p>
        </w:tc>
      </w:tr>
      <w:tr w14:paraId="1D34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9377" w:type="dxa"/>
            <w:gridSpan w:val="4"/>
            <w:noWrap w:val="0"/>
            <w:vAlign w:val="top"/>
          </w:tcPr>
          <w:p w14:paraId="2DDC0F6A">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项目经理审核意见：</w:t>
            </w:r>
          </w:p>
          <w:p w14:paraId="48FF6051">
            <w:pPr>
              <w:tabs>
                <w:tab w:val="left" w:pos="720"/>
              </w:tabs>
              <w:adjustRightInd w:val="0"/>
              <w:snapToGrid w:val="0"/>
              <w:spacing w:line="360" w:lineRule="auto"/>
              <w:jc w:val="left"/>
              <w:rPr>
                <w:rFonts w:hint="eastAsia" w:ascii="仿宋" w:hAnsi="仿宋" w:eastAsia="仿宋" w:cs="仿宋"/>
                <w:b w:val="0"/>
                <w:bCs/>
                <w:sz w:val="24"/>
                <w:highlight w:val="none"/>
              </w:rPr>
            </w:pPr>
          </w:p>
          <w:p w14:paraId="0474827F">
            <w:pPr>
              <w:tabs>
                <w:tab w:val="left" w:pos="720"/>
              </w:tabs>
              <w:adjustRightInd w:val="0"/>
              <w:snapToGrid w:val="0"/>
              <w:spacing w:line="360" w:lineRule="auto"/>
              <w:jc w:val="left"/>
              <w:rPr>
                <w:rFonts w:hint="eastAsia" w:ascii="仿宋" w:hAnsi="仿宋" w:eastAsia="仿宋" w:cs="仿宋"/>
                <w:b w:val="0"/>
                <w:bCs/>
                <w:sz w:val="24"/>
                <w:highlight w:val="none"/>
              </w:rPr>
            </w:pPr>
          </w:p>
          <w:p w14:paraId="590EE5EE">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 xml:space="preserve">                                      签名及日期：</w:t>
            </w:r>
          </w:p>
        </w:tc>
      </w:tr>
    </w:tbl>
    <w:p w14:paraId="0B541C17">
      <w:pPr>
        <w:tabs>
          <w:tab w:val="left" w:pos="720"/>
        </w:tabs>
        <w:adjustRightInd w:val="0"/>
        <w:snapToGrid w:val="0"/>
        <w:spacing w:line="360" w:lineRule="auto"/>
        <w:ind w:left="-630" w:leftChars="-300" w:right="-630" w:rightChars="-300" w:firstLine="540" w:firstLineChars="300"/>
        <w:jc w:val="left"/>
        <w:rPr>
          <w:rFonts w:hint="eastAsia" w:ascii="仿宋" w:hAnsi="仿宋" w:eastAsia="仿宋" w:cs="仿宋"/>
          <w:b w:val="0"/>
          <w:bCs/>
          <w:sz w:val="18"/>
          <w:szCs w:val="18"/>
          <w:highlight w:val="none"/>
        </w:rPr>
      </w:pPr>
      <w:r>
        <w:rPr>
          <w:rFonts w:hint="eastAsia" w:ascii="仿宋" w:hAnsi="仿宋" w:eastAsia="仿宋" w:cs="仿宋"/>
          <w:b w:val="0"/>
          <w:bCs/>
          <w:sz w:val="18"/>
          <w:szCs w:val="18"/>
          <w:highlight w:val="none"/>
        </w:rPr>
        <w:t>填表要求：1、此表由</w:t>
      </w:r>
      <w:r>
        <w:rPr>
          <w:rFonts w:hint="eastAsia" w:ascii="仿宋" w:hAnsi="仿宋" w:eastAsia="仿宋" w:cs="仿宋"/>
          <w:b w:val="0"/>
          <w:bCs/>
          <w:sz w:val="18"/>
          <w:szCs w:val="18"/>
          <w:highlight w:val="none"/>
          <w:lang w:val="en-US" w:eastAsia="zh-CN"/>
        </w:rPr>
        <w:t>供货单位</w:t>
      </w:r>
      <w:r>
        <w:rPr>
          <w:rFonts w:hint="eastAsia" w:ascii="仿宋" w:hAnsi="仿宋" w:eastAsia="仿宋" w:cs="仿宋"/>
          <w:b w:val="0"/>
          <w:bCs/>
          <w:sz w:val="18"/>
          <w:szCs w:val="18"/>
          <w:highlight w:val="none"/>
        </w:rPr>
        <w:t>发起，如实填写，不允许涂改，如有涂改或虚报，此表无效。</w:t>
      </w:r>
    </w:p>
    <w:p w14:paraId="4B6AB271">
      <w:pPr>
        <w:numPr>
          <w:ilvl w:val="0"/>
          <w:numId w:val="1"/>
        </w:numPr>
        <w:tabs>
          <w:tab w:val="left" w:pos="720"/>
        </w:tabs>
        <w:adjustRightInd w:val="0"/>
        <w:snapToGrid w:val="0"/>
        <w:spacing w:line="360" w:lineRule="auto"/>
        <w:ind w:left="-315" w:leftChars="-150" w:right="-630" w:rightChars="-300" w:firstLine="1170" w:firstLineChars="650"/>
        <w:jc w:val="left"/>
        <w:rPr>
          <w:rFonts w:hint="eastAsia" w:ascii="仿宋" w:hAnsi="仿宋" w:eastAsia="仿宋" w:cs="仿宋"/>
          <w:b w:val="0"/>
          <w:bCs/>
          <w:sz w:val="18"/>
          <w:szCs w:val="18"/>
          <w:highlight w:val="none"/>
        </w:rPr>
      </w:pPr>
      <w:r>
        <w:rPr>
          <w:rFonts w:hint="eastAsia" w:ascii="仿宋" w:hAnsi="仿宋" w:eastAsia="仿宋" w:cs="仿宋"/>
          <w:b w:val="0"/>
          <w:bCs/>
          <w:sz w:val="18"/>
          <w:szCs w:val="18"/>
          <w:highlight w:val="none"/>
        </w:rPr>
        <w:t>此确认表作为</w:t>
      </w:r>
      <w:r>
        <w:rPr>
          <w:rFonts w:hint="eastAsia" w:ascii="仿宋" w:hAnsi="仿宋" w:eastAsia="仿宋" w:cs="仿宋"/>
          <w:b w:val="0"/>
          <w:bCs/>
          <w:sz w:val="18"/>
          <w:szCs w:val="18"/>
          <w:highlight w:val="none"/>
          <w:lang w:val="en-US" w:eastAsia="zh-CN"/>
        </w:rPr>
        <w:t>供货单位</w:t>
      </w:r>
      <w:r>
        <w:rPr>
          <w:rFonts w:hint="eastAsia" w:ascii="仿宋" w:hAnsi="仿宋" w:eastAsia="仿宋" w:cs="仿宋"/>
          <w:b w:val="0"/>
          <w:bCs/>
          <w:sz w:val="18"/>
          <w:szCs w:val="18"/>
          <w:highlight w:val="none"/>
        </w:rPr>
        <w:t>向</w:t>
      </w:r>
      <w:r>
        <w:rPr>
          <w:rFonts w:hint="eastAsia" w:ascii="仿宋" w:hAnsi="仿宋" w:eastAsia="仿宋" w:cs="仿宋"/>
          <w:b w:val="0"/>
          <w:bCs/>
          <w:sz w:val="18"/>
          <w:szCs w:val="18"/>
          <w:highlight w:val="none"/>
          <w:lang w:val="en-US" w:eastAsia="zh-CN"/>
        </w:rPr>
        <w:t>中泰建安</w:t>
      </w:r>
      <w:r>
        <w:rPr>
          <w:rFonts w:hint="eastAsia" w:ascii="仿宋" w:hAnsi="仿宋" w:eastAsia="仿宋" w:cs="仿宋"/>
          <w:b w:val="0"/>
          <w:bCs/>
          <w:sz w:val="18"/>
          <w:szCs w:val="18"/>
          <w:highlight w:val="none"/>
        </w:rPr>
        <w:t>司申报款项支付审批单的附件。</w:t>
      </w:r>
    </w:p>
    <w:p w14:paraId="179EFE51">
      <w:pPr>
        <w:keepNext w:val="0"/>
        <w:keepLines w:val="0"/>
        <w:widowControl/>
        <w:suppressLineNumbers w:val="0"/>
        <w:jc w:val="both"/>
        <w:textAlignment w:val="center"/>
        <w:rPr>
          <w:rFonts w:hint="eastAsia" w:ascii="仿宋" w:hAnsi="仿宋" w:eastAsia="仿宋" w:cs="仿宋"/>
          <w:b/>
          <w:bCs/>
          <w:i w:val="0"/>
          <w:iCs w:val="0"/>
          <w:color w:val="000000"/>
          <w:kern w:val="0"/>
          <w:sz w:val="44"/>
          <w:szCs w:val="44"/>
          <w:highlight w:val="none"/>
          <w:u w:val="none"/>
          <w:lang w:val="en-US" w:eastAsia="zh-CN" w:bidi="ar"/>
        </w:rPr>
      </w:pPr>
    </w:p>
    <w:p w14:paraId="11495FD2">
      <w:pPr>
        <w:keepNext w:val="0"/>
        <w:keepLines w:val="0"/>
        <w:widowControl/>
        <w:suppressLineNumbers w:val="0"/>
        <w:jc w:val="right"/>
        <w:textAlignment w:val="center"/>
        <w:rPr>
          <w:rFonts w:hint="eastAsia" w:ascii="仿宋" w:hAnsi="仿宋" w:eastAsia="仿宋" w:cs="仿宋"/>
          <w:b/>
          <w:bCs/>
          <w:i w:val="0"/>
          <w:iCs w:val="0"/>
          <w:color w:val="000000"/>
          <w:kern w:val="0"/>
          <w:sz w:val="44"/>
          <w:szCs w:val="44"/>
          <w:highlight w:val="none"/>
          <w:u w:val="none"/>
          <w:lang w:val="en-US" w:eastAsia="zh-CN" w:bidi="ar"/>
        </w:rPr>
      </w:pPr>
    </w:p>
    <w:p w14:paraId="55BC3EDF">
      <w:pPr>
        <w:keepNext w:val="0"/>
        <w:keepLines w:val="0"/>
        <w:widowControl/>
        <w:suppressLineNumbers w:val="0"/>
        <w:jc w:val="both"/>
        <w:textAlignment w:val="center"/>
        <w:rPr>
          <w:rFonts w:hint="eastAsia" w:ascii="仿宋" w:hAnsi="仿宋" w:eastAsia="仿宋" w:cs="仿宋"/>
          <w:b/>
          <w:bCs/>
          <w:i w:val="0"/>
          <w:iCs w:val="0"/>
          <w:color w:val="000000"/>
          <w:kern w:val="0"/>
          <w:sz w:val="44"/>
          <w:szCs w:val="44"/>
          <w:highlight w:val="none"/>
          <w:u w:val="none"/>
          <w:lang w:val="en-US" w:eastAsia="zh-CN" w:bidi="ar"/>
        </w:rPr>
      </w:pPr>
    </w:p>
    <w:p w14:paraId="0F07F2F8">
      <w:pPr>
        <w:keepNext w:val="0"/>
        <w:keepLines w:val="0"/>
        <w:widowControl/>
        <w:suppressLineNumbers w:val="0"/>
        <w:jc w:val="right"/>
        <w:textAlignment w:val="center"/>
        <w:rPr>
          <w:rFonts w:hint="eastAsia" w:ascii="仿宋" w:hAnsi="仿宋" w:eastAsia="仿宋" w:cs="仿宋"/>
          <w:b/>
          <w:bCs/>
          <w:i w:val="0"/>
          <w:iCs w:val="0"/>
          <w:color w:val="000000"/>
          <w:kern w:val="0"/>
          <w:sz w:val="44"/>
          <w:szCs w:val="44"/>
          <w:highlight w:val="none"/>
          <w:u w:val="none"/>
          <w:lang w:val="en-US" w:eastAsia="zh-CN" w:bidi="ar"/>
        </w:rPr>
      </w:pPr>
      <w:r>
        <w:rPr>
          <w:rFonts w:hint="eastAsia" w:ascii="仿宋" w:hAnsi="仿宋" w:eastAsia="仿宋" w:cs="仿宋"/>
          <w:b/>
          <w:bCs/>
          <w:i w:val="0"/>
          <w:iCs w:val="0"/>
          <w:color w:val="000000"/>
          <w:kern w:val="0"/>
          <w:sz w:val="44"/>
          <w:szCs w:val="44"/>
          <w:highlight w:val="none"/>
          <w:u w:val="none"/>
          <w:lang w:val="en-US" w:eastAsia="zh-CN" w:bidi="ar"/>
        </w:rPr>
        <w:t>附件四</w:t>
      </w:r>
    </w:p>
    <w:p w14:paraId="6C0D8BF8">
      <w:pPr>
        <w:widowControl w:val="0"/>
        <w:numPr>
          <w:ilvl w:val="0"/>
          <w:numId w:val="0"/>
        </w:numPr>
        <w:tabs>
          <w:tab w:val="left" w:pos="720"/>
        </w:tabs>
        <w:adjustRightInd w:val="0"/>
        <w:snapToGrid w:val="0"/>
        <w:spacing w:line="360" w:lineRule="auto"/>
        <w:ind w:right="-630" w:rightChars="-300"/>
        <w:jc w:val="left"/>
        <w:rPr>
          <w:rFonts w:hint="eastAsia" w:ascii="仿宋" w:hAnsi="仿宋" w:eastAsia="仿宋" w:cs="仿宋"/>
          <w:b w:val="0"/>
          <w:bCs/>
          <w:sz w:val="18"/>
          <w:szCs w:val="18"/>
          <w:highlight w:val="none"/>
        </w:rPr>
      </w:pPr>
    </w:p>
    <w:tbl>
      <w:tblPr>
        <w:tblStyle w:val="9"/>
        <w:tblW w:w="47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8"/>
        <w:gridCol w:w="1407"/>
        <w:gridCol w:w="1060"/>
        <w:gridCol w:w="1060"/>
        <w:gridCol w:w="1485"/>
        <w:gridCol w:w="1355"/>
        <w:gridCol w:w="1100"/>
        <w:gridCol w:w="1184"/>
      </w:tblGrid>
      <w:tr w14:paraId="473DD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nil"/>
              <w:left w:val="nil"/>
              <w:bottom w:val="nil"/>
              <w:right w:val="nil"/>
            </w:tcBorders>
            <w:noWrap/>
            <w:vAlign w:val="center"/>
          </w:tcPr>
          <w:p w14:paraId="5B8F4DAB">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44"/>
                <w:szCs w:val="44"/>
                <w:highlight w:val="none"/>
                <w:u w:val="none"/>
                <w:lang w:val="en-US" w:eastAsia="zh-CN" w:bidi="ar"/>
              </w:rPr>
              <w:t>款项支付台账</w:t>
            </w:r>
          </w:p>
        </w:tc>
      </w:tr>
      <w:tr w14:paraId="0D819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6661896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项目名称：</w:t>
            </w:r>
          </w:p>
        </w:tc>
      </w:tr>
      <w:tr w14:paraId="5C40C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2BCFBAE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合同名称：</w:t>
            </w:r>
          </w:p>
        </w:tc>
      </w:tr>
      <w:tr w14:paraId="744BC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1B715D6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付款公司名称：东莞市中泰建安工程有限公司</w:t>
            </w:r>
          </w:p>
        </w:tc>
      </w:tr>
      <w:tr w14:paraId="7A011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4CA6B2D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序号</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7EB9665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收/付款日期（年/月）</w:t>
            </w: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3DEB0FD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发票代码</w:t>
            </w: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1C7DC23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发票号码</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79F45AD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当期应付金额</w:t>
            </w: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7932B59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已付金额</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57E02B5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未付金额</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787240C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付款内容</w:t>
            </w:r>
          </w:p>
        </w:tc>
      </w:tr>
      <w:tr w14:paraId="057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0B10122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23FF5DF0">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4C0C0F90">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2DE76286">
            <w:pPr>
              <w:jc w:val="center"/>
              <w:rPr>
                <w:rFonts w:hint="eastAsia" w:ascii="仿宋" w:hAnsi="仿宋" w:eastAsia="仿宋" w:cs="仿宋"/>
                <w:i w:val="0"/>
                <w:iCs w:val="0"/>
                <w:color w:val="000000"/>
                <w:sz w:val="22"/>
                <w:szCs w:val="22"/>
                <w:highlight w:val="none"/>
                <w:u w:val="none"/>
              </w:rPr>
            </w:pP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0F2515C3">
            <w:pPr>
              <w:jc w:val="center"/>
              <w:rPr>
                <w:rFonts w:hint="eastAsia" w:ascii="仿宋" w:hAnsi="仿宋" w:eastAsia="仿宋" w:cs="仿宋"/>
                <w:i w:val="0"/>
                <w:iCs w:val="0"/>
                <w:color w:val="000000"/>
                <w:sz w:val="22"/>
                <w:szCs w:val="22"/>
                <w:highlight w:val="none"/>
                <w:u w:val="none"/>
              </w:rPr>
            </w:pP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2903E336">
            <w:pPr>
              <w:jc w:val="center"/>
              <w:rPr>
                <w:rFonts w:hint="eastAsia" w:ascii="仿宋" w:hAnsi="仿宋" w:eastAsia="仿宋" w:cs="仿宋"/>
                <w:i w:val="0"/>
                <w:iCs w:val="0"/>
                <w:color w:val="000000"/>
                <w:sz w:val="22"/>
                <w:szCs w:val="22"/>
                <w:highlight w:val="none"/>
                <w:u w:val="none"/>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19AB7E57">
            <w:pPr>
              <w:jc w:val="center"/>
              <w:rPr>
                <w:rFonts w:hint="eastAsia" w:ascii="仿宋" w:hAnsi="仿宋" w:eastAsia="仿宋" w:cs="仿宋"/>
                <w:i w:val="0"/>
                <w:iCs w:val="0"/>
                <w:color w:val="000000"/>
                <w:sz w:val="22"/>
                <w:szCs w:val="22"/>
                <w:highlight w:val="none"/>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47629A2E">
            <w:pPr>
              <w:jc w:val="center"/>
              <w:rPr>
                <w:rFonts w:hint="eastAsia" w:ascii="仿宋" w:hAnsi="仿宋" w:eastAsia="仿宋" w:cs="仿宋"/>
                <w:i w:val="0"/>
                <w:iCs w:val="0"/>
                <w:color w:val="000000"/>
                <w:sz w:val="22"/>
                <w:szCs w:val="22"/>
                <w:highlight w:val="none"/>
                <w:u w:val="none"/>
              </w:rPr>
            </w:pPr>
          </w:p>
        </w:tc>
      </w:tr>
      <w:tr w14:paraId="6153E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2CB75F6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49ED80C4">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2BE03F4F">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152599CD">
            <w:pPr>
              <w:jc w:val="center"/>
              <w:rPr>
                <w:rFonts w:hint="eastAsia" w:ascii="仿宋" w:hAnsi="仿宋" w:eastAsia="仿宋" w:cs="仿宋"/>
                <w:i w:val="0"/>
                <w:iCs w:val="0"/>
                <w:color w:val="000000"/>
                <w:sz w:val="22"/>
                <w:szCs w:val="22"/>
                <w:highlight w:val="none"/>
                <w:u w:val="none"/>
              </w:rPr>
            </w:pP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48ADBA7F">
            <w:pPr>
              <w:jc w:val="center"/>
              <w:rPr>
                <w:rFonts w:hint="eastAsia" w:ascii="仿宋" w:hAnsi="仿宋" w:eastAsia="仿宋" w:cs="仿宋"/>
                <w:i w:val="0"/>
                <w:iCs w:val="0"/>
                <w:color w:val="000000"/>
                <w:sz w:val="22"/>
                <w:szCs w:val="22"/>
                <w:highlight w:val="none"/>
                <w:u w:val="none"/>
              </w:rPr>
            </w:pP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134E3A0D">
            <w:pPr>
              <w:jc w:val="center"/>
              <w:rPr>
                <w:rFonts w:hint="eastAsia" w:ascii="仿宋" w:hAnsi="仿宋" w:eastAsia="仿宋" w:cs="仿宋"/>
                <w:i w:val="0"/>
                <w:iCs w:val="0"/>
                <w:color w:val="000000"/>
                <w:sz w:val="22"/>
                <w:szCs w:val="22"/>
                <w:highlight w:val="none"/>
                <w:u w:val="none"/>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51987A62">
            <w:pPr>
              <w:jc w:val="center"/>
              <w:rPr>
                <w:rFonts w:hint="eastAsia" w:ascii="仿宋" w:hAnsi="仿宋" w:eastAsia="仿宋" w:cs="仿宋"/>
                <w:i w:val="0"/>
                <w:iCs w:val="0"/>
                <w:color w:val="000000"/>
                <w:sz w:val="22"/>
                <w:szCs w:val="22"/>
                <w:highlight w:val="none"/>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583A49F2">
            <w:pPr>
              <w:jc w:val="center"/>
              <w:rPr>
                <w:rFonts w:hint="eastAsia" w:ascii="仿宋" w:hAnsi="仿宋" w:eastAsia="仿宋" w:cs="仿宋"/>
                <w:i w:val="0"/>
                <w:iCs w:val="0"/>
                <w:color w:val="000000"/>
                <w:sz w:val="22"/>
                <w:szCs w:val="22"/>
                <w:highlight w:val="none"/>
                <w:u w:val="none"/>
              </w:rPr>
            </w:pPr>
          </w:p>
        </w:tc>
      </w:tr>
      <w:tr w14:paraId="1FCFB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13FEEBA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40B9B502">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07C848D3">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05993D8F">
            <w:pPr>
              <w:jc w:val="center"/>
              <w:rPr>
                <w:rFonts w:hint="eastAsia" w:ascii="仿宋" w:hAnsi="仿宋" w:eastAsia="仿宋" w:cs="仿宋"/>
                <w:i w:val="0"/>
                <w:iCs w:val="0"/>
                <w:color w:val="000000"/>
                <w:sz w:val="22"/>
                <w:szCs w:val="22"/>
                <w:highlight w:val="none"/>
                <w:u w:val="none"/>
              </w:rPr>
            </w:pP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4855D2E1">
            <w:pPr>
              <w:jc w:val="center"/>
              <w:rPr>
                <w:rFonts w:hint="eastAsia" w:ascii="仿宋" w:hAnsi="仿宋" w:eastAsia="仿宋" w:cs="仿宋"/>
                <w:i w:val="0"/>
                <w:iCs w:val="0"/>
                <w:color w:val="000000"/>
                <w:sz w:val="22"/>
                <w:szCs w:val="22"/>
                <w:highlight w:val="none"/>
                <w:u w:val="none"/>
              </w:rPr>
            </w:pP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3FEB9F73">
            <w:pPr>
              <w:jc w:val="center"/>
              <w:rPr>
                <w:rFonts w:hint="eastAsia" w:ascii="仿宋" w:hAnsi="仿宋" w:eastAsia="仿宋" w:cs="仿宋"/>
                <w:i w:val="0"/>
                <w:iCs w:val="0"/>
                <w:color w:val="000000"/>
                <w:sz w:val="22"/>
                <w:szCs w:val="22"/>
                <w:highlight w:val="none"/>
                <w:u w:val="none"/>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415AC585">
            <w:pPr>
              <w:jc w:val="center"/>
              <w:rPr>
                <w:rFonts w:hint="eastAsia" w:ascii="仿宋" w:hAnsi="仿宋" w:eastAsia="仿宋" w:cs="仿宋"/>
                <w:i w:val="0"/>
                <w:iCs w:val="0"/>
                <w:color w:val="000000"/>
                <w:sz w:val="22"/>
                <w:szCs w:val="22"/>
                <w:highlight w:val="none"/>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553E9EDB">
            <w:pPr>
              <w:jc w:val="center"/>
              <w:rPr>
                <w:rFonts w:hint="eastAsia" w:ascii="仿宋" w:hAnsi="仿宋" w:eastAsia="仿宋" w:cs="仿宋"/>
                <w:i w:val="0"/>
                <w:iCs w:val="0"/>
                <w:color w:val="000000"/>
                <w:sz w:val="22"/>
                <w:szCs w:val="22"/>
                <w:highlight w:val="none"/>
                <w:u w:val="none"/>
              </w:rPr>
            </w:pPr>
          </w:p>
        </w:tc>
      </w:tr>
      <w:tr w14:paraId="66B98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74571E0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48C861CF">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78E0763F">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77E46B2A">
            <w:pPr>
              <w:jc w:val="center"/>
              <w:rPr>
                <w:rFonts w:hint="eastAsia" w:ascii="仿宋" w:hAnsi="仿宋" w:eastAsia="仿宋" w:cs="仿宋"/>
                <w:i w:val="0"/>
                <w:iCs w:val="0"/>
                <w:color w:val="000000"/>
                <w:sz w:val="22"/>
                <w:szCs w:val="22"/>
                <w:highlight w:val="none"/>
                <w:u w:val="none"/>
              </w:rPr>
            </w:pP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0CB79023">
            <w:pPr>
              <w:jc w:val="center"/>
              <w:rPr>
                <w:rFonts w:hint="eastAsia" w:ascii="仿宋" w:hAnsi="仿宋" w:eastAsia="仿宋" w:cs="仿宋"/>
                <w:i w:val="0"/>
                <w:iCs w:val="0"/>
                <w:color w:val="000000"/>
                <w:sz w:val="22"/>
                <w:szCs w:val="22"/>
                <w:highlight w:val="none"/>
                <w:u w:val="none"/>
              </w:rPr>
            </w:pP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6DE92216">
            <w:pPr>
              <w:jc w:val="center"/>
              <w:rPr>
                <w:rFonts w:hint="eastAsia" w:ascii="仿宋" w:hAnsi="仿宋" w:eastAsia="仿宋" w:cs="仿宋"/>
                <w:i w:val="0"/>
                <w:iCs w:val="0"/>
                <w:color w:val="000000"/>
                <w:sz w:val="22"/>
                <w:szCs w:val="22"/>
                <w:highlight w:val="none"/>
                <w:u w:val="none"/>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3F48594B">
            <w:pPr>
              <w:jc w:val="center"/>
              <w:rPr>
                <w:rFonts w:hint="eastAsia" w:ascii="仿宋" w:hAnsi="仿宋" w:eastAsia="仿宋" w:cs="仿宋"/>
                <w:i w:val="0"/>
                <w:iCs w:val="0"/>
                <w:color w:val="000000"/>
                <w:sz w:val="22"/>
                <w:szCs w:val="22"/>
                <w:highlight w:val="none"/>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22A83B00">
            <w:pPr>
              <w:jc w:val="center"/>
              <w:rPr>
                <w:rFonts w:hint="eastAsia" w:ascii="仿宋" w:hAnsi="仿宋" w:eastAsia="仿宋" w:cs="仿宋"/>
                <w:i w:val="0"/>
                <w:iCs w:val="0"/>
                <w:color w:val="000000"/>
                <w:sz w:val="22"/>
                <w:szCs w:val="22"/>
                <w:highlight w:val="none"/>
                <w:u w:val="none"/>
              </w:rPr>
            </w:pPr>
          </w:p>
        </w:tc>
      </w:tr>
      <w:tr w14:paraId="10DB4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522125B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7FFF9B21">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532A099F">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16CB4F17">
            <w:pPr>
              <w:jc w:val="center"/>
              <w:rPr>
                <w:rFonts w:hint="eastAsia" w:ascii="仿宋" w:hAnsi="仿宋" w:eastAsia="仿宋" w:cs="仿宋"/>
                <w:i w:val="0"/>
                <w:iCs w:val="0"/>
                <w:color w:val="000000"/>
                <w:sz w:val="22"/>
                <w:szCs w:val="22"/>
                <w:highlight w:val="none"/>
                <w:u w:val="none"/>
              </w:rPr>
            </w:pP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6CC3F7F8">
            <w:pPr>
              <w:jc w:val="center"/>
              <w:rPr>
                <w:rFonts w:hint="eastAsia" w:ascii="仿宋" w:hAnsi="仿宋" w:eastAsia="仿宋" w:cs="仿宋"/>
                <w:i w:val="0"/>
                <w:iCs w:val="0"/>
                <w:color w:val="000000"/>
                <w:sz w:val="22"/>
                <w:szCs w:val="22"/>
                <w:highlight w:val="none"/>
                <w:u w:val="none"/>
              </w:rPr>
            </w:pP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24FB7578">
            <w:pPr>
              <w:jc w:val="center"/>
              <w:rPr>
                <w:rFonts w:hint="eastAsia" w:ascii="仿宋" w:hAnsi="仿宋" w:eastAsia="仿宋" w:cs="仿宋"/>
                <w:i w:val="0"/>
                <w:iCs w:val="0"/>
                <w:color w:val="000000"/>
                <w:sz w:val="22"/>
                <w:szCs w:val="22"/>
                <w:highlight w:val="none"/>
                <w:u w:val="none"/>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3B88480E">
            <w:pPr>
              <w:jc w:val="center"/>
              <w:rPr>
                <w:rFonts w:hint="eastAsia" w:ascii="仿宋" w:hAnsi="仿宋" w:eastAsia="仿宋" w:cs="仿宋"/>
                <w:i w:val="0"/>
                <w:iCs w:val="0"/>
                <w:color w:val="000000"/>
                <w:sz w:val="22"/>
                <w:szCs w:val="22"/>
                <w:highlight w:val="none"/>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22029E7F">
            <w:pPr>
              <w:jc w:val="center"/>
              <w:rPr>
                <w:rFonts w:hint="eastAsia" w:ascii="仿宋" w:hAnsi="仿宋" w:eastAsia="仿宋" w:cs="仿宋"/>
                <w:i w:val="0"/>
                <w:iCs w:val="0"/>
                <w:color w:val="000000"/>
                <w:sz w:val="22"/>
                <w:szCs w:val="22"/>
                <w:highlight w:val="none"/>
                <w:u w:val="none"/>
              </w:rPr>
            </w:pPr>
          </w:p>
        </w:tc>
      </w:tr>
      <w:tr w14:paraId="300C5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1CD32F7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36C99A38">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4AC0D111">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23AAE3C7">
            <w:pPr>
              <w:jc w:val="center"/>
              <w:rPr>
                <w:rFonts w:hint="eastAsia" w:ascii="仿宋" w:hAnsi="仿宋" w:eastAsia="仿宋" w:cs="仿宋"/>
                <w:i w:val="0"/>
                <w:iCs w:val="0"/>
                <w:color w:val="000000"/>
                <w:sz w:val="22"/>
                <w:szCs w:val="22"/>
                <w:highlight w:val="none"/>
                <w:u w:val="none"/>
              </w:rPr>
            </w:pP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510B3486">
            <w:pPr>
              <w:jc w:val="center"/>
              <w:rPr>
                <w:rFonts w:hint="eastAsia" w:ascii="仿宋" w:hAnsi="仿宋" w:eastAsia="仿宋" w:cs="仿宋"/>
                <w:i w:val="0"/>
                <w:iCs w:val="0"/>
                <w:color w:val="000000"/>
                <w:sz w:val="22"/>
                <w:szCs w:val="22"/>
                <w:highlight w:val="none"/>
                <w:u w:val="none"/>
              </w:rPr>
            </w:pP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13117A34">
            <w:pPr>
              <w:jc w:val="center"/>
              <w:rPr>
                <w:rFonts w:hint="eastAsia" w:ascii="仿宋" w:hAnsi="仿宋" w:eastAsia="仿宋" w:cs="仿宋"/>
                <w:i w:val="0"/>
                <w:iCs w:val="0"/>
                <w:color w:val="000000"/>
                <w:sz w:val="22"/>
                <w:szCs w:val="22"/>
                <w:highlight w:val="none"/>
                <w:u w:val="none"/>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2CAB4A37">
            <w:pPr>
              <w:jc w:val="center"/>
              <w:rPr>
                <w:rFonts w:hint="eastAsia" w:ascii="仿宋" w:hAnsi="仿宋" w:eastAsia="仿宋" w:cs="仿宋"/>
                <w:i w:val="0"/>
                <w:iCs w:val="0"/>
                <w:color w:val="000000"/>
                <w:sz w:val="22"/>
                <w:szCs w:val="22"/>
                <w:highlight w:val="none"/>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0423C866">
            <w:pPr>
              <w:jc w:val="center"/>
              <w:rPr>
                <w:rFonts w:hint="eastAsia" w:ascii="仿宋" w:hAnsi="仿宋" w:eastAsia="仿宋" w:cs="仿宋"/>
                <w:i w:val="0"/>
                <w:iCs w:val="0"/>
                <w:color w:val="000000"/>
                <w:sz w:val="22"/>
                <w:szCs w:val="22"/>
                <w:highlight w:val="none"/>
                <w:u w:val="none"/>
              </w:rPr>
            </w:pPr>
          </w:p>
        </w:tc>
      </w:tr>
      <w:tr w14:paraId="42D75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71" w:type="pct"/>
            <w:gridSpan w:val="2"/>
            <w:tcBorders>
              <w:top w:val="nil"/>
              <w:left w:val="nil"/>
              <w:bottom w:val="nil"/>
              <w:right w:val="nil"/>
            </w:tcBorders>
            <w:noWrap/>
            <w:vAlign w:val="center"/>
          </w:tcPr>
          <w:p w14:paraId="4BE6E59C">
            <w:pPr>
              <w:jc w:val="left"/>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制表人：</w:t>
            </w:r>
          </w:p>
        </w:tc>
        <w:tc>
          <w:tcPr>
            <w:tcW w:w="560" w:type="pct"/>
            <w:tcBorders>
              <w:top w:val="nil"/>
              <w:left w:val="nil"/>
              <w:bottom w:val="nil"/>
              <w:right w:val="nil"/>
            </w:tcBorders>
            <w:noWrap/>
            <w:vAlign w:val="center"/>
          </w:tcPr>
          <w:p w14:paraId="499B1264">
            <w:pPr>
              <w:jc w:val="center"/>
              <w:rPr>
                <w:rFonts w:hint="eastAsia" w:ascii="仿宋" w:hAnsi="仿宋" w:eastAsia="仿宋" w:cs="仿宋"/>
                <w:i w:val="0"/>
                <w:iCs w:val="0"/>
                <w:color w:val="000000"/>
                <w:sz w:val="22"/>
                <w:szCs w:val="22"/>
                <w:highlight w:val="none"/>
                <w:u w:val="none"/>
              </w:rPr>
            </w:pPr>
          </w:p>
        </w:tc>
        <w:tc>
          <w:tcPr>
            <w:tcW w:w="560" w:type="pct"/>
            <w:tcBorders>
              <w:top w:val="nil"/>
              <w:left w:val="nil"/>
              <w:bottom w:val="nil"/>
              <w:right w:val="nil"/>
            </w:tcBorders>
            <w:noWrap/>
            <w:vAlign w:val="center"/>
          </w:tcPr>
          <w:p w14:paraId="349F5DA2">
            <w:pPr>
              <w:jc w:val="center"/>
              <w:rPr>
                <w:rFonts w:hint="eastAsia" w:ascii="仿宋" w:hAnsi="仿宋" w:eastAsia="仿宋" w:cs="仿宋"/>
                <w:i w:val="0"/>
                <w:iCs w:val="0"/>
                <w:color w:val="000000"/>
                <w:sz w:val="22"/>
                <w:szCs w:val="22"/>
                <w:highlight w:val="none"/>
                <w:u w:val="none"/>
              </w:rPr>
            </w:pPr>
          </w:p>
        </w:tc>
        <w:tc>
          <w:tcPr>
            <w:tcW w:w="785" w:type="pct"/>
            <w:tcBorders>
              <w:top w:val="nil"/>
              <w:left w:val="nil"/>
              <w:bottom w:val="nil"/>
              <w:right w:val="nil"/>
            </w:tcBorders>
            <w:noWrap/>
            <w:vAlign w:val="center"/>
          </w:tcPr>
          <w:p w14:paraId="7BAFCC00">
            <w:pPr>
              <w:jc w:val="center"/>
              <w:rPr>
                <w:rFonts w:hint="eastAsia" w:ascii="仿宋" w:hAnsi="仿宋" w:eastAsia="仿宋" w:cs="仿宋"/>
                <w:i w:val="0"/>
                <w:iCs w:val="0"/>
                <w:color w:val="000000"/>
                <w:sz w:val="22"/>
                <w:szCs w:val="22"/>
                <w:highlight w:val="none"/>
                <w:u w:val="none"/>
              </w:rPr>
            </w:pPr>
          </w:p>
        </w:tc>
        <w:tc>
          <w:tcPr>
            <w:tcW w:w="716" w:type="pct"/>
            <w:tcBorders>
              <w:top w:val="nil"/>
              <w:left w:val="nil"/>
              <w:bottom w:val="nil"/>
              <w:right w:val="nil"/>
            </w:tcBorders>
            <w:noWrap/>
            <w:vAlign w:val="center"/>
          </w:tcPr>
          <w:p w14:paraId="78DF8EA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制表日期：</w:t>
            </w:r>
          </w:p>
        </w:tc>
        <w:tc>
          <w:tcPr>
            <w:tcW w:w="581" w:type="pct"/>
            <w:tcBorders>
              <w:top w:val="nil"/>
              <w:left w:val="nil"/>
              <w:bottom w:val="nil"/>
              <w:right w:val="nil"/>
            </w:tcBorders>
            <w:noWrap/>
            <w:vAlign w:val="center"/>
          </w:tcPr>
          <w:p w14:paraId="3C039A62">
            <w:pPr>
              <w:jc w:val="left"/>
              <w:rPr>
                <w:rFonts w:hint="eastAsia" w:ascii="仿宋" w:hAnsi="仿宋" w:eastAsia="仿宋" w:cs="仿宋"/>
                <w:i w:val="0"/>
                <w:iCs w:val="0"/>
                <w:color w:val="000000"/>
                <w:sz w:val="22"/>
                <w:szCs w:val="22"/>
                <w:highlight w:val="none"/>
                <w:u w:val="none"/>
              </w:rPr>
            </w:pPr>
          </w:p>
        </w:tc>
        <w:tc>
          <w:tcPr>
            <w:tcW w:w="625" w:type="pct"/>
            <w:tcBorders>
              <w:top w:val="nil"/>
              <w:left w:val="nil"/>
              <w:bottom w:val="nil"/>
              <w:right w:val="nil"/>
            </w:tcBorders>
            <w:noWrap/>
            <w:vAlign w:val="center"/>
          </w:tcPr>
          <w:p w14:paraId="6653AF7F">
            <w:pPr>
              <w:jc w:val="center"/>
              <w:rPr>
                <w:rFonts w:hint="eastAsia" w:ascii="仿宋" w:hAnsi="仿宋" w:eastAsia="仿宋" w:cs="仿宋"/>
                <w:i w:val="0"/>
                <w:iCs w:val="0"/>
                <w:color w:val="000000"/>
                <w:sz w:val="22"/>
                <w:szCs w:val="22"/>
                <w:highlight w:val="none"/>
                <w:u w:val="none"/>
              </w:rPr>
            </w:pPr>
          </w:p>
        </w:tc>
      </w:tr>
      <w:tr w14:paraId="7F93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7" w:type="pct"/>
            <w:tcBorders>
              <w:top w:val="nil"/>
              <w:left w:val="nil"/>
              <w:bottom w:val="nil"/>
              <w:right w:val="nil"/>
            </w:tcBorders>
            <w:noWrap/>
            <w:vAlign w:val="bottom"/>
          </w:tcPr>
          <w:p w14:paraId="7C1AE1D7">
            <w:pPr>
              <w:rPr>
                <w:rFonts w:hint="eastAsia" w:ascii="仿宋" w:hAnsi="仿宋" w:eastAsia="仿宋" w:cs="仿宋"/>
                <w:i w:val="0"/>
                <w:iCs w:val="0"/>
                <w:color w:val="000000"/>
                <w:sz w:val="22"/>
                <w:szCs w:val="22"/>
                <w:highlight w:val="none"/>
                <w:u w:val="none"/>
              </w:rPr>
            </w:pPr>
          </w:p>
        </w:tc>
        <w:tc>
          <w:tcPr>
            <w:tcW w:w="743" w:type="pct"/>
            <w:tcBorders>
              <w:top w:val="nil"/>
              <w:left w:val="nil"/>
              <w:bottom w:val="nil"/>
              <w:right w:val="nil"/>
            </w:tcBorders>
            <w:noWrap/>
            <w:vAlign w:val="center"/>
          </w:tcPr>
          <w:p w14:paraId="39AFF235">
            <w:pPr>
              <w:jc w:val="center"/>
              <w:rPr>
                <w:rFonts w:hint="eastAsia" w:ascii="仿宋" w:hAnsi="仿宋" w:eastAsia="仿宋" w:cs="仿宋"/>
                <w:i w:val="0"/>
                <w:iCs w:val="0"/>
                <w:color w:val="000000"/>
                <w:sz w:val="22"/>
                <w:szCs w:val="22"/>
                <w:highlight w:val="none"/>
                <w:u w:val="none"/>
              </w:rPr>
            </w:pPr>
          </w:p>
        </w:tc>
        <w:tc>
          <w:tcPr>
            <w:tcW w:w="560" w:type="pct"/>
            <w:tcBorders>
              <w:top w:val="nil"/>
              <w:left w:val="nil"/>
              <w:bottom w:val="nil"/>
              <w:right w:val="nil"/>
            </w:tcBorders>
            <w:noWrap/>
            <w:vAlign w:val="center"/>
          </w:tcPr>
          <w:p w14:paraId="2004A52A">
            <w:pPr>
              <w:jc w:val="center"/>
              <w:rPr>
                <w:rFonts w:hint="eastAsia" w:ascii="仿宋" w:hAnsi="仿宋" w:eastAsia="仿宋" w:cs="仿宋"/>
                <w:i w:val="0"/>
                <w:iCs w:val="0"/>
                <w:color w:val="000000"/>
                <w:sz w:val="22"/>
                <w:szCs w:val="22"/>
                <w:highlight w:val="none"/>
                <w:u w:val="none"/>
              </w:rPr>
            </w:pPr>
          </w:p>
        </w:tc>
        <w:tc>
          <w:tcPr>
            <w:tcW w:w="560" w:type="pct"/>
            <w:tcBorders>
              <w:top w:val="nil"/>
              <w:left w:val="nil"/>
              <w:bottom w:val="nil"/>
              <w:right w:val="nil"/>
            </w:tcBorders>
            <w:noWrap/>
            <w:vAlign w:val="center"/>
          </w:tcPr>
          <w:p w14:paraId="0D984F77">
            <w:pPr>
              <w:jc w:val="center"/>
              <w:rPr>
                <w:rFonts w:hint="eastAsia" w:ascii="仿宋" w:hAnsi="仿宋" w:eastAsia="仿宋" w:cs="仿宋"/>
                <w:i w:val="0"/>
                <w:iCs w:val="0"/>
                <w:color w:val="000000"/>
                <w:sz w:val="22"/>
                <w:szCs w:val="22"/>
                <w:highlight w:val="none"/>
                <w:u w:val="none"/>
              </w:rPr>
            </w:pPr>
          </w:p>
        </w:tc>
        <w:tc>
          <w:tcPr>
            <w:tcW w:w="785" w:type="pct"/>
            <w:tcBorders>
              <w:top w:val="nil"/>
              <w:left w:val="nil"/>
              <w:bottom w:val="nil"/>
              <w:right w:val="nil"/>
            </w:tcBorders>
            <w:noWrap/>
            <w:vAlign w:val="center"/>
          </w:tcPr>
          <w:p w14:paraId="55C926EC">
            <w:pPr>
              <w:jc w:val="center"/>
              <w:rPr>
                <w:rFonts w:hint="eastAsia" w:ascii="仿宋" w:hAnsi="仿宋" w:eastAsia="仿宋" w:cs="仿宋"/>
                <w:i w:val="0"/>
                <w:iCs w:val="0"/>
                <w:color w:val="000000"/>
                <w:sz w:val="22"/>
                <w:szCs w:val="22"/>
                <w:highlight w:val="none"/>
                <w:u w:val="none"/>
              </w:rPr>
            </w:pPr>
          </w:p>
        </w:tc>
        <w:tc>
          <w:tcPr>
            <w:tcW w:w="716" w:type="pct"/>
            <w:tcBorders>
              <w:top w:val="nil"/>
              <w:left w:val="nil"/>
              <w:bottom w:val="nil"/>
              <w:right w:val="nil"/>
            </w:tcBorders>
            <w:noWrap/>
            <w:vAlign w:val="center"/>
          </w:tcPr>
          <w:p w14:paraId="467A6D0A">
            <w:pPr>
              <w:jc w:val="center"/>
              <w:rPr>
                <w:rFonts w:hint="eastAsia" w:ascii="仿宋" w:hAnsi="仿宋" w:eastAsia="仿宋" w:cs="仿宋"/>
                <w:i w:val="0"/>
                <w:iCs w:val="0"/>
                <w:color w:val="000000"/>
                <w:sz w:val="22"/>
                <w:szCs w:val="22"/>
                <w:highlight w:val="none"/>
                <w:u w:val="none"/>
              </w:rPr>
            </w:pPr>
          </w:p>
        </w:tc>
        <w:tc>
          <w:tcPr>
            <w:tcW w:w="581" w:type="pct"/>
            <w:tcBorders>
              <w:top w:val="nil"/>
              <w:left w:val="nil"/>
              <w:bottom w:val="nil"/>
              <w:right w:val="nil"/>
            </w:tcBorders>
            <w:noWrap/>
            <w:vAlign w:val="center"/>
          </w:tcPr>
          <w:p w14:paraId="51199ED2">
            <w:pPr>
              <w:jc w:val="center"/>
              <w:rPr>
                <w:rFonts w:hint="eastAsia" w:ascii="仿宋" w:hAnsi="仿宋" w:eastAsia="仿宋" w:cs="仿宋"/>
                <w:i w:val="0"/>
                <w:iCs w:val="0"/>
                <w:color w:val="000000"/>
                <w:sz w:val="22"/>
                <w:szCs w:val="22"/>
                <w:highlight w:val="none"/>
                <w:u w:val="none"/>
              </w:rPr>
            </w:pPr>
          </w:p>
        </w:tc>
        <w:tc>
          <w:tcPr>
            <w:tcW w:w="625" w:type="pct"/>
            <w:tcBorders>
              <w:top w:val="nil"/>
              <w:left w:val="nil"/>
              <w:bottom w:val="nil"/>
              <w:right w:val="nil"/>
            </w:tcBorders>
            <w:noWrap/>
            <w:vAlign w:val="center"/>
          </w:tcPr>
          <w:p w14:paraId="054D6B66">
            <w:pPr>
              <w:jc w:val="center"/>
              <w:rPr>
                <w:rFonts w:hint="eastAsia" w:ascii="仿宋" w:hAnsi="仿宋" w:eastAsia="仿宋" w:cs="仿宋"/>
                <w:i w:val="0"/>
                <w:iCs w:val="0"/>
                <w:color w:val="000000"/>
                <w:sz w:val="22"/>
                <w:szCs w:val="22"/>
                <w:highlight w:val="none"/>
                <w:u w:val="none"/>
              </w:rPr>
            </w:pPr>
          </w:p>
        </w:tc>
      </w:tr>
      <w:tr w14:paraId="2856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7" w:type="pct"/>
            <w:tcBorders>
              <w:top w:val="nil"/>
              <w:left w:val="nil"/>
              <w:bottom w:val="nil"/>
              <w:right w:val="nil"/>
            </w:tcBorders>
            <w:noWrap/>
            <w:vAlign w:val="bottom"/>
          </w:tcPr>
          <w:p w14:paraId="78BC9718">
            <w:pPr>
              <w:rPr>
                <w:rFonts w:hint="eastAsia" w:ascii="仿宋" w:hAnsi="仿宋" w:eastAsia="仿宋" w:cs="仿宋"/>
                <w:i w:val="0"/>
                <w:iCs w:val="0"/>
                <w:color w:val="000000"/>
                <w:sz w:val="22"/>
                <w:szCs w:val="22"/>
                <w:highlight w:val="none"/>
                <w:u w:val="none"/>
              </w:rPr>
            </w:pPr>
          </w:p>
        </w:tc>
        <w:tc>
          <w:tcPr>
            <w:tcW w:w="743" w:type="pct"/>
            <w:tcBorders>
              <w:top w:val="nil"/>
              <w:left w:val="nil"/>
              <w:bottom w:val="nil"/>
              <w:right w:val="nil"/>
            </w:tcBorders>
            <w:noWrap/>
            <w:vAlign w:val="center"/>
          </w:tcPr>
          <w:p w14:paraId="257AA88E">
            <w:pPr>
              <w:rPr>
                <w:rFonts w:hint="eastAsia" w:ascii="仿宋" w:hAnsi="仿宋" w:eastAsia="仿宋" w:cs="仿宋"/>
                <w:i w:val="0"/>
                <w:iCs w:val="0"/>
                <w:color w:val="000000"/>
                <w:sz w:val="22"/>
                <w:szCs w:val="22"/>
                <w:highlight w:val="none"/>
                <w:u w:val="none"/>
              </w:rPr>
            </w:pPr>
          </w:p>
        </w:tc>
        <w:tc>
          <w:tcPr>
            <w:tcW w:w="560" w:type="pct"/>
            <w:tcBorders>
              <w:top w:val="nil"/>
              <w:left w:val="nil"/>
              <w:bottom w:val="nil"/>
              <w:right w:val="nil"/>
            </w:tcBorders>
            <w:noWrap/>
            <w:vAlign w:val="center"/>
          </w:tcPr>
          <w:p w14:paraId="2F561B9C">
            <w:pPr>
              <w:rPr>
                <w:rFonts w:hint="eastAsia" w:ascii="仿宋" w:hAnsi="仿宋" w:eastAsia="仿宋" w:cs="仿宋"/>
                <w:i w:val="0"/>
                <w:iCs w:val="0"/>
                <w:color w:val="000000"/>
                <w:sz w:val="22"/>
                <w:szCs w:val="22"/>
                <w:highlight w:val="none"/>
                <w:u w:val="none"/>
              </w:rPr>
            </w:pPr>
          </w:p>
        </w:tc>
        <w:tc>
          <w:tcPr>
            <w:tcW w:w="2061" w:type="pct"/>
            <w:gridSpan w:val="3"/>
            <w:tcBorders>
              <w:top w:val="nil"/>
              <w:left w:val="nil"/>
              <w:bottom w:val="nil"/>
              <w:right w:val="nil"/>
            </w:tcBorders>
            <w:noWrap/>
            <w:vAlign w:val="center"/>
          </w:tcPr>
          <w:p w14:paraId="049304A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收款公司名称：（加盖公章）</w:t>
            </w:r>
          </w:p>
        </w:tc>
        <w:tc>
          <w:tcPr>
            <w:tcW w:w="581" w:type="pct"/>
            <w:tcBorders>
              <w:top w:val="nil"/>
              <w:left w:val="nil"/>
              <w:bottom w:val="nil"/>
              <w:right w:val="nil"/>
            </w:tcBorders>
            <w:noWrap/>
            <w:vAlign w:val="center"/>
          </w:tcPr>
          <w:p w14:paraId="7B51F2DB">
            <w:pPr>
              <w:rPr>
                <w:rFonts w:hint="eastAsia" w:ascii="仿宋" w:hAnsi="仿宋" w:eastAsia="仿宋" w:cs="仿宋"/>
                <w:i w:val="0"/>
                <w:iCs w:val="0"/>
                <w:color w:val="000000"/>
                <w:sz w:val="22"/>
                <w:szCs w:val="22"/>
                <w:highlight w:val="none"/>
                <w:u w:val="none"/>
              </w:rPr>
            </w:pPr>
          </w:p>
        </w:tc>
        <w:tc>
          <w:tcPr>
            <w:tcW w:w="625" w:type="pct"/>
            <w:tcBorders>
              <w:top w:val="nil"/>
              <w:left w:val="nil"/>
              <w:bottom w:val="nil"/>
              <w:right w:val="nil"/>
            </w:tcBorders>
            <w:noWrap/>
            <w:vAlign w:val="bottom"/>
          </w:tcPr>
          <w:p w14:paraId="381CEF94">
            <w:pPr>
              <w:rPr>
                <w:rFonts w:hint="eastAsia" w:ascii="仿宋" w:hAnsi="仿宋" w:eastAsia="仿宋" w:cs="仿宋"/>
                <w:i w:val="0"/>
                <w:iCs w:val="0"/>
                <w:color w:val="000000"/>
                <w:sz w:val="22"/>
                <w:szCs w:val="22"/>
                <w:highlight w:val="none"/>
                <w:u w:val="none"/>
              </w:rPr>
            </w:pPr>
          </w:p>
        </w:tc>
      </w:tr>
      <w:tr w14:paraId="03A95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7" w:type="pct"/>
            <w:tcBorders>
              <w:top w:val="nil"/>
              <w:left w:val="nil"/>
              <w:bottom w:val="nil"/>
              <w:right w:val="nil"/>
            </w:tcBorders>
            <w:noWrap/>
            <w:vAlign w:val="center"/>
          </w:tcPr>
          <w:p w14:paraId="0ABE98DF">
            <w:pPr>
              <w:jc w:val="center"/>
              <w:rPr>
                <w:rFonts w:hint="eastAsia" w:ascii="仿宋" w:hAnsi="仿宋" w:eastAsia="仿宋" w:cs="仿宋"/>
                <w:i w:val="0"/>
                <w:iCs w:val="0"/>
                <w:color w:val="000000"/>
                <w:sz w:val="22"/>
                <w:szCs w:val="22"/>
                <w:highlight w:val="none"/>
                <w:u w:val="none"/>
              </w:rPr>
            </w:pPr>
          </w:p>
        </w:tc>
        <w:tc>
          <w:tcPr>
            <w:tcW w:w="743" w:type="pct"/>
            <w:tcBorders>
              <w:top w:val="nil"/>
              <w:left w:val="nil"/>
              <w:bottom w:val="nil"/>
              <w:right w:val="nil"/>
            </w:tcBorders>
            <w:noWrap/>
            <w:vAlign w:val="center"/>
          </w:tcPr>
          <w:p w14:paraId="667675DE">
            <w:pPr>
              <w:jc w:val="center"/>
              <w:rPr>
                <w:rFonts w:hint="eastAsia" w:ascii="仿宋" w:hAnsi="仿宋" w:eastAsia="仿宋" w:cs="仿宋"/>
                <w:i w:val="0"/>
                <w:iCs w:val="0"/>
                <w:color w:val="000000"/>
                <w:sz w:val="22"/>
                <w:szCs w:val="22"/>
                <w:highlight w:val="none"/>
                <w:u w:val="none"/>
              </w:rPr>
            </w:pPr>
          </w:p>
        </w:tc>
        <w:tc>
          <w:tcPr>
            <w:tcW w:w="560" w:type="pct"/>
            <w:tcBorders>
              <w:top w:val="nil"/>
              <w:left w:val="nil"/>
              <w:bottom w:val="nil"/>
              <w:right w:val="nil"/>
            </w:tcBorders>
            <w:noWrap/>
            <w:vAlign w:val="center"/>
          </w:tcPr>
          <w:p w14:paraId="7D1DAA0F">
            <w:pPr>
              <w:jc w:val="center"/>
              <w:rPr>
                <w:rFonts w:hint="eastAsia" w:ascii="仿宋" w:hAnsi="仿宋" w:eastAsia="仿宋" w:cs="仿宋"/>
                <w:i w:val="0"/>
                <w:iCs w:val="0"/>
                <w:color w:val="000000"/>
                <w:sz w:val="22"/>
                <w:szCs w:val="22"/>
                <w:highlight w:val="none"/>
                <w:u w:val="none"/>
              </w:rPr>
            </w:pPr>
          </w:p>
        </w:tc>
        <w:tc>
          <w:tcPr>
            <w:tcW w:w="2061" w:type="pct"/>
            <w:gridSpan w:val="3"/>
            <w:tcBorders>
              <w:top w:val="nil"/>
              <w:left w:val="nil"/>
              <w:bottom w:val="nil"/>
              <w:right w:val="nil"/>
            </w:tcBorders>
            <w:noWrap/>
            <w:vAlign w:val="center"/>
          </w:tcPr>
          <w:p w14:paraId="654776D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收款公司负责人：（签名）</w:t>
            </w:r>
          </w:p>
        </w:tc>
        <w:tc>
          <w:tcPr>
            <w:tcW w:w="581" w:type="pct"/>
            <w:tcBorders>
              <w:top w:val="nil"/>
              <w:left w:val="nil"/>
              <w:bottom w:val="nil"/>
              <w:right w:val="nil"/>
            </w:tcBorders>
            <w:noWrap/>
            <w:vAlign w:val="center"/>
          </w:tcPr>
          <w:p w14:paraId="56B78054">
            <w:pPr>
              <w:jc w:val="left"/>
              <w:rPr>
                <w:rFonts w:hint="eastAsia" w:ascii="仿宋" w:hAnsi="仿宋" w:eastAsia="仿宋" w:cs="仿宋"/>
                <w:i w:val="0"/>
                <w:iCs w:val="0"/>
                <w:color w:val="000000"/>
                <w:sz w:val="22"/>
                <w:szCs w:val="22"/>
                <w:highlight w:val="none"/>
                <w:u w:val="none"/>
              </w:rPr>
            </w:pPr>
          </w:p>
        </w:tc>
        <w:tc>
          <w:tcPr>
            <w:tcW w:w="625" w:type="pct"/>
            <w:tcBorders>
              <w:top w:val="nil"/>
              <w:left w:val="nil"/>
              <w:bottom w:val="nil"/>
              <w:right w:val="nil"/>
            </w:tcBorders>
            <w:noWrap/>
            <w:vAlign w:val="bottom"/>
          </w:tcPr>
          <w:p w14:paraId="45FA463B">
            <w:pPr>
              <w:rPr>
                <w:rFonts w:hint="eastAsia" w:ascii="仿宋" w:hAnsi="仿宋" w:eastAsia="仿宋" w:cs="仿宋"/>
                <w:i w:val="0"/>
                <w:iCs w:val="0"/>
                <w:color w:val="000000"/>
                <w:sz w:val="22"/>
                <w:szCs w:val="22"/>
                <w:highlight w:val="none"/>
                <w:u w:val="none"/>
              </w:rPr>
            </w:pPr>
          </w:p>
        </w:tc>
      </w:tr>
      <w:tr w14:paraId="7EEC2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7" w:type="pct"/>
            <w:tcBorders>
              <w:top w:val="nil"/>
              <w:left w:val="nil"/>
              <w:bottom w:val="nil"/>
              <w:right w:val="nil"/>
            </w:tcBorders>
            <w:noWrap/>
            <w:vAlign w:val="center"/>
          </w:tcPr>
          <w:p w14:paraId="247CD6AC">
            <w:pPr>
              <w:jc w:val="center"/>
              <w:rPr>
                <w:rFonts w:hint="eastAsia" w:ascii="仿宋" w:hAnsi="仿宋" w:eastAsia="仿宋" w:cs="仿宋"/>
                <w:i w:val="0"/>
                <w:iCs w:val="0"/>
                <w:color w:val="000000"/>
                <w:sz w:val="22"/>
                <w:szCs w:val="22"/>
                <w:highlight w:val="none"/>
                <w:u w:val="none"/>
              </w:rPr>
            </w:pPr>
          </w:p>
        </w:tc>
        <w:tc>
          <w:tcPr>
            <w:tcW w:w="743" w:type="pct"/>
            <w:tcBorders>
              <w:top w:val="nil"/>
              <w:left w:val="nil"/>
              <w:bottom w:val="nil"/>
              <w:right w:val="nil"/>
            </w:tcBorders>
            <w:noWrap/>
            <w:vAlign w:val="center"/>
          </w:tcPr>
          <w:p w14:paraId="734120EE">
            <w:pPr>
              <w:jc w:val="center"/>
              <w:rPr>
                <w:rFonts w:hint="eastAsia" w:ascii="仿宋" w:hAnsi="仿宋" w:eastAsia="仿宋" w:cs="仿宋"/>
                <w:i w:val="0"/>
                <w:iCs w:val="0"/>
                <w:color w:val="000000"/>
                <w:sz w:val="22"/>
                <w:szCs w:val="22"/>
                <w:highlight w:val="none"/>
                <w:u w:val="none"/>
              </w:rPr>
            </w:pPr>
          </w:p>
        </w:tc>
        <w:tc>
          <w:tcPr>
            <w:tcW w:w="560" w:type="pct"/>
            <w:tcBorders>
              <w:top w:val="nil"/>
              <w:left w:val="nil"/>
              <w:bottom w:val="nil"/>
              <w:right w:val="nil"/>
            </w:tcBorders>
            <w:noWrap/>
            <w:vAlign w:val="center"/>
          </w:tcPr>
          <w:p w14:paraId="66416572">
            <w:pPr>
              <w:jc w:val="center"/>
              <w:rPr>
                <w:rFonts w:hint="eastAsia" w:ascii="仿宋" w:hAnsi="仿宋" w:eastAsia="仿宋" w:cs="仿宋"/>
                <w:i w:val="0"/>
                <w:iCs w:val="0"/>
                <w:color w:val="000000"/>
                <w:sz w:val="22"/>
                <w:szCs w:val="22"/>
                <w:highlight w:val="none"/>
                <w:u w:val="none"/>
              </w:rPr>
            </w:pPr>
          </w:p>
        </w:tc>
        <w:tc>
          <w:tcPr>
            <w:tcW w:w="560" w:type="pct"/>
            <w:tcBorders>
              <w:top w:val="nil"/>
              <w:left w:val="nil"/>
              <w:bottom w:val="nil"/>
              <w:right w:val="nil"/>
            </w:tcBorders>
            <w:noWrap/>
            <w:vAlign w:val="center"/>
          </w:tcPr>
          <w:p w14:paraId="126D22A5">
            <w:pPr>
              <w:jc w:val="center"/>
              <w:rPr>
                <w:rFonts w:hint="eastAsia" w:ascii="仿宋" w:hAnsi="仿宋" w:eastAsia="仿宋" w:cs="仿宋"/>
                <w:i w:val="0"/>
                <w:iCs w:val="0"/>
                <w:color w:val="000000"/>
                <w:sz w:val="22"/>
                <w:szCs w:val="22"/>
                <w:highlight w:val="none"/>
                <w:u w:val="none"/>
              </w:rPr>
            </w:pPr>
          </w:p>
        </w:tc>
        <w:tc>
          <w:tcPr>
            <w:tcW w:w="785" w:type="pct"/>
            <w:tcBorders>
              <w:top w:val="nil"/>
              <w:left w:val="nil"/>
              <w:bottom w:val="nil"/>
              <w:right w:val="nil"/>
            </w:tcBorders>
            <w:noWrap/>
            <w:vAlign w:val="center"/>
          </w:tcPr>
          <w:p w14:paraId="7F511905">
            <w:pPr>
              <w:jc w:val="center"/>
              <w:rPr>
                <w:rFonts w:hint="eastAsia" w:ascii="仿宋" w:hAnsi="仿宋" w:eastAsia="仿宋" w:cs="仿宋"/>
                <w:i w:val="0"/>
                <w:iCs w:val="0"/>
                <w:color w:val="000000"/>
                <w:sz w:val="22"/>
                <w:szCs w:val="22"/>
                <w:highlight w:val="none"/>
                <w:u w:val="none"/>
              </w:rPr>
            </w:pPr>
          </w:p>
        </w:tc>
        <w:tc>
          <w:tcPr>
            <w:tcW w:w="716" w:type="pct"/>
            <w:tcBorders>
              <w:top w:val="nil"/>
              <w:left w:val="nil"/>
              <w:bottom w:val="nil"/>
              <w:right w:val="nil"/>
            </w:tcBorders>
            <w:noWrap/>
            <w:vAlign w:val="center"/>
          </w:tcPr>
          <w:p w14:paraId="281122C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p>
        </w:tc>
        <w:tc>
          <w:tcPr>
            <w:tcW w:w="581" w:type="pct"/>
            <w:tcBorders>
              <w:top w:val="nil"/>
              <w:left w:val="nil"/>
              <w:bottom w:val="nil"/>
              <w:right w:val="nil"/>
            </w:tcBorders>
            <w:noWrap/>
            <w:vAlign w:val="center"/>
          </w:tcPr>
          <w:p w14:paraId="22E1F3D1">
            <w:pPr>
              <w:jc w:val="center"/>
              <w:rPr>
                <w:rFonts w:hint="eastAsia" w:ascii="仿宋" w:hAnsi="仿宋" w:eastAsia="仿宋" w:cs="仿宋"/>
                <w:i w:val="0"/>
                <w:iCs w:val="0"/>
                <w:color w:val="000000"/>
                <w:sz w:val="22"/>
                <w:szCs w:val="22"/>
                <w:highlight w:val="none"/>
                <w:u w:val="none"/>
              </w:rPr>
            </w:pPr>
          </w:p>
        </w:tc>
        <w:tc>
          <w:tcPr>
            <w:tcW w:w="625" w:type="pct"/>
            <w:tcBorders>
              <w:top w:val="nil"/>
              <w:left w:val="nil"/>
              <w:bottom w:val="nil"/>
              <w:right w:val="nil"/>
            </w:tcBorders>
            <w:noWrap/>
            <w:vAlign w:val="bottom"/>
          </w:tcPr>
          <w:p w14:paraId="34A4B4C9">
            <w:pPr>
              <w:rPr>
                <w:rFonts w:hint="eastAsia" w:ascii="仿宋" w:hAnsi="仿宋" w:eastAsia="仿宋" w:cs="仿宋"/>
                <w:i w:val="0"/>
                <w:iCs w:val="0"/>
                <w:color w:val="000000"/>
                <w:sz w:val="22"/>
                <w:szCs w:val="22"/>
                <w:highlight w:val="none"/>
                <w:u w:val="none"/>
              </w:rPr>
            </w:pPr>
          </w:p>
        </w:tc>
      </w:tr>
    </w:tbl>
    <w:p w14:paraId="756EA38E">
      <w:pPr>
        <w:pStyle w:val="2"/>
        <w:tabs>
          <w:tab w:val="left" w:pos="840"/>
          <w:tab w:val="clear" w:pos="-116"/>
          <w:tab w:val="clear" w:pos="420"/>
        </w:tabs>
        <w:rPr>
          <w:rFonts w:hint="eastAsia" w:ascii="仿宋" w:hAnsi="仿宋" w:eastAsia="仿宋" w:cs="仿宋"/>
          <w:bCs/>
          <w:color w:val="auto"/>
          <w:kern w:val="0"/>
          <w:sz w:val="24"/>
          <w:szCs w:val="24"/>
          <w:highlight w:val="none"/>
          <w:lang w:val="en-US" w:eastAsia="zh-CN"/>
        </w:rPr>
      </w:pPr>
    </w:p>
    <w:p w14:paraId="44098030">
      <w:pPr>
        <w:jc w:val="right"/>
        <w:rPr>
          <w:rFonts w:hint="eastAsia" w:ascii="仿宋" w:hAnsi="仿宋" w:eastAsia="仿宋" w:cs="仿宋"/>
          <w:b/>
          <w:bCs/>
          <w:color w:val="auto"/>
          <w:sz w:val="44"/>
          <w:szCs w:val="44"/>
          <w:highlight w:val="none"/>
          <w:lang w:val="en-US" w:eastAsia="zh-CN"/>
        </w:rPr>
      </w:pPr>
    </w:p>
    <w:p w14:paraId="0C18A988">
      <w:pPr>
        <w:jc w:val="right"/>
        <w:rPr>
          <w:rFonts w:hint="eastAsia" w:ascii="仿宋" w:hAnsi="仿宋" w:eastAsia="仿宋" w:cs="仿宋"/>
          <w:b/>
          <w:bCs/>
          <w:color w:val="auto"/>
          <w:sz w:val="44"/>
          <w:szCs w:val="44"/>
          <w:highlight w:val="none"/>
          <w:lang w:val="en-US" w:eastAsia="zh-CN"/>
        </w:rPr>
      </w:pPr>
    </w:p>
    <w:p w14:paraId="32F1B529">
      <w:pPr>
        <w:jc w:val="right"/>
        <w:rPr>
          <w:rFonts w:hint="eastAsia" w:ascii="仿宋" w:hAnsi="仿宋" w:eastAsia="仿宋" w:cs="仿宋"/>
          <w:b/>
          <w:bCs/>
          <w:color w:val="auto"/>
          <w:sz w:val="44"/>
          <w:szCs w:val="44"/>
          <w:highlight w:val="none"/>
          <w:lang w:val="en-US" w:eastAsia="zh-CN"/>
        </w:rPr>
      </w:pPr>
    </w:p>
    <w:p w14:paraId="2944E50A">
      <w:pPr>
        <w:jc w:val="right"/>
        <w:rPr>
          <w:rFonts w:hint="eastAsia" w:ascii="仿宋" w:hAnsi="仿宋" w:eastAsia="仿宋" w:cs="仿宋"/>
          <w:b/>
          <w:bCs/>
          <w:color w:val="auto"/>
          <w:sz w:val="44"/>
          <w:szCs w:val="44"/>
          <w:highlight w:val="none"/>
          <w:lang w:val="en-US" w:eastAsia="zh-CN"/>
        </w:rPr>
      </w:pPr>
    </w:p>
    <w:p w14:paraId="579A667F">
      <w:pPr>
        <w:jc w:val="right"/>
        <w:rPr>
          <w:rFonts w:hint="eastAsia" w:ascii="仿宋" w:hAnsi="仿宋" w:eastAsia="仿宋" w:cs="仿宋"/>
          <w:b/>
          <w:bCs/>
          <w:color w:val="auto"/>
          <w:sz w:val="44"/>
          <w:szCs w:val="44"/>
          <w:highlight w:val="none"/>
          <w:lang w:val="en-US" w:eastAsia="zh-CN"/>
        </w:rPr>
      </w:pPr>
    </w:p>
    <w:p w14:paraId="56C6AEDE">
      <w:pPr>
        <w:jc w:val="both"/>
        <w:rPr>
          <w:rFonts w:hint="eastAsia" w:ascii="仿宋" w:hAnsi="仿宋" w:eastAsia="仿宋" w:cs="仿宋"/>
          <w:b/>
          <w:bCs/>
          <w:color w:val="auto"/>
          <w:sz w:val="44"/>
          <w:szCs w:val="44"/>
          <w:highlight w:val="none"/>
          <w:lang w:val="en-US" w:eastAsia="zh-CN"/>
        </w:rPr>
      </w:pPr>
    </w:p>
    <w:p w14:paraId="7AE34BB7">
      <w:pPr>
        <w:jc w:val="right"/>
        <w:outlineLvl w:val="0"/>
        <w:rPr>
          <w:rFonts w:hint="eastAsia" w:ascii="仿宋" w:hAnsi="仿宋" w:eastAsia="仿宋" w:cs="仿宋"/>
          <w:b/>
          <w:bCs/>
          <w:color w:val="auto"/>
          <w:sz w:val="44"/>
          <w:szCs w:val="44"/>
          <w:highlight w:val="none"/>
          <w:lang w:val="en-US" w:eastAsia="zh-CN"/>
        </w:rPr>
      </w:pPr>
      <w:bookmarkStart w:id="138" w:name="_Toc16723"/>
      <w:bookmarkStart w:id="139" w:name="_Toc19067"/>
    </w:p>
    <w:p w14:paraId="28030D6B">
      <w:pPr>
        <w:jc w:val="both"/>
        <w:outlineLvl w:val="0"/>
        <w:rPr>
          <w:rFonts w:hint="eastAsia" w:ascii="仿宋" w:hAnsi="仿宋" w:eastAsia="仿宋" w:cs="仿宋"/>
          <w:b/>
          <w:bCs/>
          <w:color w:val="auto"/>
          <w:sz w:val="44"/>
          <w:szCs w:val="44"/>
          <w:highlight w:val="none"/>
          <w:lang w:val="en-US" w:eastAsia="zh-CN"/>
        </w:rPr>
      </w:pPr>
    </w:p>
    <w:p w14:paraId="22352F2C">
      <w:pPr>
        <w:jc w:val="right"/>
        <w:outlineLvl w:val="0"/>
        <w:rPr>
          <w:rFonts w:hint="eastAsia" w:ascii="仿宋" w:hAnsi="仿宋" w:eastAsia="仿宋" w:cs="仿宋"/>
          <w:b/>
          <w:bCs/>
          <w:color w:val="auto"/>
          <w:sz w:val="44"/>
          <w:szCs w:val="44"/>
          <w:highlight w:val="none"/>
          <w:lang w:val="en-US" w:eastAsia="zh-CN"/>
        </w:rPr>
      </w:pPr>
      <w:bookmarkStart w:id="140" w:name="_Toc14727"/>
      <w:bookmarkStart w:id="141" w:name="_Toc32530"/>
      <w:bookmarkStart w:id="142" w:name="_Toc29464"/>
      <w:bookmarkStart w:id="143" w:name="_Toc11241"/>
      <w:bookmarkStart w:id="144" w:name="_Toc13454"/>
      <w:r>
        <w:rPr>
          <w:rFonts w:hint="eastAsia" w:ascii="仿宋" w:hAnsi="仿宋" w:eastAsia="仿宋" w:cs="仿宋"/>
          <w:b/>
          <w:bCs/>
          <w:color w:val="auto"/>
          <w:sz w:val="44"/>
          <w:szCs w:val="44"/>
          <w:highlight w:val="none"/>
          <w:lang w:val="en-US" w:eastAsia="zh-CN"/>
        </w:rPr>
        <w:t>附件五</w:t>
      </w:r>
      <w:bookmarkEnd w:id="138"/>
      <w:bookmarkEnd w:id="139"/>
      <w:bookmarkEnd w:id="140"/>
      <w:bookmarkEnd w:id="141"/>
      <w:bookmarkEnd w:id="142"/>
      <w:bookmarkEnd w:id="143"/>
      <w:bookmarkEnd w:id="144"/>
    </w:p>
    <w:p w14:paraId="713C996E">
      <w:pPr>
        <w:jc w:val="center"/>
        <w:outlineLvl w:val="0"/>
        <w:rPr>
          <w:rFonts w:hint="eastAsia" w:ascii="仿宋" w:hAnsi="仿宋" w:eastAsia="仿宋" w:cs="仿宋"/>
          <w:b/>
          <w:bCs/>
          <w:color w:val="auto"/>
          <w:sz w:val="44"/>
          <w:szCs w:val="44"/>
          <w:highlight w:val="none"/>
        </w:rPr>
      </w:pPr>
      <w:bookmarkStart w:id="145" w:name="_Toc14992"/>
      <w:bookmarkStart w:id="146" w:name="_Toc24167"/>
    </w:p>
    <w:p w14:paraId="42BD62CF">
      <w:pPr>
        <w:jc w:val="center"/>
        <w:outlineLvl w:val="0"/>
        <w:rPr>
          <w:rFonts w:hint="eastAsia" w:ascii="仿宋" w:hAnsi="仿宋" w:eastAsia="仿宋" w:cs="仿宋"/>
          <w:b/>
          <w:bCs/>
          <w:color w:val="auto"/>
          <w:sz w:val="44"/>
          <w:szCs w:val="44"/>
          <w:highlight w:val="none"/>
        </w:rPr>
      </w:pPr>
      <w:bookmarkStart w:id="147" w:name="_Toc14033"/>
      <w:bookmarkStart w:id="148" w:name="_Toc20348"/>
      <w:bookmarkStart w:id="149" w:name="_Toc16459"/>
      <w:bookmarkStart w:id="150" w:name="_Toc16556"/>
      <w:bookmarkStart w:id="151" w:name="_Toc28467"/>
      <w:r>
        <w:rPr>
          <w:rFonts w:hint="eastAsia" w:ascii="仿宋" w:hAnsi="仿宋" w:eastAsia="仿宋" w:cs="仿宋"/>
          <w:b/>
          <w:bCs/>
          <w:color w:val="auto"/>
          <w:sz w:val="44"/>
          <w:szCs w:val="44"/>
          <w:highlight w:val="none"/>
        </w:rPr>
        <w:t>结清承诺书</w:t>
      </w:r>
      <w:bookmarkEnd w:id="145"/>
      <w:bookmarkEnd w:id="146"/>
      <w:bookmarkEnd w:id="147"/>
      <w:bookmarkEnd w:id="148"/>
      <w:bookmarkEnd w:id="149"/>
      <w:bookmarkEnd w:id="150"/>
      <w:bookmarkEnd w:id="151"/>
    </w:p>
    <w:p w14:paraId="7BCF46E6">
      <w:pPr>
        <w:rPr>
          <w:rFonts w:hint="eastAsia" w:ascii="仿宋" w:hAnsi="仿宋" w:eastAsia="仿宋" w:cs="仿宋"/>
          <w:color w:val="auto"/>
          <w:kern w:val="0"/>
          <w:sz w:val="28"/>
          <w:szCs w:val="28"/>
          <w:highlight w:val="none"/>
        </w:rPr>
      </w:pPr>
    </w:p>
    <w:p w14:paraId="5736C072">
      <w:pP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致：</w:t>
      </w:r>
      <w:r>
        <w:rPr>
          <w:rFonts w:hint="eastAsia" w:ascii="仿宋" w:hAnsi="仿宋" w:eastAsia="仿宋" w:cs="仿宋"/>
          <w:color w:val="auto"/>
          <w:kern w:val="0"/>
          <w:sz w:val="28"/>
          <w:szCs w:val="28"/>
          <w:highlight w:val="none"/>
        </w:rPr>
        <w:t>东莞市中泰建安工程有限公司</w:t>
      </w:r>
    </w:p>
    <w:p w14:paraId="07978912">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感谢</w:t>
      </w:r>
      <w:r>
        <w:rPr>
          <w:rFonts w:hint="eastAsia" w:ascii="仿宋" w:hAnsi="仿宋" w:eastAsia="仿宋" w:cs="仿宋"/>
          <w:color w:val="auto"/>
          <w:sz w:val="28"/>
          <w:szCs w:val="28"/>
          <w:highlight w:val="none"/>
        </w:rPr>
        <w:t>贵司选择我司作为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u w:val="single"/>
          <w:lang w:val="en-US" w:eastAsia="zh-CN"/>
        </w:rPr>
        <w:t xml:space="preserve">  （材料名称） </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履约</w:t>
      </w:r>
      <w:r>
        <w:rPr>
          <w:rFonts w:hint="eastAsia" w:ascii="仿宋" w:hAnsi="仿宋" w:eastAsia="仿宋" w:cs="仿宋"/>
          <w:color w:val="auto"/>
          <w:sz w:val="28"/>
          <w:szCs w:val="28"/>
          <w:highlight w:val="none"/>
        </w:rPr>
        <w:t>期间的</w:t>
      </w:r>
      <w:r>
        <w:rPr>
          <w:rFonts w:hint="eastAsia" w:ascii="仿宋" w:hAnsi="仿宋" w:eastAsia="仿宋" w:cs="仿宋"/>
          <w:color w:val="auto"/>
          <w:sz w:val="28"/>
          <w:szCs w:val="28"/>
          <w:highlight w:val="none"/>
          <w:lang w:val="en-US" w:eastAsia="zh-CN"/>
        </w:rPr>
        <w:t>材料</w:t>
      </w:r>
      <w:r>
        <w:rPr>
          <w:rFonts w:hint="eastAsia" w:ascii="仿宋" w:hAnsi="仿宋" w:eastAsia="仿宋" w:cs="仿宋"/>
          <w:color w:val="auto"/>
          <w:sz w:val="28"/>
          <w:szCs w:val="28"/>
          <w:highlight w:val="none"/>
        </w:rPr>
        <w:t>费合计</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元，其中我司已收款项</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eastAsia="zh-CN"/>
        </w:rPr>
        <w:t>待</w:t>
      </w:r>
      <w:r>
        <w:rPr>
          <w:rFonts w:hint="eastAsia" w:ascii="仿宋" w:hAnsi="仿宋" w:eastAsia="仿宋" w:cs="仿宋"/>
          <w:color w:val="auto"/>
          <w:sz w:val="28"/>
          <w:szCs w:val="28"/>
          <w:highlight w:val="none"/>
        </w:rPr>
        <w:t>收款项</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p>
    <w:p w14:paraId="30A9C79D">
      <w:pPr>
        <w:spacing w:line="360" w:lineRule="auto"/>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现我</w:t>
      </w:r>
      <w:r>
        <w:rPr>
          <w:rFonts w:hint="eastAsia" w:ascii="仿宋" w:hAnsi="仿宋" w:eastAsia="仿宋" w:cs="仿宋"/>
          <w:color w:val="auto"/>
          <w:sz w:val="28"/>
          <w:szCs w:val="28"/>
          <w:highlight w:val="none"/>
          <w:lang w:eastAsia="zh-CN"/>
        </w:rPr>
        <w:t>司在此确认并</w:t>
      </w:r>
      <w:r>
        <w:rPr>
          <w:rFonts w:hint="eastAsia" w:ascii="仿宋" w:hAnsi="仿宋" w:eastAsia="仿宋" w:cs="仿宋"/>
          <w:color w:val="auto"/>
          <w:sz w:val="28"/>
          <w:szCs w:val="28"/>
          <w:highlight w:val="none"/>
        </w:rPr>
        <w:t>郑重承诺：</w:t>
      </w:r>
      <w:r>
        <w:rPr>
          <w:rFonts w:hint="eastAsia" w:ascii="仿宋" w:hAnsi="仿宋" w:eastAsia="仿宋" w:cs="仿宋"/>
          <w:bCs/>
          <w:color w:val="auto"/>
          <w:kern w:val="0"/>
          <w:sz w:val="28"/>
          <w:szCs w:val="28"/>
          <w:highlight w:val="none"/>
        </w:rPr>
        <w:t>收到贵司支付的</w:t>
      </w:r>
      <w:r>
        <w:rPr>
          <w:rFonts w:hint="eastAsia" w:ascii="仿宋" w:hAnsi="仿宋" w:eastAsia="仿宋" w:cs="仿宋"/>
          <w:bCs/>
          <w:color w:val="auto"/>
          <w:kern w:val="0"/>
          <w:sz w:val="28"/>
          <w:szCs w:val="28"/>
          <w:highlight w:val="none"/>
          <w:lang w:eastAsia="zh-CN"/>
        </w:rPr>
        <w:t>尾款</w:t>
      </w:r>
      <w:r>
        <w:rPr>
          <w:rFonts w:hint="eastAsia" w:ascii="仿宋" w:hAnsi="仿宋" w:eastAsia="仿宋" w:cs="仿宋"/>
          <w:bCs/>
          <w:color w:val="auto"/>
          <w:kern w:val="0"/>
          <w:sz w:val="28"/>
          <w:szCs w:val="28"/>
          <w:highlight w:val="none"/>
          <w:u w:val="single"/>
        </w:rPr>
        <w:t xml:space="preserve">      </w:t>
      </w:r>
      <w:r>
        <w:rPr>
          <w:rFonts w:hint="eastAsia" w:ascii="仿宋" w:hAnsi="仿宋" w:eastAsia="仿宋" w:cs="仿宋"/>
          <w:bCs/>
          <w:color w:val="auto"/>
          <w:kern w:val="0"/>
          <w:sz w:val="28"/>
          <w:szCs w:val="28"/>
          <w:highlight w:val="none"/>
        </w:rPr>
        <w:t>元后</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该</w:t>
      </w:r>
      <w:r>
        <w:rPr>
          <w:rFonts w:hint="eastAsia" w:ascii="仿宋" w:hAnsi="仿宋" w:eastAsia="仿宋" w:cs="仿宋"/>
          <w:color w:val="auto"/>
          <w:sz w:val="28"/>
          <w:szCs w:val="28"/>
          <w:highlight w:val="none"/>
        </w:rPr>
        <w:t>项目的</w:t>
      </w:r>
      <w:r>
        <w:rPr>
          <w:rFonts w:hint="eastAsia" w:ascii="仿宋" w:hAnsi="仿宋" w:eastAsia="仿宋" w:cs="仿宋"/>
          <w:color w:val="auto"/>
          <w:sz w:val="28"/>
          <w:szCs w:val="28"/>
          <w:highlight w:val="none"/>
          <w:u w:val="single"/>
        </w:rPr>
        <w:t>（材料名称）</w:t>
      </w:r>
      <w:r>
        <w:rPr>
          <w:rFonts w:hint="eastAsia" w:ascii="仿宋" w:hAnsi="仿宋" w:eastAsia="仿宋" w:cs="仿宋"/>
          <w:color w:val="auto"/>
          <w:sz w:val="28"/>
          <w:szCs w:val="28"/>
          <w:highlight w:val="none"/>
          <w:u w:val="none"/>
          <w:lang w:val="en-US" w:eastAsia="zh-CN"/>
        </w:rPr>
        <w:t>所涉及的材料</w:t>
      </w:r>
      <w:r>
        <w:rPr>
          <w:rFonts w:hint="eastAsia" w:ascii="仿宋" w:hAnsi="仿宋" w:eastAsia="仿宋" w:cs="仿宋"/>
          <w:color w:val="auto"/>
          <w:sz w:val="28"/>
          <w:szCs w:val="28"/>
          <w:highlight w:val="none"/>
          <w:lang w:eastAsia="zh-CN"/>
        </w:rPr>
        <w:t>费用</w:t>
      </w:r>
      <w:r>
        <w:rPr>
          <w:rFonts w:hint="eastAsia" w:ascii="仿宋" w:hAnsi="仿宋" w:eastAsia="仿宋" w:cs="仿宋"/>
          <w:color w:val="auto"/>
          <w:sz w:val="28"/>
          <w:szCs w:val="28"/>
          <w:highlight w:val="none"/>
        </w:rPr>
        <w:t>已全部结</w:t>
      </w:r>
      <w:r>
        <w:rPr>
          <w:rFonts w:hint="eastAsia" w:ascii="仿宋" w:hAnsi="仿宋" w:eastAsia="仿宋" w:cs="仿宋"/>
          <w:color w:val="auto"/>
          <w:sz w:val="28"/>
          <w:szCs w:val="28"/>
          <w:highlight w:val="none"/>
          <w:lang w:eastAsia="zh-CN"/>
        </w:rPr>
        <w:t>清，我司</w:t>
      </w:r>
      <w:r>
        <w:rPr>
          <w:rFonts w:hint="eastAsia" w:ascii="仿宋" w:hAnsi="仿宋" w:eastAsia="仿宋" w:cs="仿宋"/>
          <w:color w:val="auto"/>
          <w:sz w:val="28"/>
          <w:szCs w:val="28"/>
          <w:highlight w:val="none"/>
          <w:lang w:val="en-US" w:eastAsia="zh-CN"/>
        </w:rPr>
        <w:t>在</w:t>
      </w:r>
      <w:r>
        <w:rPr>
          <w:rFonts w:hint="eastAsia" w:ascii="仿宋" w:hAnsi="仿宋" w:eastAsia="仿宋" w:cs="仿宋"/>
          <w:color w:val="auto"/>
          <w:sz w:val="28"/>
          <w:szCs w:val="28"/>
          <w:highlight w:val="none"/>
          <w:lang w:eastAsia="zh-CN"/>
        </w:rPr>
        <w:t>合同中的所有权利</w:t>
      </w:r>
      <w:r>
        <w:rPr>
          <w:rFonts w:hint="eastAsia" w:ascii="仿宋" w:hAnsi="仿宋" w:eastAsia="仿宋" w:cs="仿宋"/>
          <w:color w:val="auto"/>
          <w:sz w:val="28"/>
          <w:szCs w:val="28"/>
          <w:highlight w:val="none"/>
          <w:lang w:val="en-US" w:eastAsia="zh-CN"/>
        </w:rPr>
        <w:t>即</w:t>
      </w:r>
      <w:r>
        <w:rPr>
          <w:rFonts w:hint="eastAsia" w:ascii="仿宋" w:hAnsi="仿宋" w:eastAsia="仿宋" w:cs="仿宋"/>
          <w:color w:val="auto"/>
          <w:sz w:val="28"/>
          <w:szCs w:val="28"/>
          <w:highlight w:val="none"/>
          <w:lang w:eastAsia="zh-CN"/>
        </w:rPr>
        <w:t>全部消灭。我司</w:t>
      </w:r>
      <w:r>
        <w:rPr>
          <w:rFonts w:hint="eastAsia" w:ascii="仿宋" w:hAnsi="仿宋" w:eastAsia="仿宋" w:cs="仿宋"/>
          <w:color w:val="auto"/>
          <w:sz w:val="28"/>
          <w:szCs w:val="28"/>
          <w:highlight w:val="none"/>
          <w:lang w:val="en-US" w:eastAsia="zh-CN"/>
        </w:rPr>
        <w:t>将不再</w:t>
      </w:r>
      <w:r>
        <w:rPr>
          <w:rFonts w:hint="eastAsia" w:ascii="仿宋" w:hAnsi="仿宋" w:eastAsia="仿宋" w:cs="仿宋"/>
          <w:color w:val="auto"/>
          <w:sz w:val="28"/>
          <w:szCs w:val="28"/>
          <w:highlight w:val="none"/>
          <w:lang w:eastAsia="zh-CN"/>
        </w:rPr>
        <w:t>以任何理由、任何方式就该项目的合作向贵司主张任何权利和费用。</w:t>
      </w:r>
    </w:p>
    <w:p w14:paraId="6C51AF41">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w:t>
      </w:r>
      <w:r>
        <w:rPr>
          <w:rFonts w:hint="eastAsia" w:ascii="仿宋" w:hAnsi="仿宋" w:eastAsia="仿宋" w:cs="仿宋"/>
          <w:color w:val="auto"/>
          <w:sz w:val="28"/>
          <w:szCs w:val="28"/>
          <w:highlight w:val="none"/>
          <w:lang w:eastAsia="zh-CN"/>
        </w:rPr>
        <w:t>声</w:t>
      </w:r>
      <w:r>
        <w:rPr>
          <w:rFonts w:hint="eastAsia" w:ascii="仿宋" w:hAnsi="仿宋" w:eastAsia="仿宋" w:cs="仿宋"/>
          <w:color w:val="auto"/>
          <w:sz w:val="28"/>
          <w:szCs w:val="28"/>
          <w:highlight w:val="none"/>
        </w:rPr>
        <w:t>明！</w:t>
      </w:r>
    </w:p>
    <w:p w14:paraId="286A6E68">
      <w:pPr>
        <w:ind w:firstLine="560" w:firstLineChars="200"/>
        <w:rPr>
          <w:rFonts w:hint="eastAsia" w:ascii="仿宋" w:hAnsi="仿宋" w:eastAsia="仿宋" w:cs="仿宋"/>
          <w:color w:val="auto"/>
          <w:sz w:val="28"/>
          <w:szCs w:val="28"/>
          <w:highlight w:val="none"/>
        </w:rPr>
      </w:pPr>
    </w:p>
    <w:p w14:paraId="52045BCD">
      <w:pPr>
        <w:ind w:firstLine="4480" w:firstLineChars="1600"/>
        <w:rPr>
          <w:rFonts w:hint="eastAsia" w:ascii="仿宋" w:hAnsi="仿宋" w:eastAsia="仿宋" w:cs="仿宋"/>
          <w:bCs/>
          <w:color w:val="auto"/>
          <w:kern w:val="0"/>
          <w:sz w:val="28"/>
          <w:szCs w:val="28"/>
          <w:highlight w:val="none"/>
        </w:rPr>
      </w:pPr>
      <w:r>
        <w:rPr>
          <w:rFonts w:hint="eastAsia" w:ascii="仿宋" w:hAnsi="仿宋" w:eastAsia="仿宋" w:cs="仿宋"/>
          <w:color w:val="auto"/>
          <w:sz w:val="28"/>
          <w:szCs w:val="28"/>
          <w:highlight w:val="none"/>
        </w:rPr>
        <w:t>承诺</w:t>
      </w:r>
      <w:r>
        <w:rPr>
          <w:rFonts w:hint="eastAsia" w:ascii="仿宋" w:hAnsi="仿宋" w:eastAsia="仿宋" w:cs="仿宋"/>
          <w:color w:val="auto"/>
          <w:sz w:val="28"/>
          <w:szCs w:val="28"/>
          <w:highlight w:val="none"/>
          <w:lang w:eastAsia="zh-CN"/>
        </w:rPr>
        <w:t>单位</w:t>
      </w:r>
      <w:r>
        <w:rPr>
          <w:rFonts w:hint="eastAsia" w:ascii="仿宋" w:hAnsi="仿宋" w:eastAsia="仿宋" w:cs="仿宋"/>
          <w:color w:val="auto"/>
          <w:sz w:val="28"/>
          <w:szCs w:val="28"/>
          <w:highlight w:val="none"/>
        </w:rPr>
        <w:t>（盖章）：</w:t>
      </w:r>
    </w:p>
    <w:p w14:paraId="6276E508">
      <w:pPr>
        <w:ind w:firstLine="5600" w:firstLineChars="2000"/>
        <w:jc w:val="left"/>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 xml:space="preserve">日 </w:t>
      </w:r>
      <w:r>
        <w:rPr>
          <w:rFonts w:hint="eastAsia" w:ascii="仿宋" w:hAnsi="仿宋" w:eastAsia="仿宋" w:cs="仿宋"/>
          <w:bCs/>
          <w:color w:val="auto"/>
          <w:kern w:val="0"/>
          <w:sz w:val="28"/>
          <w:szCs w:val="28"/>
          <w:highlight w:val="none"/>
          <w:lang w:val="en-US" w:eastAsia="zh-CN"/>
        </w:rPr>
        <w:t xml:space="preserve"> </w:t>
      </w:r>
      <w:r>
        <w:rPr>
          <w:rFonts w:hint="eastAsia" w:ascii="仿宋" w:hAnsi="仿宋" w:eastAsia="仿宋" w:cs="仿宋"/>
          <w:bCs/>
          <w:color w:val="auto"/>
          <w:kern w:val="0"/>
          <w:sz w:val="28"/>
          <w:szCs w:val="28"/>
          <w:highlight w:val="none"/>
        </w:rPr>
        <w:t xml:space="preserve"> 期：</w:t>
      </w:r>
    </w:p>
    <w:p w14:paraId="52E08DED">
      <w:pPr>
        <w:ind w:firstLine="5600" w:firstLineChars="2000"/>
        <w:jc w:val="left"/>
        <w:rPr>
          <w:rFonts w:hint="eastAsia" w:ascii="仿宋" w:hAnsi="仿宋" w:eastAsia="仿宋" w:cs="仿宋"/>
          <w:bCs/>
          <w:color w:val="auto"/>
          <w:kern w:val="0"/>
          <w:sz w:val="28"/>
          <w:szCs w:val="28"/>
          <w:highlight w:val="none"/>
        </w:rPr>
      </w:pPr>
    </w:p>
    <w:p w14:paraId="1185C00E">
      <w:pPr>
        <w:jc w:val="left"/>
        <w:rPr>
          <w:rFonts w:hint="eastAsia" w:ascii="仿宋" w:hAnsi="仿宋" w:eastAsia="仿宋" w:cs="仿宋"/>
          <w:bCs/>
          <w:color w:val="auto"/>
          <w:kern w:val="0"/>
          <w:sz w:val="24"/>
          <w:szCs w:val="24"/>
          <w:highlight w:val="none"/>
          <w:u w:val="dash"/>
          <w:lang w:val="en-US" w:eastAsia="zh-CN"/>
        </w:rPr>
      </w:pPr>
      <w:r>
        <w:rPr>
          <w:rFonts w:hint="eastAsia" w:ascii="仿宋" w:hAnsi="仿宋" w:eastAsia="仿宋" w:cs="仿宋"/>
          <w:bCs/>
          <w:color w:val="auto"/>
          <w:kern w:val="0"/>
          <w:sz w:val="24"/>
          <w:szCs w:val="24"/>
          <w:highlight w:val="none"/>
          <w:u w:val="dash"/>
          <w:lang w:val="en-US" w:eastAsia="zh-CN"/>
        </w:rPr>
        <w:t xml:space="preserve">                                                                                  </w:t>
      </w:r>
    </w:p>
    <w:p w14:paraId="6C8D6628">
      <w:pPr>
        <w:jc w:val="left"/>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使用说明：</w:t>
      </w:r>
    </w:p>
    <w:p w14:paraId="369CDB25">
      <w:pPr>
        <w:numPr>
          <w:ilvl w:val="0"/>
          <w:numId w:val="0"/>
        </w:numPr>
        <w:jc w:val="left"/>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1、本费用结清声明仅适用于“材料类”的购销合同。</w:t>
      </w:r>
    </w:p>
    <w:p w14:paraId="703D8BB9">
      <w:pPr>
        <w:numPr>
          <w:ilvl w:val="0"/>
          <w:numId w:val="0"/>
        </w:numPr>
        <w:ind w:leftChars="0"/>
        <w:jc w:val="left"/>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2、承诺单位须在“中泰建安”支付该合同最后一笔款前完成本文件签章，并将原件给“中泰建安”留存作为支付最后一笔款的附件。</w:t>
      </w:r>
    </w:p>
    <w:p w14:paraId="1B949869">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77EE8C6A">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4F657405">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3FA548F1">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53F8C865">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2E805558">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058FDECB">
      <w:pPr>
        <w:jc w:val="right"/>
        <w:outlineLvl w:val="0"/>
        <w:rPr>
          <w:highlight w:val="none"/>
        </w:rPr>
      </w:pPr>
    </w:p>
    <w:p w14:paraId="25ABC6F0">
      <w:pPr>
        <w:spacing w:before="63" w:line="219" w:lineRule="auto"/>
        <w:jc w:val="right"/>
        <w:rPr>
          <w:rFonts w:hint="eastAsia" w:ascii="仿宋" w:hAnsi="仿宋" w:eastAsia="仿宋" w:cs="仿宋"/>
          <w:b/>
          <w:bCs/>
          <w:color w:val="auto"/>
          <w:sz w:val="44"/>
          <w:szCs w:val="44"/>
          <w:highlight w:val="none"/>
          <w:lang w:val="en-US" w:eastAsia="zh-CN"/>
        </w:rPr>
      </w:pPr>
    </w:p>
    <w:p w14:paraId="1A72E0B2">
      <w:pPr>
        <w:spacing w:before="63" w:line="219" w:lineRule="auto"/>
        <w:jc w:val="right"/>
        <w:rPr>
          <w:rFonts w:hint="eastAsia" w:ascii="仿宋" w:hAnsi="仿宋" w:eastAsia="仿宋" w:cs="仿宋"/>
          <w:b/>
          <w:bCs/>
          <w:color w:val="auto"/>
          <w:sz w:val="44"/>
          <w:szCs w:val="44"/>
          <w:highlight w:val="none"/>
          <w:lang w:val="en-US" w:eastAsia="zh-CN"/>
        </w:rPr>
      </w:pPr>
    </w:p>
    <w:p w14:paraId="664C9457">
      <w:pPr>
        <w:spacing w:before="63" w:line="219" w:lineRule="auto"/>
        <w:jc w:val="right"/>
        <w:rPr>
          <w:rFonts w:hint="eastAsia" w:ascii="仿宋" w:hAnsi="仿宋" w:eastAsia="仿宋" w:cs="仿宋"/>
          <w:color w:val="auto"/>
          <w:sz w:val="44"/>
          <w:szCs w:val="44"/>
          <w:highlight w:val="none"/>
        </w:rPr>
      </w:pPr>
      <w:r>
        <w:rPr>
          <w:rFonts w:hint="eastAsia" w:ascii="仿宋" w:hAnsi="仿宋" w:eastAsia="仿宋" w:cs="仿宋"/>
          <w:b/>
          <w:bCs/>
          <w:color w:val="auto"/>
          <w:sz w:val="44"/>
          <w:szCs w:val="44"/>
          <w:highlight w:val="none"/>
          <w:lang w:val="en-US" w:eastAsia="zh-CN"/>
        </w:rPr>
        <w:t>附件六</w:t>
      </w:r>
    </w:p>
    <w:p w14:paraId="443F8579">
      <w:pPr>
        <w:pStyle w:val="5"/>
        <w:tabs>
          <w:tab w:val="left" w:pos="5740"/>
        </w:tabs>
        <w:spacing w:before="111" w:line="184" w:lineRule="auto"/>
        <w:ind w:left="0"/>
        <w:jc w:val="center"/>
        <w:outlineLvl w:val="0"/>
        <w:rPr>
          <w:rFonts w:hint="eastAsia" w:ascii="宋体" w:hAnsi="宋体" w:eastAsia="宋体" w:cs="宋体"/>
          <w:b/>
          <w:bCs/>
          <w:color w:val="auto"/>
          <w:sz w:val="44"/>
          <w:szCs w:val="40"/>
          <w:highlight w:val="none"/>
          <w:lang w:val="en-US" w:eastAsia="zh-CN"/>
        </w:rPr>
      </w:pPr>
      <w:bookmarkStart w:id="152" w:name="_Toc5940"/>
      <w:bookmarkStart w:id="153" w:name="_Toc22957"/>
      <w:bookmarkStart w:id="154" w:name="_Toc4752"/>
      <w:bookmarkStart w:id="155" w:name="_Toc28324"/>
      <w:bookmarkStart w:id="156" w:name="_Toc8959"/>
      <w:r>
        <w:rPr>
          <w:rFonts w:hint="eastAsia" w:ascii="宋体" w:hAnsi="宋体" w:eastAsia="宋体" w:cs="宋体"/>
          <w:b/>
          <w:bCs/>
          <w:color w:val="auto"/>
          <w:sz w:val="32"/>
          <w:szCs w:val="32"/>
          <w:highlight w:val="none"/>
          <w:lang w:val="en-US" w:eastAsia="zh-CN"/>
        </w:rPr>
        <w:t>xxx</w:t>
      </w:r>
      <w:r>
        <w:rPr>
          <w:rFonts w:hint="eastAsia" w:ascii="宋体" w:hAnsi="宋体" w:eastAsia="宋体" w:cs="宋体"/>
          <w:b/>
          <w:bCs/>
          <w:color w:val="auto"/>
          <w:sz w:val="32"/>
          <w:szCs w:val="32"/>
          <w:highlight w:val="none"/>
        </w:rPr>
        <w:t>公司</w:t>
      </w:r>
      <w:r>
        <w:rPr>
          <w:rFonts w:hint="eastAsia" w:ascii="宋体" w:hAnsi="宋体" w:eastAsia="宋体" w:cs="宋体"/>
          <w:b/>
          <w:bCs/>
          <w:color w:val="auto"/>
          <w:sz w:val="32"/>
          <w:szCs w:val="32"/>
          <w:highlight w:val="none"/>
          <w:u w:val="single" w:color="auto"/>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pacing w:val="4"/>
          <w:sz w:val="32"/>
          <w:szCs w:val="32"/>
          <w:highlight w:val="none"/>
          <w:u w:val="single" w:color="auto"/>
        </w:rPr>
        <w:t xml:space="preserve">   </w:t>
      </w:r>
      <w:r>
        <w:rPr>
          <w:rFonts w:hint="eastAsia" w:ascii="宋体" w:hAnsi="宋体" w:eastAsia="宋体" w:cs="宋体"/>
          <w:b/>
          <w:bCs/>
          <w:color w:val="auto"/>
          <w:spacing w:val="-72"/>
          <w:sz w:val="32"/>
          <w:szCs w:val="32"/>
          <w:highlight w:val="none"/>
        </w:rPr>
        <w:t xml:space="preserve"> </w:t>
      </w:r>
      <w:r>
        <w:rPr>
          <w:rFonts w:hint="eastAsia" w:ascii="宋体" w:hAnsi="宋体" w:eastAsia="宋体" w:cs="宋体"/>
          <w:b/>
          <w:bCs/>
          <w:color w:val="auto"/>
          <w:sz w:val="32"/>
          <w:szCs w:val="32"/>
          <w:highlight w:val="none"/>
        </w:rPr>
        <w:t>月对账单</w:t>
      </w:r>
      <w:bookmarkEnd w:id="152"/>
      <w:bookmarkEnd w:id="153"/>
      <w:bookmarkEnd w:id="154"/>
      <w:bookmarkEnd w:id="155"/>
      <w:bookmarkEnd w:id="156"/>
    </w:p>
    <w:p w14:paraId="3ADD3160">
      <w:pPr>
        <w:rPr>
          <w:rFonts w:hint="default"/>
          <w:color w:val="auto"/>
          <w:highlight w:val="none"/>
          <w:lang w:val="en-US" w:eastAsia="zh-CN"/>
        </w:rPr>
      </w:pPr>
    </w:p>
    <w:p w14:paraId="5D4E7BFE">
      <w:pPr>
        <w:pStyle w:val="5"/>
        <w:spacing w:before="0" w:line="309" w:lineRule="exact"/>
        <w:ind w:left="0"/>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项目名称：</w:t>
      </w:r>
    </w:p>
    <w:p w14:paraId="2F2F6078">
      <w:pPr>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收货单位：</w:t>
      </w:r>
    </w:p>
    <w:tbl>
      <w:tblPr>
        <w:tblStyle w:val="14"/>
        <w:tblW w:w="94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
        <w:gridCol w:w="535"/>
        <w:gridCol w:w="578"/>
        <w:gridCol w:w="556"/>
        <w:gridCol w:w="502"/>
        <w:gridCol w:w="524"/>
        <w:gridCol w:w="600"/>
        <w:gridCol w:w="567"/>
        <w:gridCol w:w="556"/>
        <w:gridCol w:w="910"/>
        <w:gridCol w:w="940"/>
        <w:gridCol w:w="1772"/>
        <w:gridCol w:w="927"/>
      </w:tblGrid>
      <w:tr w14:paraId="2C50A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68" w:type="dxa"/>
            <w:noWrap w:val="0"/>
            <w:vAlign w:val="center"/>
          </w:tcPr>
          <w:p w14:paraId="70BA2E66">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序号</w:t>
            </w:r>
          </w:p>
        </w:tc>
        <w:tc>
          <w:tcPr>
            <w:tcW w:w="535" w:type="dxa"/>
            <w:noWrap w:val="0"/>
            <w:vAlign w:val="center"/>
          </w:tcPr>
          <w:p w14:paraId="6DC48BA1">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送货日期</w:t>
            </w:r>
          </w:p>
        </w:tc>
        <w:tc>
          <w:tcPr>
            <w:tcW w:w="578" w:type="dxa"/>
            <w:noWrap w:val="0"/>
            <w:vAlign w:val="center"/>
          </w:tcPr>
          <w:p w14:paraId="60742A75">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送货单号</w:t>
            </w:r>
          </w:p>
        </w:tc>
        <w:tc>
          <w:tcPr>
            <w:tcW w:w="556" w:type="dxa"/>
            <w:noWrap w:val="0"/>
            <w:vAlign w:val="center"/>
          </w:tcPr>
          <w:p w14:paraId="0F402AEB">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签收单号</w:t>
            </w:r>
          </w:p>
        </w:tc>
        <w:tc>
          <w:tcPr>
            <w:tcW w:w="502" w:type="dxa"/>
            <w:noWrap w:val="0"/>
            <w:vAlign w:val="center"/>
          </w:tcPr>
          <w:p w14:paraId="7D5322C5">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过磅单号</w:t>
            </w:r>
          </w:p>
        </w:tc>
        <w:tc>
          <w:tcPr>
            <w:tcW w:w="524" w:type="dxa"/>
            <w:noWrap w:val="0"/>
            <w:vAlign w:val="center"/>
          </w:tcPr>
          <w:p w14:paraId="505D29C1">
            <w:pPr>
              <w:spacing w:before="0" w:line="190" w:lineRule="auto"/>
              <w:ind w:firstLine="0" w:firstLineChars="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货物名称</w:t>
            </w:r>
          </w:p>
        </w:tc>
        <w:tc>
          <w:tcPr>
            <w:tcW w:w="600" w:type="dxa"/>
            <w:noWrap w:val="0"/>
            <w:vAlign w:val="center"/>
          </w:tcPr>
          <w:p w14:paraId="7B9A2897">
            <w:pPr>
              <w:spacing w:before="0" w:line="191" w:lineRule="auto"/>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5"/>
                <w:sz w:val="17"/>
                <w:szCs w:val="17"/>
                <w:highlight w:val="none"/>
              </w:rPr>
              <w:t>品牌</w:t>
            </w:r>
          </w:p>
        </w:tc>
        <w:tc>
          <w:tcPr>
            <w:tcW w:w="567" w:type="dxa"/>
            <w:noWrap w:val="0"/>
            <w:vAlign w:val="center"/>
          </w:tcPr>
          <w:p w14:paraId="3C394D2A">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规格型号</w:t>
            </w:r>
          </w:p>
        </w:tc>
        <w:tc>
          <w:tcPr>
            <w:tcW w:w="556" w:type="dxa"/>
            <w:noWrap w:val="0"/>
            <w:vAlign w:val="center"/>
          </w:tcPr>
          <w:p w14:paraId="638F9855">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单位</w:t>
            </w:r>
          </w:p>
        </w:tc>
        <w:tc>
          <w:tcPr>
            <w:tcW w:w="910" w:type="dxa"/>
            <w:noWrap w:val="0"/>
            <w:vAlign w:val="center"/>
          </w:tcPr>
          <w:p w14:paraId="174353FA">
            <w:pPr>
              <w:spacing w:before="0" w:line="19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数量</w:t>
            </w:r>
          </w:p>
        </w:tc>
        <w:tc>
          <w:tcPr>
            <w:tcW w:w="940" w:type="dxa"/>
            <w:noWrap w:val="0"/>
            <w:vAlign w:val="center"/>
          </w:tcPr>
          <w:p w14:paraId="20BED72A">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单价</w:t>
            </w:r>
          </w:p>
        </w:tc>
        <w:tc>
          <w:tcPr>
            <w:tcW w:w="1772" w:type="dxa"/>
            <w:noWrap w:val="0"/>
            <w:vAlign w:val="center"/>
          </w:tcPr>
          <w:p w14:paraId="41ADE203">
            <w:pPr>
              <w:spacing w:before="0" w:line="19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金额</w:t>
            </w:r>
          </w:p>
        </w:tc>
        <w:tc>
          <w:tcPr>
            <w:tcW w:w="927" w:type="dxa"/>
            <w:noWrap w:val="0"/>
            <w:vAlign w:val="center"/>
          </w:tcPr>
          <w:p w14:paraId="66F3C85C">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备注</w:t>
            </w:r>
          </w:p>
        </w:tc>
      </w:tr>
      <w:tr w14:paraId="097E7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043E4909">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1</w:t>
            </w:r>
          </w:p>
        </w:tc>
        <w:tc>
          <w:tcPr>
            <w:tcW w:w="535" w:type="dxa"/>
            <w:noWrap w:val="0"/>
            <w:vAlign w:val="center"/>
          </w:tcPr>
          <w:p w14:paraId="23E0D3E1">
            <w:pPr>
              <w:pStyle w:val="15"/>
              <w:jc w:val="center"/>
              <w:rPr>
                <w:color w:val="auto"/>
                <w:highlight w:val="none"/>
              </w:rPr>
            </w:pPr>
          </w:p>
        </w:tc>
        <w:tc>
          <w:tcPr>
            <w:tcW w:w="578" w:type="dxa"/>
            <w:noWrap w:val="0"/>
            <w:vAlign w:val="center"/>
          </w:tcPr>
          <w:p w14:paraId="71671C33">
            <w:pPr>
              <w:pStyle w:val="15"/>
              <w:jc w:val="center"/>
              <w:rPr>
                <w:color w:val="auto"/>
                <w:highlight w:val="none"/>
              </w:rPr>
            </w:pPr>
          </w:p>
        </w:tc>
        <w:tc>
          <w:tcPr>
            <w:tcW w:w="556" w:type="dxa"/>
            <w:noWrap w:val="0"/>
            <w:vAlign w:val="center"/>
          </w:tcPr>
          <w:p w14:paraId="5D41348D">
            <w:pPr>
              <w:pStyle w:val="15"/>
              <w:jc w:val="center"/>
              <w:rPr>
                <w:color w:val="auto"/>
                <w:highlight w:val="none"/>
              </w:rPr>
            </w:pPr>
          </w:p>
        </w:tc>
        <w:tc>
          <w:tcPr>
            <w:tcW w:w="502" w:type="dxa"/>
            <w:noWrap w:val="0"/>
            <w:vAlign w:val="center"/>
          </w:tcPr>
          <w:p w14:paraId="685F48E7">
            <w:pPr>
              <w:pStyle w:val="15"/>
              <w:jc w:val="center"/>
              <w:rPr>
                <w:color w:val="auto"/>
                <w:highlight w:val="none"/>
              </w:rPr>
            </w:pPr>
          </w:p>
        </w:tc>
        <w:tc>
          <w:tcPr>
            <w:tcW w:w="524" w:type="dxa"/>
            <w:noWrap w:val="0"/>
            <w:vAlign w:val="center"/>
          </w:tcPr>
          <w:p w14:paraId="6A6EDCE3">
            <w:pPr>
              <w:pStyle w:val="15"/>
              <w:jc w:val="center"/>
              <w:rPr>
                <w:color w:val="auto"/>
                <w:highlight w:val="none"/>
              </w:rPr>
            </w:pPr>
          </w:p>
        </w:tc>
        <w:tc>
          <w:tcPr>
            <w:tcW w:w="600" w:type="dxa"/>
            <w:noWrap w:val="0"/>
            <w:vAlign w:val="center"/>
          </w:tcPr>
          <w:p w14:paraId="6D95A5E1">
            <w:pPr>
              <w:pStyle w:val="15"/>
              <w:jc w:val="center"/>
              <w:rPr>
                <w:color w:val="auto"/>
                <w:highlight w:val="none"/>
              </w:rPr>
            </w:pPr>
          </w:p>
        </w:tc>
        <w:tc>
          <w:tcPr>
            <w:tcW w:w="567" w:type="dxa"/>
            <w:noWrap w:val="0"/>
            <w:vAlign w:val="center"/>
          </w:tcPr>
          <w:p w14:paraId="119BFBF0">
            <w:pPr>
              <w:pStyle w:val="15"/>
              <w:jc w:val="center"/>
              <w:rPr>
                <w:color w:val="auto"/>
                <w:highlight w:val="none"/>
              </w:rPr>
            </w:pPr>
          </w:p>
        </w:tc>
        <w:tc>
          <w:tcPr>
            <w:tcW w:w="556" w:type="dxa"/>
            <w:noWrap w:val="0"/>
            <w:vAlign w:val="center"/>
          </w:tcPr>
          <w:p w14:paraId="550A5960">
            <w:pPr>
              <w:pStyle w:val="15"/>
              <w:jc w:val="center"/>
              <w:rPr>
                <w:color w:val="auto"/>
                <w:highlight w:val="none"/>
              </w:rPr>
            </w:pPr>
          </w:p>
        </w:tc>
        <w:tc>
          <w:tcPr>
            <w:tcW w:w="910" w:type="dxa"/>
            <w:noWrap w:val="0"/>
            <w:vAlign w:val="center"/>
          </w:tcPr>
          <w:p w14:paraId="00AAE9C1">
            <w:pPr>
              <w:pStyle w:val="15"/>
              <w:jc w:val="center"/>
              <w:rPr>
                <w:color w:val="auto"/>
                <w:highlight w:val="none"/>
              </w:rPr>
            </w:pPr>
          </w:p>
        </w:tc>
        <w:tc>
          <w:tcPr>
            <w:tcW w:w="940" w:type="dxa"/>
            <w:noWrap w:val="0"/>
            <w:vAlign w:val="center"/>
          </w:tcPr>
          <w:p w14:paraId="4CBD7D71">
            <w:pPr>
              <w:pStyle w:val="15"/>
              <w:jc w:val="center"/>
              <w:rPr>
                <w:color w:val="auto"/>
                <w:highlight w:val="none"/>
              </w:rPr>
            </w:pPr>
          </w:p>
        </w:tc>
        <w:tc>
          <w:tcPr>
            <w:tcW w:w="1772" w:type="dxa"/>
            <w:noWrap w:val="0"/>
            <w:vAlign w:val="center"/>
          </w:tcPr>
          <w:p w14:paraId="15F26169">
            <w:pPr>
              <w:pStyle w:val="15"/>
              <w:jc w:val="center"/>
              <w:rPr>
                <w:color w:val="auto"/>
                <w:highlight w:val="none"/>
              </w:rPr>
            </w:pPr>
          </w:p>
        </w:tc>
        <w:tc>
          <w:tcPr>
            <w:tcW w:w="927" w:type="dxa"/>
            <w:noWrap w:val="0"/>
            <w:vAlign w:val="center"/>
          </w:tcPr>
          <w:p w14:paraId="18C27658">
            <w:pPr>
              <w:pStyle w:val="15"/>
              <w:jc w:val="center"/>
              <w:rPr>
                <w:color w:val="auto"/>
                <w:highlight w:val="none"/>
              </w:rPr>
            </w:pPr>
          </w:p>
        </w:tc>
      </w:tr>
      <w:tr w14:paraId="71AE1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7270538F">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2</w:t>
            </w:r>
          </w:p>
        </w:tc>
        <w:tc>
          <w:tcPr>
            <w:tcW w:w="535" w:type="dxa"/>
            <w:noWrap w:val="0"/>
            <w:vAlign w:val="center"/>
          </w:tcPr>
          <w:p w14:paraId="729491A2">
            <w:pPr>
              <w:pStyle w:val="15"/>
              <w:jc w:val="center"/>
              <w:rPr>
                <w:color w:val="auto"/>
                <w:highlight w:val="none"/>
              </w:rPr>
            </w:pPr>
          </w:p>
        </w:tc>
        <w:tc>
          <w:tcPr>
            <w:tcW w:w="578" w:type="dxa"/>
            <w:noWrap w:val="0"/>
            <w:vAlign w:val="center"/>
          </w:tcPr>
          <w:p w14:paraId="59521F31">
            <w:pPr>
              <w:pStyle w:val="15"/>
              <w:jc w:val="center"/>
              <w:rPr>
                <w:color w:val="auto"/>
                <w:highlight w:val="none"/>
              </w:rPr>
            </w:pPr>
          </w:p>
        </w:tc>
        <w:tc>
          <w:tcPr>
            <w:tcW w:w="556" w:type="dxa"/>
            <w:noWrap w:val="0"/>
            <w:vAlign w:val="center"/>
          </w:tcPr>
          <w:p w14:paraId="0ADB0B2B">
            <w:pPr>
              <w:pStyle w:val="15"/>
              <w:jc w:val="center"/>
              <w:rPr>
                <w:color w:val="auto"/>
                <w:highlight w:val="none"/>
              </w:rPr>
            </w:pPr>
          </w:p>
        </w:tc>
        <w:tc>
          <w:tcPr>
            <w:tcW w:w="502" w:type="dxa"/>
            <w:noWrap w:val="0"/>
            <w:vAlign w:val="center"/>
          </w:tcPr>
          <w:p w14:paraId="1C002935">
            <w:pPr>
              <w:pStyle w:val="15"/>
              <w:jc w:val="center"/>
              <w:rPr>
                <w:color w:val="auto"/>
                <w:highlight w:val="none"/>
              </w:rPr>
            </w:pPr>
          </w:p>
        </w:tc>
        <w:tc>
          <w:tcPr>
            <w:tcW w:w="524" w:type="dxa"/>
            <w:noWrap w:val="0"/>
            <w:vAlign w:val="center"/>
          </w:tcPr>
          <w:p w14:paraId="67DAF9BF">
            <w:pPr>
              <w:pStyle w:val="15"/>
              <w:jc w:val="center"/>
              <w:rPr>
                <w:color w:val="auto"/>
                <w:highlight w:val="none"/>
              </w:rPr>
            </w:pPr>
          </w:p>
        </w:tc>
        <w:tc>
          <w:tcPr>
            <w:tcW w:w="600" w:type="dxa"/>
            <w:noWrap w:val="0"/>
            <w:vAlign w:val="center"/>
          </w:tcPr>
          <w:p w14:paraId="685A77CF">
            <w:pPr>
              <w:pStyle w:val="15"/>
              <w:jc w:val="center"/>
              <w:rPr>
                <w:color w:val="auto"/>
                <w:highlight w:val="none"/>
              </w:rPr>
            </w:pPr>
          </w:p>
        </w:tc>
        <w:tc>
          <w:tcPr>
            <w:tcW w:w="567" w:type="dxa"/>
            <w:noWrap w:val="0"/>
            <w:vAlign w:val="center"/>
          </w:tcPr>
          <w:p w14:paraId="66AA3F76">
            <w:pPr>
              <w:pStyle w:val="15"/>
              <w:jc w:val="center"/>
              <w:rPr>
                <w:color w:val="auto"/>
                <w:highlight w:val="none"/>
              </w:rPr>
            </w:pPr>
          </w:p>
        </w:tc>
        <w:tc>
          <w:tcPr>
            <w:tcW w:w="556" w:type="dxa"/>
            <w:noWrap w:val="0"/>
            <w:vAlign w:val="center"/>
          </w:tcPr>
          <w:p w14:paraId="63DF9659">
            <w:pPr>
              <w:pStyle w:val="15"/>
              <w:jc w:val="center"/>
              <w:rPr>
                <w:color w:val="auto"/>
                <w:highlight w:val="none"/>
              </w:rPr>
            </w:pPr>
          </w:p>
        </w:tc>
        <w:tc>
          <w:tcPr>
            <w:tcW w:w="910" w:type="dxa"/>
            <w:noWrap w:val="0"/>
            <w:vAlign w:val="center"/>
          </w:tcPr>
          <w:p w14:paraId="4B99DBF4">
            <w:pPr>
              <w:pStyle w:val="15"/>
              <w:jc w:val="center"/>
              <w:rPr>
                <w:color w:val="auto"/>
                <w:highlight w:val="none"/>
              </w:rPr>
            </w:pPr>
          </w:p>
        </w:tc>
        <w:tc>
          <w:tcPr>
            <w:tcW w:w="940" w:type="dxa"/>
            <w:noWrap w:val="0"/>
            <w:vAlign w:val="center"/>
          </w:tcPr>
          <w:p w14:paraId="7A948DBD">
            <w:pPr>
              <w:pStyle w:val="15"/>
              <w:jc w:val="center"/>
              <w:rPr>
                <w:color w:val="auto"/>
                <w:highlight w:val="none"/>
              </w:rPr>
            </w:pPr>
          </w:p>
        </w:tc>
        <w:tc>
          <w:tcPr>
            <w:tcW w:w="1772" w:type="dxa"/>
            <w:noWrap w:val="0"/>
            <w:vAlign w:val="center"/>
          </w:tcPr>
          <w:p w14:paraId="53B28F36">
            <w:pPr>
              <w:pStyle w:val="15"/>
              <w:jc w:val="center"/>
              <w:rPr>
                <w:color w:val="auto"/>
                <w:highlight w:val="none"/>
              </w:rPr>
            </w:pPr>
          </w:p>
        </w:tc>
        <w:tc>
          <w:tcPr>
            <w:tcW w:w="927" w:type="dxa"/>
            <w:noWrap w:val="0"/>
            <w:vAlign w:val="center"/>
          </w:tcPr>
          <w:p w14:paraId="6FAFB29B">
            <w:pPr>
              <w:pStyle w:val="15"/>
              <w:jc w:val="center"/>
              <w:rPr>
                <w:color w:val="auto"/>
                <w:highlight w:val="none"/>
              </w:rPr>
            </w:pPr>
          </w:p>
        </w:tc>
      </w:tr>
      <w:tr w14:paraId="5ED8D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13B9AADB">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3</w:t>
            </w:r>
          </w:p>
        </w:tc>
        <w:tc>
          <w:tcPr>
            <w:tcW w:w="535" w:type="dxa"/>
            <w:noWrap w:val="0"/>
            <w:vAlign w:val="center"/>
          </w:tcPr>
          <w:p w14:paraId="31CE4AC3">
            <w:pPr>
              <w:pStyle w:val="15"/>
              <w:jc w:val="center"/>
              <w:rPr>
                <w:color w:val="auto"/>
                <w:highlight w:val="none"/>
              </w:rPr>
            </w:pPr>
          </w:p>
        </w:tc>
        <w:tc>
          <w:tcPr>
            <w:tcW w:w="578" w:type="dxa"/>
            <w:noWrap w:val="0"/>
            <w:vAlign w:val="center"/>
          </w:tcPr>
          <w:p w14:paraId="01600869">
            <w:pPr>
              <w:pStyle w:val="15"/>
              <w:jc w:val="center"/>
              <w:rPr>
                <w:color w:val="auto"/>
                <w:highlight w:val="none"/>
              </w:rPr>
            </w:pPr>
          </w:p>
        </w:tc>
        <w:tc>
          <w:tcPr>
            <w:tcW w:w="556" w:type="dxa"/>
            <w:noWrap w:val="0"/>
            <w:vAlign w:val="center"/>
          </w:tcPr>
          <w:p w14:paraId="3429E3A9">
            <w:pPr>
              <w:pStyle w:val="15"/>
              <w:jc w:val="center"/>
              <w:rPr>
                <w:color w:val="auto"/>
                <w:highlight w:val="none"/>
              </w:rPr>
            </w:pPr>
          </w:p>
        </w:tc>
        <w:tc>
          <w:tcPr>
            <w:tcW w:w="502" w:type="dxa"/>
            <w:noWrap w:val="0"/>
            <w:vAlign w:val="center"/>
          </w:tcPr>
          <w:p w14:paraId="7C20A1BC">
            <w:pPr>
              <w:pStyle w:val="15"/>
              <w:jc w:val="center"/>
              <w:rPr>
                <w:color w:val="auto"/>
                <w:highlight w:val="none"/>
              </w:rPr>
            </w:pPr>
          </w:p>
        </w:tc>
        <w:tc>
          <w:tcPr>
            <w:tcW w:w="524" w:type="dxa"/>
            <w:noWrap w:val="0"/>
            <w:vAlign w:val="center"/>
          </w:tcPr>
          <w:p w14:paraId="0B24638F">
            <w:pPr>
              <w:pStyle w:val="15"/>
              <w:jc w:val="center"/>
              <w:rPr>
                <w:color w:val="auto"/>
                <w:highlight w:val="none"/>
              </w:rPr>
            </w:pPr>
          </w:p>
        </w:tc>
        <w:tc>
          <w:tcPr>
            <w:tcW w:w="600" w:type="dxa"/>
            <w:noWrap w:val="0"/>
            <w:vAlign w:val="center"/>
          </w:tcPr>
          <w:p w14:paraId="690AF30B">
            <w:pPr>
              <w:pStyle w:val="15"/>
              <w:jc w:val="center"/>
              <w:rPr>
                <w:color w:val="auto"/>
                <w:highlight w:val="none"/>
              </w:rPr>
            </w:pPr>
          </w:p>
        </w:tc>
        <w:tc>
          <w:tcPr>
            <w:tcW w:w="567" w:type="dxa"/>
            <w:noWrap w:val="0"/>
            <w:vAlign w:val="center"/>
          </w:tcPr>
          <w:p w14:paraId="7752FD58">
            <w:pPr>
              <w:pStyle w:val="15"/>
              <w:jc w:val="center"/>
              <w:rPr>
                <w:color w:val="auto"/>
                <w:highlight w:val="none"/>
              </w:rPr>
            </w:pPr>
          </w:p>
        </w:tc>
        <w:tc>
          <w:tcPr>
            <w:tcW w:w="556" w:type="dxa"/>
            <w:noWrap w:val="0"/>
            <w:vAlign w:val="center"/>
          </w:tcPr>
          <w:p w14:paraId="16F6CCE9">
            <w:pPr>
              <w:pStyle w:val="15"/>
              <w:jc w:val="center"/>
              <w:rPr>
                <w:color w:val="auto"/>
                <w:highlight w:val="none"/>
              </w:rPr>
            </w:pPr>
          </w:p>
        </w:tc>
        <w:tc>
          <w:tcPr>
            <w:tcW w:w="910" w:type="dxa"/>
            <w:noWrap w:val="0"/>
            <w:vAlign w:val="center"/>
          </w:tcPr>
          <w:p w14:paraId="1B728C80">
            <w:pPr>
              <w:pStyle w:val="15"/>
              <w:jc w:val="center"/>
              <w:rPr>
                <w:color w:val="auto"/>
                <w:highlight w:val="none"/>
              </w:rPr>
            </w:pPr>
          </w:p>
        </w:tc>
        <w:tc>
          <w:tcPr>
            <w:tcW w:w="940" w:type="dxa"/>
            <w:noWrap w:val="0"/>
            <w:vAlign w:val="center"/>
          </w:tcPr>
          <w:p w14:paraId="228B3AE4">
            <w:pPr>
              <w:pStyle w:val="15"/>
              <w:jc w:val="center"/>
              <w:rPr>
                <w:color w:val="auto"/>
                <w:highlight w:val="none"/>
              </w:rPr>
            </w:pPr>
          </w:p>
        </w:tc>
        <w:tc>
          <w:tcPr>
            <w:tcW w:w="1772" w:type="dxa"/>
            <w:noWrap w:val="0"/>
            <w:vAlign w:val="center"/>
          </w:tcPr>
          <w:p w14:paraId="1A596C3D">
            <w:pPr>
              <w:pStyle w:val="15"/>
              <w:jc w:val="center"/>
              <w:rPr>
                <w:color w:val="auto"/>
                <w:highlight w:val="none"/>
              </w:rPr>
            </w:pPr>
          </w:p>
        </w:tc>
        <w:tc>
          <w:tcPr>
            <w:tcW w:w="927" w:type="dxa"/>
            <w:noWrap w:val="0"/>
            <w:vAlign w:val="center"/>
          </w:tcPr>
          <w:p w14:paraId="6E7691DC">
            <w:pPr>
              <w:pStyle w:val="15"/>
              <w:jc w:val="center"/>
              <w:rPr>
                <w:color w:val="auto"/>
                <w:highlight w:val="none"/>
              </w:rPr>
            </w:pPr>
          </w:p>
        </w:tc>
      </w:tr>
      <w:tr w14:paraId="680DF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468" w:type="dxa"/>
            <w:noWrap w:val="0"/>
            <w:vAlign w:val="center"/>
          </w:tcPr>
          <w:p w14:paraId="53D04C72">
            <w:pPr>
              <w:spacing w:before="0" w:line="178"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4"/>
                <w:sz w:val="17"/>
                <w:szCs w:val="17"/>
                <w:highlight w:val="none"/>
              </w:rPr>
              <w:t>4</w:t>
            </w:r>
          </w:p>
        </w:tc>
        <w:tc>
          <w:tcPr>
            <w:tcW w:w="535" w:type="dxa"/>
            <w:noWrap w:val="0"/>
            <w:vAlign w:val="center"/>
          </w:tcPr>
          <w:p w14:paraId="06AF98F2">
            <w:pPr>
              <w:pStyle w:val="15"/>
              <w:jc w:val="center"/>
              <w:rPr>
                <w:color w:val="auto"/>
                <w:highlight w:val="none"/>
              </w:rPr>
            </w:pPr>
          </w:p>
        </w:tc>
        <w:tc>
          <w:tcPr>
            <w:tcW w:w="578" w:type="dxa"/>
            <w:noWrap w:val="0"/>
            <w:vAlign w:val="center"/>
          </w:tcPr>
          <w:p w14:paraId="3B585489">
            <w:pPr>
              <w:pStyle w:val="15"/>
              <w:jc w:val="center"/>
              <w:rPr>
                <w:color w:val="auto"/>
                <w:highlight w:val="none"/>
              </w:rPr>
            </w:pPr>
          </w:p>
        </w:tc>
        <w:tc>
          <w:tcPr>
            <w:tcW w:w="556" w:type="dxa"/>
            <w:noWrap w:val="0"/>
            <w:vAlign w:val="center"/>
          </w:tcPr>
          <w:p w14:paraId="0A0FAC20">
            <w:pPr>
              <w:pStyle w:val="15"/>
              <w:jc w:val="center"/>
              <w:rPr>
                <w:color w:val="auto"/>
                <w:highlight w:val="none"/>
              </w:rPr>
            </w:pPr>
          </w:p>
        </w:tc>
        <w:tc>
          <w:tcPr>
            <w:tcW w:w="502" w:type="dxa"/>
            <w:noWrap w:val="0"/>
            <w:vAlign w:val="center"/>
          </w:tcPr>
          <w:p w14:paraId="629D1ABD">
            <w:pPr>
              <w:pStyle w:val="15"/>
              <w:jc w:val="center"/>
              <w:rPr>
                <w:color w:val="auto"/>
                <w:highlight w:val="none"/>
              </w:rPr>
            </w:pPr>
          </w:p>
        </w:tc>
        <w:tc>
          <w:tcPr>
            <w:tcW w:w="524" w:type="dxa"/>
            <w:noWrap w:val="0"/>
            <w:vAlign w:val="center"/>
          </w:tcPr>
          <w:p w14:paraId="545272AF">
            <w:pPr>
              <w:pStyle w:val="15"/>
              <w:jc w:val="center"/>
              <w:rPr>
                <w:color w:val="auto"/>
                <w:highlight w:val="none"/>
              </w:rPr>
            </w:pPr>
          </w:p>
        </w:tc>
        <w:tc>
          <w:tcPr>
            <w:tcW w:w="600" w:type="dxa"/>
            <w:noWrap w:val="0"/>
            <w:vAlign w:val="center"/>
          </w:tcPr>
          <w:p w14:paraId="6A1F76D3">
            <w:pPr>
              <w:pStyle w:val="15"/>
              <w:jc w:val="center"/>
              <w:rPr>
                <w:color w:val="auto"/>
                <w:highlight w:val="none"/>
              </w:rPr>
            </w:pPr>
          </w:p>
        </w:tc>
        <w:tc>
          <w:tcPr>
            <w:tcW w:w="567" w:type="dxa"/>
            <w:noWrap w:val="0"/>
            <w:vAlign w:val="center"/>
          </w:tcPr>
          <w:p w14:paraId="3F64D524">
            <w:pPr>
              <w:pStyle w:val="15"/>
              <w:jc w:val="center"/>
              <w:rPr>
                <w:color w:val="auto"/>
                <w:highlight w:val="none"/>
              </w:rPr>
            </w:pPr>
          </w:p>
        </w:tc>
        <w:tc>
          <w:tcPr>
            <w:tcW w:w="556" w:type="dxa"/>
            <w:noWrap w:val="0"/>
            <w:vAlign w:val="center"/>
          </w:tcPr>
          <w:p w14:paraId="270D1F50">
            <w:pPr>
              <w:pStyle w:val="15"/>
              <w:jc w:val="center"/>
              <w:rPr>
                <w:color w:val="auto"/>
                <w:highlight w:val="none"/>
              </w:rPr>
            </w:pPr>
          </w:p>
        </w:tc>
        <w:tc>
          <w:tcPr>
            <w:tcW w:w="910" w:type="dxa"/>
            <w:noWrap w:val="0"/>
            <w:vAlign w:val="center"/>
          </w:tcPr>
          <w:p w14:paraId="69DCBF47">
            <w:pPr>
              <w:pStyle w:val="15"/>
              <w:jc w:val="center"/>
              <w:rPr>
                <w:color w:val="auto"/>
                <w:highlight w:val="none"/>
              </w:rPr>
            </w:pPr>
          </w:p>
        </w:tc>
        <w:tc>
          <w:tcPr>
            <w:tcW w:w="940" w:type="dxa"/>
            <w:noWrap w:val="0"/>
            <w:vAlign w:val="center"/>
          </w:tcPr>
          <w:p w14:paraId="41916AA2">
            <w:pPr>
              <w:pStyle w:val="15"/>
              <w:jc w:val="center"/>
              <w:rPr>
                <w:color w:val="auto"/>
                <w:highlight w:val="none"/>
              </w:rPr>
            </w:pPr>
          </w:p>
        </w:tc>
        <w:tc>
          <w:tcPr>
            <w:tcW w:w="1772" w:type="dxa"/>
            <w:noWrap w:val="0"/>
            <w:vAlign w:val="center"/>
          </w:tcPr>
          <w:p w14:paraId="01DC9255">
            <w:pPr>
              <w:pStyle w:val="15"/>
              <w:jc w:val="center"/>
              <w:rPr>
                <w:color w:val="auto"/>
                <w:highlight w:val="none"/>
              </w:rPr>
            </w:pPr>
          </w:p>
        </w:tc>
        <w:tc>
          <w:tcPr>
            <w:tcW w:w="927" w:type="dxa"/>
            <w:noWrap w:val="0"/>
            <w:vAlign w:val="center"/>
          </w:tcPr>
          <w:p w14:paraId="011FBC14">
            <w:pPr>
              <w:pStyle w:val="15"/>
              <w:jc w:val="center"/>
              <w:rPr>
                <w:color w:val="auto"/>
                <w:highlight w:val="none"/>
              </w:rPr>
            </w:pPr>
          </w:p>
        </w:tc>
      </w:tr>
      <w:tr w14:paraId="2E15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76D0851C">
            <w:pPr>
              <w:spacing w:before="0" w:line="178"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5</w:t>
            </w:r>
          </w:p>
        </w:tc>
        <w:tc>
          <w:tcPr>
            <w:tcW w:w="535" w:type="dxa"/>
            <w:noWrap w:val="0"/>
            <w:vAlign w:val="center"/>
          </w:tcPr>
          <w:p w14:paraId="126117FC">
            <w:pPr>
              <w:pStyle w:val="15"/>
              <w:jc w:val="center"/>
              <w:rPr>
                <w:color w:val="auto"/>
                <w:highlight w:val="none"/>
              </w:rPr>
            </w:pPr>
          </w:p>
        </w:tc>
        <w:tc>
          <w:tcPr>
            <w:tcW w:w="578" w:type="dxa"/>
            <w:noWrap w:val="0"/>
            <w:vAlign w:val="center"/>
          </w:tcPr>
          <w:p w14:paraId="7DCA414C">
            <w:pPr>
              <w:pStyle w:val="15"/>
              <w:jc w:val="center"/>
              <w:rPr>
                <w:color w:val="auto"/>
                <w:highlight w:val="none"/>
              </w:rPr>
            </w:pPr>
          </w:p>
        </w:tc>
        <w:tc>
          <w:tcPr>
            <w:tcW w:w="556" w:type="dxa"/>
            <w:noWrap w:val="0"/>
            <w:vAlign w:val="center"/>
          </w:tcPr>
          <w:p w14:paraId="5BB9E5E5">
            <w:pPr>
              <w:pStyle w:val="15"/>
              <w:jc w:val="center"/>
              <w:rPr>
                <w:color w:val="auto"/>
                <w:highlight w:val="none"/>
              </w:rPr>
            </w:pPr>
          </w:p>
        </w:tc>
        <w:tc>
          <w:tcPr>
            <w:tcW w:w="502" w:type="dxa"/>
            <w:noWrap w:val="0"/>
            <w:vAlign w:val="center"/>
          </w:tcPr>
          <w:p w14:paraId="3081795D">
            <w:pPr>
              <w:pStyle w:val="15"/>
              <w:jc w:val="center"/>
              <w:rPr>
                <w:color w:val="auto"/>
                <w:highlight w:val="none"/>
              </w:rPr>
            </w:pPr>
          </w:p>
        </w:tc>
        <w:tc>
          <w:tcPr>
            <w:tcW w:w="524" w:type="dxa"/>
            <w:noWrap w:val="0"/>
            <w:vAlign w:val="center"/>
          </w:tcPr>
          <w:p w14:paraId="0599E926">
            <w:pPr>
              <w:pStyle w:val="15"/>
              <w:jc w:val="center"/>
              <w:rPr>
                <w:color w:val="auto"/>
                <w:highlight w:val="none"/>
              </w:rPr>
            </w:pPr>
          </w:p>
        </w:tc>
        <w:tc>
          <w:tcPr>
            <w:tcW w:w="600" w:type="dxa"/>
            <w:noWrap w:val="0"/>
            <w:vAlign w:val="center"/>
          </w:tcPr>
          <w:p w14:paraId="44AA5B40">
            <w:pPr>
              <w:pStyle w:val="15"/>
              <w:jc w:val="center"/>
              <w:rPr>
                <w:color w:val="auto"/>
                <w:highlight w:val="none"/>
              </w:rPr>
            </w:pPr>
          </w:p>
        </w:tc>
        <w:tc>
          <w:tcPr>
            <w:tcW w:w="567" w:type="dxa"/>
            <w:noWrap w:val="0"/>
            <w:vAlign w:val="center"/>
          </w:tcPr>
          <w:p w14:paraId="692FB57E">
            <w:pPr>
              <w:pStyle w:val="15"/>
              <w:jc w:val="center"/>
              <w:rPr>
                <w:color w:val="auto"/>
                <w:highlight w:val="none"/>
              </w:rPr>
            </w:pPr>
          </w:p>
        </w:tc>
        <w:tc>
          <w:tcPr>
            <w:tcW w:w="556" w:type="dxa"/>
            <w:noWrap w:val="0"/>
            <w:vAlign w:val="center"/>
          </w:tcPr>
          <w:p w14:paraId="65316050">
            <w:pPr>
              <w:pStyle w:val="15"/>
              <w:jc w:val="center"/>
              <w:rPr>
                <w:color w:val="auto"/>
                <w:highlight w:val="none"/>
              </w:rPr>
            </w:pPr>
          </w:p>
        </w:tc>
        <w:tc>
          <w:tcPr>
            <w:tcW w:w="910" w:type="dxa"/>
            <w:noWrap w:val="0"/>
            <w:vAlign w:val="center"/>
          </w:tcPr>
          <w:p w14:paraId="14597089">
            <w:pPr>
              <w:pStyle w:val="15"/>
              <w:jc w:val="center"/>
              <w:rPr>
                <w:color w:val="auto"/>
                <w:highlight w:val="none"/>
              </w:rPr>
            </w:pPr>
          </w:p>
        </w:tc>
        <w:tc>
          <w:tcPr>
            <w:tcW w:w="940" w:type="dxa"/>
            <w:noWrap w:val="0"/>
            <w:vAlign w:val="center"/>
          </w:tcPr>
          <w:p w14:paraId="1CC4E19F">
            <w:pPr>
              <w:pStyle w:val="15"/>
              <w:jc w:val="center"/>
              <w:rPr>
                <w:color w:val="auto"/>
                <w:highlight w:val="none"/>
              </w:rPr>
            </w:pPr>
          </w:p>
        </w:tc>
        <w:tc>
          <w:tcPr>
            <w:tcW w:w="1772" w:type="dxa"/>
            <w:noWrap w:val="0"/>
            <w:vAlign w:val="center"/>
          </w:tcPr>
          <w:p w14:paraId="1419C91F">
            <w:pPr>
              <w:pStyle w:val="15"/>
              <w:jc w:val="center"/>
              <w:rPr>
                <w:color w:val="auto"/>
                <w:highlight w:val="none"/>
              </w:rPr>
            </w:pPr>
          </w:p>
        </w:tc>
        <w:tc>
          <w:tcPr>
            <w:tcW w:w="927" w:type="dxa"/>
            <w:noWrap w:val="0"/>
            <w:vAlign w:val="center"/>
          </w:tcPr>
          <w:p w14:paraId="0C1B9D68">
            <w:pPr>
              <w:pStyle w:val="15"/>
              <w:jc w:val="center"/>
              <w:rPr>
                <w:color w:val="auto"/>
                <w:highlight w:val="none"/>
              </w:rPr>
            </w:pPr>
          </w:p>
        </w:tc>
      </w:tr>
      <w:tr w14:paraId="21C56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468" w:type="dxa"/>
            <w:noWrap w:val="0"/>
            <w:vAlign w:val="center"/>
          </w:tcPr>
          <w:p w14:paraId="0258C0C5">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6</w:t>
            </w:r>
          </w:p>
        </w:tc>
        <w:tc>
          <w:tcPr>
            <w:tcW w:w="535" w:type="dxa"/>
            <w:noWrap w:val="0"/>
            <w:vAlign w:val="center"/>
          </w:tcPr>
          <w:p w14:paraId="1DA94F20">
            <w:pPr>
              <w:pStyle w:val="15"/>
              <w:jc w:val="center"/>
              <w:rPr>
                <w:color w:val="auto"/>
                <w:highlight w:val="none"/>
              </w:rPr>
            </w:pPr>
          </w:p>
        </w:tc>
        <w:tc>
          <w:tcPr>
            <w:tcW w:w="578" w:type="dxa"/>
            <w:noWrap w:val="0"/>
            <w:vAlign w:val="center"/>
          </w:tcPr>
          <w:p w14:paraId="122F3928">
            <w:pPr>
              <w:pStyle w:val="15"/>
              <w:jc w:val="center"/>
              <w:rPr>
                <w:color w:val="auto"/>
                <w:highlight w:val="none"/>
              </w:rPr>
            </w:pPr>
          </w:p>
        </w:tc>
        <w:tc>
          <w:tcPr>
            <w:tcW w:w="556" w:type="dxa"/>
            <w:noWrap w:val="0"/>
            <w:vAlign w:val="center"/>
          </w:tcPr>
          <w:p w14:paraId="0065797B">
            <w:pPr>
              <w:pStyle w:val="15"/>
              <w:jc w:val="center"/>
              <w:rPr>
                <w:color w:val="auto"/>
                <w:highlight w:val="none"/>
              </w:rPr>
            </w:pPr>
          </w:p>
        </w:tc>
        <w:tc>
          <w:tcPr>
            <w:tcW w:w="502" w:type="dxa"/>
            <w:noWrap w:val="0"/>
            <w:vAlign w:val="center"/>
          </w:tcPr>
          <w:p w14:paraId="281DEF04">
            <w:pPr>
              <w:pStyle w:val="15"/>
              <w:jc w:val="center"/>
              <w:rPr>
                <w:color w:val="auto"/>
                <w:highlight w:val="none"/>
              </w:rPr>
            </w:pPr>
          </w:p>
        </w:tc>
        <w:tc>
          <w:tcPr>
            <w:tcW w:w="524" w:type="dxa"/>
            <w:noWrap w:val="0"/>
            <w:vAlign w:val="center"/>
          </w:tcPr>
          <w:p w14:paraId="7A8CB770">
            <w:pPr>
              <w:pStyle w:val="15"/>
              <w:jc w:val="center"/>
              <w:rPr>
                <w:color w:val="auto"/>
                <w:highlight w:val="none"/>
              </w:rPr>
            </w:pPr>
          </w:p>
        </w:tc>
        <w:tc>
          <w:tcPr>
            <w:tcW w:w="600" w:type="dxa"/>
            <w:noWrap w:val="0"/>
            <w:vAlign w:val="center"/>
          </w:tcPr>
          <w:p w14:paraId="02B3B91B">
            <w:pPr>
              <w:pStyle w:val="15"/>
              <w:jc w:val="center"/>
              <w:rPr>
                <w:color w:val="auto"/>
                <w:highlight w:val="none"/>
              </w:rPr>
            </w:pPr>
          </w:p>
        </w:tc>
        <w:tc>
          <w:tcPr>
            <w:tcW w:w="567" w:type="dxa"/>
            <w:noWrap w:val="0"/>
            <w:vAlign w:val="center"/>
          </w:tcPr>
          <w:p w14:paraId="5CB46714">
            <w:pPr>
              <w:pStyle w:val="15"/>
              <w:jc w:val="center"/>
              <w:rPr>
                <w:color w:val="auto"/>
                <w:highlight w:val="none"/>
              </w:rPr>
            </w:pPr>
          </w:p>
        </w:tc>
        <w:tc>
          <w:tcPr>
            <w:tcW w:w="556" w:type="dxa"/>
            <w:noWrap w:val="0"/>
            <w:vAlign w:val="center"/>
          </w:tcPr>
          <w:p w14:paraId="189B4FC8">
            <w:pPr>
              <w:pStyle w:val="15"/>
              <w:jc w:val="center"/>
              <w:rPr>
                <w:color w:val="auto"/>
                <w:highlight w:val="none"/>
              </w:rPr>
            </w:pPr>
          </w:p>
        </w:tc>
        <w:tc>
          <w:tcPr>
            <w:tcW w:w="910" w:type="dxa"/>
            <w:noWrap w:val="0"/>
            <w:vAlign w:val="center"/>
          </w:tcPr>
          <w:p w14:paraId="74F90215">
            <w:pPr>
              <w:pStyle w:val="15"/>
              <w:jc w:val="center"/>
              <w:rPr>
                <w:color w:val="auto"/>
                <w:highlight w:val="none"/>
              </w:rPr>
            </w:pPr>
          </w:p>
        </w:tc>
        <w:tc>
          <w:tcPr>
            <w:tcW w:w="940" w:type="dxa"/>
            <w:noWrap w:val="0"/>
            <w:vAlign w:val="center"/>
          </w:tcPr>
          <w:p w14:paraId="68F6767B">
            <w:pPr>
              <w:pStyle w:val="15"/>
              <w:jc w:val="center"/>
              <w:rPr>
                <w:color w:val="auto"/>
                <w:highlight w:val="none"/>
              </w:rPr>
            </w:pPr>
          </w:p>
        </w:tc>
        <w:tc>
          <w:tcPr>
            <w:tcW w:w="1772" w:type="dxa"/>
            <w:noWrap w:val="0"/>
            <w:vAlign w:val="center"/>
          </w:tcPr>
          <w:p w14:paraId="39E943A7">
            <w:pPr>
              <w:pStyle w:val="15"/>
              <w:jc w:val="center"/>
              <w:rPr>
                <w:color w:val="auto"/>
                <w:highlight w:val="none"/>
              </w:rPr>
            </w:pPr>
          </w:p>
        </w:tc>
        <w:tc>
          <w:tcPr>
            <w:tcW w:w="927" w:type="dxa"/>
            <w:noWrap w:val="0"/>
            <w:vAlign w:val="center"/>
          </w:tcPr>
          <w:p w14:paraId="1BD03EFB">
            <w:pPr>
              <w:pStyle w:val="15"/>
              <w:jc w:val="center"/>
              <w:rPr>
                <w:color w:val="auto"/>
                <w:highlight w:val="none"/>
              </w:rPr>
            </w:pPr>
          </w:p>
        </w:tc>
      </w:tr>
      <w:tr w14:paraId="414AB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68A63D8F">
            <w:pPr>
              <w:spacing w:before="0" w:line="178"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7</w:t>
            </w:r>
          </w:p>
        </w:tc>
        <w:tc>
          <w:tcPr>
            <w:tcW w:w="535" w:type="dxa"/>
            <w:noWrap w:val="0"/>
            <w:vAlign w:val="center"/>
          </w:tcPr>
          <w:p w14:paraId="270880CC">
            <w:pPr>
              <w:pStyle w:val="15"/>
              <w:jc w:val="center"/>
              <w:rPr>
                <w:color w:val="auto"/>
                <w:highlight w:val="none"/>
              </w:rPr>
            </w:pPr>
          </w:p>
        </w:tc>
        <w:tc>
          <w:tcPr>
            <w:tcW w:w="578" w:type="dxa"/>
            <w:noWrap w:val="0"/>
            <w:vAlign w:val="center"/>
          </w:tcPr>
          <w:p w14:paraId="1F3EE1A7">
            <w:pPr>
              <w:pStyle w:val="15"/>
              <w:jc w:val="center"/>
              <w:rPr>
                <w:color w:val="auto"/>
                <w:highlight w:val="none"/>
              </w:rPr>
            </w:pPr>
          </w:p>
        </w:tc>
        <w:tc>
          <w:tcPr>
            <w:tcW w:w="556" w:type="dxa"/>
            <w:noWrap w:val="0"/>
            <w:vAlign w:val="center"/>
          </w:tcPr>
          <w:p w14:paraId="6AE62EC0">
            <w:pPr>
              <w:pStyle w:val="15"/>
              <w:jc w:val="center"/>
              <w:rPr>
                <w:color w:val="auto"/>
                <w:highlight w:val="none"/>
              </w:rPr>
            </w:pPr>
          </w:p>
        </w:tc>
        <w:tc>
          <w:tcPr>
            <w:tcW w:w="502" w:type="dxa"/>
            <w:noWrap w:val="0"/>
            <w:vAlign w:val="center"/>
          </w:tcPr>
          <w:p w14:paraId="224D9ED0">
            <w:pPr>
              <w:pStyle w:val="15"/>
              <w:jc w:val="center"/>
              <w:rPr>
                <w:color w:val="auto"/>
                <w:highlight w:val="none"/>
              </w:rPr>
            </w:pPr>
          </w:p>
        </w:tc>
        <w:tc>
          <w:tcPr>
            <w:tcW w:w="524" w:type="dxa"/>
            <w:noWrap w:val="0"/>
            <w:vAlign w:val="center"/>
          </w:tcPr>
          <w:p w14:paraId="49D1F7FA">
            <w:pPr>
              <w:pStyle w:val="15"/>
              <w:jc w:val="center"/>
              <w:rPr>
                <w:color w:val="auto"/>
                <w:highlight w:val="none"/>
              </w:rPr>
            </w:pPr>
          </w:p>
        </w:tc>
        <w:tc>
          <w:tcPr>
            <w:tcW w:w="600" w:type="dxa"/>
            <w:noWrap w:val="0"/>
            <w:vAlign w:val="center"/>
          </w:tcPr>
          <w:p w14:paraId="64DD592E">
            <w:pPr>
              <w:pStyle w:val="15"/>
              <w:jc w:val="center"/>
              <w:rPr>
                <w:color w:val="auto"/>
                <w:highlight w:val="none"/>
              </w:rPr>
            </w:pPr>
          </w:p>
        </w:tc>
        <w:tc>
          <w:tcPr>
            <w:tcW w:w="567" w:type="dxa"/>
            <w:noWrap w:val="0"/>
            <w:vAlign w:val="center"/>
          </w:tcPr>
          <w:p w14:paraId="60975575">
            <w:pPr>
              <w:pStyle w:val="15"/>
              <w:jc w:val="center"/>
              <w:rPr>
                <w:color w:val="auto"/>
                <w:highlight w:val="none"/>
              </w:rPr>
            </w:pPr>
          </w:p>
        </w:tc>
        <w:tc>
          <w:tcPr>
            <w:tcW w:w="556" w:type="dxa"/>
            <w:noWrap w:val="0"/>
            <w:vAlign w:val="center"/>
          </w:tcPr>
          <w:p w14:paraId="5175C565">
            <w:pPr>
              <w:pStyle w:val="15"/>
              <w:jc w:val="center"/>
              <w:rPr>
                <w:color w:val="auto"/>
                <w:highlight w:val="none"/>
              </w:rPr>
            </w:pPr>
          </w:p>
        </w:tc>
        <w:tc>
          <w:tcPr>
            <w:tcW w:w="910" w:type="dxa"/>
            <w:noWrap w:val="0"/>
            <w:vAlign w:val="center"/>
          </w:tcPr>
          <w:p w14:paraId="4027A3AF">
            <w:pPr>
              <w:pStyle w:val="15"/>
              <w:jc w:val="center"/>
              <w:rPr>
                <w:color w:val="auto"/>
                <w:highlight w:val="none"/>
              </w:rPr>
            </w:pPr>
          </w:p>
        </w:tc>
        <w:tc>
          <w:tcPr>
            <w:tcW w:w="940" w:type="dxa"/>
            <w:noWrap w:val="0"/>
            <w:vAlign w:val="center"/>
          </w:tcPr>
          <w:p w14:paraId="10AE0550">
            <w:pPr>
              <w:pStyle w:val="15"/>
              <w:jc w:val="center"/>
              <w:rPr>
                <w:color w:val="auto"/>
                <w:highlight w:val="none"/>
              </w:rPr>
            </w:pPr>
          </w:p>
        </w:tc>
        <w:tc>
          <w:tcPr>
            <w:tcW w:w="1772" w:type="dxa"/>
            <w:noWrap w:val="0"/>
            <w:vAlign w:val="center"/>
          </w:tcPr>
          <w:p w14:paraId="0DC7B83F">
            <w:pPr>
              <w:pStyle w:val="15"/>
              <w:jc w:val="center"/>
              <w:rPr>
                <w:color w:val="auto"/>
                <w:highlight w:val="none"/>
              </w:rPr>
            </w:pPr>
          </w:p>
        </w:tc>
        <w:tc>
          <w:tcPr>
            <w:tcW w:w="927" w:type="dxa"/>
            <w:noWrap w:val="0"/>
            <w:vAlign w:val="center"/>
          </w:tcPr>
          <w:p w14:paraId="5993E590">
            <w:pPr>
              <w:pStyle w:val="15"/>
              <w:jc w:val="center"/>
              <w:rPr>
                <w:color w:val="auto"/>
                <w:highlight w:val="none"/>
              </w:rPr>
            </w:pPr>
          </w:p>
        </w:tc>
      </w:tr>
      <w:tr w14:paraId="3F0DF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468" w:type="dxa"/>
            <w:noWrap w:val="0"/>
            <w:vAlign w:val="center"/>
          </w:tcPr>
          <w:p w14:paraId="60758949">
            <w:pPr>
              <w:spacing w:before="0" w:line="99" w:lineRule="exact"/>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2"/>
                <w:position w:val="2"/>
                <w:sz w:val="17"/>
                <w:szCs w:val="17"/>
                <w:highlight w:val="none"/>
              </w:rPr>
              <w:t>...</w:t>
            </w:r>
          </w:p>
        </w:tc>
        <w:tc>
          <w:tcPr>
            <w:tcW w:w="535" w:type="dxa"/>
            <w:noWrap w:val="0"/>
            <w:vAlign w:val="center"/>
          </w:tcPr>
          <w:p w14:paraId="24612919">
            <w:pPr>
              <w:pStyle w:val="15"/>
              <w:jc w:val="center"/>
              <w:rPr>
                <w:color w:val="auto"/>
                <w:highlight w:val="none"/>
              </w:rPr>
            </w:pPr>
          </w:p>
        </w:tc>
        <w:tc>
          <w:tcPr>
            <w:tcW w:w="578" w:type="dxa"/>
            <w:noWrap w:val="0"/>
            <w:vAlign w:val="center"/>
          </w:tcPr>
          <w:p w14:paraId="2C0772CD">
            <w:pPr>
              <w:pStyle w:val="15"/>
              <w:jc w:val="center"/>
              <w:rPr>
                <w:color w:val="auto"/>
                <w:highlight w:val="none"/>
              </w:rPr>
            </w:pPr>
          </w:p>
        </w:tc>
        <w:tc>
          <w:tcPr>
            <w:tcW w:w="556" w:type="dxa"/>
            <w:noWrap w:val="0"/>
            <w:vAlign w:val="center"/>
          </w:tcPr>
          <w:p w14:paraId="4952F551">
            <w:pPr>
              <w:pStyle w:val="15"/>
              <w:jc w:val="center"/>
              <w:rPr>
                <w:color w:val="auto"/>
                <w:highlight w:val="none"/>
              </w:rPr>
            </w:pPr>
          </w:p>
        </w:tc>
        <w:tc>
          <w:tcPr>
            <w:tcW w:w="502" w:type="dxa"/>
            <w:noWrap w:val="0"/>
            <w:vAlign w:val="center"/>
          </w:tcPr>
          <w:p w14:paraId="4A3AE18A">
            <w:pPr>
              <w:pStyle w:val="15"/>
              <w:jc w:val="center"/>
              <w:rPr>
                <w:color w:val="auto"/>
                <w:highlight w:val="none"/>
              </w:rPr>
            </w:pPr>
          </w:p>
        </w:tc>
        <w:tc>
          <w:tcPr>
            <w:tcW w:w="524" w:type="dxa"/>
            <w:noWrap w:val="0"/>
            <w:vAlign w:val="center"/>
          </w:tcPr>
          <w:p w14:paraId="736B613A">
            <w:pPr>
              <w:pStyle w:val="15"/>
              <w:jc w:val="center"/>
              <w:rPr>
                <w:color w:val="auto"/>
                <w:highlight w:val="none"/>
              </w:rPr>
            </w:pPr>
          </w:p>
        </w:tc>
        <w:tc>
          <w:tcPr>
            <w:tcW w:w="600" w:type="dxa"/>
            <w:noWrap w:val="0"/>
            <w:vAlign w:val="center"/>
          </w:tcPr>
          <w:p w14:paraId="4E085B02">
            <w:pPr>
              <w:pStyle w:val="15"/>
              <w:jc w:val="center"/>
              <w:rPr>
                <w:color w:val="auto"/>
                <w:highlight w:val="none"/>
              </w:rPr>
            </w:pPr>
          </w:p>
        </w:tc>
        <w:tc>
          <w:tcPr>
            <w:tcW w:w="567" w:type="dxa"/>
            <w:noWrap w:val="0"/>
            <w:vAlign w:val="center"/>
          </w:tcPr>
          <w:p w14:paraId="3BD2398C">
            <w:pPr>
              <w:pStyle w:val="15"/>
              <w:jc w:val="center"/>
              <w:rPr>
                <w:color w:val="auto"/>
                <w:highlight w:val="none"/>
              </w:rPr>
            </w:pPr>
          </w:p>
        </w:tc>
        <w:tc>
          <w:tcPr>
            <w:tcW w:w="556" w:type="dxa"/>
            <w:noWrap w:val="0"/>
            <w:vAlign w:val="center"/>
          </w:tcPr>
          <w:p w14:paraId="0C9FA7AA">
            <w:pPr>
              <w:pStyle w:val="15"/>
              <w:jc w:val="center"/>
              <w:rPr>
                <w:color w:val="auto"/>
                <w:highlight w:val="none"/>
              </w:rPr>
            </w:pPr>
          </w:p>
        </w:tc>
        <w:tc>
          <w:tcPr>
            <w:tcW w:w="910" w:type="dxa"/>
            <w:noWrap w:val="0"/>
            <w:vAlign w:val="center"/>
          </w:tcPr>
          <w:p w14:paraId="12E9AE08">
            <w:pPr>
              <w:pStyle w:val="15"/>
              <w:jc w:val="center"/>
              <w:rPr>
                <w:color w:val="auto"/>
                <w:highlight w:val="none"/>
              </w:rPr>
            </w:pPr>
          </w:p>
        </w:tc>
        <w:tc>
          <w:tcPr>
            <w:tcW w:w="940" w:type="dxa"/>
            <w:noWrap w:val="0"/>
            <w:vAlign w:val="center"/>
          </w:tcPr>
          <w:p w14:paraId="31AD7CBF">
            <w:pPr>
              <w:pStyle w:val="15"/>
              <w:jc w:val="center"/>
              <w:rPr>
                <w:color w:val="auto"/>
                <w:highlight w:val="none"/>
              </w:rPr>
            </w:pPr>
          </w:p>
        </w:tc>
        <w:tc>
          <w:tcPr>
            <w:tcW w:w="1772" w:type="dxa"/>
            <w:noWrap w:val="0"/>
            <w:vAlign w:val="center"/>
          </w:tcPr>
          <w:p w14:paraId="61C7B6EE">
            <w:pPr>
              <w:pStyle w:val="15"/>
              <w:jc w:val="center"/>
              <w:rPr>
                <w:color w:val="auto"/>
                <w:highlight w:val="none"/>
              </w:rPr>
            </w:pPr>
          </w:p>
        </w:tc>
        <w:tc>
          <w:tcPr>
            <w:tcW w:w="927" w:type="dxa"/>
            <w:noWrap w:val="0"/>
            <w:vAlign w:val="center"/>
          </w:tcPr>
          <w:p w14:paraId="000B2A79">
            <w:pPr>
              <w:pStyle w:val="15"/>
              <w:jc w:val="center"/>
              <w:rPr>
                <w:color w:val="auto"/>
                <w:highlight w:val="none"/>
              </w:rPr>
            </w:pPr>
          </w:p>
        </w:tc>
      </w:tr>
      <w:tr w14:paraId="13D11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2E7B7957">
            <w:pPr>
              <w:pStyle w:val="15"/>
              <w:jc w:val="center"/>
              <w:rPr>
                <w:color w:val="auto"/>
                <w:highlight w:val="none"/>
              </w:rPr>
            </w:pPr>
          </w:p>
        </w:tc>
        <w:tc>
          <w:tcPr>
            <w:tcW w:w="535" w:type="dxa"/>
            <w:noWrap w:val="0"/>
            <w:vAlign w:val="center"/>
          </w:tcPr>
          <w:p w14:paraId="5DFFCE72">
            <w:pPr>
              <w:pStyle w:val="15"/>
              <w:jc w:val="center"/>
              <w:rPr>
                <w:color w:val="auto"/>
                <w:highlight w:val="none"/>
              </w:rPr>
            </w:pPr>
          </w:p>
        </w:tc>
        <w:tc>
          <w:tcPr>
            <w:tcW w:w="578" w:type="dxa"/>
            <w:noWrap w:val="0"/>
            <w:vAlign w:val="center"/>
          </w:tcPr>
          <w:p w14:paraId="0F961039">
            <w:pPr>
              <w:pStyle w:val="15"/>
              <w:jc w:val="center"/>
              <w:rPr>
                <w:color w:val="auto"/>
                <w:highlight w:val="none"/>
              </w:rPr>
            </w:pPr>
          </w:p>
        </w:tc>
        <w:tc>
          <w:tcPr>
            <w:tcW w:w="556" w:type="dxa"/>
            <w:noWrap w:val="0"/>
            <w:vAlign w:val="center"/>
          </w:tcPr>
          <w:p w14:paraId="497A9AFB">
            <w:pPr>
              <w:pStyle w:val="15"/>
              <w:jc w:val="center"/>
              <w:rPr>
                <w:color w:val="auto"/>
                <w:highlight w:val="none"/>
              </w:rPr>
            </w:pPr>
          </w:p>
        </w:tc>
        <w:tc>
          <w:tcPr>
            <w:tcW w:w="502" w:type="dxa"/>
            <w:noWrap w:val="0"/>
            <w:vAlign w:val="center"/>
          </w:tcPr>
          <w:p w14:paraId="7BCA51BD">
            <w:pPr>
              <w:pStyle w:val="15"/>
              <w:jc w:val="center"/>
              <w:rPr>
                <w:color w:val="auto"/>
                <w:highlight w:val="none"/>
              </w:rPr>
            </w:pPr>
          </w:p>
        </w:tc>
        <w:tc>
          <w:tcPr>
            <w:tcW w:w="524" w:type="dxa"/>
            <w:noWrap w:val="0"/>
            <w:vAlign w:val="center"/>
          </w:tcPr>
          <w:p w14:paraId="70CEC263">
            <w:pPr>
              <w:pStyle w:val="15"/>
              <w:jc w:val="center"/>
              <w:rPr>
                <w:color w:val="auto"/>
                <w:highlight w:val="none"/>
              </w:rPr>
            </w:pPr>
          </w:p>
        </w:tc>
        <w:tc>
          <w:tcPr>
            <w:tcW w:w="600" w:type="dxa"/>
            <w:noWrap w:val="0"/>
            <w:vAlign w:val="center"/>
          </w:tcPr>
          <w:p w14:paraId="03CC78F0">
            <w:pPr>
              <w:pStyle w:val="15"/>
              <w:jc w:val="center"/>
              <w:rPr>
                <w:color w:val="auto"/>
                <w:highlight w:val="none"/>
              </w:rPr>
            </w:pPr>
          </w:p>
        </w:tc>
        <w:tc>
          <w:tcPr>
            <w:tcW w:w="567" w:type="dxa"/>
            <w:noWrap w:val="0"/>
            <w:vAlign w:val="center"/>
          </w:tcPr>
          <w:p w14:paraId="7769F0A3">
            <w:pPr>
              <w:pStyle w:val="15"/>
              <w:jc w:val="center"/>
              <w:rPr>
                <w:color w:val="auto"/>
                <w:highlight w:val="none"/>
              </w:rPr>
            </w:pPr>
          </w:p>
        </w:tc>
        <w:tc>
          <w:tcPr>
            <w:tcW w:w="556" w:type="dxa"/>
            <w:noWrap w:val="0"/>
            <w:vAlign w:val="center"/>
          </w:tcPr>
          <w:p w14:paraId="419EB6C8">
            <w:pPr>
              <w:pStyle w:val="15"/>
              <w:jc w:val="center"/>
              <w:rPr>
                <w:color w:val="auto"/>
                <w:highlight w:val="none"/>
              </w:rPr>
            </w:pPr>
          </w:p>
        </w:tc>
        <w:tc>
          <w:tcPr>
            <w:tcW w:w="910" w:type="dxa"/>
            <w:noWrap w:val="0"/>
            <w:vAlign w:val="center"/>
          </w:tcPr>
          <w:p w14:paraId="75FA4FFC">
            <w:pPr>
              <w:pStyle w:val="15"/>
              <w:jc w:val="center"/>
              <w:rPr>
                <w:color w:val="auto"/>
                <w:highlight w:val="none"/>
              </w:rPr>
            </w:pPr>
          </w:p>
        </w:tc>
        <w:tc>
          <w:tcPr>
            <w:tcW w:w="940" w:type="dxa"/>
            <w:noWrap w:val="0"/>
            <w:vAlign w:val="center"/>
          </w:tcPr>
          <w:p w14:paraId="48B9DC80">
            <w:pPr>
              <w:pStyle w:val="15"/>
              <w:jc w:val="center"/>
              <w:rPr>
                <w:color w:val="auto"/>
                <w:highlight w:val="none"/>
              </w:rPr>
            </w:pPr>
          </w:p>
        </w:tc>
        <w:tc>
          <w:tcPr>
            <w:tcW w:w="1772" w:type="dxa"/>
            <w:noWrap w:val="0"/>
            <w:vAlign w:val="center"/>
          </w:tcPr>
          <w:p w14:paraId="52B24142">
            <w:pPr>
              <w:pStyle w:val="15"/>
              <w:jc w:val="center"/>
              <w:rPr>
                <w:color w:val="auto"/>
                <w:highlight w:val="none"/>
              </w:rPr>
            </w:pPr>
          </w:p>
        </w:tc>
        <w:tc>
          <w:tcPr>
            <w:tcW w:w="927" w:type="dxa"/>
            <w:noWrap w:val="0"/>
            <w:vAlign w:val="center"/>
          </w:tcPr>
          <w:p w14:paraId="6623D435">
            <w:pPr>
              <w:pStyle w:val="15"/>
              <w:jc w:val="center"/>
              <w:rPr>
                <w:color w:val="auto"/>
                <w:highlight w:val="none"/>
              </w:rPr>
            </w:pPr>
          </w:p>
        </w:tc>
      </w:tr>
      <w:tr w14:paraId="2094F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68" w:type="dxa"/>
            <w:noWrap w:val="0"/>
            <w:vAlign w:val="center"/>
          </w:tcPr>
          <w:p w14:paraId="18924880">
            <w:pPr>
              <w:spacing w:before="0" w:line="19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合计</w:t>
            </w:r>
          </w:p>
        </w:tc>
        <w:tc>
          <w:tcPr>
            <w:tcW w:w="535" w:type="dxa"/>
            <w:noWrap w:val="0"/>
            <w:vAlign w:val="center"/>
          </w:tcPr>
          <w:p w14:paraId="5EB28E31">
            <w:pPr>
              <w:pStyle w:val="15"/>
              <w:jc w:val="center"/>
              <w:rPr>
                <w:color w:val="auto"/>
                <w:highlight w:val="none"/>
              </w:rPr>
            </w:pPr>
          </w:p>
        </w:tc>
        <w:tc>
          <w:tcPr>
            <w:tcW w:w="578" w:type="dxa"/>
            <w:noWrap w:val="0"/>
            <w:vAlign w:val="center"/>
          </w:tcPr>
          <w:p w14:paraId="3E7D16F8">
            <w:pPr>
              <w:pStyle w:val="15"/>
              <w:jc w:val="center"/>
              <w:rPr>
                <w:color w:val="auto"/>
                <w:highlight w:val="none"/>
              </w:rPr>
            </w:pPr>
          </w:p>
        </w:tc>
        <w:tc>
          <w:tcPr>
            <w:tcW w:w="556" w:type="dxa"/>
            <w:noWrap w:val="0"/>
            <w:vAlign w:val="center"/>
          </w:tcPr>
          <w:p w14:paraId="3F2291C6">
            <w:pPr>
              <w:pStyle w:val="15"/>
              <w:jc w:val="center"/>
              <w:rPr>
                <w:color w:val="auto"/>
                <w:highlight w:val="none"/>
              </w:rPr>
            </w:pPr>
          </w:p>
        </w:tc>
        <w:tc>
          <w:tcPr>
            <w:tcW w:w="502" w:type="dxa"/>
            <w:noWrap w:val="0"/>
            <w:vAlign w:val="center"/>
          </w:tcPr>
          <w:p w14:paraId="69433412">
            <w:pPr>
              <w:pStyle w:val="15"/>
              <w:jc w:val="center"/>
              <w:rPr>
                <w:color w:val="auto"/>
                <w:highlight w:val="none"/>
              </w:rPr>
            </w:pPr>
          </w:p>
        </w:tc>
        <w:tc>
          <w:tcPr>
            <w:tcW w:w="524" w:type="dxa"/>
            <w:noWrap w:val="0"/>
            <w:vAlign w:val="center"/>
          </w:tcPr>
          <w:p w14:paraId="5961249E">
            <w:pPr>
              <w:pStyle w:val="15"/>
              <w:jc w:val="center"/>
              <w:rPr>
                <w:color w:val="auto"/>
                <w:highlight w:val="none"/>
              </w:rPr>
            </w:pPr>
          </w:p>
        </w:tc>
        <w:tc>
          <w:tcPr>
            <w:tcW w:w="600" w:type="dxa"/>
            <w:noWrap w:val="0"/>
            <w:vAlign w:val="center"/>
          </w:tcPr>
          <w:p w14:paraId="3FD5411E">
            <w:pPr>
              <w:pStyle w:val="15"/>
              <w:jc w:val="center"/>
              <w:rPr>
                <w:color w:val="auto"/>
                <w:highlight w:val="none"/>
              </w:rPr>
            </w:pPr>
          </w:p>
        </w:tc>
        <w:tc>
          <w:tcPr>
            <w:tcW w:w="567" w:type="dxa"/>
            <w:noWrap w:val="0"/>
            <w:vAlign w:val="center"/>
          </w:tcPr>
          <w:p w14:paraId="0AB00148">
            <w:pPr>
              <w:pStyle w:val="15"/>
              <w:jc w:val="center"/>
              <w:rPr>
                <w:color w:val="auto"/>
                <w:highlight w:val="none"/>
              </w:rPr>
            </w:pPr>
          </w:p>
        </w:tc>
        <w:tc>
          <w:tcPr>
            <w:tcW w:w="556" w:type="dxa"/>
            <w:noWrap w:val="0"/>
            <w:vAlign w:val="center"/>
          </w:tcPr>
          <w:p w14:paraId="7BEFB1BF">
            <w:pPr>
              <w:pStyle w:val="15"/>
              <w:jc w:val="center"/>
              <w:rPr>
                <w:color w:val="auto"/>
                <w:highlight w:val="none"/>
              </w:rPr>
            </w:pPr>
          </w:p>
        </w:tc>
        <w:tc>
          <w:tcPr>
            <w:tcW w:w="910" w:type="dxa"/>
            <w:noWrap w:val="0"/>
            <w:vAlign w:val="center"/>
          </w:tcPr>
          <w:p w14:paraId="5FB66102">
            <w:pPr>
              <w:pStyle w:val="15"/>
              <w:jc w:val="center"/>
              <w:rPr>
                <w:color w:val="auto"/>
                <w:highlight w:val="none"/>
              </w:rPr>
            </w:pPr>
          </w:p>
        </w:tc>
        <w:tc>
          <w:tcPr>
            <w:tcW w:w="940" w:type="dxa"/>
            <w:noWrap w:val="0"/>
            <w:vAlign w:val="center"/>
          </w:tcPr>
          <w:p w14:paraId="00DFD8DA">
            <w:pPr>
              <w:pStyle w:val="15"/>
              <w:jc w:val="center"/>
              <w:rPr>
                <w:color w:val="auto"/>
                <w:highlight w:val="none"/>
              </w:rPr>
            </w:pPr>
          </w:p>
        </w:tc>
        <w:tc>
          <w:tcPr>
            <w:tcW w:w="1772" w:type="dxa"/>
            <w:noWrap w:val="0"/>
            <w:vAlign w:val="center"/>
          </w:tcPr>
          <w:p w14:paraId="14A57A4B">
            <w:pPr>
              <w:pStyle w:val="15"/>
              <w:jc w:val="center"/>
              <w:rPr>
                <w:color w:val="auto"/>
                <w:highlight w:val="none"/>
              </w:rPr>
            </w:pPr>
          </w:p>
        </w:tc>
        <w:tc>
          <w:tcPr>
            <w:tcW w:w="927" w:type="dxa"/>
            <w:noWrap w:val="0"/>
            <w:vAlign w:val="center"/>
          </w:tcPr>
          <w:p w14:paraId="265D479F">
            <w:pPr>
              <w:pStyle w:val="15"/>
              <w:jc w:val="center"/>
              <w:rPr>
                <w:color w:val="auto"/>
                <w:highlight w:val="none"/>
              </w:rPr>
            </w:pPr>
          </w:p>
        </w:tc>
      </w:tr>
    </w:tbl>
    <w:p w14:paraId="3231638D">
      <w:pPr>
        <w:pStyle w:val="5"/>
        <w:spacing w:before="0" w:line="240" w:lineRule="auto"/>
        <w:ind w:left="0"/>
        <w:rPr>
          <w:rFonts w:hint="default" w:ascii="宋体" w:hAnsi="宋体" w:eastAsia="宋体" w:cs="宋体"/>
          <w:color w:val="auto"/>
          <w:spacing w:val="8"/>
          <w:position w:val="10"/>
          <w:sz w:val="24"/>
          <w:szCs w:val="24"/>
          <w:highlight w:val="none"/>
          <w:lang w:val="en-US" w:eastAsia="zh-CN"/>
        </w:rPr>
      </w:pPr>
      <w:r>
        <w:rPr>
          <w:rFonts w:hint="eastAsia" w:ascii="宋体" w:hAnsi="宋体" w:eastAsia="宋体" w:cs="宋体"/>
          <w:color w:val="auto"/>
          <w:spacing w:val="3"/>
          <w:position w:val="29"/>
          <w:sz w:val="24"/>
          <w:szCs w:val="24"/>
          <w:highlight w:val="none"/>
        </w:rPr>
        <w:t>说明：供</w:t>
      </w:r>
      <w:r>
        <w:rPr>
          <w:rFonts w:hint="eastAsia" w:ascii="宋体" w:hAnsi="宋体" w:eastAsia="宋体" w:cs="宋体"/>
          <w:color w:val="auto"/>
          <w:spacing w:val="3"/>
          <w:position w:val="29"/>
          <w:sz w:val="24"/>
          <w:szCs w:val="24"/>
          <w:highlight w:val="none"/>
          <w:lang w:val="en-US" w:eastAsia="zh-CN"/>
        </w:rPr>
        <w:t>货单位</w:t>
      </w:r>
      <w:r>
        <w:rPr>
          <w:rFonts w:hint="eastAsia" w:ascii="宋体" w:hAnsi="宋体" w:eastAsia="宋体" w:cs="宋体"/>
          <w:color w:val="auto"/>
          <w:spacing w:val="3"/>
          <w:position w:val="29"/>
          <w:sz w:val="24"/>
          <w:szCs w:val="24"/>
          <w:highlight w:val="none"/>
        </w:rPr>
        <w:t>根据对账需求可增加表头内容，不得删减表头内</w:t>
      </w:r>
      <w:r>
        <w:rPr>
          <w:rFonts w:hint="eastAsia" w:ascii="宋体" w:hAnsi="宋体" w:eastAsia="宋体" w:cs="宋体"/>
          <w:color w:val="auto"/>
          <w:spacing w:val="2"/>
          <w:position w:val="29"/>
          <w:sz w:val="24"/>
          <w:szCs w:val="24"/>
          <w:highlight w:val="none"/>
        </w:rPr>
        <w:t>容。</w:t>
      </w:r>
    </w:p>
    <w:p w14:paraId="55A5F362">
      <w:pPr>
        <w:pStyle w:val="2"/>
        <w:ind w:left="0" w:leftChars="0" w:firstLine="0" w:firstLineChars="0"/>
        <w:rPr>
          <w:rFonts w:hint="eastAsia" w:hAnsi="宋体" w:cs="宋体"/>
          <w:color w:val="auto"/>
          <w:spacing w:val="8"/>
          <w:position w:val="-1"/>
          <w:sz w:val="24"/>
          <w:szCs w:val="24"/>
          <w:highlight w:val="none"/>
          <w:lang w:eastAsia="zh-CN"/>
        </w:rPr>
      </w:pPr>
      <w:r>
        <w:rPr>
          <w:rFonts w:hint="eastAsia" w:ascii="宋体" w:hAnsi="宋体" w:eastAsia="宋体" w:cs="宋体"/>
          <w:color w:val="auto"/>
          <w:spacing w:val="-5"/>
          <w:position w:val="-1"/>
          <w:sz w:val="24"/>
          <w:szCs w:val="24"/>
          <w:highlight w:val="none"/>
          <w:lang w:val="en-US" w:eastAsia="zh-CN"/>
        </w:rPr>
        <w:t>收货单位对账人员签收</w:t>
      </w:r>
      <w:r>
        <w:rPr>
          <w:rFonts w:hint="eastAsia" w:ascii="宋体" w:hAnsi="宋体" w:cs="宋体"/>
          <w:color w:val="auto"/>
          <w:spacing w:val="-5"/>
          <w:position w:val="-1"/>
          <w:sz w:val="24"/>
          <w:szCs w:val="24"/>
          <w:highlight w:val="none"/>
          <w:lang w:val="en-US" w:eastAsia="zh-CN"/>
        </w:rPr>
        <w:t xml:space="preserve">：  </w:t>
      </w:r>
      <w:r>
        <w:rPr>
          <w:rFonts w:hint="eastAsia" w:hAnsi="宋体" w:cs="宋体"/>
          <w:color w:val="auto"/>
          <w:spacing w:val="-5"/>
          <w:position w:val="-1"/>
          <w:sz w:val="24"/>
          <w:szCs w:val="24"/>
          <w:highlight w:val="none"/>
          <w:lang w:val="en-US" w:eastAsia="zh-CN"/>
        </w:rPr>
        <w:t xml:space="preserve">                          </w:t>
      </w:r>
      <w:r>
        <w:rPr>
          <w:rFonts w:hint="eastAsia" w:ascii="宋体" w:hAnsi="宋体" w:eastAsia="宋体" w:cs="宋体"/>
          <w:color w:val="auto"/>
          <w:spacing w:val="8"/>
          <w:position w:val="-1"/>
          <w:sz w:val="24"/>
          <w:szCs w:val="24"/>
          <w:highlight w:val="none"/>
        </w:rPr>
        <w:t>供货单位签章</w:t>
      </w:r>
      <w:r>
        <w:rPr>
          <w:rFonts w:hint="eastAsia" w:hAnsi="宋体" w:cs="宋体"/>
          <w:color w:val="auto"/>
          <w:spacing w:val="8"/>
          <w:position w:val="-1"/>
          <w:sz w:val="24"/>
          <w:szCs w:val="24"/>
          <w:highlight w:val="none"/>
          <w:lang w:eastAsia="zh-CN"/>
        </w:rPr>
        <w:t>：</w:t>
      </w:r>
    </w:p>
    <w:p w14:paraId="6E2EA79D">
      <w:pPr>
        <w:pStyle w:val="2"/>
        <w:ind w:firstLine="0" w:firstLineChars="0"/>
        <w:rPr>
          <w:rFonts w:hint="eastAsia" w:hAnsi="宋体" w:cs="宋体"/>
          <w:color w:val="auto"/>
          <w:spacing w:val="8"/>
          <w:position w:val="-1"/>
          <w:sz w:val="24"/>
          <w:szCs w:val="24"/>
          <w:highlight w:val="none"/>
          <w:lang w:val="en-US" w:eastAsia="zh-CN"/>
        </w:rPr>
      </w:pPr>
      <w:r>
        <w:rPr>
          <w:rFonts w:hint="eastAsia" w:hAnsi="宋体" w:cs="宋体"/>
          <w:color w:val="auto"/>
          <w:spacing w:val="8"/>
          <w:position w:val="-1"/>
          <w:sz w:val="24"/>
          <w:szCs w:val="24"/>
          <w:highlight w:val="none"/>
          <w:lang w:val="en-US" w:eastAsia="zh-CN"/>
        </w:rPr>
        <w:t>日期：                                   日期：</w:t>
      </w:r>
    </w:p>
    <w:p w14:paraId="3B8AB836">
      <w:pPr>
        <w:pStyle w:val="2"/>
        <w:ind w:firstLine="0" w:firstLineChars="0"/>
        <w:rPr>
          <w:rFonts w:hint="eastAsia" w:hAnsi="宋体" w:cs="宋体"/>
          <w:color w:val="auto"/>
          <w:spacing w:val="8"/>
          <w:position w:val="-1"/>
          <w:sz w:val="24"/>
          <w:szCs w:val="24"/>
          <w:highlight w:val="none"/>
          <w:lang w:val="en-US" w:eastAsia="zh-CN"/>
        </w:rPr>
      </w:pPr>
    </w:p>
    <w:p w14:paraId="5B83755F">
      <w:pPr>
        <w:pStyle w:val="2"/>
        <w:ind w:firstLine="0" w:firstLineChars="0"/>
        <w:rPr>
          <w:rFonts w:hint="eastAsia" w:hAnsi="宋体" w:cs="宋体"/>
          <w:color w:val="auto"/>
          <w:spacing w:val="8"/>
          <w:position w:val="-1"/>
          <w:sz w:val="24"/>
          <w:szCs w:val="24"/>
          <w:highlight w:val="none"/>
          <w:lang w:val="en-US" w:eastAsia="zh-CN"/>
        </w:rPr>
      </w:pPr>
    </w:p>
    <w:p w14:paraId="332D48B3">
      <w:pPr>
        <w:pStyle w:val="2"/>
        <w:ind w:firstLine="0" w:firstLineChars="0"/>
        <w:rPr>
          <w:rFonts w:hint="eastAsia" w:hAnsi="宋体" w:cs="宋体"/>
          <w:color w:val="auto"/>
          <w:spacing w:val="8"/>
          <w:position w:val="-1"/>
          <w:sz w:val="24"/>
          <w:szCs w:val="24"/>
          <w:highlight w:val="none"/>
          <w:lang w:val="en-US" w:eastAsia="zh-CN"/>
        </w:rPr>
      </w:pPr>
    </w:p>
    <w:p w14:paraId="418F7A7B">
      <w:pPr>
        <w:pStyle w:val="2"/>
        <w:ind w:firstLine="0" w:firstLineChars="0"/>
        <w:rPr>
          <w:rFonts w:hint="eastAsia" w:hAnsi="宋体" w:cs="宋体"/>
          <w:color w:val="auto"/>
          <w:spacing w:val="8"/>
          <w:position w:val="-1"/>
          <w:sz w:val="24"/>
          <w:szCs w:val="24"/>
          <w:highlight w:val="none"/>
          <w:lang w:val="en-US" w:eastAsia="zh-CN"/>
        </w:rPr>
      </w:pPr>
    </w:p>
    <w:p w14:paraId="655D2A45">
      <w:pPr>
        <w:pStyle w:val="2"/>
        <w:ind w:firstLine="0" w:firstLineChars="0"/>
        <w:rPr>
          <w:rFonts w:hint="eastAsia" w:hAnsi="宋体" w:cs="宋体"/>
          <w:color w:val="auto"/>
          <w:spacing w:val="8"/>
          <w:position w:val="-1"/>
          <w:sz w:val="24"/>
          <w:szCs w:val="24"/>
          <w:highlight w:val="none"/>
          <w:lang w:val="en-US" w:eastAsia="zh-CN"/>
        </w:rPr>
      </w:pPr>
    </w:p>
    <w:p w14:paraId="22B63A7C">
      <w:pPr>
        <w:pStyle w:val="2"/>
        <w:ind w:firstLine="0" w:firstLineChars="0"/>
        <w:rPr>
          <w:rFonts w:hint="eastAsia" w:hAnsi="宋体" w:cs="宋体"/>
          <w:color w:val="auto"/>
          <w:spacing w:val="8"/>
          <w:position w:val="-1"/>
          <w:sz w:val="24"/>
          <w:szCs w:val="24"/>
          <w:highlight w:val="none"/>
          <w:lang w:val="en-US" w:eastAsia="zh-CN"/>
        </w:rPr>
      </w:pPr>
    </w:p>
    <w:p w14:paraId="4F2B639E">
      <w:pPr>
        <w:pStyle w:val="2"/>
        <w:ind w:firstLine="0" w:firstLineChars="0"/>
        <w:rPr>
          <w:rFonts w:hint="eastAsia" w:hAnsi="宋体" w:cs="宋体"/>
          <w:color w:val="auto"/>
          <w:spacing w:val="8"/>
          <w:position w:val="-1"/>
          <w:sz w:val="24"/>
          <w:szCs w:val="24"/>
          <w:highlight w:val="none"/>
          <w:lang w:val="en-US" w:eastAsia="zh-CN"/>
        </w:rPr>
      </w:pPr>
    </w:p>
    <w:p w14:paraId="7CBB603C">
      <w:pPr>
        <w:pStyle w:val="2"/>
        <w:ind w:firstLine="0" w:firstLineChars="0"/>
        <w:rPr>
          <w:rFonts w:hint="eastAsia" w:hAnsi="宋体" w:cs="宋体"/>
          <w:color w:val="auto"/>
          <w:spacing w:val="8"/>
          <w:position w:val="-1"/>
          <w:sz w:val="24"/>
          <w:szCs w:val="24"/>
          <w:highlight w:val="none"/>
          <w:lang w:val="en-US" w:eastAsia="zh-CN"/>
        </w:rPr>
      </w:pPr>
    </w:p>
    <w:p w14:paraId="1D416106">
      <w:pPr>
        <w:pStyle w:val="2"/>
        <w:ind w:firstLine="0" w:firstLineChars="0"/>
        <w:rPr>
          <w:rFonts w:hint="eastAsia" w:hAnsi="宋体" w:cs="宋体"/>
          <w:color w:val="auto"/>
          <w:spacing w:val="8"/>
          <w:position w:val="-1"/>
          <w:sz w:val="24"/>
          <w:szCs w:val="24"/>
          <w:highlight w:val="none"/>
          <w:lang w:val="en-US" w:eastAsia="zh-CN"/>
        </w:rPr>
      </w:pPr>
    </w:p>
    <w:p w14:paraId="2158247F">
      <w:pPr>
        <w:pStyle w:val="2"/>
        <w:ind w:firstLine="0" w:firstLineChars="0"/>
        <w:rPr>
          <w:rFonts w:hint="eastAsia" w:hAnsi="宋体" w:cs="宋体"/>
          <w:color w:val="auto"/>
          <w:spacing w:val="8"/>
          <w:position w:val="-1"/>
          <w:sz w:val="24"/>
          <w:szCs w:val="24"/>
          <w:highlight w:val="none"/>
          <w:lang w:val="en-US" w:eastAsia="zh-CN"/>
        </w:rPr>
      </w:pPr>
    </w:p>
    <w:p w14:paraId="12199702">
      <w:pPr>
        <w:pStyle w:val="2"/>
        <w:ind w:firstLine="0" w:firstLineChars="0"/>
        <w:rPr>
          <w:rFonts w:hint="eastAsia" w:hAnsi="宋体" w:cs="宋体"/>
          <w:color w:val="auto"/>
          <w:spacing w:val="8"/>
          <w:position w:val="-1"/>
          <w:sz w:val="24"/>
          <w:szCs w:val="24"/>
          <w:highlight w:val="none"/>
          <w:lang w:val="en-US" w:eastAsia="zh-CN"/>
        </w:rPr>
      </w:pPr>
    </w:p>
    <w:p w14:paraId="501CF46A">
      <w:pPr>
        <w:pStyle w:val="2"/>
        <w:ind w:firstLine="0" w:firstLineChars="0"/>
        <w:rPr>
          <w:rFonts w:hint="eastAsia" w:hAnsi="宋体" w:cs="宋体"/>
          <w:color w:val="auto"/>
          <w:spacing w:val="8"/>
          <w:position w:val="-1"/>
          <w:sz w:val="24"/>
          <w:szCs w:val="24"/>
          <w:highlight w:val="none"/>
          <w:lang w:val="en-US" w:eastAsia="zh-CN"/>
        </w:rPr>
      </w:pPr>
    </w:p>
    <w:p w14:paraId="1AD7D7D1">
      <w:pPr>
        <w:pStyle w:val="2"/>
        <w:ind w:firstLine="0" w:firstLineChars="0"/>
        <w:rPr>
          <w:rFonts w:hint="eastAsia" w:hAnsi="宋体" w:cs="宋体"/>
          <w:color w:val="auto"/>
          <w:spacing w:val="8"/>
          <w:position w:val="-1"/>
          <w:sz w:val="24"/>
          <w:szCs w:val="24"/>
          <w:highlight w:val="none"/>
          <w:lang w:val="en-US" w:eastAsia="zh-CN"/>
        </w:rPr>
      </w:pPr>
    </w:p>
    <w:p w14:paraId="3004B148">
      <w:pPr>
        <w:pStyle w:val="2"/>
        <w:ind w:firstLine="0" w:firstLineChars="0"/>
        <w:rPr>
          <w:rFonts w:hint="eastAsia" w:hAnsi="宋体" w:cs="宋体"/>
          <w:color w:val="auto"/>
          <w:spacing w:val="8"/>
          <w:position w:val="-1"/>
          <w:sz w:val="24"/>
          <w:szCs w:val="24"/>
          <w:highlight w:val="none"/>
          <w:lang w:val="en-US" w:eastAsia="zh-CN"/>
        </w:rPr>
      </w:pPr>
    </w:p>
    <w:p w14:paraId="3DF3D4C3">
      <w:pPr>
        <w:pStyle w:val="2"/>
        <w:ind w:firstLine="0" w:firstLineChars="0"/>
        <w:rPr>
          <w:rFonts w:hint="eastAsia" w:hAnsi="宋体" w:cs="宋体"/>
          <w:color w:val="auto"/>
          <w:spacing w:val="8"/>
          <w:position w:val="-1"/>
          <w:sz w:val="24"/>
          <w:szCs w:val="24"/>
          <w:highlight w:val="none"/>
          <w:lang w:val="en-US" w:eastAsia="zh-CN"/>
        </w:rPr>
      </w:pPr>
    </w:p>
    <w:p w14:paraId="099AB372">
      <w:pPr>
        <w:pStyle w:val="2"/>
        <w:ind w:firstLine="0" w:firstLineChars="0"/>
        <w:rPr>
          <w:rFonts w:hint="eastAsia" w:hAnsi="宋体" w:cs="宋体"/>
          <w:color w:val="auto"/>
          <w:spacing w:val="8"/>
          <w:position w:val="-1"/>
          <w:sz w:val="20"/>
          <w:szCs w:val="20"/>
          <w:highlight w:val="none"/>
          <w:lang w:val="en-US" w:eastAsia="zh-CN"/>
        </w:rPr>
      </w:pPr>
    </w:p>
    <w:p w14:paraId="05CC293B">
      <w:pPr>
        <w:jc w:val="right"/>
        <w:rPr>
          <w:rFonts w:hint="default" w:eastAsia="宋体"/>
          <w:color w:val="auto"/>
          <w:sz w:val="36"/>
          <w:szCs w:val="36"/>
          <w:highlight w:val="none"/>
          <w:lang w:val="en-US" w:eastAsia="zh-CN"/>
        </w:rPr>
      </w:pPr>
      <w:r>
        <w:rPr>
          <w:rFonts w:hint="eastAsia" w:ascii="仿宋" w:hAnsi="仿宋" w:eastAsia="仿宋" w:cs="仿宋"/>
          <w:b/>
          <w:bCs/>
          <w:color w:val="auto"/>
          <w:sz w:val="44"/>
          <w:szCs w:val="44"/>
          <w:highlight w:val="none"/>
          <w:lang w:val="en-US" w:eastAsia="zh-CN"/>
        </w:rPr>
        <w:t>附件七</w:t>
      </w:r>
    </w:p>
    <w:p w14:paraId="590F42AC">
      <w:pPr>
        <w:jc w:val="center"/>
        <w:rPr>
          <w:color w:val="auto"/>
          <w:highlight w:val="none"/>
        </w:rPr>
      </w:pPr>
      <w:r>
        <w:rPr>
          <w:color w:val="auto"/>
          <w:sz w:val="44"/>
          <w:highlight w:val="none"/>
        </w:rPr>
        <mc:AlternateContent>
          <mc:Choice Requires="wps">
            <w:drawing>
              <wp:anchor distT="0" distB="0" distL="114300" distR="114300" simplePos="0" relativeHeight="251661312" behindDoc="0" locked="0" layoutInCell="1" allowOverlap="1">
                <wp:simplePos x="0" y="0"/>
                <wp:positionH relativeFrom="column">
                  <wp:posOffset>8208645</wp:posOffset>
                </wp:positionH>
                <wp:positionV relativeFrom="paragraph">
                  <wp:posOffset>407035</wp:posOffset>
                </wp:positionV>
                <wp:extent cx="1208405" cy="3600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08405" cy="360045"/>
                        </a:xfrm>
                        <a:prstGeom prst="rect">
                          <a:avLst/>
                        </a:prstGeom>
                        <a:noFill/>
                        <a:ln w="6350">
                          <a:noFill/>
                        </a:ln>
                        <a:effectLst/>
                      </wps:spPr>
                      <wps:txbx>
                        <w:txbxContent>
                          <w:p w14:paraId="7F936047">
                            <w:pPr>
                              <w:rPr>
                                <w:b/>
                                <w:bCs/>
                                <w:sz w:val="30"/>
                                <w:szCs w:val="30"/>
                              </w:rPr>
                            </w:pPr>
                            <w:r>
                              <w:rPr>
                                <w:rFonts w:hint="eastAsia"/>
                                <w:b/>
                                <w:bCs/>
                                <w:sz w:val="30"/>
                                <w:szCs w:val="30"/>
                              </w:rPr>
                              <w:t>No.0000001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6.35pt;margin-top:32.05pt;height:28.35pt;width:95.15pt;z-index:251661312;mso-width-relative:page;mso-height-relative:page;" filled="f" stroked="f" coordsize="21600,21600" o:gfxdata="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zKZ3DbAAAADAEAAA8AAAAAAAAAAQAgAAAA&#10;IgAAAGRycy9kb3ducmV2LnhtbFBLAQIUABQAAAAIAIdO4kCAp0F9QQIAAHQEAAAOAAAAAAAAAAEA&#10;IAAAACoBAABkcnMvZTJvRG9jLnhtbFBLBQYAAAAABgAGAFkBAADdBQAAAAA=&#10;">
                <v:fill on="f" focussize="0,0"/>
                <v:stroke on="f" weight="0.5pt"/>
                <v:imagedata o:title=""/>
                <o:lock v:ext="edit" aspectratio="f"/>
                <v:textbox>
                  <w:txbxContent>
                    <w:p w14:paraId="7F936047">
                      <w:pPr>
                        <w:rPr>
                          <w:b/>
                          <w:bCs/>
                          <w:sz w:val="30"/>
                          <w:szCs w:val="30"/>
                        </w:rPr>
                      </w:pPr>
                      <w:r>
                        <w:rPr>
                          <w:rFonts w:hint="eastAsia"/>
                          <w:b/>
                          <w:bCs/>
                          <w:sz w:val="30"/>
                          <w:szCs w:val="30"/>
                        </w:rPr>
                        <w:t>No.0000001</w:t>
                      </w:r>
                    </w:p>
                  </w:txbxContent>
                </v:textbox>
              </v:shape>
            </w:pict>
          </mc:Fallback>
        </mc:AlternateContent>
      </w:r>
      <w:r>
        <w:rPr>
          <w:rFonts w:hint="eastAsia"/>
          <w:color w:val="auto"/>
          <w:sz w:val="44"/>
          <w:szCs w:val="44"/>
          <w:highlight w:val="none"/>
        </w:rPr>
        <w:drawing>
          <wp:inline distT="0" distB="0" distL="114300" distR="114300">
            <wp:extent cx="5977255" cy="673735"/>
            <wp:effectExtent l="0" t="0" r="12065" b="12065"/>
            <wp:docPr id="6" name="图片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1"/>
                    <pic:cNvPicPr>
                      <a:picLocks noChangeAspect="1"/>
                    </pic:cNvPicPr>
                  </pic:nvPicPr>
                  <pic:blipFill>
                    <a:blip r:embed="rId9" cstate="print">
                      <a:clrChange>
                        <a:clrFrom>
                          <a:srgbClr val="FFFFFF">
                            <a:alpha val="100000"/>
                          </a:srgbClr>
                        </a:clrFrom>
                        <a:clrTo>
                          <a:srgbClr val="FFFFFF">
                            <a:alpha val="100000"/>
                            <a:alpha val="0"/>
                          </a:srgbClr>
                        </a:clrTo>
                      </a:clrChange>
                    </a:blip>
                    <a:stretch>
                      <a:fillRect/>
                    </a:stretch>
                  </pic:blipFill>
                  <pic:spPr>
                    <a:xfrm>
                      <a:off x="0" y="0"/>
                      <a:ext cx="5977255" cy="673735"/>
                    </a:xfrm>
                    <a:prstGeom prst="rect">
                      <a:avLst/>
                    </a:prstGeom>
                  </pic:spPr>
                </pic:pic>
              </a:graphicData>
            </a:graphic>
          </wp:inline>
        </w:drawing>
      </w:r>
    </w:p>
    <w:p w14:paraId="37835CCE">
      <w:pPr>
        <w:spacing w:line="480" w:lineRule="exact"/>
        <w:jc w:val="center"/>
        <w:rPr>
          <w:color w:val="auto"/>
          <w:sz w:val="36"/>
          <w:szCs w:val="36"/>
          <w:highlight w:val="none"/>
        </w:rPr>
      </w:pPr>
      <w:r>
        <w:rPr>
          <w:rFonts w:hint="eastAsia"/>
          <w:color w:val="auto"/>
          <w:sz w:val="36"/>
          <w:szCs w:val="36"/>
          <w:highlight w:val="none"/>
        </w:rPr>
        <w:t>物 料 申 购 单</w:t>
      </w:r>
    </w:p>
    <w:p w14:paraId="7455F18E">
      <w:pPr>
        <w:jc w:val="left"/>
        <w:rPr>
          <w:color w:val="auto"/>
          <w:highlight w:val="none"/>
        </w:rPr>
      </w:pPr>
      <w:r>
        <w:rPr>
          <w:rFonts w:hint="eastAsia"/>
          <w:color w:val="auto"/>
          <w:highlight w:val="none"/>
        </w:rPr>
        <w:t xml:space="preserve">工程名称：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日期 ：     </w:t>
      </w:r>
      <w:r>
        <w:rPr>
          <w:rFonts w:hint="eastAsia"/>
          <w:color w:val="auto"/>
          <w:highlight w:val="none"/>
          <w:lang w:val="en-US" w:eastAsia="zh-CN"/>
        </w:rPr>
        <w:t xml:space="preserve">202 </w:t>
      </w:r>
      <w:r>
        <w:rPr>
          <w:rFonts w:hint="eastAsia"/>
          <w:color w:val="auto"/>
          <w:highlight w:val="none"/>
        </w:rPr>
        <w:t xml:space="preserve">年 </w:t>
      </w:r>
      <w:r>
        <w:rPr>
          <w:rFonts w:hint="eastAsia"/>
          <w:color w:val="auto"/>
          <w:highlight w:val="none"/>
          <w:lang w:val="en-US" w:eastAsia="zh-CN"/>
        </w:rPr>
        <w:t xml:space="preserve"> </w:t>
      </w:r>
      <w:r>
        <w:rPr>
          <w:rFonts w:hint="eastAsia"/>
          <w:color w:val="auto"/>
          <w:highlight w:val="none"/>
        </w:rPr>
        <w:t xml:space="preserve">月  日 </w: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 xml:space="preserve">   </w:t>
      </w:r>
      <w:r>
        <w:rPr>
          <w:rFonts w:hint="eastAsia"/>
          <w:color w:val="auto"/>
          <w:highlight w:val="none"/>
        </w:rPr>
        <w:t xml:space="preserve">页                              </w:t>
      </w:r>
    </w:p>
    <w:tbl>
      <w:tblPr>
        <w:tblStyle w:val="10"/>
        <w:tblpPr w:leftFromText="180" w:rightFromText="180" w:vertAnchor="text" w:horzAnchor="page" w:tblpX="1365" w:tblpY="308"/>
        <w:tblOverlap w:val="never"/>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603"/>
        <w:gridCol w:w="1560"/>
        <w:gridCol w:w="1335"/>
        <w:gridCol w:w="1515"/>
        <w:gridCol w:w="1632"/>
      </w:tblGrid>
      <w:tr w14:paraId="638E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14:paraId="3768492A">
            <w:pPr>
              <w:jc w:val="center"/>
              <w:rPr>
                <w:rFonts w:eastAsiaTheme="minorEastAsia"/>
                <w:color w:val="auto"/>
                <w:highlight w:val="none"/>
              </w:rPr>
            </w:pPr>
            <w:r>
              <w:rPr>
                <w:rFonts w:hint="eastAsia"/>
                <w:color w:val="auto"/>
                <w:highlight w:val="none"/>
              </w:rPr>
              <w:t>序号</w:t>
            </w:r>
          </w:p>
        </w:tc>
        <w:tc>
          <w:tcPr>
            <w:tcW w:w="2603" w:type="dxa"/>
            <w:vAlign w:val="center"/>
          </w:tcPr>
          <w:p w14:paraId="17B8E204">
            <w:pPr>
              <w:jc w:val="center"/>
              <w:rPr>
                <w:color w:val="auto"/>
                <w:highlight w:val="none"/>
              </w:rPr>
            </w:pPr>
            <w:r>
              <w:rPr>
                <w:rFonts w:hint="eastAsia"/>
                <w:color w:val="auto"/>
                <w:highlight w:val="none"/>
              </w:rPr>
              <w:t>材料名称/规格</w:t>
            </w:r>
          </w:p>
        </w:tc>
        <w:tc>
          <w:tcPr>
            <w:tcW w:w="1560" w:type="dxa"/>
            <w:vAlign w:val="center"/>
          </w:tcPr>
          <w:p w14:paraId="3447E146">
            <w:pPr>
              <w:jc w:val="center"/>
              <w:rPr>
                <w:color w:val="auto"/>
                <w:highlight w:val="none"/>
              </w:rPr>
            </w:pPr>
            <w:r>
              <w:rPr>
                <w:rFonts w:hint="eastAsia"/>
                <w:color w:val="auto"/>
                <w:highlight w:val="none"/>
              </w:rPr>
              <w:t>数量/单位</w:t>
            </w:r>
          </w:p>
        </w:tc>
        <w:tc>
          <w:tcPr>
            <w:tcW w:w="1335" w:type="dxa"/>
            <w:vAlign w:val="center"/>
          </w:tcPr>
          <w:p w14:paraId="70F1E67E">
            <w:pPr>
              <w:jc w:val="center"/>
              <w:rPr>
                <w:color w:val="auto"/>
                <w:highlight w:val="none"/>
              </w:rPr>
            </w:pPr>
            <w:r>
              <w:rPr>
                <w:rFonts w:hint="eastAsia"/>
                <w:color w:val="auto"/>
                <w:highlight w:val="none"/>
              </w:rPr>
              <w:t>到货日期</w:t>
            </w:r>
          </w:p>
        </w:tc>
        <w:tc>
          <w:tcPr>
            <w:tcW w:w="1515" w:type="dxa"/>
            <w:vAlign w:val="center"/>
          </w:tcPr>
          <w:p w14:paraId="6010095B">
            <w:pPr>
              <w:jc w:val="center"/>
              <w:rPr>
                <w:color w:val="auto"/>
                <w:highlight w:val="none"/>
              </w:rPr>
            </w:pPr>
            <w:r>
              <w:rPr>
                <w:rFonts w:hint="eastAsia"/>
                <w:color w:val="auto"/>
                <w:highlight w:val="none"/>
              </w:rPr>
              <w:t>质量要求</w:t>
            </w:r>
          </w:p>
        </w:tc>
        <w:tc>
          <w:tcPr>
            <w:tcW w:w="1632" w:type="dxa"/>
            <w:vAlign w:val="center"/>
          </w:tcPr>
          <w:p w14:paraId="5F90DD79">
            <w:pPr>
              <w:jc w:val="center"/>
              <w:rPr>
                <w:color w:val="auto"/>
                <w:highlight w:val="none"/>
              </w:rPr>
            </w:pPr>
            <w:r>
              <w:rPr>
                <w:rFonts w:hint="eastAsia"/>
                <w:color w:val="auto"/>
                <w:highlight w:val="none"/>
              </w:rPr>
              <w:t>用途等备注</w:t>
            </w:r>
          </w:p>
        </w:tc>
      </w:tr>
      <w:tr w14:paraId="4709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80" w:type="dxa"/>
            <w:vAlign w:val="center"/>
          </w:tcPr>
          <w:p w14:paraId="074D86E2">
            <w:pPr>
              <w:jc w:val="center"/>
              <w:rPr>
                <w:rFonts w:hint="eastAsia" w:eastAsia="宋体"/>
                <w:color w:val="auto"/>
                <w:highlight w:val="none"/>
                <w:lang w:val="en-US" w:eastAsia="zh-CN"/>
              </w:rPr>
            </w:pPr>
            <w:r>
              <w:rPr>
                <w:rFonts w:hint="eastAsia"/>
                <w:color w:val="auto"/>
                <w:highlight w:val="none"/>
                <w:lang w:val="en-US" w:eastAsia="zh-CN"/>
              </w:rPr>
              <w:t>1</w:t>
            </w:r>
          </w:p>
        </w:tc>
        <w:tc>
          <w:tcPr>
            <w:tcW w:w="2603" w:type="dxa"/>
            <w:vAlign w:val="center"/>
          </w:tcPr>
          <w:p w14:paraId="11F3EA0B">
            <w:pPr>
              <w:tabs>
                <w:tab w:val="left" w:pos="910"/>
              </w:tabs>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6D6BDC4B">
            <w:pPr>
              <w:jc w:val="center"/>
              <w:rPr>
                <w:rFonts w:hint="default" w:eastAsia="宋体"/>
                <w:color w:val="auto"/>
                <w:highlight w:val="none"/>
                <w:lang w:val="en-US" w:eastAsia="zh-CN"/>
              </w:rPr>
            </w:pPr>
          </w:p>
        </w:tc>
        <w:tc>
          <w:tcPr>
            <w:tcW w:w="1335" w:type="dxa"/>
            <w:vAlign w:val="center"/>
          </w:tcPr>
          <w:p w14:paraId="44014B9A">
            <w:pPr>
              <w:jc w:val="center"/>
              <w:rPr>
                <w:rFonts w:hint="default" w:eastAsia="宋体"/>
                <w:color w:val="auto"/>
                <w:highlight w:val="none"/>
                <w:lang w:val="en-US" w:eastAsia="zh-CN"/>
              </w:rPr>
            </w:pPr>
          </w:p>
        </w:tc>
        <w:tc>
          <w:tcPr>
            <w:tcW w:w="1515" w:type="dxa"/>
            <w:vAlign w:val="center"/>
          </w:tcPr>
          <w:p w14:paraId="2917CCBC">
            <w:pPr>
              <w:jc w:val="center"/>
              <w:rPr>
                <w:rFonts w:hint="default" w:eastAsia="宋体"/>
                <w:color w:val="auto"/>
                <w:highlight w:val="none"/>
                <w:lang w:val="en-US" w:eastAsia="zh-CN"/>
              </w:rPr>
            </w:pPr>
          </w:p>
        </w:tc>
        <w:tc>
          <w:tcPr>
            <w:tcW w:w="1632" w:type="dxa"/>
            <w:vMerge w:val="restart"/>
            <w:vAlign w:val="center"/>
          </w:tcPr>
          <w:p w14:paraId="2912317E">
            <w:pPr>
              <w:jc w:val="both"/>
              <w:rPr>
                <w:rFonts w:hint="default" w:ascii="Calibri" w:hAnsi="Calibri" w:eastAsia="宋体" w:cs="宋体"/>
                <w:color w:val="auto"/>
                <w:kern w:val="2"/>
                <w:sz w:val="21"/>
                <w:szCs w:val="24"/>
                <w:highlight w:val="none"/>
                <w:lang w:val="en-US" w:eastAsia="zh-CN" w:bidi="ar-SA"/>
              </w:rPr>
            </w:pPr>
          </w:p>
        </w:tc>
      </w:tr>
      <w:tr w14:paraId="1FBF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80" w:type="dxa"/>
            <w:vAlign w:val="center"/>
          </w:tcPr>
          <w:p w14:paraId="5B2D3B1F">
            <w:pPr>
              <w:jc w:val="center"/>
              <w:rPr>
                <w:rFonts w:hint="eastAsia" w:eastAsia="宋体"/>
                <w:color w:val="auto"/>
                <w:highlight w:val="none"/>
                <w:lang w:val="en-US" w:eastAsia="zh-CN"/>
              </w:rPr>
            </w:pPr>
            <w:r>
              <w:rPr>
                <w:rFonts w:hint="eastAsia"/>
                <w:color w:val="auto"/>
                <w:highlight w:val="none"/>
                <w:lang w:val="en-US" w:eastAsia="zh-CN"/>
              </w:rPr>
              <w:t>2</w:t>
            </w:r>
          </w:p>
        </w:tc>
        <w:tc>
          <w:tcPr>
            <w:tcW w:w="2603" w:type="dxa"/>
            <w:vAlign w:val="center"/>
          </w:tcPr>
          <w:p w14:paraId="4D4739F0">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74D25EEB">
            <w:pPr>
              <w:jc w:val="center"/>
              <w:rPr>
                <w:rFonts w:hint="default" w:eastAsia="宋体"/>
                <w:color w:val="auto"/>
                <w:highlight w:val="none"/>
                <w:lang w:val="en-US" w:eastAsia="zh-CN"/>
              </w:rPr>
            </w:pPr>
          </w:p>
        </w:tc>
        <w:tc>
          <w:tcPr>
            <w:tcW w:w="1335" w:type="dxa"/>
            <w:vAlign w:val="center"/>
          </w:tcPr>
          <w:p w14:paraId="0A57118A">
            <w:pPr>
              <w:jc w:val="center"/>
              <w:rPr>
                <w:rFonts w:hint="default" w:eastAsia="宋体"/>
                <w:color w:val="auto"/>
                <w:highlight w:val="none"/>
                <w:lang w:val="en-US" w:eastAsia="zh-CN"/>
              </w:rPr>
            </w:pPr>
          </w:p>
        </w:tc>
        <w:tc>
          <w:tcPr>
            <w:tcW w:w="1515" w:type="dxa"/>
            <w:vAlign w:val="center"/>
          </w:tcPr>
          <w:p w14:paraId="5FC1FDCB">
            <w:pPr>
              <w:jc w:val="center"/>
              <w:rPr>
                <w:rFonts w:hint="eastAsia" w:eastAsia="宋体"/>
                <w:color w:val="auto"/>
                <w:highlight w:val="none"/>
                <w:lang w:eastAsia="zh-CN"/>
              </w:rPr>
            </w:pPr>
          </w:p>
        </w:tc>
        <w:tc>
          <w:tcPr>
            <w:tcW w:w="1632" w:type="dxa"/>
            <w:vMerge w:val="continue"/>
            <w:vAlign w:val="center"/>
          </w:tcPr>
          <w:p w14:paraId="492EEADE">
            <w:pPr>
              <w:jc w:val="center"/>
              <w:rPr>
                <w:rFonts w:hint="default" w:ascii="Calibri" w:hAnsi="Calibri" w:eastAsia="宋体" w:cs="宋体"/>
                <w:color w:val="auto"/>
                <w:kern w:val="2"/>
                <w:sz w:val="21"/>
                <w:szCs w:val="24"/>
                <w:highlight w:val="none"/>
                <w:lang w:val="en-US" w:eastAsia="zh-CN" w:bidi="ar-SA"/>
              </w:rPr>
            </w:pPr>
          </w:p>
        </w:tc>
      </w:tr>
      <w:tr w14:paraId="2E8D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80" w:type="dxa"/>
            <w:vAlign w:val="center"/>
          </w:tcPr>
          <w:p w14:paraId="12DDD1FD">
            <w:pPr>
              <w:jc w:val="center"/>
              <w:rPr>
                <w:rFonts w:hint="eastAsia" w:eastAsia="宋体"/>
                <w:color w:val="auto"/>
                <w:highlight w:val="none"/>
                <w:lang w:val="en-US" w:eastAsia="zh-CN"/>
              </w:rPr>
            </w:pPr>
            <w:r>
              <w:rPr>
                <w:rFonts w:hint="eastAsia"/>
                <w:color w:val="auto"/>
                <w:highlight w:val="none"/>
                <w:lang w:val="en-US" w:eastAsia="zh-CN"/>
              </w:rPr>
              <w:t>3</w:t>
            </w:r>
          </w:p>
        </w:tc>
        <w:tc>
          <w:tcPr>
            <w:tcW w:w="2603" w:type="dxa"/>
            <w:vAlign w:val="center"/>
          </w:tcPr>
          <w:p w14:paraId="383610DA">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2A35D196">
            <w:pPr>
              <w:jc w:val="center"/>
              <w:rPr>
                <w:rFonts w:hint="default" w:eastAsia="宋体"/>
                <w:color w:val="auto"/>
                <w:highlight w:val="none"/>
                <w:lang w:val="en-US" w:eastAsia="zh-CN"/>
              </w:rPr>
            </w:pPr>
          </w:p>
        </w:tc>
        <w:tc>
          <w:tcPr>
            <w:tcW w:w="1335" w:type="dxa"/>
            <w:vAlign w:val="center"/>
          </w:tcPr>
          <w:p w14:paraId="10F97E59">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46516892">
            <w:pPr>
              <w:jc w:val="center"/>
              <w:rPr>
                <w:rFonts w:hint="eastAsia" w:eastAsia="宋体"/>
                <w:color w:val="auto"/>
                <w:highlight w:val="none"/>
                <w:lang w:val="en-US" w:eastAsia="zh-CN"/>
              </w:rPr>
            </w:pPr>
          </w:p>
        </w:tc>
        <w:tc>
          <w:tcPr>
            <w:tcW w:w="1632" w:type="dxa"/>
            <w:vMerge w:val="continue"/>
            <w:vAlign w:val="center"/>
          </w:tcPr>
          <w:p w14:paraId="5AE7E4A6">
            <w:pPr>
              <w:jc w:val="center"/>
              <w:rPr>
                <w:rFonts w:hint="default" w:ascii="Calibri" w:hAnsi="Calibri" w:eastAsia="宋体" w:cs="宋体"/>
                <w:color w:val="auto"/>
                <w:kern w:val="2"/>
                <w:sz w:val="21"/>
                <w:szCs w:val="24"/>
                <w:highlight w:val="none"/>
                <w:lang w:val="en-US" w:eastAsia="zh-CN" w:bidi="ar-SA"/>
              </w:rPr>
            </w:pPr>
          </w:p>
        </w:tc>
      </w:tr>
      <w:tr w14:paraId="0011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80" w:type="dxa"/>
            <w:vAlign w:val="center"/>
          </w:tcPr>
          <w:p w14:paraId="2CCD8B27">
            <w:pPr>
              <w:jc w:val="center"/>
              <w:rPr>
                <w:rFonts w:hint="eastAsia" w:eastAsia="宋体"/>
                <w:color w:val="auto"/>
                <w:highlight w:val="none"/>
                <w:lang w:val="en-US" w:eastAsia="zh-CN"/>
              </w:rPr>
            </w:pPr>
            <w:r>
              <w:rPr>
                <w:rFonts w:hint="eastAsia"/>
                <w:color w:val="auto"/>
                <w:highlight w:val="none"/>
                <w:lang w:val="en-US" w:eastAsia="zh-CN"/>
              </w:rPr>
              <w:t>4</w:t>
            </w:r>
          </w:p>
        </w:tc>
        <w:tc>
          <w:tcPr>
            <w:tcW w:w="2603" w:type="dxa"/>
            <w:vAlign w:val="center"/>
          </w:tcPr>
          <w:p w14:paraId="3C7B86A4">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50125C50">
            <w:pPr>
              <w:jc w:val="center"/>
              <w:rPr>
                <w:rFonts w:hint="default" w:ascii="Calibri" w:hAnsi="Calibri" w:eastAsia="宋体" w:cs="宋体"/>
                <w:color w:val="auto"/>
                <w:kern w:val="2"/>
                <w:sz w:val="21"/>
                <w:szCs w:val="24"/>
                <w:highlight w:val="none"/>
                <w:lang w:val="en-US" w:eastAsia="zh-CN" w:bidi="ar-SA"/>
              </w:rPr>
            </w:pPr>
          </w:p>
        </w:tc>
        <w:tc>
          <w:tcPr>
            <w:tcW w:w="1335" w:type="dxa"/>
            <w:vAlign w:val="center"/>
          </w:tcPr>
          <w:p w14:paraId="27B0B446">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23BB0C24">
            <w:pPr>
              <w:jc w:val="center"/>
              <w:rPr>
                <w:rFonts w:hint="eastAsia" w:eastAsia="宋体"/>
                <w:color w:val="auto"/>
                <w:highlight w:val="none"/>
                <w:lang w:eastAsia="zh-CN"/>
              </w:rPr>
            </w:pPr>
          </w:p>
        </w:tc>
        <w:tc>
          <w:tcPr>
            <w:tcW w:w="1632" w:type="dxa"/>
            <w:vMerge w:val="continue"/>
            <w:vAlign w:val="center"/>
          </w:tcPr>
          <w:p w14:paraId="533525BA">
            <w:pPr>
              <w:jc w:val="center"/>
              <w:rPr>
                <w:rFonts w:hint="default" w:ascii="Calibri" w:hAnsi="Calibri" w:eastAsia="宋体" w:cs="宋体"/>
                <w:color w:val="auto"/>
                <w:kern w:val="2"/>
                <w:sz w:val="21"/>
                <w:szCs w:val="24"/>
                <w:highlight w:val="none"/>
                <w:lang w:val="en-US" w:eastAsia="zh-CN" w:bidi="ar-SA"/>
              </w:rPr>
            </w:pPr>
          </w:p>
        </w:tc>
      </w:tr>
      <w:tr w14:paraId="3BA1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80" w:type="dxa"/>
            <w:vAlign w:val="center"/>
          </w:tcPr>
          <w:p w14:paraId="41F02783">
            <w:pPr>
              <w:jc w:val="center"/>
              <w:rPr>
                <w:rFonts w:hint="default"/>
                <w:color w:val="auto"/>
                <w:highlight w:val="none"/>
                <w:lang w:val="en-US" w:eastAsia="zh-CN"/>
              </w:rPr>
            </w:pPr>
            <w:r>
              <w:rPr>
                <w:rFonts w:hint="eastAsia"/>
                <w:color w:val="auto"/>
                <w:highlight w:val="none"/>
                <w:lang w:val="en-US" w:eastAsia="zh-CN"/>
              </w:rPr>
              <w:t>5</w:t>
            </w:r>
          </w:p>
        </w:tc>
        <w:tc>
          <w:tcPr>
            <w:tcW w:w="2603" w:type="dxa"/>
            <w:vAlign w:val="center"/>
          </w:tcPr>
          <w:p w14:paraId="603141F3">
            <w:pPr>
              <w:jc w:val="center"/>
              <w:rPr>
                <w:rFonts w:hint="default" w:ascii="Calibri" w:hAnsi="Calibri" w:eastAsia="宋体" w:cs="Calibri"/>
                <w:color w:val="auto"/>
                <w:kern w:val="2"/>
                <w:sz w:val="21"/>
                <w:szCs w:val="24"/>
                <w:highlight w:val="none"/>
                <w:lang w:val="en-US" w:eastAsia="zh-CN" w:bidi="ar-SA"/>
              </w:rPr>
            </w:pPr>
          </w:p>
        </w:tc>
        <w:tc>
          <w:tcPr>
            <w:tcW w:w="1560" w:type="dxa"/>
            <w:vAlign w:val="center"/>
          </w:tcPr>
          <w:p w14:paraId="45FFCA90">
            <w:pPr>
              <w:jc w:val="center"/>
              <w:rPr>
                <w:rFonts w:hint="eastAsia" w:ascii="Calibri" w:hAnsi="Calibri" w:eastAsia="宋体" w:cs="宋体"/>
                <w:color w:val="auto"/>
                <w:kern w:val="2"/>
                <w:sz w:val="21"/>
                <w:szCs w:val="24"/>
                <w:highlight w:val="none"/>
                <w:lang w:val="en-US" w:eastAsia="zh-CN" w:bidi="ar-SA"/>
              </w:rPr>
            </w:pPr>
          </w:p>
        </w:tc>
        <w:tc>
          <w:tcPr>
            <w:tcW w:w="1335" w:type="dxa"/>
            <w:vAlign w:val="center"/>
          </w:tcPr>
          <w:p w14:paraId="0C2EA8C8">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5883E3CC">
            <w:pPr>
              <w:jc w:val="center"/>
              <w:rPr>
                <w:rFonts w:hint="eastAsia" w:ascii="Calibri" w:hAnsi="Calibri" w:eastAsia="宋体" w:cs="宋体"/>
                <w:color w:val="auto"/>
                <w:kern w:val="2"/>
                <w:sz w:val="21"/>
                <w:szCs w:val="24"/>
                <w:highlight w:val="none"/>
                <w:lang w:val="en-US" w:eastAsia="zh-CN" w:bidi="ar-SA"/>
              </w:rPr>
            </w:pPr>
          </w:p>
        </w:tc>
        <w:tc>
          <w:tcPr>
            <w:tcW w:w="1632" w:type="dxa"/>
            <w:vMerge w:val="continue"/>
            <w:vAlign w:val="center"/>
          </w:tcPr>
          <w:p w14:paraId="7A0DDB95">
            <w:pPr>
              <w:jc w:val="center"/>
              <w:rPr>
                <w:rFonts w:hint="default" w:ascii="Calibri" w:hAnsi="Calibri" w:eastAsia="宋体" w:cs="宋体"/>
                <w:color w:val="auto"/>
                <w:kern w:val="2"/>
                <w:sz w:val="21"/>
                <w:szCs w:val="24"/>
                <w:highlight w:val="none"/>
                <w:lang w:val="en-US" w:eastAsia="zh-CN" w:bidi="ar-SA"/>
              </w:rPr>
            </w:pPr>
          </w:p>
        </w:tc>
      </w:tr>
      <w:tr w14:paraId="3856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80" w:type="dxa"/>
            <w:vAlign w:val="center"/>
          </w:tcPr>
          <w:p w14:paraId="44A51C12">
            <w:pPr>
              <w:jc w:val="center"/>
              <w:rPr>
                <w:rFonts w:hint="default" w:eastAsia="宋体"/>
                <w:color w:val="auto"/>
                <w:highlight w:val="none"/>
                <w:lang w:val="en-US" w:eastAsia="zh-CN"/>
              </w:rPr>
            </w:pPr>
            <w:r>
              <w:rPr>
                <w:rFonts w:hint="eastAsia"/>
                <w:color w:val="auto"/>
                <w:highlight w:val="none"/>
                <w:lang w:val="en-US" w:eastAsia="zh-CN"/>
              </w:rPr>
              <w:t>6</w:t>
            </w:r>
          </w:p>
        </w:tc>
        <w:tc>
          <w:tcPr>
            <w:tcW w:w="2603" w:type="dxa"/>
            <w:vAlign w:val="center"/>
          </w:tcPr>
          <w:p w14:paraId="5D53E567">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432A12AA">
            <w:pPr>
              <w:jc w:val="center"/>
              <w:rPr>
                <w:rFonts w:hint="default" w:eastAsia="宋体"/>
                <w:color w:val="auto"/>
                <w:highlight w:val="none"/>
                <w:lang w:val="en-US" w:eastAsia="zh-CN"/>
              </w:rPr>
            </w:pPr>
          </w:p>
        </w:tc>
        <w:tc>
          <w:tcPr>
            <w:tcW w:w="1335" w:type="dxa"/>
            <w:vAlign w:val="center"/>
          </w:tcPr>
          <w:p w14:paraId="6C4A9FB8">
            <w:pPr>
              <w:jc w:val="center"/>
              <w:rPr>
                <w:rFonts w:hint="eastAsia" w:ascii="Calibri" w:hAnsi="Calibri" w:eastAsia="宋体" w:cs="宋体"/>
                <w:color w:val="auto"/>
                <w:kern w:val="2"/>
                <w:sz w:val="21"/>
                <w:szCs w:val="24"/>
                <w:highlight w:val="none"/>
                <w:lang w:val="en-US" w:eastAsia="zh-CN" w:bidi="ar-SA"/>
              </w:rPr>
            </w:pPr>
          </w:p>
        </w:tc>
        <w:tc>
          <w:tcPr>
            <w:tcW w:w="1515" w:type="dxa"/>
            <w:vAlign w:val="center"/>
          </w:tcPr>
          <w:p w14:paraId="50E47EE4">
            <w:pPr>
              <w:jc w:val="center"/>
              <w:rPr>
                <w:rFonts w:hint="eastAsia" w:eastAsia="宋体"/>
                <w:color w:val="auto"/>
                <w:highlight w:val="none"/>
                <w:lang w:eastAsia="zh-CN"/>
              </w:rPr>
            </w:pPr>
          </w:p>
        </w:tc>
        <w:tc>
          <w:tcPr>
            <w:tcW w:w="1632" w:type="dxa"/>
            <w:vMerge w:val="continue"/>
            <w:vAlign w:val="center"/>
          </w:tcPr>
          <w:p w14:paraId="61543770">
            <w:pPr>
              <w:jc w:val="center"/>
              <w:rPr>
                <w:rFonts w:hint="default" w:eastAsia="宋体"/>
                <w:color w:val="auto"/>
                <w:highlight w:val="none"/>
                <w:lang w:val="en-US" w:eastAsia="zh-CN"/>
              </w:rPr>
            </w:pPr>
          </w:p>
        </w:tc>
      </w:tr>
      <w:tr w14:paraId="7644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37A0BDD6">
            <w:pPr>
              <w:jc w:val="center"/>
              <w:rPr>
                <w:rFonts w:hint="default"/>
                <w:color w:val="auto"/>
                <w:highlight w:val="none"/>
                <w:lang w:val="en-US" w:eastAsia="zh-CN"/>
              </w:rPr>
            </w:pPr>
            <w:r>
              <w:rPr>
                <w:rFonts w:hint="eastAsia"/>
                <w:color w:val="auto"/>
                <w:highlight w:val="none"/>
                <w:lang w:val="en-US" w:eastAsia="zh-CN"/>
              </w:rPr>
              <w:t>7</w:t>
            </w:r>
          </w:p>
        </w:tc>
        <w:tc>
          <w:tcPr>
            <w:tcW w:w="2603" w:type="dxa"/>
            <w:vAlign w:val="center"/>
          </w:tcPr>
          <w:p w14:paraId="4AFF9CF3">
            <w:pPr>
              <w:jc w:val="center"/>
              <w:rPr>
                <w:rFonts w:hint="default" w:eastAsia="宋体"/>
                <w:color w:val="auto"/>
                <w:highlight w:val="none"/>
                <w:lang w:val="en-US" w:eastAsia="zh-CN"/>
              </w:rPr>
            </w:pPr>
          </w:p>
        </w:tc>
        <w:tc>
          <w:tcPr>
            <w:tcW w:w="1560" w:type="dxa"/>
            <w:vAlign w:val="center"/>
          </w:tcPr>
          <w:p w14:paraId="07C0C009">
            <w:pPr>
              <w:jc w:val="center"/>
              <w:rPr>
                <w:rFonts w:hint="default" w:eastAsia="宋体"/>
                <w:color w:val="auto"/>
                <w:highlight w:val="none"/>
                <w:lang w:val="en-US" w:eastAsia="zh-CN"/>
              </w:rPr>
            </w:pPr>
          </w:p>
        </w:tc>
        <w:tc>
          <w:tcPr>
            <w:tcW w:w="1335" w:type="dxa"/>
            <w:vAlign w:val="center"/>
          </w:tcPr>
          <w:p w14:paraId="12D0ABB5">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78D3F012">
            <w:pPr>
              <w:jc w:val="center"/>
              <w:rPr>
                <w:rFonts w:hint="default" w:eastAsia="宋体"/>
                <w:color w:val="auto"/>
                <w:highlight w:val="none"/>
                <w:lang w:val="en-US" w:eastAsia="zh-CN"/>
              </w:rPr>
            </w:pPr>
          </w:p>
        </w:tc>
        <w:tc>
          <w:tcPr>
            <w:tcW w:w="1632" w:type="dxa"/>
            <w:vMerge w:val="continue"/>
            <w:vAlign w:val="center"/>
          </w:tcPr>
          <w:p w14:paraId="4E4F89C8">
            <w:pPr>
              <w:jc w:val="center"/>
              <w:rPr>
                <w:rFonts w:hint="eastAsia" w:ascii="Calibri" w:hAnsi="Calibri" w:eastAsia="宋体" w:cs="宋体"/>
                <w:color w:val="auto"/>
                <w:kern w:val="2"/>
                <w:sz w:val="21"/>
                <w:szCs w:val="24"/>
                <w:highlight w:val="none"/>
                <w:lang w:val="en-US" w:eastAsia="zh-CN" w:bidi="ar-SA"/>
              </w:rPr>
            </w:pPr>
          </w:p>
        </w:tc>
      </w:tr>
      <w:tr w14:paraId="263D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80" w:type="dxa"/>
            <w:vAlign w:val="center"/>
          </w:tcPr>
          <w:p w14:paraId="021F7746">
            <w:pPr>
              <w:jc w:val="center"/>
              <w:rPr>
                <w:rFonts w:hint="default"/>
                <w:color w:val="auto"/>
                <w:highlight w:val="none"/>
                <w:lang w:val="en-US" w:eastAsia="zh-CN"/>
              </w:rPr>
            </w:pPr>
            <w:r>
              <w:rPr>
                <w:rFonts w:hint="eastAsia"/>
                <w:color w:val="auto"/>
                <w:highlight w:val="none"/>
                <w:lang w:val="en-US" w:eastAsia="zh-CN"/>
              </w:rPr>
              <w:t>8</w:t>
            </w:r>
          </w:p>
        </w:tc>
        <w:tc>
          <w:tcPr>
            <w:tcW w:w="2603" w:type="dxa"/>
            <w:vAlign w:val="center"/>
          </w:tcPr>
          <w:p w14:paraId="680A2B98">
            <w:pPr>
              <w:jc w:val="center"/>
              <w:rPr>
                <w:rFonts w:hint="eastAsia" w:eastAsia="宋体"/>
                <w:color w:val="auto"/>
                <w:highlight w:val="none"/>
                <w:lang w:val="en-US" w:eastAsia="zh-CN"/>
              </w:rPr>
            </w:pPr>
          </w:p>
        </w:tc>
        <w:tc>
          <w:tcPr>
            <w:tcW w:w="1560" w:type="dxa"/>
            <w:vAlign w:val="center"/>
          </w:tcPr>
          <w:p w14:paraId="7DA2071B">
            <w:pPr>
              <w:jc w:val="center"/>
              <w:rPr>
                <w:rFonts w:hint="default" w:eastAsia="宋体"/>
                <w:color w:val="auto"/>
                <w:highlight w:val="none"/>
                <w:lang w:val="en-US" w:eastAsia="zh-CN"/>
              </w:rPr>
            </w:pPr>
          </w:p>
        </w:tc>
        <w:tc>
          <w:tcPr>
            <w:tcW w:w="1335" w:type="dxa"/>
            <w:vAlign w:val="center"/>
          </w:tcPr>
          <w:p w14:paraId="32D92B12">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35663F28">
            <w:pPr>
              <w:jc w:val="center"/>
              <w:rPr>
                <w:rFonts w:hint="default" w:eastAsia="宋体"/>
                <w:color w:val="auto"/>
                <w:highlight w:val="none"/>
                <w:lang w:val="en-US" w:eastAsia="zh-CN"/>
              </w:rPr>
            </w:pPr>
          </w:p>
        </w:tc>
        <w:tc>
          <w:tcPr>
            <w:tcW w:w="1632" w:type="dxa"/>
            <w:vMerge w:val="continue"/>
            <w:vAlign w:val="center"/>
          </w:tcPr>
          <w:p w14:paraId="2D4CE460">
            <w:pPr>
              <w:jc w:val="center"/>
              <w:rPr>
                <w:rFonts w:hint="eastAsia" w:ascii="Calibri" w:hAnsi="Calibri" w:eastAsia="宋体" w:cs="宋体"/>
                <w:color w:val="auto"/>
                <w:kern w:val="2"/>
                <w:sz w:val="21"/>
                <w:szCs w:val="24"/>
                <w:highlight w:val="none"/>
                <w:lang w:val="en-US" w:eastAsia="zh-CN" w:bidi="ar-SA"/>
              </w:rPr>
            </w:pPr>
          </w:p>
        </w:tc>
      </w:tr>
      <w:tr w14:paraId="5637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0" w:type="dxa"/>
            <w:vAlign w:val="center"/>
          </w:tcPr>
          <w:p w14:paraId="592C9A30">
            <w:pPr>
              <w:jc w:val="center"/>
              <w:rPr>
                <w:rFonts w:hint="default"/>
                <w:color w:val="auto"/>
                <w:highlight w:val="none"/>
                <w:lang w:val="en-US" w:eastAsia="zh-CN"/>
              </w:rPr>
            </w:pPr>
            <w:r>
              <w:rPr>
                <w:rFonts w:hint="eastAsia"/>
                <w:color w:val="auto"/>
                <w:highlight w:val="none"/>
                <w:lang w:val="en-US" w:eastAsia="zh-CN"/>
              </w:rPr>
              <w:t>9</w:t>
            </w:r>
          </w:p>
        </w:tc>
        <w:tc>
          <w:tcPr>
            <w:tcW w:w="2603" w:type="dxa"/>
            <w:vAlign w:val="center"/>
          </w:tcPr>
          <w:p w14:paraId="22439C2B">
            <w:pPr>
              <w:jc w:val="center"/>
              <w:rPr>
                <w:rFonts w:hint="eastAsia" w:eastAsia="宋体"/>
                <w:color w:val="auto"/>
                <w:highlight w:val="none"/>
                <w:lang w:val="en-US" w:eastAsia="zh-CN"/>
              </w:rPr>
            </w:pPr>
          </w:p>
        </w:tc>
        <w:tc>
          <w:tcPr>
            <w:tcW w:w="1560" w:type="dxa"/>
            <w:vAlign w:val="center"/>
          </w:tcPr>
          <w:p w14:paraId="672D678F">
            <w:pPr>
              <w:jc w:val="center"/>
              <w:rPr>
                <w:rFonts w:hint="default" w:eastAsia="宋体"/>
                <w:color w:val="auto"/>
                <w:highlight w:val="none"/>
                <w:lang w:val="en-US" w:eastAsia="zh-CN"/>
              </w:rPr>
            </w:pPr>
          </w:p>
        </w:tc>
        <w:tc>
          <w:tcPr>
            <w:tcW w:w="1335" w:type="dxa"/>
            <w:vAlign w:val="center"/>
          </w:tcPr>
          <w:p w14:paraId="6B15DA39">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4CFC8AF2">
            <w:pPr>
              <w:jc w:val="center"/>
              <w:rPr>
                <w:rFonts w:hint="default" w:eastAsia="宋体"/>
                <w:color w:val="auto"/>
                <w:highlight w:val="none"/>
                <w:lang w:val="en-US" w:eastAsia="zh-CN"/>
              </w:rPr>
            </w:pPr>
          </w:p>
        </w:tc>
        <w:tc>
          <w:tcPr>
            <w:tcW w:w="1632" w:type="dxa"/>
            <w:vMerge w:val="continue"/>
            <w:vAlign w:val="center"/>
          </w:tcPr>
          <w:p w14:paraId="23913088">
            <w:pPr>
              <w:jc w:val="center"/>
              <w:rPr>
                <w:rFonts w:hint="eastAsia" w:eastAsia="宋体"/>
                <w:color w:val="auto"/>
                <w:highlight w:val="none"/>
                <w:lang w:eastAsia="zh-CN"/>
              </w:rPr>
            </w:pPr>
          </w:p>
        </w:tc>
      </w:tr>
      <w:tr w14:paraId="4DC5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0" w:type="dxa"/>
            <w:vAlign w:val="center"/>
          </w:tcPr>
          <w:p w14:paraId="61E18382">
            <w:pPr>
              <w:jc w:val="center"/>
              <w:rPr>
                <w:rFonts w:hint="default"/>
                <w:color w:val="auto"/>
                <w:highlight w:val="none"/>
                <w:lang w:val="en-US" w:eastAsia="zh-CN"/>
              </w:rPr>
            </w:pPr>
            <w:r>
              <w:rPr>
                <w:rFonts w:hint="eastAsia"/>
                <w:color w:val="auto"/>
                <w:highlight w:val="none"/>
                <w:lang w:val="en-US" w:eastAsia="zh-CN"/>
              </w:rPr>
              <w:t>10</w:t>
            </w:r>
          </w:p>
        </w:tc>
        <w:tc>
          <w:tcPr>
            <w:tcW w:w="2603" w:type="dxa"/>
            <w:vAlign w:val="center"/>
          </w:tcPr>
          <w:p w14:paraId="3D2D8281">
            <w:pPr>
              <w:jc w:val="center"/>
              <w:rPr>
                <w:rFonts w:hint="eastAsia" w:eastAsia="宋体"/>
                <w:color w:val="auto"/>
                <w:highlight w:val="none"/>
                <w:lang w:val="en-US" w:eastAsia="zh-CN"/>
              </w:rPr>
            </w:pPr>
          </w:p>
        </w:tc>
        <w:tc>
          <w:tcPr>
            <w:tcW w:w="1560" w:type="dxa"/>
            <w:vAlign w:val="center"/>
          </w:tcPr>
          <w:p w14:paraId="3E2F848B">
            <w:pPr>
              <w:jc w:val="center"/>
              <w:rPr>
                <w:rFonts w:hint="default" w:eastAsia="宋体"/>
                <w:color w:val="auto"/>
                <w:highlight w:val="none"/>
                <w:lang w:val="en-US" w:eastAsia="zh-CN"/>
              </w:rPr>
            </w:pPr>
          </w:p>
        </w:tc>
        <w:tc>
          <w:tcPr>
            <w:tcW w:w="1335" w:type="dxa"/>
            <w:vAlign w:val="center"/>
          </w:tcPr>
          <w:p w14:paraId="54F5B863">
            <w:pPr>
              <w:jc w:val="center"/>
              <w:rPr>
                <w:rFonts w:hint="default" w:eastAsia="宋体"/>
                <w:color w:val="auto"/>
                <w:highlight w:val="none"/>
                <w:lang w:val="en-US" w:eastAsia="zh-CN"/>
              </w:rPr>
            </w:pPr>
          </w:p>
        </w:tc>
        <w:tc>
          <w:tcPr>
            <w:tcW w:w="1515" w:type="dxa"/>
            <w:vAlign w:val="center"/>
          </w:tcPr>
          <w:p w14:paraId="0D09AB08">
            <w:pPr>
              <w:jc w:val="center"/>
              <w:rPr>
                <w:rFonts w:hint="default" w:eastAsia="宋体"/>
                <w:color w:val="auto"/>
                <w:highlight w:val="none"/>
                <w:lang w:val="en-US" w:eastAsia="zh-CN"/>
              </w:rPr>
            </w:pPr>
          </w:p>
        </w:tc>
        <w:tc>
          <w:tcPr>
            <w:tcW w:w="1632" w:type="dxa"/>
            <w:vMerge w:val="continue"/>
            <w:vAlign w:val="center"/>
          </w:tcPr>
          <w:p w14:paraId="306C6146">
            <w:pPr>
              <w:jc w:val="center"/>
              <w:rPr>
                <w:rFonts w:hint="eastAsia" w:eastAsia="宋体"/>
                <w:color w:val="auto"/>
                <w:highlight w:val="none"/>
                <w:lang w:eastAsia="zh-CN"/>
              </w:rPr>
            </w:pPr>
          </w:p>
        </w:tc>
      </w:tr>
      <w:tr w14:paraId="1C29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6B7101A2">
            <w:pPr>
              <w:jc w:val="center"/>
              <w:rPr>
                <w:rFonts w:hint="default"/>
                <w:color w:val="auto"/>
                <w:highlight w:val="none"/>
                <w:lang w:val="en-US" w:eastAsia="zh-CN"/>
              </w:rPr>
            </w:pPr>
            <w:r>
              <w:rPr>
                <w:rFonts w:hint="eastAsia"/>
                <w:color w:val="auto"/>
                <w:highlight w:val="none"/>
                <w:lang w:val="en-US" w:eastAsia="zh-CN"/>
              </w:rPr>
              <w:t>11</w:t>
            </w:r>
          </w:p>
        </w:tc>
        <w:tc>
          <w:tcPr>
            <w:tcW w:w="2603" w:type="dxa"/>
            <w:vAlign w:val="center"/>
          </w:tcPr>
          <w:p w14:paraId="57ABC1F4">
            <w:pPr>
              <w:jc w:val="center"/>
              <w:rPr>
                <w:rFonts w:hint="eastAsia" w:eastAsia="宋体"/>
                <w:color w:val="auto"/>
                <w:highlight w:val="none"/>
                <w:lang w:val="en-US" w:eastAsia="zh-CN"/>
              </w:rPr>
            </w:pPr>
          </w:p>
        </w:tc>
        <w:tc>
          <w:tcPr>
            <w:tcW w:w="1560" w:type="dxa"/>
            <w:vAlign w:val="center"/>
          </w:tcPr>
          <w:p w14:paraId="7EF23E7F">
            <w:pPr>
              <w:jc w:val="center"/>
              <w:rPr>
                <w:rFonts w:hint="default"/>
                <w:color w:val="auto"/>
                <w:highlight w:val="none"/>
                <w:lang w:val="en-US" w:eastAsia="zh-CN"/>
              </w:rPr>
            </w:pPr>
          </w:p>
        </w:tc>
        <w:tc>
          <w:tcPr>
            <w:tcW w:w="1335" w:type="dxa"/>
            <w:vAlign w:val="center"/>
          </w:tcPr>
          <w:p w14:paraId="1C3AC47B">
            <w:pPr>
              <w:jc w:val="center"/>
              <w:rPr>
                <w:rFonts w:hint="default"/>
                <w:color w:val="auto"/>
                <w:highlight w:val="none"/>
                <w:lang w:val="en-US" w:eastAsia="zh-CN"/>
              </w:rPr>
            </w:pPr>
          </w:p>
        </w:tc>
        <w:tc>
          <w:tcPr>
            <w:tcW w:w="1515" w:type="dxa"/>
            <w:vAlign w:val="center"/>
          </w:tcPr>
          <w:p w14:paraId="03512538">
            <w:pPr>
              <w:jc w:val="center"/>
              <w:rPr>
                <w:rFonts w:hint="default" w:eastAsia="宋体"/>
                <w:color w:val="auto"/>
                <w:highlight w:val="none"/>
                <w:lang w:val="en-US" w:eastAsia="zh-CN"/>
              </w:rPr>
            </w:pPr>
          </w:p>
        </w:tc>
        <w:tc>
          <w:tcPr>
            <w:tcW w:w="1632" w:type="dxa"/>
            <w:vMerge w:val="continue"/>
            <w:vAlign w:val="center"/>
          </w:tcPr>
          <w:p w14:paraId="75246804">
            <w:pPr>
              <w:jc w:val="center"/>
              <w:rPr>
                <w:rFonts w:hint="eastAsia" w:eastAsia="宋体"/>
                <w:color w:val="auto"/>
                <w:highlight w:val="none"/>
                <w:lang w:eastAsia="zh-CN"/>
              </w:rPr>
            </w:pPr>
          </w:p>
        </w:tc>
      </w:tr>
      <w:tr w14:paraId="0A09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13E5B7DF">
            <w:pPr>
              <w:jc w:val="center"/>
              <w:rPr>
                <w:rFonts w:hint="default"/>
                <w:color w:val="auto"/>
                <w:highlight w:val="none"/>
                <w:lang w:val="en-US" w:eastAsia="zh-CN"/>
              </w:rPr>
            </w:pPr>
            <w:r>
              <w:rPr>
                <w:rFonts w:hint="eastAsia"/>
                <w:color w:val="auto"/>
                <w:highlight w:val="none"/>
                <w:lang w:val="en-US" w:eastAsia="zh-CN"/>
              </w:rPr>
              <w:t>12</w:t>
            </w:r>
          </w:p>
        </w:tc>
        <w:tc>
          <w:tcPr>
            <w:tcW w:w="2603" w:type="dxa"/>
            <w:vAlign w:val="center"/>
          </w:tcPr>
          <w:p w14:paraId="2C719D87">
            <w:pPr>
              <w:jc w:val="center"/>
              <w:rPr>
                <w:rFonts w:hint="eastAsia" w:eastAsia="宋体"/>
                <w:color w:val="auto"/>
                <w:highlight w:val="none"/>
                <w:lang w:val="en-US" w:eastAsia="zh-CN"/>
              </w:rPr>
            </w:pPr>
          </w:p>
        </w:tc>
        <w:tc>
          <w:tcPr>
            <w:tcW w:w="1560" w:type="dxa"/>
            <w:vAlign w:val="center"/>
          </w:tcPr>
          <w:p w14:paraId="32F5B6D7">
            <w:pPr>
              <w:jc w:val="center"/>
              <w:rPr>
                <w:rFonts w:hint="default"/>
                <w:color w:val="auto"/>
                <w:highlight w:val="none"/>
                <w:lang w:val="en-US" w:eastAsia="zh-CN"/>
              </w:rPr>
            </w:pPr>
          </w:p>
        </w:tc>
        <w:tc>
          <w:tcPr>
            <w:tcW w:w="1335" w:type="dxa"/>
            <w:vAlign w:val="center"/>
          </w:tcPr>
          <w:p w14:paraId="76708FEE">
            <w:pPr>
              <w:jc w:val="center"/>
              <w:rPr>
                <w:rFonts w:hint="default"/>
                <w:color w:val="auto"/>
                <w:highlight w:val="none"/>
                <w:lang w:val="en-US" w:eastAsia="zh-CN"/>
              </w:rPr>
            </w:pPr>
          </w:p>
        </w:tc>
        <w:tc>
          <w:tcPr>
            <w:tcW w:w="1515" w:type="dxa"/>
            <w:vAlign w:val="center"/>
          </w:tcPr>
          <w:p w14:paraId="133BBB1C">
            <w:pPr>
              <w:jc w:val="center"/>
              <w:rPr>
                <w:rFonts w:hint="default" w:eastAsia="宋体"/>
                <w:color w:val="auto"/>
                <w:highlight w:val="none"/>
                <w:lang w:val="en-US" w:eastAsia="zh-CN"/>
              </w:rPr>
            </w:pPr>
          </w:p>
        </w:tc>
        <w:tc>
          <w:tcPr>
            <w:tcW w:w="1632" w:type="dxa"/>
            <w:vMerge w:val="continue"/>
            <w:vAlign w:val="center"/>
          </w:tcPr>
          <w:p w14:paraId="195CEAEE">
            <w:pPr>
              <w:jc w:val="center"/>
              <w:rPr>
                <w:rFonts w:hint="eastAsia" w:eastAsia="宋体"/>
                <w:color w:val="auto"/>
                <w:highlight w:val="none"/>
                <w:lang w:eastAsia="zh-CN"/>
              </w:rPr>
            </w:pPr>
          </w:p>
        </w:tc>
      </w:tr>
      <w:tr w14:paraId="0642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80" w:type="dxa"/>
            <w:vAlign w:val="center"/>
          </w:tcPr>
          <w:p w14:paraId="6597E309">
            <w:pPr>
              <w:jc w:val="center"/>
              <w:rPr>
                <w:rFonts w:hint="default"/>
                <w:color w:val="auto"/>
                <w:highlight w:val="none"/>
                <w:lang w:val="en-US" w:eastAsia="zh-CN"/>
              </w:rPr>
            </w:pPr>
            <w:r>
              <w:rPr>
                <w:rFonts w:hint="eastAsia"/>
                <w:color w:val="auto"/>
                <w:highlight w:val="none"/>
                <w:lang w:val="en-US" w:eastAsia="zh-CN"/>
              </w:rPr>
              <w:t>13</w:t>
            </w:r>
          </w:p>
        </w:tc>
        <w:tc>
          <w:tcPr>
            <w:tcW w:w="2603" w:type="dxa"/>
            <w:vAlign w:val="center"/>
          </w:tcPr>
          <w:p w14:paraId="22997187">
            <w:pPr>
              <w:tabs>
                <w:tab w:val="left" w:pos="631"/>
              </w:tabs>
              <w:jc w:val="left"/>
              <w:rPr>
                <w:rFonts w:hint="eastAsia" w:eastAsia="宋体"/>
                <w:color w:val="auto"/>
                <w:highlight w:val="none"/>
                <w:lang w:val="en-US" w:eastAsia="zh-CN"/>
              </w:rPr>
            </w:pPr>
          </w:p>
        </w:tc>
        <w:tc>
          <w:tcPr>
            <w:tcW w:w="1560" w:type="dxa"/>
            <w:vAlign w:val="center"/>
          </w:tcPr>
          <w:p w14:paraId="14927710">
            <w:pPr>
              <w:jc w:val="center"/>
              <w:rPr>
                <w:rFonts w:hint="default"/>
                <w:color w:val="auto"/>
                <w:highlight w:val="none"/>
                <w:lang w:val="en-US" w:eastAsia="zh-CN"/>
              </w:rPr>
            </w:pPr>
          </w:p>
        </w:tc>
        <w:tc>
          <w:tcPr>
            <w:tcW w:w="1335" w:type="dxa"/>
            <w:vAlign w:val="center"/>
          </w:tcPr>
          <w:p w14:paraId="34CA7D77">
            <w:pPr>
              <w:jc w:val="center"/>
              <w:rPr>
                <w:rFonts w:hint="default"/>
                <w:color w:val="auto"/>
                <w:highlight w:val="none"/>
                <w:lang w:val="en-US" w:eastAsia="zh-CN"/>
              </w:rPr>
            </w:pPr>
          </w:p>
        </w:tc>
        <w:tc>
          <w:tcPr>
            <w:tcW w:w="1515" w:type="dxa"/>
            <w:vAlign w:val="center"/>
          </w:tcPr>
          <w:p w14:paraId="56002389">
            <w:pPr>
              <w:jc w:val="center"/>
              <w:rPr>
                <w:rFonts w:hint="default" w:eastAsia="宋体"/>
                <w:color w:val="auto"/>
                <w:highlight w:val="none"/>
                <w:lang w:val="en-US" w:eastAsia="zh-CN"/>
              </w:rPr>
            </w:pPr>
          </w:p>
        </w:tc>
        <w:tc>
          <w:tcPr>
            <w:tcW w:w="1632" w:type="dxa"/>
            <w:vMerge w:val="continue"/>
            <w:vAlign w:val="center"/>
          </w:tcPr>
          <w:p w14:paraId="1BEDF2B4">
            <w:pPr>
              <w:jc w:val="center"/>
              <w:rPr>
                <w:rFonts w:hint="eastAsia" w:eastAsia="宋体"/>
                <w:color w:val="auto"/>
                <w:highlight w:val="none"/>
                <w:lang w:eastAsia="zh-CN"/>
              </w:rPr>
            </w:pPr>
          </w:p>
        </w:tc>
      </w:tr>
      <w:tr w14:paraId="080F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5AC7FFF6">
            <w:pPr>
              <w:jc w:val="center"/>
              <w:rPr>
                <w:rFonts w:hint="default"/>
                <w:color w:val="auto"/>
                <w:highlight w:val="none"/>
                <w:lang w:val="en-US" w:eastAsia="zh-CN"/>
              </w:rPr>
            </w:pPr>
            <w:r>
              <w:rPr>
                <w:rFonts w:hint="eastAsia"/>
                <w:color w:val="auto"/>
                <w:highlight w:val="none"/>
                <w:lang w:val="en-US" w:eastAsia="zh-CN"/>
              </w:rPr>
              <w:t>14</w:t>
            </w:r>
          </w:p>
        </w:tc>
        <w:tc>
          <w:tcPr>
            <w:tcW w:w="2603" w:type="dxa"/>
            <w:vAlign w:val="center"/>
          </w:tcPr>
          <w:p w14:paraId="439EF7F9">
            <w:pPr>
              <w:jc w:val="center"/>
              <w:rPr>
                <w:rFonts w:hint="eastAsia" w:eastAsia="宋体"/>
                <w:color w:val="auto"/>
                <w:highlight w:val="none"/>
                <w:lang w:val="en-US" w:eastAsia="zh-CN"/>
              </w:rPr>
            </w:pPr>
          </w:p>
        </w:tc>
        <w:tc>
          <w:tcPr>
            <w:tcW w:w="1560" w:type="dxa"/>
            <w:vAlign w:val="center"/>
          </w:tcPr>
          <w:p w14:paraId="6F9DD8BF">
            <w:pPr>
              <w:jc w:val="center"/>
              <w:rPr>
                <w:rFonts w:hint="default"/>
                <w:color w:val="auto"/>
                <w:highlight w:val="none"/>
                <w:lang w:val="en-US" w:eastAsia="zh-CN"/>
              </w:rPr>
            </w:pPr>
          </w:p>
        </w:tc>
        <w:tc>
          <w:tcPr>
            <w:tcW w:w="1335" w:type="dxa"/>
            <w:vAlign w:val="center"/>
          </w:tcPr>
          <w:p w14:paraId="749D1A0E">
            <w:pPr>
              <w:jc w:val="center"/>
              <w:rPr>
                <w:rFonts w:hint="default"/>
                <w:color w:val="auto"/>
                <w:highlight w:val="none"/>
                <w:lang w:val="en-US" w:eastAsia="zh-CN"/>
              </w:rPr>
            </w:pPr>
          </w:p>
        </w:tc>
        <w:tc>
          <w:tcPr>
            <w:tcW w:w="1515" w:type="dxa"/>
            <w:vAlign w:val="center"/>
          </w:tcPr>
          <w:p w14:paraId="7430A4CD">
            <w:pPr>
              <w:jc w:val="center"/>
              <w:rPr>
                <w:rFonts w:hint="default" w:eastAsia="宋体"/>
                <w:color w:val="auto"/>
                <w:highlight w:val="none"/>
                <w:lang w:val="en-US" w:eastAsia="zh-CN"/>
              </w:rPr>
            </w:pPr>
          </w:p>
        </w:tc>
        <w:tc>
          <w:tcPr>
            <w:tcW w:w="1632" w:type="dxa"/>
            <w:vMerge w:val="continue"/>
            <w:vAlign w:val="center"/>
          </w:tcPr>
          <w:p w14:paraId="0C66FFDE">
            <w:pPr>
              <w:jc w:val="center"/>
              <w:rPr>
                <w:rFonts w:hint="default" w:eastAsia="宋体"/>
                <w:color w:val="auto"/>
                <w:highlight w:val="none"/>
                <w:lang w:val="en-US" w:eastAsia="zh-CN"/>
              </w:rPr>
            </w:pPr>
          </w:p>
        </w:tc>
      </w:tr>
      <w:tr w14:paraId="5CF7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80" w:type="dxa"/>
            <w:vAlign w:val="center"/>
          </w:tcPr>
          <w:p w14:paraId="609CC158">
            <w:pPr>
              <w:jc w:val="center"/>
              <w:rPr>
                <w:rFonts w:hint="default"/>
                <w:color w:val="auto"/>
                <w:highlight w:val="none"/>
                <w:lang w:val="en-US" w:eastAsia="zh-CN"/>
              </w:rPr>
            </w:pPr>
            <w:r>
              <w:rPr>
                <w:rFonts w:hint="eastAsia"/>
                <w:color w:val="auto"/>
                <w:highlight w:val="none"/>
                <w:lang w:val="en-US" w:eastAsia="zh-CN"/>
              </w:rPr>
              <w:t>15</w:t>
            </w:r>
          </w:p>
        </w:tc>
        <w:tc>
          <w:tcPr>
            <w:tcW w:w="2603" w:type="dxa"/>
            <w:vAlign w:val="center"/>
          </w:tcPr>
          <w:p w14:paraId="0C94977F">
            <w:pPr>
              <w:jc w:val="center"/>
              <w:rPr>
                <w:rFonts w:hint="eastAsia" w:eastAsia="宋体"/>
                <w:color w:val="auto"/>
                <w:highlight w:val="none"/>
                <w:lang w:val="en-US" w:eastAsia="zh-CN"/>
              </w:rPr>
            </w:pPr>
          </w:p>
        </w:tc>
        <w:tc>
          <w:tcPr>
            <w:tcW w:w="1560" w:type="dxa"/>
            <w:vAlign w:val="center"/>
          </w:tcPr>
          <w:p w14:paraId="6D235F2D">
            <w:pPr>
              <w:jc w:val="center"/>
              <w:rPr>
                <w:rFonts w:hint="default"/>
                <w:color w:val="auto"/>
                <w:highlight w:val="none"/>
                <w:lang w:val="en-US" w:eastAsia="zh-CN"/>
              </w:rPr>
            </w:pPr>
          </w:p>
        </w:tc>
        <w:tc>
          <w:tcPr>
            <w:tcW w:w="1335" w:type="dxa"/>
            <w:vAlign w:val="center"/>
          </w:tcPr>
          <w:p w14:paraId="7CCDD19E">
            <w:pPr>
              <w:jc w:val="center"/>
              <w:rPr>
                <w:rFonts w:hint="default"/>
                <w:color w:val="auto"/>
                <w:highlight w:val="none"/>
                <w:lang w:val="en-US" w:eastAsia="zh-CN"/>
              </w:rPr>
            </w:pPr>
          </w:p>
        </w:tc>
        <w:tc>
          <w:tcPr>
            <w:tcW w:w="1515" w:type="dxa"/>
            <w:vAlign w:val="center"/>
          </w:tcPr>
          <w:p w14:paraId="312E34E2">
            <w:pPr>
              <w:jc w:val="center"/>
              <w:rPr>
                <w:rFonts w:hint="default" w:eastAsia="宋体"/>
                <w:color w:val="auto"/>
                <w:highlight w:val="none"/>
                <w:lang w:val="en-US" w:eastAsia="zh-CN"/>
              </w:rPr>
            </w:pPr>
          </w:p>
        </w:tc>
        <w:tc>
          <w:tcPr>
            <w:tcW w:w="1632" w:type="dxa"/>
            <w:vMerge w:val="continue"/>
            <w:vAlign w:val="center"/>
          </w:tcPr>
          <w:p w14:paraId="637F7BE5">
            <w:pPr>
              <w:jc w:val="center"/>
              <w:rPr>
                <w:rFonts w:hint="eastAsia" w:eastAsia="宋体"/>
                <w:color w:val="auto"/>
                <w:highlight w:val="none"/>
                <w:lang w:val="en-US" w:eastAsia="zh-CN"/>
              </w:rPr>
            </w:pPr>
          </w:p>
        </w:tc>
      </w:tr>
      <w:tr w14:paraId="0D35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0" w:type="dxa"/>
            <w:vAlign w:val="center"/>
          </w:tcPr>
          <w:p w14:paraId="70BB885A">
            <w:pPr>
              <w:jc w:val="center"/>
              <w:rPr>
                <w:rFonts w:hint="default"/>
                <w:color w:val="auto"/>
                <w:highlight w:val="none"/>
                <w:lang w:val="en-US" w:eastAsia="zh-CN"/>
              </w:rPr>
            </w:pPr>
            <w:r>
              <w:rPr>
                <w:rFonts w:hint="eastAsia"/>
                <w:color w:val="auto"/>
                <w:highlight w:val="none"/>
                <w:lang w:val="en-US" w:eastAsia="zh-CN"/>
              </w:rPr>
              <w:t>16</w:t>
            </w:r>
          </w:p>
        </w:tc>
        <w:tc>
          <w:tcPr>
            <w:tcW w:w="2603" w:type="dxa"/>
            <w:vAlign w:val="center"/>
          </w:tcPr>
          <w:p w14:paraId="0898E385">
            <w:pPr>
              <w:jc w:val="center"/>
              <w:rPr>
                <w:rFonts w:hint="eastAsia" w:eastAsia="宋体"/>
                <w:color w:val="auto"/>
                <w:highlight w:val="none"/>
                <w:lang w:val="en-US" w:eastAsia="zh-CN"/>
              </w:rPr>
            </w:pPr>
          </w:p>
        </w:tc>
        <w:tc>
          <w:tcPr>
            <w:tcW w:w="1560" w:type="dxa"/>
            <w:vAlign w:val="center"/>
          </w:tcPr>
          <w:p w14:paraId="29A26516">
            <w:pPr>
              <w:jc w:val="center"/>
              <w:rPr>
                <w:rFonts w:hint="default"/>
                <w:color w:val="auto"/>
                <w:highlight w:val="none"/>
                <w:lang w:val="en-US" w:eastAsia="zh-CN"/>
              </w:rPr>
            </w:pPr>
          </w:p>
        </w:tc>
        <w:tc>
          <w:tcPr>
            <w:tcW w:w="1335" w:type="dxa"/>
            <w:vAlign w:val="center"/>
          </w:tcPr>
          <w:p w14:paraId="6AC9545B">
            <w:pPr>
              <w:jc w:val="center"/>
              <w:rPr>
                <w:rFonts w:hint="default"/>
                <w:color w:val="auto"/>
                <w:highlight w:val="none"/>
                <w:lang w:val="en-US" w:eastAsia="zh-CN"/>
              </w:rPr>
            </w:pPr>
          </w:p>
        </w:tc>
        <w:tc>
          <w:tcPr>
            <w:tcW w:w="1515" w:type="dxa"/>
            <w:vAlign w:val="center"/>
          </w:tcPr>
          <w:p w14:paraId="5779DF7E">
            <w:pPr>
              <w:jc w:val="center"/>
              <w:rPr>
                <w:rFonts w:hint="default" w:eastAsia="宋体"/>
                <w:color w:val="auto"/>
                <w:highlight w:val="none"/>
                <w:lang w:val="en-US" w:eastAsia="zh-CN"/>
              </w:rPr>
            </w:pPr>
          </w:p>
        </w:tc>
        <w:tc>
          <w:tcPr>
            <w:tcW w:w="1632" w:type="dxa"/>
            <w:vMerge w:val="continue"/>
            <w:vAlign w:val="center"/>
          </w:tcPr>
          <w:p w14:paraId="76ACC014">
            <w:pPr>
              <w:jc w:val="center"/>
              <w:rPr>
                <w:rFonts w:hint="eastAsia" w:eastAsia="宋体"/>
                <w:color w:val="auto"/>
                <w:highlight w:val="none"/>
                <w:lang w:eastAsia="zh-CN"/>
              </w:rPr>
            </w:pPr>
          </w:p>
        </w:tc>
      </w:tr>
      <w:tr w14:paraId="5879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56A7E9ED">
            <w:pPr>
              <w:jc w:val="center"/>
              <w:rPr>
                <w:rFonts w:hint="default"/>
                <w:color w:val="auto"/>
                <w:highlight w:val="none"/>
                <w:lang w:val="en-US" w:eastAsia="zh-CN"/>
              </w:rPr>
            </w:pPr>
            <w:r>
              <w:rPr>
                <w:rFonts w:hint="eastAsia"/>
                <w:color w:val="auto"/>
                <w:highlight w:val="none"/>
                <w:lang w:val="en-US" w:eastAsia="zh-CN"/>
              </w:rPr>
              <w:t>17</w:t>
            </w:r>
          </w:p>
        </w:tc>
        <w:tc>
          <w:tcPr>
            <w:tcW w:w="2603" w:type="dxa"/>
            <w:vAlign w:val="center"/>
          </w:tcPr>
          <w:p w14:paraId="35101673">
            <w:pPr>
              <w:jc w:val="center"/>
              <w:rPr>
                <w:rFonts w:hint="eastAsia" w:eastAsia="宋体"/>
                <w:color w:val="auto"/>
                <w:highlight w:val="none"/>
                <w:lang w:val="en-US" w:eastAsia="zh-CN"/>
              </w:rPr>
            </w:pPr>
          </w:p>
        </w:tc>
        <w:tc>
          <w:tcPr>
            <w:tcW w:w="1560" w:type="dxa"/>
            <w:vAlign w:val="center"/>
          </w:tcPr>
          <w:p w14:paraId="132055D2">
            <w:pPr>
              <w:jc w:val="center"/>
              <w:rPr>
                <w:rFonts w:hint="default"/>
                <w:color w:val="auto"/>
                <w:highlight w:val="none"/>
                <w:lang w:val="en-US" w:eastAsia="zh-CN"/>
              </w:rPr>
            </w:pPr>
          </w:p>
        </w:tc>
        <w:tc>
          <w:tcPr>
            <w:tcW w:w="1335" w:type="dxa"/>
            <w:vAlign w:val="center"/>
          </w:tcPr>
          <w:p w14:paraId="1A0F8DFA">
            <w:pPr>
              <w:jc w:val="center"/>
              <w:rPr>
                <w:rFonts w:hint="default"/>
                <w:color w:val="auto"/>
                <w:highlight w:val="none"/>
                <w:lang w:val="en-US" w:eastAsia="zh-CN"/>
              </w:rPr>
            </w:pPr>
          </w:p>
        </w:tc>
        <w:tc>
          <w:tcPr>
            <w:tcW w:w="1515" w:type="dxa"/>
            <w:vAlign w:val="center"/>
          </w:tcPr>
          <w:p w14:paraId="6772196E">
            <w:pPr>
              <w:jc w:val="center"/>
              <w:rPr>
                <w:rFonts w:hint="default" w:eastAsia="宋体"/>
                <w:color w:val="auto"/>
                <w:highlight w:val="none"/>
                <w:lang w:val="en-US" w:eastAsia="zh-CN"/>
              </w:rPr>
            </w:pPr>
          </w:p>
        </w:tc>
        <w:tc>
          <w:tcPr>
            <w:tcW w:w="1632" w:type="dxa"/>
            <w:vMerge w:val="continue"/>
            <w:vAlign w:val="center"/>
          </w:tcPr>
          <w:p w14:paraId="2AC31812">
            <w:pPr>
              <w:jc w:val="center"/>
              <w:rPr>
                <w:rFonts w:hint="eastAsia" w:eastAsia="宋体"/>
                <w:color w:val="auto"/>
                <w:highlight w:val="none"/>
                <w:lang w:eastAsia="zh-CN"/>
              </w:rPr>
            </w:pPr>
          </w:p>
        </w:tc>
      </w:tr>
      <w:tr w14:paraId="7026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80" w:type="dxa"/>
            <w:vAlign w:val="center"/>
          </w:tcPr>
          <w:p w14:paraId="68A27665">
            <w:pPr>
              <w:jc w:val="center"/>
              <w:rPr>
                <w:rFonts w:hint="default"/>
                <w:color w:val="auto"/>
                <w:highlight w:val="none"/>
                <w:lang w:val="en-US" w:eastAsia="zh-CN"/>
              </w:rPr>
            </w:pPr>
            <w:r>
              <w:rPr>
                <w:rFonts w:hint="eastAsia"/>
                <w:color w:val="auto"/>
                <w:highlight w:val="none"/>
                <w:lang w:val="en-US" w:eastAsia="zh-CN"/>
              </w:rPr>
              <w:t>18</w:t>
            </w:r>
          </w:p>
        </w:tc>
        <w:tc>
          <w:tcPr>
            <w:tcW w:w="2603" w:type="dxa"/>
            <w:vAlign w:val="center"/>
          </w:tcPr>
          <w:p w14:paraId="69A4B83F">
            <w:pPr>
              <w:jc w:val="center"/>
              <w:rPr>
                <w:rFonts w:hint="default" w:ascii="Calibri" w:hAnsi="Calibri" w:cs="Calibri"/>
                <w:color w:val="auto"/>
                <w:kern w:val="2"/>
                <w:sz w:val="21"/>
                <w:szCs w:val="24"/>
                <w:highlight w:val="none"/>
                <w:lang w:val="en-US" w:eastAsia="zh-CN" w:bidi="ar-SA"/>
              </w:rPr>
            </w:pPr>
          </w:p>
        </w:tc>
        <w:tc>
          <w:tcPr>
            <w:tcW w:w="1560" w:type="dxa"/>
            <w:vAlign w:val="center"/>
          </w:tcPr>
          <w:p w14:paraId="38E12C35">
            <w:pPr>
              <w:jc w:val="center"/>
              <w:rPr>
                <w:rFonts w:hint="default"/>
                <w:color w:val="auto"/>
                <w:highlight w:val="none"/>
                <w:lang w:val="en-US" w:eastAsia="zh-CN"/>
              </w:rPr>
            </w:pPr>
          </w:p>
        </w:tc>
        <w:tc>
          <w:tcPr>
            <w:tcW w:w="1335" w:type="dxa"/>
            <w:vAlign w:val="center"/>
          </w:tcPr>
          <w:p w14:paraId="22249AC5">
            <w:pPr>
              <w:jc w:val="center"/>
              <w:rPr>
                <w:rFonts w:hint="default"/>
                <w:color w:val="auto"/>
                <w:highlight w:val="none"/>
                <w:lang w:val="en-US" w:eastAsia="zh-CN"/>
              </w:rPr>
            </w:pPr>
          </w:p>
        </w:tc>
        <w:tc>
          <w:tcPr>
            <w:tcW w:w="1515" w:type="dxa"/>
            <w:vAlign w:val="center"/>
          </w:tcPr>
          <w:p w14:paraId="37EC63A0">
            <w:pPr>
              <w:jc w:val="center"/>
              <w:rPr>
                <w:rFonts w:hint="default" w:eastAsia="宋体"/>
                <w:color w:val="auto"/>
                <w:highlight w:val="none"/>
                <w:lang w:val="en-US" w:eastAsia="zh-CN"/>
              </w:rPr>
            </w:pPr>
          </w:p>
        </w:tc>
        <w:tc>
          <w:tcPr>
            <w:tcW w:w="1632" w:type="dxa"/>
            <w:vMerge w:val="continue"/>
            <w:vAlign w:val="center"/>
          </w:tcPr>
          <w:p w14:paraId="5BCCC0D3">
            <w:pPr>
              <w:jc w:val="center"/>
              <w:rPr>
                <w:rFonts w:hint="eastAsia" w:eastAsia="宋体"/>
                <w:color w:val="auto"/>
                <w:highlight w:val="none"/>
                <w:lang w:eastAsia="zh-CN"/>
              </w:rPr>
            </w:pPr>
          </w:p>
        </w:tc>
      </w:tr>
    </w:tbl>
    <w:p w14:paraId="6C6BE2D0">
      <w:pPr>
        <w:jc w:val="left"/>
        <w:rPr>
          <w:color w:val="auto"/>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9387840</wp:posOffset>
                </wp:positionH>
                <wp:positionV relativeFrom="paragraph">
                  <wp:posOffset>193040</wp:posOffset>
                </wp:positionV>
                <wp:extent cx="351790" cy="42767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51790" cy="4276725"/>
                        </a:xfrm>
                        <a:prstGeom prst="rect">
                          <a:avLst/>
                        </a:prstGeom>
                        <a:noFill/>
                        <a:ln w="6350">
                          <a:noFill/>
                        </a:ln>
                        <a:effectLst/>
                      </wps:spPr>
                      <wps:txbx>
                        <w:txbxContent>
                          <w:p w14:paraId="28FE0D9A">
                            <w:pPr>
                              <w:jc w:val="center"/>
                              <w:rPr>
                                <w:rFonts w:eastAsiaTheme="minorEastAsia"/>
                                <w:szCs w:val="21"/>
                              </w:rPr>
                            </w:pPr>
                            <w:r>
                              <w:rPr>
                                <w:rFonts w:hint="eastAsia"/>
                                <w:szCs w:val="21"/>
                              </w:rPr>
                              <w:t>一 存根（白）二 财务（红）三 顾客（绿）</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9.2pt;margin-top:15.2pt;height:336.75pt;width:27.7pt;z-index:251660288;mso-width-relative:page;mso-height-relative:page;" filled="f" stroked="f" coordsize="21600,21600" o:gfxdata="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tnKF3aAAAADAEAAA8AAAAAAAAAAQAg&#10;AAAAIgAAAGRycy9kb3ducmV2LnhtbFBLAQIUABQAAAAIAIdO4kAdTe7pRQIAAHYEAAAOAAAAAAAA&#10;AAEAIAAAACkBAABkcnMvZTJvRG9jLnhtbFBLBQYAAAAABgAGAFkBAADgBQAAAAA=&#10;">
                <v:fill on="f" focussize="0,0"/>
                <v:stroke on="f" weight="0.5pt"/>
                <v:imagedata o:title=""/>
                <o:lock v:ext="edit" aspectratio="f"/>
                <v:textbox style="layout-flow:vertical-ideographic;">
                  <w:txbxContent>
                    <w:p w14:paraId="28FE0D9A">
                      <w:pPr>
                        <w:jc w:val="center"/>
                        <w:rPr>
                          <w:rFonts w:eastAsiaTheme="minorEastAsia"/>
                          <w:szCs w:val="21"/>
                        </w:rPr>
                      </w:pPr>
                      <w:r>
                        <w:rPr>
                          <w:rFonts w:hint="eastAsia"/>
                          <w:szCs w:val="21"/>
                        </w:rPr>
                        <w:t>一 存根（白）二 财务（红）三 顾客（绿）</w:t>
                      </w:r>
                    </w:p>
                  </w:txbxContent>
                </v:textbox>
              </v:shape>
            </w:pict>
          </mc:Fallback>
        </mc:AlternateContent>
      </w:r>
    </w:p>
    <w:p w14:paraId="5AB1051B">
      <w:pPr>
        <w:tabs>
          <w:tab w:val="right" w:pos="15138"/>
        </w:tabs>
        <w:jc w:val="left"/>
        <w:rPr>
          <w:rFonts w:hint="default" w:hAnsi="宋体" w:cs="宋体"/>
          <w:color w:val="auto"/>
          <w:spacing w:val="8"/>
          <w:position w:val="-1"/>
          <w:sz w:val="24"/>
          <w:szCs w:val="24"/>
          <w:highlight w:val="none"/>
          <w:lang w:val="en-US" w:eastAsia="zh-CN"/>
        </w:rPr>
      </w:pPr>
      <w:r>
        <w:rPr>
          <w:rFonts w:hint="eastAsia" w:ascii="宋体" w:hAnsi="宋体"/>
          <w:color w:val="auto"/>
          <w:sz w:val="18"/>
          <w:szCs w:val="18"/>
          <w:highlight w:val="none"/>
        </w:rPr>
        <w:t>审批人：（项目经理）         审核人：（项目副经理</w:t>
      </w:r>
      <w:r>
        <w:rPr>
          <w:rFonts w:hint="eastAsia" w:ascii="宋体" w:hAnsi="宋体"/>
          <w:color w:val="auto"/>
          <w:sz w:val="18"/>
          <w:szCs w:val="18"/>
          <w:highlight w:val="none"/>
          <w:lang w:val="en-US" w:eastAsia="zh-CN"/>
        </w:rPr>
        <w:t>/技术负责人</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 xml:space="preserve">        </w:t>
      </w:r>
      <w:r>
        <w:rPr>
          <w:rFonts w:hint="eastAsia" w:ascii="宋体" w:hAnsi="宋体"/>
          <w:color w:val="auto"/>
          <w:sz w:val="18"/>
          <w:szCs w:val="18"/>
          <w:highlight w:val="none"/>
        </w:rPr>
        <w:t>编制人：（栋号施工员</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lang w:eastAsia="zh-CN"/>
        </w:rPr>
        <w:t>仓管员</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lang w:eastAsia="zh-CN"/>
        </w:rPr>
        <w:t>使用</w:t>
      </w:r>
      <w:r>
        <w:rPr>
          <w:rFonts w:hint="eastAsia" w:ascii="宋体" w:hAnsi="宋体"/>
          <w:color w:val="auto"/>
          <w:highlight w:val="none"/>
        </w:rPr>
        <w:t xml:space="preserve">） </w:t>
      </w:r>
    </w:p>
    <w:sectPr>
      <w:footerReference r:id="rId5" w:type="default"/>
      <w:pgSz w:w="11906" w:h="16838"/>
      <w:pgMar w:top="1134" w:right="1055" w:bottom="1134" w:left="1191"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014DC">
    <w:pPr>
      <w:pStyle w:val="6"/>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0C796">
    <w:pPr>
      <w:pStyle w:val="6"/>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B25214">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V1BZl4QEAAMEDAAAOAAAA&#10;AAAAAAEAIAAAAB4BAABkcnMvZTJvRG9jLnhtbFBLBQYAAAAABgAGAFkBAABxBQAAAAA=&#10;">
              <v:fill on="f" focussize="0,0"/>
              <v:stroke on="f"/>
              <v:imagedata o:title=""/>
              <o:lock v:ext="edit" aspectratio="f"/>
              <v:textbox inset="0mm,0mm,0mm,0mm" style="mso-fit-shape-to-text:t;">
                <w:txbxContent>
                  <w:p w14:paraId="0FB25214">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997D4">
    <w:pPr>
      <w:pStyle w:val="7"/>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A8A8AA"/>
    <w:multiLevelType w:val="singleLevel"/>
    <w:tmpl w:val="D1A8A8A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ZGJiMzk3NmE4MTFmY2I0NmVkOTVhODY4OTk3OTcifQ=="/>
  </w:docVars>
  <w:rsids>
    <w:rsidRoot w:val="00172A27"/>
    <w:rsid w:val="00133387"/>
    <w:rsid w:val="001D4206"/>
    <w:rsid w:val="0022181C"/>
    <w:rsid w:val="00240114"/>
    <w:rsid w:val="00247343"/>
    <w:rsid w:val="003F23CE"/>
    <w:rsid w:val="00494FFB"/>
    <w:rsid w:val="0055574E"/>
    <w:rsid w:val="005B4241"/>
    <w:rsid w:val="006308AB"/>
    <w:rsid w:val="006911F9"/>
    <w:rsid w:val="00732078"/>
    <w:rsid w:val="007E18FF"/>
    <w:rsid w:val="00863B59"/>
    <w:rsid w:val="008878D1"/>
    <w:rsid w:val="008D313A"/>
    <w:rsid w:val="00942D05"/>
    <w:rsid w:val="00A7217D"/>
    <w:rsid w:val="00A87DE8"/>
    <w:rsid w:val="00B0507A"/>
    <w:rsid w:val="00BC757B"/>
    <w:rsid w:val="00C7783F"/>
    <w:rsid w:val="00D72607"/>
    <w:rsid w:val="00DC2680"/>
    <w:rsid w:val="01037573"/>
    <w:rsid w:val="01205D5C"/>
    <w:rsid w:val="01286562"/>
    <w:rsid w:val="012F2443"/>
    <w:rsid w:val="012F2B13"/>
    <w:rsid w:val="01305439"/>
    <w:rsid w:val="01325A8F"/>
    <w:rsid w:val="01326F3B"/>
    <w:rsid w:val="01351803"/>
    <w:rsid w:val="014B361F"/>
    <w:rsid w:val="0156177E"/>
    <w:rsid w:val="015D207C"/>
    <w:rsid w:val="016814B1"/>
    <w:rsid w:val="01791910"/>
    <w:rsid w:val="017B7436"/>
    <w:rsid w:val="017F50C9"/>
    <w:rsid w:val="019978BC"/>
    <w:rsid w:val="01A71FD9"/>
    <w:rsid w:val="01AD3795"/>
    <w:rsid w:val="01C365E8"/>
    <w:rsid w:val="020461C9"/>
    <w:rsid w:val="0210376E"/>
    <w:rsid w:val="02217FDE"/>
    <w:rsid w:val="02471A55"/>
    <w:rsid w:val="024E06A7"/>
    <w:rsid w:val="026C7207"/>
    <w:rsid w:val="02706B51"/>
    <w:rsid w:val="02895B83"/>
    <w:rsid w:val="028C20E4"/>
    <w:rsid w:val="0290648C"/>
    <w:rsid w:val="02A52D67"/>
    <w:rsid w:val="03024286"/>
    <w:rsid w:val="03061542"/>
    <w:rsid w:val="031418F0"/>
    <w:rsid w:val="03416159"/>
    <w:rsid w:val="03495361"/>
    <w:rsid w:val="03531ABE"/>
    <w:rsid w:val="03562E11"/>
    <w:rsid w:val="035F2640"/>
    <w:rsid w:val="036C617D"/>
    <w:rsid w:val="038C76D9"/>
    <w:rsid w:val="03A323C4"/>
    <w:rsid w:val="03AF2714"/>
    <w:rsid w:val="03AF33C7"/>
    <w:rsid w:val="03C86237"/>
    <w:rsid w:val="03D130C9"/>
    <w:rsid w:val="03D23A10"/>
    <w:rsid w:val="03EF5DB2"/>
    <w:rsid w:val="03FD05D6"/>
    <w:rsid w:val="04194CE4"/>
    <w:rsid w:val="041C3581"/>
    <w:rsid w:val="04206073"/>
    <w:rsid w:val="042711AF"/>
    <w:rsid w:val="045301F6"/>
    <w:rsid w:val="047F2F94"/>
    <w:rsid w:val="04C9670A"/>
    <w:rsid w:val="04D05CEB"/>
    <w:rsid w:val="0515604A"/>
    <w:rsid w:val="05235E1B"/>
    <w:rsid w:val="05241B93"/>
    <w:rsid w:val="05571F68"/>
    <w:rsid w:val="055E32F7"/>
    <w:rsid w:val="055E648D"/>
    <w:rsid w:val="0563090D"/>
    <w:rsid w:val="05765DA0"/>
    <w:rsid w:val="058F1702"/>
    <w:rsid w:val="05B00870"/>
    <w:rsid w:val="05B94582"/>
    <w:rsid w:val="05CF7D50"/>
    <w:rsid w:val="05DC29A4"/>
    <w:rsid w:val="05E7046B"/>
    <w:rsid w:val="06071298"/>
    <w:rsid w:val="060A655B"/>
    <w:rsid w:val="062A142B"/>
    <w:rsid w:val="062A31D9"/>
    <w:rsid w:val="06456265"/>
    <w:rsid w:val="064C13A1"/>
    <w:rsid w:val="065F1493"/>
    <w:rsid w:val="066A43D4"/>
    <w:rsid w:val="06732DD2"/>
    <w:rsid w:val="06994288"/>
    <w:rsid w:val="069A3EBB"/>
    <w:rsid w:val="069D0714"/>
    <w:rsid w:val="06B3319E"/>
    <w:rsid w:val="06B524FE"/>
    <w:rsid w:val="06CB49BC"/>
    <w:rsid w:val="06D26124"/>
    <w:rsid w:val="06D666BC"/>
    <w:rsid w:val="06DB3895"/>
    <w:rsid w:val="06DC0977"/>
    <w:rsid w:val="070B4DB8"/>
    <w:rsid w:val="071E2D3E"/>
    <w:rsid w:val="071F6AB6"/>
    <w:rsid w:val="07222102"/>
    <w:rsid w:val="072916E2"/>
    <w:rsid w:val="072F06D6"/>
    <w:rsid w:val="07351E35"/>
    <w:rsid w:val="074D44A4"/>
    <w:rsid w:val="076444C8"/>
    <w:rsid w:val="078F7797"/>
    <w:rsid w:val="079B2A89"/>
    <w:rsid w:val="079C1EB4"/>
    <w:rsid w:val="07A72ABD"/>
    <w:rsid w:val="07E838FA"/>
    <w:rsid w:val="08005A40"/>
    <w:rsid w:val="08391A18"/>
    <w:rsid w:val="084762C4"/>
    <w:rsid w:val="08564322"/>
    <w:rsid w:val="085D5AE7"/>
    <w:rsid w:val="087674C3"/>
    <w:rsid w:val="087A1BF2"/>
    <w:rsid w:val="088C6DAF"/>
    <w:rsid w:val="08E04023"/>
    <w:rsid w:val="08EE7CFD"/>
    <w:rsid w:val="08EF01D5"/>
    <w:rsid w:val="08FD1E97"/>
    <w:rsid w:val="094B5940"/>
    <w:rsid w:val="0960032A"/>
    <w:rsid w:val="09615163"/>
    <w:rsid w:val="096D58B6"/>
    <w:rsid w:val="097F1A8E"/>
    <w:rsid w:val="09886B94"/>
    <w:rsid w:val="099F5C8C"/>
    <w:rsid w:val="09A56D66"/>
    <w:rsid w:val="09BA4874"/>
    <w:rsid w:val="09C5399F"/>
    <w:rsid w:val="09D73678"/>
    <w:rsid w:val="09DD18AD"/>
    <w:rsid w:val="09DF42DA"/>
    <w:rsid w:val="09FA34EB"/>
    <w:rsid w:val="0A026946"/>
    <w:rsid w:val="0A122CC5"/>
    <w:rsid w:val="0A200B7B"/>
    <w:rsid w:val="0A624FB9"/>
    <w:rsid w:val="0A692F6B"/>
    <w:rsid w:val="0A7635CA"/>
    <w:rsid w:val="0AA30A0F"/>
    <w:rsid w:val="0AA95014"/>
    <w:rsid w:val="0AB72067"/>
    <w:rsid w:val="0ABF20F1"/>
    <w:rsid w:val="0ACC485F"/>
    <w:rsid w:val="0AD11E75"/>
    <w:rsid w:val="0AE127A9"/>
    <w:rsid w:val="0AFA761E"/>
    <w:rsid w:val="0B2E0F81"/>
    <w:rsid w:val="0B421C9C"/>
    <w:rsid w:val="0B602DC9"/>
    <w:rsid w:val="0B61144B"/>
    <w:rsid w:val="0B732F2C"/>
    <w:rsid w:val="0B865355"/>
    <w:rsid w:val="0B8B58FD"/>
    <w:rsid w:val="0BC4514F"/>
    <w:rsid w:val="0BCB2D68"/>
    <w:rsid w:val="0BDB744F"/>
    <w:rsid w:val="0BFF07E0"/>
    <w:rsid w:val="0C0128E1"/>
    <w:rsid w:val="0C14470F"/>
    <w:rsid w:val="0C1E558E"/>
    <w:rsid w:val="0C2010AC"/>
    <w:rsid w:val="0C4A2FCD"/>
    <w:rsid w:val="0C62191E"/>
    <w:rsid w:val="0C7F569E"/>
    <w:rsid w:val="0C943AA2"/>
    <w:rsid w:val="0CB3697F"/>
    <w:rsid w:val="0CB90E13"/>
    <w:rsid w:val="0CC25F19"/>
    <w:rsid w:val="0CD2303E"/>
    <w:rsid w:val="0CF2453E"/>
    <w:rsid w:val="0D042E1A"/>
    <w:rsid w:val="0D4913C1"/>
    <w:rsid w:val="0D4F3663"/>
    <w:rsid w:val="0D660F9A"/>
    <w:rsid w:val="0D682B9B"/>
    <w:rsid w:val="0D6945E7"/>
    <w:rsid w:val="0D962F4D"/>
    <w:rsid w:val="0DBC6E0C"/>
    <w:rsid w:val="0DD35A97"/>
    <w:rsid w:val="0DED1445"/>
    <w:rsid w:val="0DF77E44"/>
    <w:rsid w:val="0E1518A1"/>
    <w:rsid w:val="0E2350DD"/>
    <w:rsid w:val="0E262ED1"/>
    <w:rsid w:val="0E2714DC"/>
    <w:rsid w:val="0E2A08EB"/>
    <w:rsid w:val="0E4928DC"/>
    <w:rsid w:val="0E754C08"/>
    <w:rsid w:val="0E84109E"/>
    <w:rsid w:val="0E8B4260"/>
    <w:rsid w:val="0EBC4BEA"/>
    <w:rsid w:val="0ED85EC8"/>
    <w:rsid w:val="0EDA7072"/>
    <w:rsid w:val="0EDC11FC"/>
    <w:rsid w:val="0EE26D46"/>
    <w:rsid w:val="0EF12AE6"/>
    <w:rsid w:val="0F0C4A59"/>
    <w:rsid w:val="0F1112D6"/>
    <w:rsid w:val="0F112C3E"/>
    <w:rsid w:val="0F1862C4"/>
    <w:rsid w:val="0F225395"/>
    <w:rsid w:val="0F24110D"/>
    <w:rsid w:val="0F2B249C"/>
    <w:rsid w:val="0F2C6214"/>
    <w:rsid w:val="0F2E5AE8"/>
    <w:rsid w:val="0F502321"/>
    <w:rsid w:val="0F5D0A2F"/>
    <w:rsid w:val="0F607C6B"/>
    <w:rsid w:val="0F706100"/>
    <w:rsid w:val="0F784FB5"/>
    <w:rsid w:val="0F8A6A96"/>
    <w:rsid w:val="0F8C08E3"/>
    <w:rsid w:val="0F8D06EA"/>
    <w:rsid w:val="0FA53BB8"/>
    <w:rsid w:val="0FC149A6"/>
    <w:rsid w:val="0FC1695C"/>
    <w:rsid w:val="0FDF4E93"/>
    <w:rsid w:val="0FE03B0E"/>
    <w:rsid w:val="0FE4089C"/>
    <w:rsid w:val="0FEE34C9"/>
    <w:rsid w:val="0FF90784"/>
    <w:rsid w:val="10093E5F"/>
    <w:rsid w:val="100D7DF3"/>
    <w:rsid w:val="1054157E"/>
    <w:rsid w:val="105651B6"/>
    <w:rsid w:val="106A6FF4"/>
    <w:rsid w:val="10836E18"/>
    <w:rsid w:val="109C2F25"/>
    <w:rsid w:val="10AB142F"/>
    <w:rsid w:val="10AB4F16"/>
    <w:rsid w:val="10C06C14"/>
    <w:rsid w:val="10C36704"/>
    <w:rsid w:val="10CB4AD3"/>
    <w:rsid w:val="10E613C1"/>
    <w:rsid w:val="10EE19D3"/>
    <w:rsid w:val="11041F12"/>
    <w:rsid w:val="11095C2A"/>
    <w:rsid w:val="1154735C"/>
    <w:rsid w:val="1158509E"/>
    <w:rsid w:val="115A0AD0"/>
    <w:rsid w:val="11763776"/>
    <w:rsid w:val="117A14B8"/>
    <w:rsid w:val="119207D5"/>
    <w:rsid w:val="11A007F3"/>
    <w:rsid w:val="11AD0E6F"/>
    <w:rsid w:val="11AE31E0"/>
    <w:rsid w:val="11AE5258"/>
    <w:rsid w:val="11B147AE"/>
    <w:rsid w:val="11C646FD"/>
    <w:rsid w:val="11C9487C"/>
    <w:rsid w:val="11F56D91"/>
    <w:rsid w:val="1204403A"/>
    <w:rsid w:val="12266F4A"/>
    <w:rsid w:val="12340406"/>
    <w:rsid w:val="123A0C48"/>
    <w:rsid w:val="124341AB"/>
    <w:rsid w:val="12521AED"/>
    <w:rsid w:val="12633CFA"/>
    <w:rsid w:val="12692EF2"/>
    <w:rsid w:val="12786986"/>
    <w:rsid w:val="12922832"/>
    <w:rsid w:val="12A3059B"/>
    <w:rsid w:val="12BD293A"/>
    <w:rsid w:val="12EF37E0"/>
    <w:rsid w:val="12F17558"/>
    <w:rsid w:val="12F2507E"/>
    <w:rsid w:val="12F46273"/>
    <w:rsid w:val="1308124D"/>
    <w:rsid w:val="132C0590"/>
    <w:rsid w:val="133236CD"/>
    <w:rsid w:val="13370CE3"/>
    <w:rsid w:val="13386F35"/>
    <w:rsid w:val="13394A5B"/>
    <w:rsid w:val="134A56E4"/>
    <w:rsid w:val="13651CF4"/>
    <w:rsid w:val="13A9398F"/>
    <w:rsid w:val="13B3480E"/>
    <w:rsid w:val="13BD568C"/>
    <w:rsid w:val="13C37A25"/>
    <w:rsid w:val="13E44DAF"/>
    <w:rsid w:val="13FB325E"/>
    <w:rsid w:val="1470712F"/>
    <w:rsid w:val="14932911"/>
    <w:rsid w:val="14AF76CB"/>
    <w:rsid w:val="14B22D17"/>
    <w:rsid w:val="14B7032D"/>
    <w:rsid w:val="14BC1DE8"/>
    <w:rsid w:val="14C10EE2"/>
    <w:rsid w:val="14C201BA"/>
    <w:rsid w:val="14E31122"/>
    <w:rsid w:val="152621F6"/>
    <w:rsid w:val="1529148F"/>
    <w:rsid w:val="1542409B"/>
    <w:rsid w:val="155301D7"/>
    <w:rsid w:val="1557566D"/>
    <w:rsid w:val="15610299"/>
    <w:rsid w:val="15671D54"/>
    <w:rsid w:val="15724254"/>
    <w:rsid w:val="158C3568"/>
    <w:rsid w:val="158F270C"/>
    <w:rsid w:val="15984DE1"/>
    <w:rsid w:val="15B36931"/>
    <w:rsid w:val="15CF16A7"/>
    <w:rsid w:val="16095447"/>
    <w:rsid w:val="16197E6B"/>
    <w:rsid w:val="16281F12"/>
    <w:rsid w:val="16302145"/>
    <w:rsid w:val="16351E52"/>
    <w:rsid w:val="167043DB"/>
    <w:rsid w:val="16717081"/>
    <w:rsid w:val="167209B0"/>
    <w:rsid w:val="16750D36"/>
    <w:rsid w:val="16B014D8"/>
    <w:rsid w:val="16C17241"/>
    <w:rsid w:val="16E027B8"/>
    <w:rsid w:val="16ED5EAA"/>
    <w:rsid w:val="170B3EB5"/>
    <w:rsid w:val="171952CF"/>
    <w:rsid w:val="1719707D"/>
    <w:rsid w:val="171D2EE0"/>
    <w:rsid w:val="1730504B"/>
    <w:rsid w:val="1735086C"/>
    <w:rsid w:val="17361868"/>
    <w:rsid w:val="17515EC2"/>
    <w:rsid w:val="17563E2E"/>
    <w:rsid w:val="175C420C"/>
    <w:rsid w:val="17740758"/>
    <w:rsid w:val="179D2E56"/>
    <w:rsid w:val="17A6044E"/>
    <w:rsid w:val="17BA0860"/>
    <w:rsid w:val="17BD20FF"/>
    <w:rsid w:val="17C01F0C"/>
    <w:rsid w:val="17E44BFC"/>
    <w:rsid w:val="17E53404"/>
    <w:rsid w:val="17EF06F4"/>
    <w:rsid w:val="180A4C18"/>
    <w:rsid w:val="180D50C3"/>
    <w:rsid w:val="180D79FC"/>
    <w:rsid w:val="18310418"/>
    <w:rsid w:val="1864558B"/>
    <w:rsid w:val="187B6274"/>
    <w:rsid w:val="189D783A"/>
    <w:rsid w:val="18B2778A"/>
    <w:rsid w:val="18B904BA"/>
    <w:rsid w:val="18C03544"/>
    <w:rsid w:val="18EB67F8"/>
    <w:rsid w:val="18F90F15"/>
    <w:rsid w:val="19063790"/>
    <w:rsid w:val="19120228"/>
    <w:rsid w:val="195720DF"/>
    <w:rsid w:val="19654B16"/>
    <w:rsid w:val="197E766C"/>
    <w:rsid w:val="1988190B"/>
    <w:rsid w:val="198A6011"/>
    <w:rsid w:val="198F1879"/>
    <w:rsid w:val="19A5109C"/>
    <w:rsid w:val="19B32869"/>
    <w:rsid w:val="19B74EE4"/>
    <w:rsid w:val="19C74A3D"/>
    <w:rsid w:val="19D11E91"/>
    <w:rsid w:val="19EC6CCB"/>
    <w:rsid w:val="19EE2A43"/>
    <w:rsid w:val="1A0C186A"/>
    <w:rsid w:val="1A2A3350"/>
    <w:rsid w:val="1A2C356C"/>
    <w:rsid w:val="1A3348FA"/>
    <w:rsid w:val="1A3D3083"/>
    <w:rsid w:val="1A8E7561"/>
    <w:rsid w:val="1A9F78F8"/>
    <w:rsid w:val="1AA66E7A"/>
    <w:rsid w:val="1ABC48F0"/>
    <w:rsid w:val="1ABD2A07"/>
    <w:rsid w:val="1AC11F06"/>
    <w:rsid w:val="1AC61965"/>
    <w:rsid w:val="1AE72AD2"/>
    <w:rsid w:val="1AF65494"/>
    <w:rsid w:val="1AF75928"/>
    <w:rsid w:val="1AFC1190"/>
    <w:rsid w:val="1B101184"/>
    <w:rsid w:val="1B16525A"/>
    <w:rsid w:val="1B1A1616"/>
    <w:rsid w:val="1B1D74DF"/>
    <w:rsid w:val="1B210BF7"/>
    <w:rsid w:val="1B2B45EC"/>
    <w:rsid w:val="1B512979"/>
    <w:rsid w:val="1B59213E"/>
    <w:rsid w:val="1B5C6497"/>
    <w:rsid w:val="1B666609"/>
    <w:rsid w:val="1B724FAE"/>
    <w:rsid w:val="1B726100"/>
    <w:rsid w:val="1B7A7441"/>
    <w:rsid w:val="1B83540D"/>
    <w:rsid w:val="1B8A78B2"/>
    <w:rsid w:val="1B9C202B"/>
    <w:rsid w:val="1BEA0FE8"/>
    <w:rsid w:val="1BEC2FB3"/>
    <w:rsid w:val="1C237506"/>
    <w:rsid w:val="1C2465A3"/>
    <w:rsid w:val="1C3B7A96"/>
    <w:rsid w:val="1C4F52EF"/>
    <w:rsid w:val="1C67088B"/>
    <w:rsid w:val="1C7D4B19"/>
    <w:rsid w:val="1C876837"/>
    <w:rsid w:val="1C8B27CB"/>
    <w:rsid w:val="1C9571A6"/>
    <w:rsid w:val="1CD66BB0"/>
    <w:rsid w:val="1CF928A3"/>
    <w:rsid w:val="1D1C78C7"/>
    <w:rsid w:val="1D385E44"/>
    <w:rsid w:val="1D5A219E"/>
    <w:rsid w:val="1D6923E1"/>
    <w:rsid w:val="1D762D4C"/>
    <w:rsid w:val="1DB01F75"/>
    <w:rsid w:val="1DC92705"/>
    <w:rsid w:val="1DD51824"/>
    <w:rsid w:val="1DDA6E3B"/>
    <w:rsid w:val="1DDF12F2"/>
    <w:rsid w:val="1DE026A3"/>
    <w:rsid w:val="1E0A5972"/>
    <w:rsid w:val="1E0A7720"/>
    <w:rsid w:val="1E0F4D36"/>
    <w:rsid w:val="1E291486"/>
    <w:rsid w:val="1E3824DF"/>
    <w:rsid w:val="1E4744D0"/>
    <w:rsid w:val="1E4C5F8A"/>
    <w:rsid w:val="1E596F15"/>
    <w:rsid w:val="1E5D7DE9"/>
    <w:rsid w:val="1E6E5AF7"/>
    <w:rsid w:val="1E6E6048"/>
    <w:rsid w:val="1E8A260F"/>
    <w:rsid w:val="1E952C15"/>
    <w:rsid w:val="1E967206"/>
    <w:rsid w:val="1EAA33EB"/>
    <w:rsid w:val="1EAE6AE9"/>
    <w:rsid w:val="1EB55AAE"/>
    <w:rsid w:val="1EDA01EB"/>
    <w:rsid w:val="1EDE6925"/>
    <w:rsid w:val="1F066139"/>
    <w:rsid w:val="1F130856"/>
    <w:rsid w:val="1F2C36C6"/>
    <w:rsid w:val="1F2E743E"/>
    <w:rsid w:val="1F416D3C"/>
    <w:rsid w:val="1F4E71EE"/>
    <w:rsid w:val="1F576995"/>
    <w:rsid w:val="1F5F550C"/>
    <w:rsid w:val="1F63358C"/>
    <w:rsid w:val="1F6D61B8"/>
    <w:rsid w:val="1F871243"/>
    <w:rsid w:val="1F9F033C"/>
    <w:rsid w:val="1FBD2E59"/>
    <w:rsid w:val="1FBF278C"/>
    <w:rsid w:val="1FFE5062"/>
    <w:rsid w:val="2006231E"/>
    <w:rsid w:val="2007660D"/>
    <w:rsid w:val="200C6649"/>
    <w:rsid w:val="20124FB2"/>
    <w:rsid w:val="20191E9C"/>
    <w:rsid w:val="204A02A8"/>
    <w:rsid w:val="20692753"/>
    <w:rsid w:val="206C1BB2"/>
    <w:rsid w:val="2080016D"/>
    <w:rsid w:val="208E288A"/>
    <w:rsid w:val="20D9162C"/>
    <w:rsid w:val="20E63F9F"/>
    <w:rsid w:val="21042B4C"/>
    <w:rsid w:val="21271BF9"/>
    <w:rsid w:val="212E1977"/>
    <w:rsid w:val="212E3725"/>
    <w:rsid w:val="21425423"/>
    <w:rsid w:val="21645399"/>
    <w:rsid w:val="21696E53"/>
    <w:rsid w:val="21920158"/>
    <w:rsid w:val="21927F47"/>
    <w:rsid w:val="21AD23A2"/>
    <w:rsid w:val="21CF315A"/>
    <w:rsid w:val="21DE514B"/>
    <w:rsid w:val="21E07116"/>
    <w:rsid w:val="21EF55AB"/>
    <w:rsid w:val="21EF63FF"/>
    <w:rsid w:val="21F20BF7"/>
    <w:rsid w:val="2217065D"/>
    <w:rsid w:val="22293AE7"/>
    <w:rsid w:val="22317971"/>
    <w:rsid w:val="223615FD"/>
    <w:rsid w:val="22481B2B"/>
    <w:rsid w:val="226E1396"/>
    <w:rsid w:val="22793056"/>
    <w:rsid w:val="22832569"/>
    <w:rsid w:val="22835CF3"/>
    <w:rsid w:val="22971AE5"/>
    <w:rsid w:val="22B838F8"/>
    <w:rsid w:val="22DE026A"/>
    <w:rsid w:val="22E177D9"/>
    <w:rsid w:val="22E42C35"/>
    <w:rsid w:val="22EF3388"/>
    <w:rsid w:val="22F05754"/>
    <w:rsid w:val="22F06F3D"/>
    <w:rsid w:val="22F46F43"/>
    <w:rsid w:val="23085188"/>
    <w:rsid w:val="23166844"/>
    <w:rsid w:val="232E1AC6"/>
    <w:rsid w:val="232F786B"/>
    <w:rsid w:val="23384D2F"/>
    <w:rsid w:val="23452FA8"/>
    <w:rsid w:val="234C768D"/>
    <w:rsid w:val="23671171"/>
    <w:rsid w:val="2369138D"/>
    <w:rsid w:val="236A568F"/>
    <w:rsid w:val="23812232"/>
    <w:rsid w:val="2382599A"/>
    <w:rsid w:val="2387457D"/>
    <w:rsid w:val="23C46955"/>
    <w:rsid w:val="23D20CE0"/>
    <w:rsid w:val="23D507D0"/>
    <w:rsid w:val="23D80963"/>
    <w:rsid w:val="23D83D9E"/>
    <w:rsid w:val="23DC56BB"/>
    <w:rsid w:val="23F5677C"/>
    <w:rsid w:val="23F63C20"/>
    <w:rsid w:val="240115C5"/>
    <w:rsid w:val="24101808"/>
    <w:rsid w:val="241C63FF"/>
    <w:rsid w:val="24226F43"/>
    <w:rsid w:val="24247062"/>
    <w:rsid w:val="2435126F"/>
    <w:rsid w:val="243A6885"/>
    <w:rsid w:val="243D776E"/>
    <w:rsid w:val="2479115B"/>
    <w:rsid w:val="247B4ED4"/>
    <w:rsid w:val="24853FA4"/>
    <w:rsid w:val="24A2174F"/>
    <w:rsid w:val="24AA1A26"/>
    <w:rsid w:val="24C513B8"/>
    <w:rsid w:val="24F80254"/>
    <w:rsid w:val="25070E5D"/>
    <w:rsid w:val="250A6257"/>
    <w:rsid w:val="250E5D48"/>
    <w:rsid w:val="25165925"/>
    <w:rsid w:val="25294857"/>
    <w:rsid w:val="252F3F10"/>
    <w:rsid w:val="25382DC5"/>
    <w:rsid w:val="255614AE"/>
    <w:rsid w:val="255676EF"/>
    <w:rsid w:val="255A71DF"/>
    <w:rsid w:val="255D0A7D"/>
    <w:rsid w:val="25735262"/>
    <w:rsid w:val="25760913"/>
    <w:rsid w:val="25826736"/>
    <w:rsid w:val="259B2F08"/>
    <w:rsid w:val="25AB2680"/>
    <w:rsid w:val="25AC3A6A"/>
    <w:rsid w:val="25CE3E81"/>
    <w:rsid w:val="25CF7F97"/>
    <w:rsid w:val="25D074A1"/>
    <w:rsid w:val="25D96C39"/>
    <w:rsid w:val="25ED0053"/>
    <w:rsid w:val="25FA451E"/>
    <w:rsid w:val="262C38E5"/>
    <w:rsid w:val="263F14EC"/>
    <w:rsid w:val="264D0AF2"/>
    <w:rsid w:val="26501CB1"/>
    <w:rsid w:val="265C5712"/>
    <w:rsid w:val="265D05FD"/>
    <w:rsid w:val="26622EB6"/>
    <w:rsid w:val="268A3AF4"/>
    <w:rsid w:val="26A10E3D"/>
    <w:rsid w:val="26A30712"/>
    <w:rsid w:val="26A51FB7"/>
    <w:rsid w:val="26A56238"/>
    <w:rsid w:val="26BA675A"/>
    <w:rsid w:val="26BE6631"/>
    <w:rsid w:val="26C03C58"/>
    <w:rsid w:val="26C55046"/>
    <w:rsid w:val="26C62A86"/>
    <w:rsid w:val="26ED5E31"/>
    <w:rsid w:val="26F47B11"/>
    <w:rsid w:val="26F61189"/>
    <w:rsid w:val="26F70A5D"/>
    <w:rsid w:val="270C62B7"/>
    <w:rsid w:val="27135897"/>
    <w:rsid w:val="2714160F"/>
    <w:rsid w:val="27174C5C"/>
    <w:rsid w:val="271B6D61"/>
    <w:rsid w:val="2728280B"/>
    <w:rsid w:val="272E26D1"/>
    <w:rsid w:val="27363334"/>
    <w:rsid w:val="27467B25"/>
    <w:rsid w:val="27475541"/>
    <w:rsid w:val="276C144B"/>
    <w:rsid w:val="27716A62"/>
    <w:rsid w:val="277976C4"/>
    <w:rsid w:val="277B343D"/>
    <w:rsid w:val="277F098D"/>
    <w:rsid w:val="278170DB"/>
    <w:rsid w:val="27930786"/>
    <w:rsid w:val="279D4D50"/>
    <w:rsid w:val="27AB3D22"/>
    <w:rsid w:val="27D05536"/>
    <w:rsid w:val="27E11AF8"/>
    <w:rsid w:val="28292E99"/>
    <w:rsid w:val="283005FE"/>
    <w:rsid w:val="28327F9F"/>
    <w:rsid w:val="28331A56"/>
    <w:rsid w:val="28434849"/>
    <w:rsid w:val="28456613"/>
    <w:rsid w:val="286D202F"/>
    <w:rsid w:val="28956780"/>
    <w:rsid w:val="28C52BC1"/>
    <w:rsid w:val="28C606E7"/>
    <w:rsid w:val="28CC69C1"/>
    <w:rsid w:val="28E27A7D"/>
    <w:rsid w:val="29085DCB"/>
    <w:rsid w:val="290D6316"/>
    <w:rsid w:val="291807B8"/>
    <w:rsid w:val="29352E3A"/>
    <w:rsid w:val="293F15D2"/>
    <w:rsid w:val="294A756A"/>
    <w:rsid w:val="295B01BA"/>
    <w:rsid w:val="295B1778"/>
    <w:rsid w:val="296E7D76"/>
    <w:rsid w:val="298C36DF"/>
    <w:rsid w:val="298F31CF"/>
    <w:rsid w:val="29B260BA"/>
    <w:rsid w:val="29C6285B"/>
    <w:rsid w:val="29D37560"/>
    <w:rsid w:val="29DD3F3B"/>
    <w:rsid w:val="29EF6C8F"/>
    <w:rsid w:val="29F97E4E"/>
    <w:rsid w:val="2A04596B"/>
    <w:rsid w:val="2A1C0F07"/>
    <w:rsid w:val="2A257690"/>
    <w:rsid w:val="2A261D85"/>
    <w:rsid w:val="2A2B739C"/>
    <w:rsid w:val="2A3505EE"/>
    <w:rsid w:val="2A383867"/>
    <w:rsid w:val="2A467D32"/>
    <w:rsid w:val="2A4949BA"/>
    <w:rsid w:val="2A53244F"/>
    <w:rsid w:val="2A5744DB"/>
    <w:rsid w:val="2A5B72A5"/>
    <w:rsid w:val="2A5F7045"/>
    <w:rsid w:val="2A76764D"/>
    <w:rsid w:val="2AA42CAA"/>
    <w:rsid w:val="2ABD3BC6"/>
    <w:rsid w:val="2ACD2201"/>
    <w:rsid w:val="2AE337D3"/>
    <w:rsid w:val="2AF7727E"/>
    <w:rsid w:val="2B04158B"/>
    <w:rsid w:val="2B150495"/>
    <w:rsid w:val="2B177920"/>
    <w:rsid w:val="2B312C19"/>
    <w:rsid w:val="2B5A1960"/>
    <w:rsid w:val="2B637489"/>
    <w:rsid w:val="2B6C01DB"/>
    <w:rsid w:val="2B726905"/>
    <w:rsid w:val="2B8209DE"/>
    <w:rsid w:val="2B8D272F"/>
    <w:rsid w:val="2BA72A52"/>
    <w:rsid w:val="2BD27F42"/>
    <w:rsid w:val="2BE94E19"/>
    <w:rsid w:val="2BE96E2D"/>
    <w:rsid w:val="2BFF6DCF"/>
    <w:rsid w:val="2C3A38C6"/>
    <w:rsid w:val="2C4C16FF"/>
    <w:rsid w:val="2C5E053E"/>
    <w:rsid w:val="2C6721E1"/>
    <w:rsid w:val="2C8608B9"/>
    <w:rsid w:val="2C9E20A7"/>
    <w:rsid w:val="2C9F63A9"/>
    <w:rsid w:val="2CBE62A5"/>
    <w:rsid w:val="2CC80A91"/>
    <w:rsid w:val="2CCE2260"/>
    <w:rsid w:val="2CDE06F5"/>
    <w:rsid w:val="2CE45CBD"/>
    <w:rsid w:val="2CE81574"/>
    <w:rsid w:val="2CF37F79"/>
    <w:rsid w:val="2D216834"/>
    <w:rsid w:val="2D2C4C07"/>
    <w:rsid w:val="2D3C541C"/>
    <w:rsid w:val="2D3C7997"/>
    <w:rsid w:val="2D480265"/>
    <w:rsid w:val="2D617625"/>
    <w:rsid w:val="2D7D6B19"/>
    <w:rsid w:val="2D9172A0"/>
    <w:rsid w:val="2DAA682A"/>
    <w:rsid w:val="2DAF2092"/>
    <w:rsid w:val="2DB5581A"/>
    <w:rsid w:val="2DB94CBF"/>
    <w:rsid w:val="2DC07527"/>
    <w:rsid w:val="2DD37B2E"/>
    <w:rsid w:val="2DE34362"/>
    <w:rsid w:val="2DE51610"/>
    <w:rsid w:val="2DEF20D7"/>
    <w:rsid w:val="2E2A1718"/>
    <w:rsid w:val="2E3422F8"/>
    <w:rsid w:val="2E382ECE"/>
    <w:rsid w:val="2E5A120D"/>
    <w:rsid w:val="2E5E7CC5"/>
    <w:rsid w:val="2E6609A2"/>
    <w:rsid w:val="2E89343E"/>
    <w:rsid w:val="2E9A4AF0"/>
    <w:rsid w:val="2EA75C11"/>
    <w:rsid w:val="2EAE017D"/>
    <w:rsid w:val="2EB01C1E"/>
    <w:rsid w:val="2EB13C87"/>
    <w:rsid w:val="2EC67693"/>
    <w:rsid w:val="2ECE6063"/>
    <w:rsid w:val="2ED753FC"/>
    <w:rsid w:val="2EE70552"/>
    <w:rsid w:val="2EE8585B"/>
    <w:rsid w:val="2EF064BE"/>
    <w:rsid w:val="2EF20488"/>
    <w:rsid w:val="2F0119DF"/>
    <w:rsid w:val="2F07062F"/>
    <w:rsid w:val="2F2717B8"/>
    <w:rsid w:val="2F3A39D1"/>
    <w:rsid w:val="2F3A3BDD"/>
    <w:rsid w:val="2F452CAE"/>
    <w:rsid w:val="2F5051AF"/>
    <w:rsid w:val="2F5922B5"/>
    <w:rsid w:val="2F6F3887"/>
    <w:rsid w:val="2F8224C5"/>
    <w:rsid w:val="2FA06136"/>
    <w:rsid w:val="2FA32702"/>
    <w:rsid w:val="2FC8743B"/>
    <w:rsid w:val="2FCA31B3"/>
    <w:rsid w:val="2FD44032"/>
    <w:rsid w:val="30134B5A"/>
    <w:rsid w:val="302567CF"/>
    <w:rsid w:val="302723B3"/>
    <w:rsid w:val="303C40BD"/>
    <w:rsid w:val="3045283A"/>
    <w:rsid w:val="304E5B92"/>
    <w:rsid w:val="30590093"/>
    <w:rsid w:val="305F7D9F"/>
    <w:rsid w:val="307B625B"/>
    <w:rsid w:val="307D6477"/>
    <w:rsid w:val="309D08C8"/>
    <w:rsid w:val="30A13F14"/>
    <w:rsid w:val="30AD28D7"/>
    <w:rsid w:val="30B30980"/>
    <w:rsid w:val="30E6401D"/>
    <w:rsid w:val="310C55BA"/>
    <w:rsid w:val="31224929"/>
    <w:rsid w:val="31376626"/>
    <w:rsid w:val="315224D4"/>
    <w:rsid w:val="31717D8A"/>
    <w:rsid w:val="3176279D"/>
    <w:rsid w:val="319770C5"/>
    <w:rsid w:val="319D4EF3"/>
    <w:rsid w:val="31A11CF2"/>
    <w:rsid w:val="31B55BDA"/>
    <w:rsid w:val="31C37EBA"/>
    <w:rsid w:val="31D245A1"/>
    <w:rsid w:val="31D9148B"/>
    <w:rsid w:val="31E47BCC"/>
    <w:rsid w:val="320D6B1C"/>
    <w:rsid w:val="32105E6F"/>
    <w:rsid w:val="321109A1"/>
    <w:rsid w:val="321270E3"/>
    <w:rsid w:val="321E1594"/>
    <w:rsid w:val="322841C1"/>
    <w:rsid w:val="323668DE"/>
    <w:rsid w:val="323808A8"/>
    <w:rsid w:val="323B0093"/>
    <w:rsid w:val="323C7F64"/>
    <w:rsid w:val="323E39E4"/>
    <w:rsid w:val="32466E61"/>
    <w:rsid w:val="324A2760"/>
    <w:rsid w:val="32503556"/>
    <w:rsid w:val="325A081E"/>
    <w:rsid w:val="326649B8"/>
    <w:rsid w:val="3278743C"/>
    <w:rsid w:val="32827D75"/>
    <w:rsid w:val="328E0C7D"/>
    <w:rsid w:val="32911D66"/>
    <w:rsid w:val="329C4F37"/>
    <w:rsid w:val="32AB02BD"/>
    <w:rsid w:val="32C83D55"/>
    <w:rsid w:val="32DA184C"/>
    <w:rsid w:val="32E26A66"/>
    <w:rsid w:val="32E620B2"/>
    <w:rsid w:val="32EC580C"/>
    <w:rsid w:val="32F95CB7"/>
    <w:rsid w:val="33010C9A"/>
    <w:rsid w:val="33244988"/>
    <w:rsid w:val="334E5EA9"/>
    <w:rsid w:val="337A64D0"/>
    <w:rsid w:val="33997124"/>
    <w:rsid w:val="33A65CE5"/>
    <w:rsid w:val="33AD7074"/>
    <w:rsid w:val="33B64277"/>
    <w:rsid w:val="33C76378"/>
    <w:rsid w:val="33D17B22"/>
    <w:rsid w:val="33D26ADA"/>
    <w:rsid w:val="33D62126"/>
    <w:rsid w:val="33D9561C"/>
    <w:rsid w:val="33DE722D"/>
    <w:rsid w:val="33E41C73"/>
    <w:rsid w:val="340C3D9A"/>
    <w:rsid w:val="34190265"/>
    <w:rsid w:val="342A6B27"/>
    <w:rsid w:val="34360E17"/>
    <w:rsid w:val="344D7F0F"/>
    <w:rsid w:val="3469049A"/>
    <w:rsid w:val="346E6B7F"/>
    <w:rsid w:val="34766B9C"/>
    <w:rsid w:val="348A18C3"/>
    <w:rsid w:val="3495532D"/>
    <w:rsid w:val="349F41F7"/>
    <w:rsid w:val="350022EF"/>
    <w:rsid w:val="35020CF9"/>
    <w:rsid w:val="35040F15"/>
    <w:rsid w:val="35074561"/>
    <w:rsid w:val="35132F06"/>
    <w:rsid w:val="3522139B"/>
    <w:rsid w:val="352B0250"/>
    <w:rsid w:val="352E1AEE"/>
    <w:rsid w:val="35325A82"/>
    <w:rsid w:val="35411821"/>
    <w:rsid w:val="3558300F"/>
    <w:rsid w:val="3566572C"/>
    <w:rsid w:val="3583585A"/>
    <w:rsid w:val="35904557"/>
    <w:rsid w:val="35935DF5"/>
    <w:rsid w:val="35987004"/>
    <w:rsid w:val="359C73A0"/>
    <w:rsid w:val="359D02E4"/>
    <w:rsid w:val="35B75970"/>
    <w:rsid w:val="35C8513F"/>
    <w:rsid w:val="35D040D0"/>
    <w:rsid w:val="35D11499"/>
    <w:rsid w:val="35E03756"/>
    <w:rsid w:val="3607320C"/>
    <w:rsid w:val="360E0992"/>
    <w:rsid w:val="361707D4"/>
    <w:rsid w:val="361E1B63"/>
    <w:rsid w:val="36271315"/>
    <w:rsid w:val="36296D8F"/>
    <w:rsid w:val="36394BEF"/>
    <w:rsid w:val="36454EF4"/>
    <w:rsid w:val="36480ED6"/>
    <w:rsid w:val="3667784E"/>
    <w:rsid w:val="366D5013"/>
    <w:rsid w:val="366E687E"/>
    <w:rsid w:val="368049F0"/>
    <w:rsid w:val="36897924"/>
    <w:rsid w:val="369B1405"/>
    <w:rsid w:val="36C46BAE"/>
    <w:rsid w:val="36C56482"/>
    <w:rsid w:val="36F9612C"/>
    <w:rsid w:val="370A20E7"/>
    <w:rsid w:val="372C02AF"/>
    <w:rsid w:val="37427DCD"/>
    <w:rsid w:val="374D6BA3"/>
    <w:rsid w:val="376161AB"/>
    <w:rsid w:val="376E062B"/>
    <w:rsid w:val="37700298"/>
    <w:rsid w:val="377527A3"/>
    <w:rsid w:val="3793032E"/>
    <w:rsid w:val="37AB17B4"/>
    <w:rsid w:val="37BA2DCC"/>
    <w:rsid w:val="37C14E9C"/>
    <w:rsid w:val="37FA1CAE"/>
    <w:rsid w:val="38003C16"/>
    <w:rsid w:val="38037262"/>
    <w:rsid w:val="38211DDE"/>
    <w:rsid w:val="382B3A22"/>
    <w:rsid w:val="385B0E4C"/>
    <w:rsid w:val="386717C0"/>
    <w:rsid w:val="38723425"/>
    <w:rsid w:val="38974AF0"/>
    <w:rsid w:val="38C34C43"/>
    <w:rsid w:val="38C95885"/>
    <w:rsid w:val="38E23DE0"/>
    <w:rsid w:val="390019F4"/>
    <w:rsid w:val="391F5EBF"/>
    <w:rsid w:val="391F631E"/>
    <w:rsid w:val="39202096"/>
    <w:rsid w:val="3930052B"/>
    <w:rsid w:val="39422DEA"/>
    <w:rsid w:val="395D29A2"/>
    <w:rsid w:val="39CE1AF2"/>
    <w:rsid w:val="39E676B1"/>
    <w:rsid w:val="39F257E0"/>
    <w:rsid w:val="39F96B6F"/>
    <w:rsid w:val="3A030AC5"/>
    <w:rsid w:val="3A06128C"/>
    <w:rsid w:val="3A3148AB"/>
    <w:rsid w:val="3A347BA7"/>
    <w:rsid w:val="3A476A7B"/>
    <w:rsid w:val="3A542215"/>
    <w:rsid w:val="3A7301ED"/>
    <w:rsid w:val="3AA82343"/>
    <w:rsid w:val="3AB61C66"/>
    <w:rsid w:val="3ABA6326"/>
    <w:rsid w:val="3AD924FC"/>
    <w:rsid w:val="3ADF1DF8"/>
    <w:rsid w:val="3AE315CD"/>
    <w:rsid w:val="3AEF1D20"/>
    <w:rsid w:val="3B29323F"/>
    <w:rsid w:val="3B2C6AD0"/>
    <w:rsid w:val="3B424ED6"/>
    <w:rsid w:val="3B8033E1"/>
    <w:rsid w:val="3BA269FD"/>
    <w:rsid w:val="3BAB20EB"/>
    <w:rsid w:val="3BB379B1"/>
    <w:rsid w:val="3BBD3BCC"/>
    <w:rsid w:val="3BD11425"/>
    <w:rsid w:val="3BD6013A"/>
    <w:rsid w:val="3BF13876"/>
    <w:rsid w:val="3BFF2436"/>
    <w:rsid w:val="3C08753D"/>
    <w:rsid w:val="3C2C6246"/>
    <w:rsid w:val="3C2D083A"/>
    <w:rsid w:val="3C6A3D54"/>
    <w:rsid w:val="3C9E1C4F"/>
    <w:rsid w:val="3CCF40AD"/>
    <w:rsid w:val="3CE05AB2"/>
    <w:rsid w:val="3D1B504E"/>
    <w:rsid w:val="3D22018A"/>
    <w:rsid w:val="3D295E51"/>
    <w:rsid w:val="3D3B124C"/>
    <w:rsid w:val="3D3B2FFA"/>
    <w:rsid w:val="3D485717"/>
    <w:rsid w:val="3D657A24"/>
    <w:rsid w:val="3D6B7484"/>
    <w:rsid w:val="3D791D75"/>
    <w:rsid w:val="3D7D76FE"/>
    <w:rsid w:val="3D967432"/>
    <w:rsid w:val="3DA17C5A"/>
    <w:rsid w:val="3DA94408"/>
    <w:rsid w:val="3DD82F3F"/>
    <w:rsid w:val="3DE6565C"/>
    <w:rsid w:val="3DE6740A"/>
    <w:rsid w:val="3DE93FE1"/>
    <w:rsid w:val="3DEF2039"/>
    <w:rsid w:val="3E38014F"/>
    <w:rsid w:val="3E483C21"/>
    <w:rsid w:val="3E5C147A"/>
    <w:rsid w:val="3E66477A"/>
    <w:rsid w:val="3E6B5B61"/>
    <w:rsid w:val="3E7F160D"/>
    <w:rsid w:val="3E934D3D"/>
    <w:rsid w:val="3EAA6689"/>
    <w:rsid w:val="3F0E2A92"/>
    <w:rsid w:val="3F0F2990"/>
    <w:rsid w:val="3F253F62"/>
    <w:rsid w:val="3F2921E6"/>
    <w:rsid w:val="3F5356B7"/>
    <w:rsid w:val="3F5F6009"/>
    <w:rsid w:val="3F7857D1"/>
    <w:rsid w:val="3F7D5A4F"/>
    <w:rsid w:val="3F7E18C4"/>
    <w:rsid w:val="3F9A21C7"/>
    <w:rsid w:val="3FB13A48"/>
    <w:rsid w:val="3FBF43B6"/>
    <w:rsid w:val="3FCA68B7"/>
    <w:rsid w:val="3FD37E62"/>
    <w:rsid w:val="402D0145"/>
    <w:rsid w:val="403C77B5"/>
    <w:rsid w:val="407D1B7C"/>
    <w:rsid w:val="40884444"/>
    <w:rsid w:val="40A3112D"/>
    <w:rsid w:val="40A35A86"/>
    <w:rsid w:val="40A73B61"/>
    <w:rsid w:val="40BF3F42"/>
    <w:rsid w:val="40D03769"/>
    <w:rsid w:val="40D53EF1"/>
    <w:rsid w:val="40E24001"/>
    <w:rsid w:val="40FB141E"/>
    <w:rsid w:val="411B561D"/>
    <w:rsid w:val="412E12E8"/>
    <w:rsid w:val="4153338C"/>
    <w:rsid w:val="41581D4D"/>
    <w:rsid w:val="41656898"/>
    <w:rsid w:val="418D4040"/>
    <w:rsid w:val="41B86D2C"/>
    <w:rsid w:val="41D028AB"/>
    <w:rsid w:val="41D94E01"/>
    <w:rsid w:val="41F95D14"/>
    <w:rsid w:val="42072045"/>
    <w:rsid w:val="42295B17"/>
    <w:rsid w:val="42336996"/>
    <w:rsid w:val="4239350C"/>
    <w:rsid w:val="42447849"/>
    <w:rsid w:val="426217EC"/>
    <w:rsid w:val="429D6505"/>
    <w:rsid w:val="42BB17B0"/>
    <w:rsid w:val="42C5498C"/>
    <w:rsid w:val="42CC4BAF"/>
    <w:rsid w:val="42CE4911"/>
    <w:rsid w:val="42DC527F"/>
    <w:rsid w:val="42E171C0"/>
    <w:rsid w:val="42E2739A"/>
    <w:rsid w:val="42ED4D97"/>
    <w:rsid w:val="42F97BDF"/>
    <w:rsid w:val="432A5FEB"/>
    <w:rsid w:val="43452E25"/>
    <w:rsid w:val="43613324"/>
    <w:rsid w:val="4364553F"/>
    <w:rsid w:val="436E09FD"/>
    <w:rsid w:val="4374370A"/>
    <w:rsid w:val="43853221"/>
    <w:rsid w:val="43C81360"/>
    <w:rsid w:val="43E048FB"/>
    <w:rsid w:val="43EA254E"/>
    <w:rsid w:val="43F07682"/>
    <w:rsid w:val="4416031D"/>
    <w:rsid w:val="44167F08"/>
    <w:rsid w:val="44175E76"/>
    <w:rsid w:val="44231A85"/>
    <w:rsid w:val="442A3DC9"/>
    <w:rsid w:val="443973A6"/>
    <w:rsid w:val="445E6A7B"/>
    <w:rsid w:val="44703ED1"/>
    <w:rsid w:val="447A4D50"/>
    <w:rsid w:val="448230D6"/>
    <w:rsid w:val="448636F5"/>
    <w:rsid w:val="449C4CC6"/>
    <w:rsid w:val="449F6565"/>
    <w:rsid w:val="44C304A5"/>
    <w:rsid w:val="44C85ABB"/>
    <w:rsid w:val="44CD1324"/>
    <w:rsid w:val="45187B20"/>
    <w:rsid w:val="451C5E07"/>
    <w:rsid w:val="45237196"/>
    <w:rsid w:val="45275A63"/>
    <w:rsid w:val="4538249B"/>
    <w:rsid w:val="453942C3"/>
    <w:rsid w:val="453C0257"/>
    <w:rsid w:val="453E3FCF"/>
    <w:rsid w:val="45513D03"/>
    <w:rsid w:val="4565673D"/>
    <w:rsid w:val="4574077E"/>
    <w:rsid w:val="45765517"/>
    <w:rsid w:val="45794E9A"/>
    <w:rsid w:val="45795008"/>
    <w:rsid w:val="458915B4"/>
    <w:rsid w:val="459E4A6E"/>
    <w:rsid w:val="45AA241A"/>
    <w:rsid w:val="45BE0C6C"/>
    <w:rsid w:val="45C30031"/>
    <w:rsid w:val="46192347"/>
    <w:rsid w:val="464F6181"/>
    <w:rsid w:val="46671304"/>
    <w:rsid w:val="467342B8"/>
    <w:rsid w:val="46963997"/>
    <w:rsid w:val="46B02CAB"/>
    <w:rsid w:val="46D36999"/>
    <w:rsid w:val="46DD3374"/>
    <w:rsid w:val="46E75FA1"/>
    <w:rsid w:val="46EB7C68"/>
    <w:rsid w:val="47095F17"/>
    <w:rsid w:val="470D1EAB"/>
    <w:rsid w:val="472D4172"/>
    <w:rsid w:val="473B735A"/>
    <w:rsid w:val="47484C91"/>
    <w:rsid w:val="4749496A"/>
    <w:rsid w:val="474D04FA"/>
    <w:rsid w:val="475950F1"/>
    <w:rsid w:val="47633879"/>
    <w:rsid w:val="4766336A"/>
    <w:rsid w:val="47677A6F"/>
    <w:rsid w:val="47737D22"/>
    <w:rsid w:val="47942E2B"/>
    <w:rsid w:val="47C50090"/>
    <w:rsid w:val="47CB7671"/>
    <w:rsid w:val="47D41743"/>
    <w:rsid w:val="47E25E36"/>
    <w:rsid w:val="47FD07FD"/>
    <w:rsid w:val="48074B4D"/>
    <w:rsid w:val="48172BDB"/>
    <w:rsid w:val="48223734"/>
    <w:rsid w:val="48392615"/>
    <w:rsid w:val="483B2A48"/>
    <w:rsid w:val="485960BF"/>
    <w:rsid w:val="486C71BD"/>
    <w:rsid w:val="4873378B"/>
    <w:rsid w:val="488A12DA"/>
    <w:rsid w:val="488E2B78"/>
    <w:rsid w:val="489A151D"/>
    <w:rsid w:val="48B40105"/>
    <w:rsid w:val="48B87BF5"/>
    <w:rsid w:val="48D72771"/>
    <w:rsid w:val="48E56510"/>
    <w:rsid w:val="48FD385A"/>
    <w:rsid w:val="49181A11"/>
    <w:rsid w:val="493A4AAE"/>
    <w:rsid w:val="495C057F"/>
    <w:rsid w:val="496B4C67"/>
    <w:rsid w:val="497004D0"/>
    <w:rsid w:val="497E0E3E"/>
    <w:rsid w:val="49836455"/>
    <w:rsid w:val="498668DA"/>
    <w:rsid w:val="49A10689"/>
    <w:rsid w:val="49A85EBB"/>
    <w:rsid w:val="49AB1508"/>
    <w:rsid w:val="49EA0597"/>
    <w:rsid w:val="49EF566B"/>
    <w:rsid w:val="49F41101"/>
    <w:rsid w:val="4A0961E3"/>
    <w:rsid w:val="4A183041"/>
    <w:rsid w:val="4A205A52"/>
    <w:rsid w:val="4A5B4CDC"/>
    <w:rsid w:val="4A5E3F5D"/>
    <w:rsid w:val="4A6A1427"/>
    <w:rsid w:val="4A730277"/>
    <w:rsid w:val="4A834233"/>
    <w:rsid w:val="4A8C758B"/>
    <w:rsid w:val="4A965D14"/>
    <w:rsid w:val="4AE42F23"/>
    <w:rsid w:val="4AE83C54"/>
    <w:rsid w:val="4AF97A1B"/>
    <w:rsid w:val="4B06733D"/>
    <w:rsid w:val="4B0B6702"/>
    <w:rsid w:val="4B0C5FD6"/>
    <w:rsid w:val="4B1E0FA9"/>
    <w:rsid w:val="4B206D94"/>
    <w:rsid w:val="4B215F25"/>
    <w:rsid w:val="4B2C3CC2"/>
    <w:rsid w:val="4B321EE0"/>
    <w:rsid w:val="4B49722A"/>
    <w:rsid w:val="4B4C6376"/>
    <w:rsid w:val="4B6127C6"/>
    <w:rsid w:val="4B6776C2"/>
    <w:rsid w:val="4B751DCD"/>
    <w:rsid w:val="4B814C16"/>
    <w:rsid w:val="4B893ACB"/>
    <w:rsid w:val="4B9F32EE"/>
    <w:rsid w:val="4BAB3530"/>
    <w:rsid w:val="4BB053C2"/>
    <w:rsid w:val="4BB40B47"/>
    <w:rsid w:val="4BB548C0"/>
    <w:rsid w:val="4BC36D42"/>
    <w:rsid w:val="4BE40D01"/>
    <w:rsid w:val="4BEB6533"/>
    <w:rsid w:val="4BEC408D"/>
    <w:rsid w:val="4BF076A6"/>
    <w:rsid w:val="4BF6088B"/>
    <w:rsid w:val="4C0A1121"/>
    <w:rsid w:val="4C161AF1"/>
    <w:rsid w:val="4C222B32"/>
    <w:rsid w:val="4C285091"/>
    <w:rsid w:val="4C416153"/>
    <w:rsid w:val="4C417B78"/>
    <w:rsid w:val="4C4A5AF7"/>
    <w:rsid w:val="4C5365B2"/>
    <w:rsid w:val="4C924E2D"/>
    <w:rsid w:val="4C9D5A7F"/>
    <w:rsid w:val="4CE74F4D"/>
    <w:rsid w:val="4D111FCA"/>
    <w:rsid w:val="4D1B2F53"/>
    <w:rsid w:val="4D4B54DB"/>
    <w:rsid w:val="4D565C2E"/>
    <w:rsid w:val="4D61085B"/>
    <w:rsid w:val="4D667004"/>
    <w:rsid w:val="4D6B0035"/>
    <w:rsid w:val="4D6D43F9"/>
    <w:rsid w:val="4D866514"/>
    <w:rsid w:val="4D930C30"/>
    <w:rsid w:val="4D9C7AE5"/>
    <w:rsid w:val="4D9D7994"/>
    <w:rsid w:val="4DB210B7"/>
    <w:rsid w:val="4DC1754C"/>
    <w:rsid w:val="4DD54DA5"/>
    <w:rsid w:val="4DE30687"/>
    <w:rsid w:val="4DE33966"/>
    <w:rsid w:val="4DEB6377"/>
    <w:rsid w:val="4DF06083"/>
    <w:rsid w:val="4DF75F10"/>
    <w:rsid w:val="4DFA2A5E"/>
    <w:rsid w:val="4DFA66E6"/>
    <w:rsid w:val="4E065CB6"/>
    <w:rsid w:val="4E200716"/>
    <w:rsid w:val="4E30022D"/>
    <w:rsid w:val="4E4475CC"/>
    <w:rsid w:val="4E457C85"/>
    <w:rsid w:val="4E482208"/>
    <w:rsid w:val="4E4F2DA9"/>
    <w:rsid w:val="4E5401B4"/>
    <w:rsid w:val="4E5B57DC"/>
    <w:rsid w:val="4E6D5DEE"/>
    <w:rsid w:val="4E740A62"/>
    <w:rsid w:val="4E766588"/>
    <w:rsid w:val="4E8A45E5"/>
    <w:rsid w:val="4EA6788D"/>
    <w:rsid w:val="4EB470B0"/>
    <w:rsid w:val="4EC76DE4"/>
    <w:rsid w:val="4ED90AFF"/>
    <w:rsid w:val="4EFE6975"/>
    <w:rsid w:val="4F1815E2"/>
    <w:rsid w:val="4F183BE6"/>
    <w:rsid w:val="4F336227"/>
    <w:rsid w:val="4F4F73A1"/>
    <w:rsid w:val="4F8E7901"/>
    <w:rsid w:val="4F9B059D"/>
    <w:rsid w:val="4FB87599"/>
    <w:rsid w:val="4FCE41A2"/>
    <w:rsid w:val="4FD866CB"/>
    <w:rsid w:val="4FDC68BF"/>
    <w:rsid w:val="4FE94B38"/>
    <w:rsid w:val="4FEA5EB5"/>
    <w:rsid w:val="4FEB04D3"/>
    <w:rsid w:val="4FF9121F"/>
    <w:rsid w:val="501740DB"/>
    <w:rsid w:val="505B3C87"/>
    <w:rsid w:val="505D7058"/>
    <w:rsid w:val="507A1C34"/>
    <w:rsid w:val="509C7DFC"/>
    <w:rsid w:val="50AD77BE"/>
    <w:rsid w:val="50B43398"/>
    <w:rsid w:val="50C00528"/>
    <w:rsid w:val="50C11611"/>
    <w:rsid w:val="50C25AB5"/>
    <w:rsid w:val="50C35389"/>
    <w:rsid w:val="50D137D5"/>
    <w:rsid w:val="50F84F5E"/>
    <w:rsid w:val="51112598"/>
    <w:rsid w:val="511B732C"/>
    <w:rsid w:val="5120603F"/>
    <w:rsid w:val="51206ED5"/>
    <w:rsid w:val="512C1180"/>
    <w:rsid w:val="51302E35"/>
    <w:rsid w:val="51422684"/>
    <w:rsid w:val="514C35D0"/>
    <w:rsid w:val="51667392"/>
    <w:rsid w:val="51825244"/>
    <w:rsid w:val="51B01DB1"/>
    <w:rsid w:val="51BC4CC0"/>
    <w:rsid w:val="51DA6E2E"/>
    <w:rsid w:val="51F872B4"/>
    <w:rsid w:val="51FC0A11"/>
    <w:rsid w:val="521C7446"/>
    <w:rsid w:val="52417FCB"/>
    <w:rsid w:val="526606C2"/>
    <w:rsid w:val="528172AA"/>
    <w:rsid w:val="529C1904"/>
    <w:rsid w:val="529F12A2"/>
    <w:rsid w:val="52B753C1"/>
    <w:rsid w:val="52D209C6"/>
    <w:rsid w:val="530138E1"/>
    <w:rsid w:val="530F0D59"/>
    <w:rsid w:val="531613D5"/>
    <w:rsid w:val="532145E9"/>
    <w:rsid w:val="5324020D"/>
    <w:rsid w:val="532A5B93"/>
    <w:rsid w:val="533267F6"/>
    <w:rsid w:val="535E4700"/>
    <w:rsid w:val="536B2FE6"/>
    <w:rsid w:val="536E3CD2"/>
    <w:rsid w:val="5373753A"/>
    <w:rsid w:val="537D5CC3"/>
    <w:rsid w:val="53987A46"/>
    <w:rsid w:val="53A414A2"/>
    <w:rsid w:val="53A56FC8"/>
    <w:rsid w:val="53BB4A3D"/>
    <w:rsid w:val="53E24C4B"/>
    <w:rsid w:val="53F37C05"/>
    <w:rsid w:val="540B7EB5"/>
    <w:rsid w:val="540E1011"/>
    <w:rsid w:val="5424554F"/>
    <w:rsid w:val="54297BF9"/>
    <w:rsid w:val="5436445F"/>
    <w:rsid w:val="54365B47"/>
    <w:rsid w:val="543F7869"/>
    <w:rsid w:val="544B5DC1"/>
    <w:rsid w:val="545033D7"/>
    <w:rsid w:val="54843546"/>
    <w:rsid w:val="54D20290"/>
    <w:rsid w:val="54D67D81"/>
    <w:rsid w:val="54E2482B"/>
    <w:rsid w:val="54E56216"/>
    <w:rsid w:val="54F47B28"/>
    <w:rsid w:val="550F6DEF"/>
    <w:rsid w:val="553B73E2"/>
    <w:rsid w:val="554051FA"/>
    <w:rsid w:val="55473338"/>
    <w:rsid w:val="55833339"/>
    <w:rsid w:val="55836911"/>
    <w:rsid w:val="559429E6"/>
    <w:rsid w:val="55BC3F54"/>
    <w:rsid w:val="55FC07CB"/>
    <w:rsid w:val="560721BC"/>
    <w:rsid w:val="561E0C30"/>
    <w:rsid w:val="561F12B3"/>
    <w:rsid w:val="562B7C58"/>
    <w:rsid w:val="563D798B"/>
    <w:rsid w:val="56561738"/>
    <w:rsid w:val="56602B8B"/>
    <w:rsid w:val="56617B1E"/>
    <w:rsid w:val="56763E09"/>
    <w:rsid w:val="568071EB"/>
    <w:rsid w:val="568E3A93"/>
    <w:rsid w:val="56B52D87"/>
    <w:rsid w:val="56C1680E"/>
    <w:rsid w:val="56CC00BF"/>
    <w:rsid w:val="56EF6ED8"/>
    <w:rsid w:val="570979E2"/>
    <w:rsid w:val="571C3A45"/>
    <w:rsid w:val="571C57F3"/>
    <w:rsid w:val="571D1826"/>
    <w:rsid w:val="573219E8"/>
    <w:rsid w:val="57362D58"/>
    <w:rsid w:val="573C5E95"/>
    <w:rsid w:val="5743331B"/>
    <w:rsid w:val="57471DDA"/>
    <w:rsid w:val="57541431"/>
    <w:rsid w:val="575431DF"/>
    <w:rsid w:val="576462DE"/>
    <w:rsid w:val="57737EC4"/>
    <w:rsid w:val="5785783C"/>
    <w:rsid w:val="57947A7F"/>
    <w:rsid w:val="57A86BE1"/>
    <w:rsid w:val="57CB5B25"/>
    <w:rsid w:val="57E44562"/>
    <w:rsid w:val="57EB4490"/>
    <w:rsid w:val="57EC1669"/>
    <w:rsid w:val="580449F9"/>
    <w:rsid w:val="581D0F85"/>
    <w:rsid w:val="58296419"/>
    <w:rsid w:val="582C5F09"/>
    <w:rsid w:val="58311772"/>
    <w:rsid w:val="58337298"/>
    <w:rsid w:val="58873140"/>
    <w:rsid w:val="58935F89"/>
    <w:rsid w:val="58A63441"/>
    <w:rsid w:val="58BF28DA"/>
    <w:rsid w:val="58C1144C"/>
    <w:rsid w:val="58CD3249"/>
    <w:rsid w:val="58D00AF4"/>
    <w:rsid w:val="58DE1D8C"/>
    <w:rsid w:val="58F06F37"/>
    <w:rsid w:val="58F44C79"/>
    <w:rsid w:val="5919648E"/>
    <w:rsid w:val="591A5DA5"/>
    <w:rsid w:val="59337D32"/>
    <w:rsid w:val="598A550B"/>
    <w:rsid w:val="599C09DC"/>
    <w:rsid w:val="599D70BF"/>
    <w:rsid w:val="59BA6FCD"/>
    <w:rsid w:val="59CC3500"/>
    <w:rsid w:val="59D14FBA"/>
    <w:rsid w:val="59EE3017"/>
    <w:rsid w:val="59F1323B"/>
    <w:rsid w:val="5A056A12"/>
    <w:rsid w:val="5A0D0436"/>
    <w:rsid w:val="5A2C0443"/>
    <w:rsid w:val="5A434692"/>
    <w:rsid w:val="5A5B2AD6"/>
    <w:rsid w:val="5A7B0A82"/>
    <w:rsid w:val="5A852708"/>
    <w:rsid w:val="5A86410C"/>
    <w:rsid w:val="5A9B2ED2"/>
    <w:rsid w:val="5AAE0E58"/>
    <w:rsid w:val="5AC32B55"/>
    <w:rsid w:val="5ADF3707"/>
    <w:rsid w:val="5AF56A87"/>
    <w:rsid w:val="5AFE1DDF"/>
    <w:rsid w:val="5B1433B1"/>
    <w:rsid w:val="5B1E5FDD"/>
    <w:rsid w:val="5B264B73"/>
    <w:rsid w:val="5B2A2BD4"/>
    <w:rsid w:val="5B5E462C"/>
    <w:rsid w:val="5B5F1393"/>
    <w:rsid w:val="5B5F2152"/>
    <w:rsid w:val="5B687BD4"/>
    <w:rsid w:val="5B6B6D49"/>
    <w:rsid w:val="5B9535F4"/>
    <w:rsid w:val="5B991B08"/>
    <w:rsid w:val="5B9938B6"/>
    <w:rsid w:val="5BC528FD"/>
    <w:rsid w:val="5BC8419B"/>
    <w:rsid w:val="5BD26DC8"/>
    <w:rsid w:val="5BDE576D"/>
    <w:rsid w:val="5C0B4CB9"/>
    <w:rsid w:val="5C0D0AE7"/>
    <w:rsid w:val="5C2018E1"/>
    <w:rsid w:val="5C2C0286"/>
    <w:rsid w:val="5C2C297C"/>
    <w:rsid w:val="5C2E2250"/>
    <w:rsid w:val="5C753B41"/>
    <w:rsid w:val="5C7D31D8"/>
    <w:rsid w:val="5C870D7B"/>
    <w:rsid w:val="5CC76A05"/>
    <w:rsid w:val="5CE05C01"/>
    <w:rsid w:val="5D1C654D"/>
    <w:rsid w:val="5D2015DA"/>
    <w:rsid w:val="5D213B63"/>
    <w:rsid w:val="5D226CFA"/>
    <w:rsid w:val="5D2C2695"/>
    <w:rsid w:val="5D2D69AC"/>
    <w:rsid w:val="5D7719D5"/>
    <w:rsid w:val="5D912C18"/>
    <w:rsid w:val="5D9702C9"/>
    <w:rsid w:val="5DB91FED"/>
    <w:rsid w:val="5DC07B22"/>
    <w:rsid w:val="5DC2175C"/>
    <w:rsid w:val="5DF63972"/>
    <w:rsid w:val="5DFC012C"/>
    <w:rsid w:val="5E047352"/>
    <w:rsid w:val="5E080D42"/>
    <w:rsid w:val="5E0A45F7"/>
    <w:rsid w:val="5E2E0A91"/>
    <w:rsid w:val="5E345B18"/>
    <w:rsid w:val="5E36132D"/>
    <w:rsid w:val="5E451AD3"/>
    <w:rsid w:val="5E792572"/>
    <w:rsid w:val="5EB26905"/>
    <w:rsid w:val="5EB919A8"/>
    <w:rsid w:val="5ED6597D"/>
    <w:rsid w:val="5EDD61AF"/>
    <w:rsid w:val="5EFC6636"/>
    <w:rsid w:val="5F076D88"/>
    <w:rsid w:val="5F31520C"/>
    <w:rsid w:val="5F5F532C"/>
    <w:rsid w:val="5F6D308F"/>
    <w:rsid w:val="5F7466FE"/>
    <w:rsid w:val="5F7A755A"/>
    <w:rsid w:val="5F863542"/>
    <w:rsid w:val="5FAE4D62"/>
    <w:rsid w:val="5FB20274"/>
    <w:rsid w:val="5FEB709A"/>
    <w:rsid w:val="5FFC7BC4"/>
    <w:rsid w:val="60182CB2"/>
    <w:rsid w:val="60287A9B"/>
    <w:rsid w:val="60326810"/>
    <w:rsid w:val="6042451C"/>
    <w:rsid w:val="60687CFB"/>
    <w:rsid w:val="60835BF8"/>
    <w:rsid w:val="60D62EB6"/>
    <w:rsid w:val="60F021CA"/>
    <w:rsid w:val="60FB0B6F"/>
    <w:rsid w:val="610516B5"/>
    <w:rsid w:val="610619ED"/>
    <w:rsid w:val="613C6465"/>
    <w:rsid w:val="613D4CE3"/>
    <w:rsid w:val="61442516"/>
    <w:rsid w:val="614D13CA"/>
    <w:rsid w:val="61776447"/>
    <w:rsid w:val="618D5C6B"/>
    <w:rsid w:val="61CD42B9"/>
    <w:rsid w:val="61F555BE"/>
    <w:rsid w:val="61F85405"/>
    <w:rsid w:val="62035F2D"/>
    <w:rsid w:val="62057D23"/>
    <w:rsid w:val="621C5BA9"/>
    <w:rsid w:val="62427522"/>
    <w:rsid w:val="624F23FA"/>
    <w:rsid w:val="62514EEA"/>
    <w:rsid w:val="62736350"/>
    <w:rsid w:val="62763D02"/>
    <w:rsid w:val="628506F0"/>
    <w:rsid w:val="62BE7C21"/>
    <w:rsid w:val="62CC2BB0"/>
    <w:rsid w:val="62EB3A25"/>
    <w:rsid w:val="63185A08"/>
    <w:rsid w:val="6320666B"/>
    <w:rsid w:val="632C5010"/>
    <w:rsid w:val="634B4821"/>
    <w:rsid w:val="63712083"/>
    <w:rsid w:val="63936E3D"/>
    <w:rsid w:val="63BA479C"/>
    <w:rsid w:val="63C139AA"/>
    <w:rsid w:val="63D00091"/>
    <w:rsid w:val="63F35B2D"/>
    <w:rsid w:val="640A5918"/>
    <w:rsid w:val="640D6BEF"/>
    <w:rsid w:val="641F3554"/>
    <w:rsid w:val="64233706"/>
    <w:rsid w:val="64265F03"/>
    <w:rsid w:val="6432550D"/>
    <w:rsid w:val="64371EBE"/>
    <w:rsid w:val="64426DE8"/>
    <w:rsid w:val="644F5459"/>
    <w:rsid w:val="64686B51"/>
    <w:rsid w:val="647C1FC7"/>
    <w:rsid w:val="647D6C6E"/>
    <w:rsid w:val="648D7D30"/>
    <w:rsid w:val="64B140D9"/>
    <w:rsid w:val="64B4710A"/>
    <w:rsid w:val="64B90B25"/>
    <w:rsid w:val="64BE613B"/>
    <w:rsid w:val="64C50E7F"/>
    <w:rsid w:val="64D771FD"/>
    <w:rsid w:val="64DB4F3F"/>
    <w:rsid w:val="65006754"/>
    <w:rsid w:val="651122B9"/>
    <w:rsid w:val="6515681C"/>
    <w:rsid w:val="65202952"/>
    <w:rsid w:val="652E506F"/>
    <w:rsid w:val="65406093"/>
    <w:rsid w:val="65420B1A"/>
    <w:rsid w:val="655C3587"/>
    <w:rsid w:val="65886897"/>
    <w:rsid w:val="659770B8"/>
    <w:rsid w:val="65A2780B"/>
    <w:rsid w:val="65B512EC"/>
    <w:rsid w:val="65C8329B"/>
    <w:rsid w:val="65D01C39"/>
    <w:rsid w:val="65F904A0"/>
    <w:rsid w:val="66044E06"/>
    <w:rsid w:val="66197FF3"/>
    <w:rsid w:val="664509E2"/>
    <w:rsid w:val="66496A71"/>
    <w:rsid w:val="666522DF"/>
    <w:rsid w:val="66682803"/>
    <w:rsid w:val="66956497"/>
    <w:rsid w:val="66967370"/>
    <w:rsid w:val="66B871CA"/>
    <w:rsid w:val="66C537B1"/>
    <w:rsid w:val="66E005EB"/>
    <w:rsid w:val="66E16111"/>
    <w:rsid w:val="66F37636"/>
    <w:rsid w:val="670A2DA3"/>
    <w:rsid w:val="67177D85"/>
    <w:rsid w:val="671D01C8"/>
    <w:rsid w:val="67472418"/>
    <w:rsid w:val="674F21E0"/>
    <w:rsid w:val="675B0722"/>
    <w:rsid w:val="6762124F"/>
    <w:rsid w:val="676273A8"/>
    <w:rsid w:val="677A0EB9"/>
    <w:rsid w:val="678B2407"/>
    <w:rsid w:val="678D39C1"/>
    <w:rsid w:val="67A4786A"/>
    <w:rsid w:val="67B101D9"/>
    <w:rsid w:val="67B42433"/>
    <w:rsid w:val="67B75B18"/>
    <w:rsid w:val="67B850C4"/>
    <w:rsid w:val="67C972D1"/>
    <w:rsid w:val="67CC0B6F"/>
    <w:rsid w:val="67DD2D7C"/>
    <w:rsid w:val="67E91721"/>
    <w:rsid w:val="67F65BEC"/>
    <w:rsid w:val="68047157"/>
    <w:rsid w:val="68057461"/>
    <w:rsid w:val="680A680D"/>
    <w:rsid w:val="680E1188"/>
    <w:rsid w:val="68264723"/>
    <w:rsid w:val="6828049B"/>
    <w:rsid w:val="68460921"/>
    <w:rsid w:val="68531770"/>
    <w:rsid w:val="68531926"/>
    <w:rsid w:val="68866F70"/>
    <w:rsid w:val="688B4586"/>
    <w:rsid w:val="689A6532"/>
    <w:rsid w:val="689D73CB"/>
    <w:rsid w:val="68A044D6"/>
    <w:rsid w:val="68A35D74"/>
    <w:rsid w:val="68A4505F"/>
    <w:rsid w:val="68BC01F8"/>
    <w:rsid w:val="68E02A60"/>
    <w:rsid w:val="68EC771B"/>
    <w:rsid w:val="69015A74"/>
    <w:rsid w:val="6917406C"/>
    <w:rsid w:val="6942099E"/>
    <w:rsid w:val="695D4175"/>
    <w:rsid w:val="698931BC"/>
    <w:rsid w:val="699D0A15"/>
    <w:rsid w:val="69A00505"/>
    <w:rsid w:val="69A2427D"/>
    <w:rsid w:val="69BA1345"/>
    <w:rsid w:val="69D07FD1"/>
    <w:rsid w:val="69F566F5"/>
    <w:rsid w:val="69FA7C16"/>
    <w:rsid w:val="69FE607E"/>
    <w:rsid w:val="6A170B7C"/>
    <w:rsid w:val="6A2151A2"/>
    <w:rsid w:val="6A2627B9"/>
    <w:rsid w:val="6A2702BC"/>
    <w:rsid w:val="6A331379"/>
    <w:rsid w:val="6A3C1FDC"/>
    <w:rsid w:val="6A577A5F"/>
    <w:rsid w:val="6A647785"/>
    <w:rsid w:val="6A701C86"/>
    <w:rsid w:val="6A894DD0"/>
    <w:rsid w:val="6A8D0A8A"/>
    <w:rsid w:val="6A9E2C97"/>
    <w:rsid w:val="6AAC0510"/>
    <w:rsid w:val="6AB763D1"/>
    <w:rsid w:val="6AB83C70"/>
    <w:rsid w:val="6AC01C35"/>
    <w:rsid w:val="6AC27BFE"/>
    <w:rsid w:val="6AC93F86"/>
    <w:rsid w:val="6ADB13C7"/>
    <w:rsid w:val="6AFE7291"/>
    <w:rsid w:val="6B0D2C0B"/>
    <w:rsid w:val="6B160A7F"/>
    <w:rsid w:val="6B1747F7"/>
    <w:rsid w:val="6B19231D"/>
    <w:rsid w:val="6B2F0E55"/>
    <w:rsid w:val="6B301415"/>
    <w:rsid w:val="6B5965FE"/>
    <w:rsid w:val="6B5C6B1E"/>
    <w:rsid w:val="6B5E41D4"/>
    <w:rsid w:val="6B8005EE"/>
    <w:rsid w:val="6B823440"/>
    <w:rsid w:val="6B83272F"/>
    <w:rsid w:val="6B9B310B"/>
    <w:rsid w:val="6BA51E03"/>
    <w:rsid w:val="6BB65DBE"/>
    <w:rsid w:val="6BB67B6C"/>
    <w:rsid w:val="6BEB5EDE"/>
    <w:rsid w:val="6BF16DF6"/>
    <w:rsid w:val="6C2E3BA6"/>
    <w:rsid w:val="6C375151"/>
    <w:rsid w:val="6C3C47B3"/>
    <w:rsid w:val="6C4909E0"/>
    <w:rsid w:val="6C496C32"/>
    <w:rsid w:val="6C832144"/>
    <w:rsid w:val="6C937EAD"/>
    <w:rsid w:val="6C9D0D2C"/>
    <w:rsid w:val="6CA06AB2"/>
    <w:rsid w:val="6CB85BF5"/>
    <w:rsid w:val="6CD01102"/>
    <w:rsid w:val="6CD75FEC"/>
    <w:rsid w:val="6CDE737B"/>
    <w:rsid w:val="6CE24244"/>
    <w:rsid w:val="6CE36FC8"/>
    <w:rsid w:val="6D176D30"/>
    <w:rsid w:val="6D1F7993"/>
    <w:rsid w:val="6D2232F1"/>
    <w:rsid w:val="6D4A0EB4"/>
    <w:rsid w:val="6D975A3E"/>
    <w:rsid w:val="6D9914F3"/>
    <w:rsid w:val="6DAD528E"/>
    <w:rsid w:val="6DBF7D15"/>
    <w:rsid w:val="6DDB21D3"/>
    <w:rsid w:val="6DDF5000"/>
    <w:rsid w:val="6DE24C48"/>
    <w:rsid w:val="6E160D96"/>
    <w:rsid w:val="6E1F3036"/>
    <w:rsid w:val="6E2C05BA"/>
    <w:rsid w:val="6E3000AA"/>
    <w:rsid w:val="6E3B3456"/>
    <w:rsid w:val="6E453A31"/>
    <w:rsid w:val="6E4E22DE"/>
    <w:rsid w:val="6E645FA5"/>
    <w:rsid w:val="6E751F61"/>
    <w:rsid w:val="6E810366"/>
    <w:rsid w:val="6E881C94"/>
    <w:rsid w:val="6EC364B5"/>
    <w:rsid w:val="6EC407F2"/>
    <w:rsid w:val="6EE449F0"/>
    <w:rsid w:val="6EF62128"/>
    <w:rsid w:val="6F3239AE"/>
    <w:rsid w:val="6F4C2993"/>
    <w:rsid w:val="6F5F0599"/>
    <w:rsid w:val="6F765F90"/>
    <w:rsid w:val="6F7B35A7"/>
    <w:rsid w:val="6FB22D40"/>
    <w:rsid w:val="6FB90620"/>
    <w:rsid w:val="6FDC1B6B"/>
    <w:rsid w:val="6FE0165C"/>
    <w:rsid w:val="6FE90800"/>
    <w:rsid w:val="70036424"/>
    <w:rsid w:val="701D465E"/>
    <w:rsid w:val="7023779A"/>
    <w:rsid w:val="702754DC"/>
    <w:rsid w:val="70281CF1"/>
    <w:rsid w:val="702F4391"/>
    <w:rsid w:val="705B0CE2"/>
    <w:rsid w:val="706C2EEF"/>
    <w:rsid w:val="706E4EB9"/>
    <w:rsid w:val="707B1384"/>
    <w:rsid w:val="70B97A34"/>
    <w:rsid w:val="70BE3020"/>
    <w:rsid w:val="70C42D2B"/>
    <w:rsid w:val="70E178AF"/>
    <w:rsid w:val="70E21403"/>
    <w:rsid w:val="70F84783"/>
    <w:rsid w:val="70F97914"/>
    <w:rsid w:val="71125845"/>
    <w:rsid w:val="7113780F"/>
    <w:rsid w:val="713752AB"/>
    <w:rsid w:val="71561E1E"/>
    <w:rsid w:val="716360A0"/>
    <w:rsid w:val="716F713B"/>
    <w:rsid w:val="719646C8"/>
    <w:rsid w:val="71A1306D"/>
    <w:rsid w:val="71A861A9"/>
    <w:rsid w:val="71D76A8E"/>
    <w:rsid w:val="720C2AB9"/>
    <w:rsid w:val="72182020"/>
    <w:rsid w:val="7218332F"/>
    <w:rsid w:val="72225F5B"/>
    <w:rsid w:val="72273572"/>
    <w:rsid w:val="72281098"/>
    <w:rsid w:val="7238752D"/>
    <w:rsid w:val="723F4D5F"/>
    <w:rsid w:val="72533BCF"/>
    <w:rsid w:val="725620A9"/>
    <w:rsid w:val="725B146D"/>
    <w:rsid w:val="725D3437"/>
    <w:rsid w:val="72617F3F"/>
    <w:rsid w:val="72CB03A1"/>
    <w:rsid w:val="72D03C09"/>
    <w:rsid w:val="72F37EB8"/>
    <w:rsid w:val="72F71196"/>
    <w:rsid w:val="73190D85"/>
    <w:rsid w:val="731F693F"/>
    <w:rsid w:val="732E6B82"/>
    <w:rsid w:val="734C3D25"/>
    <w:rsid w:val="73500C03"/>
    <w:rsid w:val="73634A7D"/>
    <w:rsid w:val="736425A4"/>
    <w:rsid w:val="73662569"/>
    <w:rsid w:val="7372081D"/>
    <w:rsid w:val="738343C3"/>
    <w:rsid w:val="73F90F3E"/>
    <w:rsid w:val="741848C6"/>
    <w:rsid w:val="7419338E"/>
    <w:rsid w:val="74341F76"/>
    <w:rsid w:val="74485A21"/>
    <w:rsid w:val="745D7A02"/>
    <w:rsid w:val="74634609"/>
    <w:rsid w:val="746E5488"/>
    <w:rsid w:val="74BE7A92"/>
    <w:rsid w:val="74D42813"/>
    <w:rsid w:val="750D2EF3"/>
    <w:rsid w:val="751F654B"/>
    <w:rsid w:val="752C3897"/>
    <w:rsid w:val="752D5343"/>
    <w:rsid w:val="75322959"/>
    <w:rsid w:val="753C5586"/>
    <w:rsid w:val="754E3DC6"/>
    <w:rsid w:val="75686BCC"/>
    <w:rsid w:val="75693EA1"/>
    <w:rsid w:val="75752846"/>
    <w:rsid w:val="75842A89"/>
    <w:rsid w:val="75932CCC"/>
    <w:rsid w:val="75955852"/>
    <w:rsid w:val="75A754F8"/>
    <w:rsid w:val="75AF45AE"/>
    <w:rsid w:val="75B275F6"/>
    <w:rsid w:val="75D237F5"/>
    <w:rsid w:val="75DE03EB"/>
    <w:rsid w:val="760D7FB3"/>
    <w:rsid w:val="762169E0"/>
    <w:rsid w:val="76391AC6"/>
    <w:rsid w:val="764346F2"/>
    <w:rsid w:val="7645046A"/>
    <w:rsid w:val="764C557E"/>
    <w:rsid w:val="765C57B4"/>
    <w:rsid w:val="767174B1"/>
    <w:rsid w:val="76780840"/>
    <w:rsid w:val="76783F68"/>
    <w:rsid w:val="76793892"/>
    <w:rsid w:val="7687068A"/>
    <w:rsid w:val="76941B1A"/>
    <w:rsid w:val="76AD7DBE"/>
    <w:rsid w:val="76BC6337"/>
    <w:rsid w:val="76DE441B"/>
    <w:rsid w:val="76E45ED5"/>
    <w:rsid w:val="770D1EB1"/>
    <w:rsid w:val="77147E3D"/>
    <w:rsid w:val="771A3ADA"/>
    <w:rsid w:val="7725204A"/>
    <w:rsid w:val="7730111A"/>
    <w:rsid w:val="77391FC6"/>
    <w:rsid w:val="773D3837"/>
    <w:rsid w:val="7746449A"/>
    <w:rsid w:val="77551879"/>
    <w:rsid w:val="776963DA"/>
    <w:rsid w:val="776D0DB5"/>
    <w:rsid w:val="77787DC7"/>
    <w:rsid w:val="779C40BA"/>
    <w:rsid w:val="779F1CDF"/>
    <w:rsid w:val="77AB69F3"/>
    <w:rsid w:val="77B07A95"/>
    <w:rsid w:val="77C6382D"/>
    <w:rsid w:val="77DF669D"/>
    <w:rsid w:val="77E048EF"/>
    <w:rsid w:val="780C3B22"/>
    <w:rsid w:val="787D038F"/>
    <w:rsid w:val="78960636"/>
    <w:rsid w:val="789F0530"/>
    <w:rsid w:val="78AC169E"/>
    <w:rsid w:val="78B96EEE"/>
    <w:rsid w:val="78C0027C"/>
    <w:rsid w:val="78CA55CE"/>
    <w:rsid w:val="78DC11E9"/>
    <w:rsid w:val="78EF46BD"/>
    <w:rsid w:val="78F9488B"/>
    <w:rsid w:val="78FB12B4"/>
    <w:rsid w:val="79074B53"/>
    <w:rsid w:val="790E7239"/>
    <w:rsid w:val="79257DFE"/>
    <w:rsid w:val="79391B8A"/>
    <w:rsid w:val="793A6280"/>
    <w:rsid w:val="794C5FB4"/>
    <w:rsid w:val="79716072"/>
    <w:rsid w:val="797A667D"/>
    <w:rsid w:val="797D43BF"/>
    <w:rsid w:val="79870D9A"/>
    <w:rsid w:val="79951DB2"/>
    <w:rsid w:val="79993610"/>
    <w:rsid w:val="79B81A3C"/>
    <w:rsid w:val="79C478F8"/>
    <w:rsid w:val="79DD60B2"/>
    <w:rsid w:val="79EA1A55"/>
    <w:rsid w:val="79FA5A10"/>
    <w:rsid w:val="79FF6B82"/>
    <w:rsid w:val="7A2D118F"/>
    <w:rsid w:val="7A356A48"/>
    <w:rsid w:val="7A454EDD"/>
    <w:rsid w:val="7A532341"/>
    <w:rsid w:val="7A551C2F"/>
    <w:rsid w:val="7A5769BE"/>
    <w:rsid w:val="7A5B4CFF"/>
    <w:rsid w:val="7A8157E9"/>
    <w:rsid w:val="7A833F3B"/>
    <w:rsid w:val="7AAF1A3A"/>
    <w:rsid w:val="7AE26947"/>
    <w:rsid w:val="7AF661D7"/>
    <w:rsid w:val="7AF75AAB"/>
    <w:rsid w:val="7B18614D"/>
    <w:rsid w:val="7B220D7A"/>
    <w:rsid w:val="7B2F3497"/>
    <w:rsid w:val="7B2F5245"/>
    <w:rsid w:val="7B430CF1"/>
    <w:rsid w:val="7B5237E2"/>
    <w:rsid w:val="7B786BEC"/>
    <w:rsid w:val="7B940C71"/>
    <w:rsid w:val="7BA7127F"/>
    <w:rsid w:val="7BBA7D61"/>
    <w:rsid w:val="7BC24845"/>
    <w:rsid w:val="7C374C0D"/>
    <w:rsid w:val="7C430CD5"/>
    <w:rsid w:val="7C4371FA"/>
    <w:rsid w:val="7C4E393E"/>
    <w:rsid w:val="7C796B83"/>
    <w:rsid w:val="7C7C270C"/>
    <w:rsid w:val="7C913580"/>
    <w:rsid w:val="7CA659DB"/>
    <w:rsid w:val="7CCB222D"/>
    <w:rsid w:val="7CD24A22"/>
    <w:rsid w:val="7CD930BA"/>
    <w:rsid w:val="7CFE0C47"/>
    <w:rsid w:val="7D006E99"/>
    <w:rsid w:val="7D0C4840"/>
    <w:rsid w:val="7D2C6D56"/>
    <w:rsid w:val="7D4F5B8A"/>
    <w:rsid w:val="7D517499"/>
    <w:rsid w:val="7D6F401F"/>
    <w:rsid w:val="7D752025"/>
    <w:rsid w:val="7D9D0B8C"/>
    <w:rsid w:val="7D9F1E09"/>
    <w:rsid w:val="7DA168CE"/>
    <w:rsid w:val="7DA56368"/>
    <w:rsid w:val="7DBB54B6"/>
    <w:rsid w:val="7DDD542C"/>
    <w:rsid w:val="7E0368D8"/>
    <w:rsid w:val="7E335125"/>
    <w:rsid w:val="7E4159BB"/>
    <w:rsid w:val="7E553215"/>
    <w:rsid w:val="7E7044F2"/>
    <w:rsid w:val="7E7B31DC"/>
    <w:rsid w:val="7E9235AA"/>
    <w:rsid w:val="7ED2135E"/>
    <w:rsid w:val="7EE01021"/>
    <w:rsid w:val="7EE5787B"/>
    <w:rsid w:val="7EED78F1"/>
    <w:rsid w:val="7EFB4FBB"/>
    <w:rsid w:val="7F07123A"/>
    <w:rsid w:val="7F2E23E3"/>
    <w:rsid w:val="7F2F641F"/>
    <w:rsid w:val="7F390F10"/>
    <w:rsid w:val="7F4E65E2"/>
    <w:rsid w:val="7F6C6A68"/>
    <w:rsid w:val="7F7153BB"/>
    <w:rsid w:val="7F871C42"/>
    <w:rsid w:val="7FBB79EF"/>
    <w:rsid w:val="7FBE3022"/>
    <w:rsid w:val="7FBF1CF8"/>
    <w:rsid w:val="7FF058EB"/>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tabs>
        <w:tab w:val="left" w:pos="-116"/>
        <w:tab w:val="left" w:pos="420"/>
      </w:tabs>
      <w:ind w:firstLine="420" w:firstLineChars="200"/>
      <w:jc w:val="left"/>
    </w:pPr>
    <w:rPr>
      <w:rFonts w:ascii="宋体" w:hAnsi="Times New Roman" w:eastAsia="宋体" w:cs="Times New Roman"/>
      <w:kern w:val="2"/>
      <w:sz w:val="28"/>
      <w:szCs w:val="20"/>
      <w:lang w:val="en-US" w:eastAsia="zh-CN" w:bidi="ar-SA"/>
    </w:rPr>
  </w:style>
  <w:style w:type="paragraph" w:styleId="3">
    <w:name w:val="Body Text Indent"/>
    <w:basedOn w:val="1"/>
    <w:qFormat/>
    <w:uiPriority w:val="99"/>
    <w:pPr>
      <w:ind w:firstLine="525"/>
      <w:jc w:val="left"/>
    </w:pPr>
    <w:rPr>
      <w:rFonts w:ascii="宋体" w:hAnsi="Times New Roman" w:cs="Times New Roman"/>
      <w:sz w:val="28"/>
      <w:szCs w:val="20"/>
    </w:rPr>
  </w:style>
  <w:style w:type="paragraph" w:styleId="4">
    <w:name w:val="annotation text"/>
    <w:basedOn w:val="1"/>
    <w:qFormat/>
    <w:uiPriority w:val="0"/>
    <w:pPr>
      <w:jc w:val="left"/>
    </w:pPr>
  </w:style>
  <w:style w:type="paragraph" w:styleId="5">
    <w:name w:val="Body Text"/>
    <w:basedOn w:val="1"/>
    <w:qFormat/>
    <w:uiPriority w:val="1"/>
    <w:rPr>
      <w:rFonts w:ascii="仿宋" w:hAnsi="仿宋" w:eastAsia="仿宋" w:cs="仿宋"/>
      <w:sz w:val="30"/>
      <w:szCs w:val="30"/>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1"/>
    <w:pPr>
      <w:spacing w:before="240"/>
      <w:ind w:right="263"/>
      <w:jc w:val="right"/>
    </w:pPr>
    <w:rPr>
      <w:rFonts w:ascii="仿宋" w:hAnsi="仿宋" w:eastAsia="仿宋" w:cs="仿宋"/>
      <w:sz w:val="30"/>
      <w:szCs w:val="30"/>
      <w:lang w:val="zh-CN" w:eastAsia="zh-CN" w:bidi="zh-C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 w:type="character" w:customStyle="1" w:styleId="16">
    <w:name w:val="font112"/>
    <w:basedOn w:val="11"/>
    <w:qFormat/>
    <w:uiPriority w:val="0"/>
    <w:rPr>
      <w:rFonts w:hint="eastAsia" w:ascii="宋体" w:hAnsi="宋体" w:eastAsia="宋体" w:cs="宋体"/>
      <w:color w:val="000000"/>
      <w:sz w:val="22"/>
      <w:szCs w:val="22"/>
      <w:u w:val="none"/>
    </w:rPr>
  </w:style>
  <w:style w:type="character" w:customStyle="1" w:styleId="17">
    <w:name w:val="font151"/>
    <w:basedOn w:val="11"/>
    <w:qFormat/>
    <w:uiPriority w:val="0"/>
    <w:rPr>
      <w:rFonts w:hint="eastAsia" w:ascii="宋体" w:hAnsi="宋体" w:eastAsia="宋体" w:cs="宋体"/>
      <w:color w:val="000000"/>
      <w:sz w:val="22"/>
      <w:szCs w:val="22"/>
      <w:u w:val="single"/>
    </w:rPr>
  </w:style>
  <w:style w:type="character" w:customStyle="1" w:styleId="18">
    <w:name w:val="font121"/>
    <w:basedOn w:val="11"/>
    <w:qFormat/>
    <w:uiPriority w:val="0"/>
    <w:rPr>
      <w:rFonts w:hint="eastAsia" w:ascii="宋体" w:hAnsi="宋体" w:eastAsia="宋体" w:cs="宋体"/>
      <w:color w:val="FF0000"/>
      <w:sz w:val="22"/>
      <w:szCs w:val="22"/>
      <w:u w:val="none"/>
    </w:rPr>
  </w:style>
  <w:style w:type="character" w:customStyle="1" w:styleId="19">
    <w:name w:val="font161"/>
    <w:basedOn w:val="11"/>
    <w:qFormat/>
    <w:uiPriority w:val="0"/>
    <w:rPr>
      <w:rFonts w:hint="eastAsia" w:ascii="宋体" w:hAnsi="宋体" w:eastAsia="宋体" w:cs="宋体"/>
      <w:color w:val="FF0000"/>
      <w:sz w:val="22"/>
      <w:szCs w:val="22"/>
      <w:u w:val="single"/>
    </w:rPr>
  </w:style>
  <w:style w:type="character" w:customStyle="1" w:styleId="20">
    <w:name w:val="font131"/>
    <w:basedOn w:val="1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11487</Words>
  <Characters>11917</Characters>
  <Lines>0</Lines>
  <Paragraphs>0</Paragraphs>
  <TotalTime>20</TotalTime>
  <ScaleCrop>false</ScaleCrop>
  <LinksUpToDate>false</LinksUpToDate>
  <CharactersWithSpaces>12895</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2021-11-16T09:54:00Z</dcterms:created>
  <dc:creator>Administrator</dc:creator>
  <cp:lastModifiedBy>Marco Leung</cp:lastModifiedBy>
  <cp:lastPrinted>2024-08-21T09:56:00Z</cp:lastPrinted>
  <dcterms:modified xsi:type="dcterms:W3CDTF">2024-08-31T02:48:18Z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2194C4911CD44A03BDD201E4A078BDA9_13</vt:lpwstr>
  </property>
</Properties>
</file>