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79D0">
      <w:pPr>
        <w:jc w:val="right"/>
        <w:rPr>
          <w:rFonts w:hint="default" w:ascii="仿宋" w:hAnsi="仿宋" w:eastAsia="仿宋" w:cs="仿宋"/>
          <w:highlight w:val="none"/>
          <w:lang w:val="en-US" w:eastAsia="zh-CN"/>
        </w:rPr>
      </w:pPr>
    </w:p>
    <w:p w14:paraId="0ECA36CA">
      <w:pPr>
        <w:jc w:val="both"/>
        <w:rPr>
          <w:rFonts w:hint="eastAsia" w:ascii="仿宋" w:hAnsi="仿宋" w:eastAsia="仿宋" w:cs="仿宋"/>
          <w:b/>
          <w:sz w:val="72"/>
          <w:highlight w:val="none"/>
          <w:lang w:val="en-US" w:eastAsia="zh-CN"/>
        </w:rPr>
      </w:pPr>
      <w:r>
        <w:rPr>
          <w:rFonts w:hint="eastAsia" w:ascii="仿宋" w:hAnsi="仿宋" w:eastAsia="仿宋" w:cs="仿宋"/>
          <w:kern w:val="0"/>
          <w:sz w:val="24"/>
          <w:szCs w:val="24"/>
          <w:highlight w:val="none"/>
        </w:rPr>
        <w:drawing>
          <wp:anchor distT="0" distB="0" distL="114300" distR="114300" simplePos="0" relativeHeight="251659264" behindDoc="0" locked="0" layoutInCell="1" allowOverlap="1">
            <wp:simplePos x="0" y="0"/>
            <wp:positionH relativeFrom="column">
              <wp:posOffset>920115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525780"/>
                    </a:xfrm>
                    <a:prstGeom prst="rect">
                      <a:avLst/>
                    </a:prstGeom>
                    <a:noFill/>
                    <a:ln>
                      <a:noFill/>
                    </a:ln>
                  </pic:spPr>
                </pic:pic>
              </a:graphicData>
            </a:graphic>
          </wp:anchor>
        </w:drawing>
      </w:r>
    </w:p>
    <w:p w14:paraId="000BE8F1">
      <w:pPr>
        <w:jc w:val="center"/>
        <w:rPr>
          <w:rFonts w:hint="eastAsia" w:ascii="仿宋" w:hAnsi="仿宋" w:eastAsia="仿宋" w:cs="仿宋"/>
          <w:b/>
          <w:sz w:val="56"/>
          <w:szCs w:val="22"/>
          <w:highlight w:val="none"/>
          <w:lang w:val="en-US" w:eastAsia="zh-CN"/>
        </w:rPr>
      </w:pPr>
    </w:p>
    <w:p w14:paraId="24B4C9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lang w:val="en-US" w:eastAsia="zh-CN"/>
        </w:rPr>
      </w:pPr>
      <w:r>
        <w:rPr>
          <w:rFonts w:hint="eastAsia" w:ascii="仿宋" w:hAnsi="仿宋" w:eastAsia="仿宋" w:cs="仿宋"/>
          <w:b w:val="0"/>
          <w:bCs/>
          <w:sz w:val="52"/>
          <w:szCs w:val="52"/>
          <w:highlight w:val="none"/>
          <w:lang w:val="en-US" w:eastAsia="zh-CN"/>
        </w:rPr>
        <w:t>南京现代表面处理科技产业中心项目</w:t>
      </w:r>
    </w:p>
    <w:p w14:paraId="27341F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u w:val="none"/>
          <w:lang w:val="en-US" w:eastAsia="zh-CN"/>
        </w:rPr>
      </w:pPr>
      <w:r>
        <w:rPr>
          <w:rFonts w:hint="eastAsia" w:ascii="仿宋" w:hAnsi="仿宋" w:eastAsia="仿宋" w:cs="仿宋"/>
          <w:b w:val="0"/>
          <w:bCs/>
          <w:sz w:val="52"/>
          <w:szCs w:val="52"/>
          <w:highlight w:val="none"/>
          <w:lang w:val="en-US" w:eastAsia="zh-CN"/>
        </w:rPr>
        <w:t>A地块干拌</w:t>
      </w:r>
      <w:r>
        <w:rPr>
          <w:rFonts w:hint="eastAsia" w:ascii="仿宋" w:hAnsi="仿宋" w:eastAsia="仿宋" w:cs="仿宋"/>
          <w:b w:val="0"/>
          <w:bCs/>
          <w:color w:val="auto"/>
          <w:sz w:val="52"/>
          <w:szCs w:val="52"/>
          <w:highlight w:val="none"/>
          <w:lang w:val="en-US" w:eastAsia="zh-CN"/>
        </w:rPr>
        <w:t>砂浆</w:t>
      </w:r>
    </w:p>
    <w:p w14:paraId="072FBC94">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0" w:name="_Toc13418"/>
      <w:bookmarkStart w:id="1" w:name="_Toc7524"/>
      <w:bookmarkStart w:id="2" w:name="_Toc19337"/>
      <w:bookmarkStart w:id="3" w:name="_Toc25876"/>
      <w:bookmarkStart w:id="4" w:name="_Toc782"/>
      <w:bookmarkStart w:id="5" w:name="_Toc927"/>
      <w:bookmarkStart w:id="6" w:name="_Toc32625"/>
      <w:r>
        <w:rPr>
          <w:rFonts w:hint="eastAsia" w:ascii="仿宋" w:hAnsi="仿宋" w:eastAsia="仿宋" w:cs="仿宋"/>
          <w:b w:val="0"/>
          <w:bCs/>
          <w:sz w:val="52"/>
          <w:szCs w:val="52"/>
          <w:highlight w:val="none"/>
          <w:lang w:val="en-US" w:eastAsia="zh-CN"/>
        </w:rPr>
        <w:t>购</w:t>
      </w:r>
      <w:bookmarkEnd w:id="0"/>
      <w:bookmarkEnd w:id="1"/>
      <w:bookmarkEnd w:id="2"/>
      <w:bookmarkEnd w:id="3"/>
      <w:bookmarkEnd w:id="4"/>
      <w:bookmarkEnd w:id="5"/>
      <w:bookmarkEnd w:id="6"/>
      <w:bookmarkStart w:id="157" w:name="_GoBack"/>
      <w:bookmarkEnd w:id="157"/>
    </w:p>
    <w:p w14:paraId="2A2EE40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7" w:name="_Toc11958"/>
      <w:bookmarkStart w:id="8" w:name="_Toc9247"/>
      <w:bookmarkStart w:id="9" w:name="_Toc516"/>
      <w:bookmarkStart w:id="10" w:name="_Toc31704"/>
      <w:bookmarkStart w:id="11" w:name="_Toc15725"/>
      <w:bookmarkStart w:id="12" w:name="_Toc14109"/>
      <w:bookmarkStart w:id="13" w:name="_Toc16578"/>
      <w:r>
        <w:rPr>
          <w:rFonts w:hint="eastAsia" w:ascii="仿宋" w:hAnsi="仿宋" w:eastAsia="仿宋" w:cs="仿宋"/>
          <w:b w:val="0"/>
          <w:bCs/>
          <w:sz w:val="52"/>
          <w:szCs w:val="52"/>
          <w:highlight w:val="none"/>
          <w:lang w:val="en-US" w:eastAsia="zh-CN"/>
        </w:rPr>
        <w:t>销</w:t>
      </w:r>
      <w:bookmarkEnd w:id="7"/>
      <w:bookmarkEnd w:id="8"/>
      <w:bookmarkEnd w:id="9"/>
      <w:bookmarkEnd w:id="10"/>
      <w:bookmarkEnd w:id="11"/>
      <w:bookmarkEnd w:id="12"/>
      <w:bookmarkEnd w:id="13"/>
    </w:p>
    <w:p w14:paraId="436EC44D">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14" w:name="_Toc14406"/>
      <w:bookmarkStart w:id="15" w:name="_Toc2454"/>
      <w:bookmarkStart w:id="16" w:name="_Toc23318"/>
      <w:bookmarkStart w:id="17" w:name="_Toc28545"/>
      <w:bookmarkStart w:id="18" w:name="_Toc9045"/>
      <w:bookmarkStart w:id="19" w:name="_Toc16372"/>
      <w:bookmarkStart w:id="20" w:name="_Toc4020"/>
      <w:r>
        <w:rPr>
          <w:rFonts w:hint="eastAsia" w:ascii="仿宋" w:hAnsi="仿宋" w:eastAsia="仿宋" w:cs="仿宋"/>
          <w:b w:val="0"/>
          <w:bCs/>
          <w:sz w:val="52"/>
          <w:szCs w:val="52"/>
          <w:highlight w:val="none"/>
          <w:lang w:val="en-US" w:eastAsia="zh-CN"/>
        </w:rPr>
        <w:t>合</w:t>
      </w:r>
      <w:bookmarkEnd w:id="14"/>
      <w:bookmarkEnd w:id="15"/>
      <w:bookmarkEnd w:id="16"/>
      <w:bookmarkEnd w:id="17"/>
      <w:bookmarkEnd w:id="18"/>
      <w:bookmarkEnd w:id="19"/>
      <w:bookmarkEnd w:id="20"/>
    </w:p>
    <w:p w14:paraId="242494F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21" w:name="_Toc2686"/>
      <w:bookmarkStart w:id="22" w:name="_Toc16859"/>
      <w:bookmarkStart w:id="23" w:name="_Toc2473"/>
      <w:bookmarkStart w:id="24" w:name="_Toc20513"/>
      <w:bookmarkStart w:id="25" w:name="_Toc2173"/>
      <w:bookmarkStart w:id="26" w:name="_Toc9859"/>
      <w:bookmarkStart w:id="27" w:name="_Toc29668"/>
      <w:r>
        <w:rPr>
          <w:rFonts w:hint="eastAsia" w:ascii="仿宋" w:hAnsi="仿宋" w:eastAsia="仿宋" w:cs="仿宋"/>
          <w:b w:val="0"/>
          <w:bCs/>
          <w:sz w:val="52"/>
          <w:szCs w:val="52"/>
          <w:highlight w:val="none"/>
          <w:lang w:val="en-US" w:eastAsia="zh-CN"/>
        </w:rPr>
        <w:t>同</w:t>
      </w:r>
      <w:bookmarkEnd w:id="21"/>
      <w:bookmarkEnd w:id="22"/>
      <w:bookmarkEnd w:id="23"/>
      <w:bookmarkEnd w:id="24"/>
      <w:bookmarkEnd w:id="25"/>
      <w:bookmarkEnd w:id="26"/>
      <w:bookmarkEnd w:id="27"/>
    </w:p>
    <w:p w14:paraId="13FCB094">
      <w:pPr>
        <w:jc w:val="both"/>
        <w:rPr>
          <w:rFonts w:hint="eastAsia" w:ascii="仿宋" w:hAnsi="仿宋" w:eastAsia="仿宋" w:cs="仿宋"/>
          <w:highlight w:val="none"/>
          <w:lang w:val="en-US" w:eastAsia="zh-CN"/>
        </w:rPr>
      </w:pPr>
    </w:p>
    <w:p w14:paraId="19824DAA">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（20240904版）</w:t>
      </w:r>
    </w:p>
    <w:p w14:paraId="69BF9ED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28"/>
          <w:szCs w:val="28"/>
          <w:highlight w:val="none"/>
          <w:lang w:val="en-US" w:eastAsia="zh-CN"/>
        </w:rPr>
      </w:pPr>
    </w:p>
    <w:p w14:paraId="597A6DFF">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p>
    <w:p w14:paraId="600C8BD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合同编号：</w:t>
      </w:r>
    </w:p>
    <w:p w14:paraId="63E33EF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甲方（需方）：东莞市中泰建安工程有限公司</w:t>
      </w:r>
    </w:p>
    <w:p w14:paraId="5D69191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乙方（供方）：</w:t>
      </w:r>
    </w:p>
    <w:p w14:paraId="11B2F29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签订日期：</w:t>
      </w:r>
      <w:r>
        <w:rPr>
          <w:rFonts w:hint="eastAsia" w:ascii="仿宋" w:hAnsi="仿宋" w:eastAsia="仿宋" w:cs="仿宋"/>
          <w:b w:val="0"/>
          <w:bCs w:val="0"/>
          <w:sz w:val="28"/>
          <w:szCs w:val="28"/>
          <w:highlight w:val="none"/>
          <w:u w:val="single"/>
          <w:lang w:val="en-US" w:eastAsia="zh-CN"/>
        </w:rPr>
        <w:t xml:space="preserve">  2024 </w:t>
      </w:r>
      <w:r>
        <w:rPr>
          <w:rFonts w:hint="eastAsia" w:ascii="仿宋" w:hAnsi="仿宋" w:eastAsia="仿宋" w:cs="仿宋"/>
          <w:b w:val="0"/>
          <w:bCs w:val="0"/>
          <w:sz w:val="28"/>
          <w:szCs w:val="28"/>
          <w:highlight w:val="none"/>
          <w:u w:val="none"/>
          <w:lang w:val="en-US" w:eastAsia="zh-CN"/>
        </w:rPr>
        <w:t>年</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月</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日</w:t>
      </w:r>
    </w:p>
    <w:p w14:paraId="782E573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8"/>
          <w:szCs w:val="28"/>
          <w:highlight w:val="none"/>
          <w:u w:val="none"/>
          <w:lang w:val="en-US" w:eastAsia="zh-CN"/>
        </w:rPr>
        <w:t>签订地点：广东东莞。</w:t>
      </w:r>
    </w:p>
    <w:p w14:paraId="25A476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32"/>
          <w:szCs w:val="32"/>
          <w:highlight w:val="none"/>
          <w:u w:val="none"/>
          <w:lang w:val="en-US" w:eastAsia="zh-CN" w:bidi="ar-SA"/>
        </w:rPr>
        <w:sectPr>
          <w:headerReference r:id="rId3" w:type="default"/>
          <w:footerReference r:id="rId4" w:type="default"/>
          <w:pgSz w:w="11906" w:h="16838"/>
          <w:pgMar w:top="1440" w:right="1247" w:bottom="1440" w:left="1247"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74789149">
      <w:pPr>
        <w:spacing w:before="0" w:beforeLines="0" w:after="0" w:afterLines="0" w:line="240" w:lineRule="auto"/>
        <w:ind w:left="0" w:leftChars="0" w:right="0" w:rightChars="0" w:firstLine="0" w:firstLineChars="0"/>
        <w:jc w:val="center"/>
        <w:rPr>
          <w:sz w:val="32"/>
          <w:szCs w:val="40"/>
          <w:highlight w:val="none"/>
        </w:rPr>
      </w:pPr>
      <w:r>
        <w:rPr>
          <w:rFonts w:ascii="宋体" w:hAnsi="宋体" w:eastAsia="宋体"/>
          <w:sz w:val="32"/>
          <w:szCs w:val="40"/>
          <w:highlight w:val="none"/>
        </w:rPr>
        <w:t>目录</w:t>
      </w:r>
    </w:p>
    <w:p w14:paraId="7FC8C69A">
      <w:pPr>
        <w:pStyle w:val="8"/>
        <w:tabs>
          <w:tab w:val="right" w:leader="dot" w:pos="9240"/>
        </w:tabs>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p>
    <w:p w14:paraId="0EB4E6C4">
      <w:pPr>
        <w:pStyle w:val="8"/>
        <w:tabs>
          <w:tab w:val="right" w:leader="dot" w:pos="9240"/>
        </w:tabs>
      </w:pPr>
      <w:r>
        <w:rPr>
          <w:szCs w:val="28"/>
          <w:highlight w:val="none"/>
        </w:rPr>
        <w:fldChar w:fldCharType="begin"/>
      </w:r>
      <w:r>
        <w:rPr>
          <w:szCs w:val="28"/>
          <w:highlight w:val="none"/>
        </w:rPr>
        <w:instrText xml:space="preserve"> HYPERLINK \l _Toc18179 </w:instrText>
      </w:r>
      <w:r>
        <w:rPr>
          <w:szCs w:val="28"/>
          <w:highlight w:val="none"/>
        </w:rPr>
        <w:fldChar w:fldCharType="separate"/>
      </w:r>
      <w:r>
        <w:rPr>
          <w:rFonts w:hint="eastAsia" w:ascii="仿宋" w:hAnsi="仿宋" w:eastAsia="仿宋" w:cs="仿宋"/>
          <w:bCs/>
          <w:szCs w:val="28"/>
          <w:highlight w:val="none"/>
          <w:lang w:val="en-US" w:eastAsia="zh-CN"/>
        </w:rPr>
        <w:t>第一章、产品内容及合同价款</w:t>
      </w:r>
      <w:r>
        <w:tab/>
      </w:r>
      <w:r>
        <w:fldChar w:fldCharType="begin"/>
      </w:r>
      <w:r>
        <w:instrText xml:space="preserve"> PAGEREF _Toc18179 \h </w:instrText>
      </w:r>
      <w:r>
        <w:fldChar w:fldCharType="separate"/>
      </w:r>
      <w:r>
        <w:t>5</w:t>
      </w:r>
      <w:r>
        <w:fldChar w:fldCharType="end"/>
      </w:r>
      <w:r>
        <w:rPr>
          <w:szCs w:val="28"/>
          <w:highlight w:val="none"/>
        </w:rPr>
        <w:fldChar w:fldCharType="end"/>
      </w:r>
    </w:p>
    <w:p w14:paraId="5AE4DE1D">
      <w:pPr>
        <w:pStyle w:val="8"/>
        <w:tabs>
          <w:tab w:val="right" w:leader="dot" w:pos="9240"/>
        </w:tabs>
      </w:pPr>
      <w:r>
        <w:rPr>
          <w:szCs w:val="28"/>
          <w:highlight w:val="none"/>
        </w:rPr>
        <w:fldChar w:fldCharType="begin"/>
      </w:r>
      <w:r>
        <w:rPr>
          <w:szCs w:val="28"/>
          <w:highlight w:val="none"/>
        </w:rPr>
        <w:instrText xml:space="preserve"> HYPERLINK \l _Toc16178 </w:instrText>
      </w:r>
      <w:r>
        <w:rPr>
          <w:szCs w:val="28"/>
          <w:highlight w:val="none"/>
        </w:rPr>
        <w:fldChar w:fldCharType="separate"/>
      </w:r>
      <w:r>
        <w:rPr>
          <w:rFonts w:hint="eastAsia" w:ascii="仿宋" w:hAnsi="仿宋" w:eastAsia="仿宋" w:cs="仿宋"/>
          <w:bCs/>
          <w:szCs w:val="28"/>
          <w:highlight w:val="none"/>
          <w:lang w:val="en-US" w:eastAsia="zh-CN"/>
        </w:rPr>
        <w:t>第二章、付款方式</w:t>
      </w:r>
      <w:r>
        <w:tab/>
      </w:r>
      <w:r>
        <w:fldChar w:fldCharType="begin"/>
      </w:r>
      <w:r>
        <w:instrText xml:space="preserve"> PAGEREF _Toc16178 \h </w:instrText>
      </w:r>
      <w:r>
        <w:fldChar w:fldCharType="separate"/>
      </w:r>
      <w:r>
        <w:t>5</w:t>
      </w:r>
      <w:r>
        <w:fldChar w:fldCharType="end"/>
      </w:r>
      <w:r>
        <w:rPr>
          <w:szCs w:val="28"/>
          <w:highlight w:val="none"/>
        </w:rPr>
        <w:fldChar w:fldCharType="end"/>
      </w:r>
    </w:p>
    <w:p w14:paraId="3F6B6083">
      <w:pPr>
        <w:pStyle w:val="8"/>
        <w:tabs>
          <w:tab w:val="right" w:leader="dot" w:pos="9240"/>
        </w:tabs>
      </w:pPr>
      <w:r>
        <w:rPr>
          <w:szCs w:val="28"/>
          <w:highlight w:val="none"/>
        </w:rPr>
        <w:fldChar w:fldCharType="begin"/>
      </w:r>
      <w:r>
        <w:rPr>
          <w:szCs w:val="28"/>
          <w:highlight w:val="none"/>
        </w:rPr>
        <w:instrText xml:space="preserve"> HYPERLINK \l _Toc19220 </w:instrText>
      </w:r>
      <w:r>
        <w:rPr>
          <w:szCs w:val="28"/>
          <w:highlight w:val="none"/>
        </w:rPr>
        <w:fldChar w:fldCharType="separate"/>
      </w:r>
      <w:r>
        <w:rPr>
          <w:rFonts w:hint="eastAsia" w:ascii="仿宋" w:hAnsi="仿宋" w:eastAsia="仿宋" w:cs="仿宋"/>
          <w:bCs/>
          <w:szCs w:val="28"/>
          <w:highlight w:val="none"/>
          <w:lang w:val="en-US" w:eastAsia="zh-CN"/>
        </w:rPr>
        <w:t>第三章、产品质量要求</w:t>
      </w:r>
      <w:r>
        <w:tab/>
      </w:r>
      <w:r>
        <w:fldChar w:fldCharType="begin"/>
      </w:r>
      <w:r>
        <w:instrText xml:space="preserve"> PAGEREF _Toc19220 \h </w:instrText>
      </w:r>
      <w:r>
        <w:fldChar w:fldCharType="separate"/>
      </w:r>
      <w:r>
        <w:t>9</w:t>
      </w:r>
      <w:r>
        <w:fldChar w:fldCharType="end"/>
      </w:r>
      <w:r>
        <w:rPr>
          <w:szCs w:val="28"/>
          <w:highlight w:val="none"/>
        </w:rPr>
        <w:fldChar w:fldCharType="end"/>
      </w:r>
    </w:p>
    <w:p w14:paraId="7D26E384">
      <w:pPr>
        <w:pStyle w:val="8"/>
        <w:tabs>
          <w:tab w:val="right" w:leader="dot" w:pos="9240"/>
        </w:tabs>
      </w:pPr>
      <w:r>
        <w:rPr>
          <w:szCs w:val="28"/>
          <w:highlight w:val="none"/>
        </w:rPr>
        <w:fldChar w:fldCharType="begin"/>
      </w:r>
      <w:r>
        <w:rPr>
          <w:szCs w:val="28"/>
          <w:highlight w:val="none"/>
        </w:rPr>
        <w:instrText xml:space="preserve"> HYPERLINK \l _Toc23310 </w:instrText>
      </w:r>
      <w:r>
        <w:rPr>
          <w:szCs w:val="28"/>
          <w:highlight w:val="none"/>
        </w:rPr>
        <w:fldChar w:fldCharType="separate"/>
      </w:r>
      <w:r>
        <w:rPr>
          <w:rFonts w:hint="eastAsia" w:ascii="仿宋" w:hAnsi="仿宋" w:eastAsia="仿宋" w:cs="仿宋"/>
          <w:bCs/>
          <w:szCs w:val="28"/>
          <w:highlight w:val="none"/>
          <w:lang w:val="en-US" w:eastAsia="zh-CN"/>
        </w:rPr>
        <w:t>第四章、订货、交货、验收</w:t>
      </w:r>
      <w:r>
        <w:tab/>
      </w:r>
      <w:r>
        <w:fldChar w:fldCharType="begin"/>
      </w:r>
      <w:r>
        <w:instrText xml:space="preserve"> PAGEREF _Toc23310 \h </w:instrText>
      </w:r>
      <w:r>
        <w:fldChar w:fldCharType="separate"/>
      </w:r>
      <w:r>
        <w:t>10</w:t>
      </w:r>
      <w:r>
        <w:fldChar w:fldCharType="end"/>
      </w:r>
      <w:r>
        <w:rPr>
          <w:szCs w:val="28"/>
          <w:highlight w:val="none"/>
        </w:rPr>
        <w:fldChar w:fldCharType="end"/>
      </w:r>
    </w:p>
    <w:p w14:paraId="707F8B12">
      <w:pPr>
        <w:pStyle w:val="8"/>
        <w:tabs>
          <w:tab w:val="right" w:leader="dot" w:pos="9240"/>
        </w:tabs>
      </w:pPr>
      <w:r>
        <w:rPr>
          <w:szCs w:val="28"/>
          <w:highlight w:val="none"/>
        </w:rPr>
        <w:fldChar w:fldCharType="begin"/>
      </w:r>
      <w:r>
        <w:rPr>
          <w:szCs w:val="28"/>
          <w:highlight w:val="none"/>
        </w:rPr>
        <w:instrText xml:space="preserve"> HYPERLINK \l _Toc7532 </w:instrText>
      </w:r>
      <w:r>
        <w:rPr>
          <w:szCs w:val="28"/>
          <w:highlight w:val="none"/>
        </w:rPr>
        <w:fldChar w:fldCharType="separate"/>
      </w:r>
      <w:r>
        <w:rPr>
          <w:rFonts w:hint="eastAsia" w:ascii="仿宋" w:hAnsi="仿宋" w:eastAsia="仿宋" w:cs="仿宋"/>
          <w:bCs/>
          <w:szCs w:val="28"/>
          <w:highlight w:val="none"/>
          <w:lang w:val="en-US" w:eastAsia="zh-CN"/>
        </w:rPr>
        <w:t>第五章、质保</w:t>
      </w:r>
      <w:r>
        <w:tab/>
      </w:r>
      <w:r>
        <w:fldChar w:fldCharType="begin"/>
      </w:r>
      <w:r>
        <w:instrText xml:space="preserve"> PAGEREF _Toc7532 \h </w:instrText>
      </w:r>
      <w:r>
        <w:fldChar w:fldCharType="separate"/>
      </w:r>
      <w:r>
        <w:t>14</w:t>
      </w:r>
      <w:r>
        <w:fldChar w:fldCharType="end"/>
      </w:r>
      <w:r>
        <w:rPr>
          <w:szCs w:val="28"/>
          <w:highlight w:val="none"/>
        </w:rPr>
        <w:fldChar w:fldCharType="end"/>
      </w:r>
    </w:p>
    <w:p w14:paraId="1AC5706A">
      <w:pPr>
        <w:pStyle w:val="8"/>
        <w:tabs>
          <w:tab w:val="right" w:leader="dot" w:pos="9240"/>
        </w:tabs>
      </w:pPr>
      <w:r>
        <w:rPr>
          <w:szCs w:val="28"/>
          <w:highlight w:val="none"/>
        </w:rPr>
        <w:fldChar w:fldCharType="begin"/>
      </w:r>
      <w:r>
        <w:rPr>
          <w:szCs w:val="28"/>
          <w:highlight w:val="none"/>
        </w:rPr>
        <w:instrText xml:space="preserve"> HYPERLINK \l _Toc6114 </w:instrText>
      </w:r>
      <w:r>
        <w:rPr>
          <w:szCs w:val="28"/>
          <w:highlight w:val="none"/>
        </w:rPr>
        <w:fldChar w:fldCharType="separate"/>
      </w:r>
      <w:r>
        <w:rPr>
          <w:rFonts w:hint="eastAsia" w:ascii="仿宋" w:hAnsi="仿宋" w:eastAsia="仿宋" w:cs="仿宋"/>
          <w:bCs/>
          <w:szCs w:val="28"/>
          <w:highlight w:val="none"/>
          <w:lang w:val="en-US" w:eastAsia="zh-CN"/>
        </w:rPr>
        <w:t>第六章、</w:t>
      </w:r>
      <w:r>
        <w:rPr>
          <w:rFonts w:hint="eastAsia" w:cs="仿宋"/>
          <w:bCs/>
          <w:szCs w:val="28"/>
          <w:highlight w:val="none"/>
          <w:lang w:val="en-US" w:eastAsia="zh-CN"/>
        </w:rPr>
        <w:t>违约</w:t>
      </w:r>
      <w:r>
        <w:rPr>
          <w:rFonts w:hint="eastAsia" w:ascii="仿宋" w:hAnsi="仿宋" w:eastAsia="仿宋" w:cs="仿宋"/>
          <w:bCs/>
          <w:szCs w:val="28"/>
          <w:highlight w:val="none"/>
          <w:lang w:val="en-US" w:eastAsia="zh-CN"/>
        </w:rPr>
        <w:t>责任</w:t>
      </w:r>
      <w:r>
        <w:tab/>
      </w:r>
      <w:r>
        <w:fldChar w:fldCharType="begin"/>
      </w:r>
      <w:r>
        <w:instrText xml:space="preserve"> PAGEREF _Toc6114 \h </w:instrText>
      </w:r>
      <w:r>
        <w:fldChar w:fldCharType="separate"/>
      </w:r>
      <w:r>
        <w:t>15</w:t>
      </w:r>
      <w:r>
        <w:fldChar w:fldCharType="end"/>
      </w:r>
      <w:r>
        <w:rPr>
          <w:szCs w:val="28"/>
          <w:highlight w:val="none"/>
        </w:rPr>
        <w:fldChar w:fldCharType="end"/>
      </w:r>
    </w:p>
    <w:p w14:paraId="539B5E2A">
      <w:pPr>
        <w:pStyle w:val="8"/>
        <w:tabs>
          <w:tab w:val="right" w:leader="dot" w:pos="9240"/>
        </w:tabs>
      </w:pPr>
      <w:r>
        <w:rPr>
          <w:szCs w:val="28"/>
          <w:highlight w:val="none"/>
        </w:rPr>
        <w:fldChar w:fldCharType="begin"/>
      </w:r>
      <w:r>
        <w:rPr>
          <w:szCs w:val="28"/>
          <w:highlight w:val="none"/>
        </w:rPr>
        <w:instrText xml:space="preserve"> HYPERLINK \l _Toc23174 </w:instrText>
      </w:r>
      <w:r>
        <w:rPr>
          <w:szCs w:val="28"/>
          <w:highlight w:val="none"/>
        </w:rPr>
        <w:fldChar w:fldCharType="separate"/>
      </w:r>
      <w:r>
        <w:rPr>
          <w:rFonts w:hint="eastAsia" w:ascii="仿宋" w:hAnsi="仿宋" w:eastAsia="仿宋" w:cs="仿宋"/>
          <w:bCs/>
          <w:szCs w:val="28"/>
          <w:highlight w:val="none"/>
          <w:lang w:val="en-US" w:eastAsia="zh-CN"/>
        </w:rPr>
        <w:t>第七章、廉洁条款</w:t>
      </w:r>
      <w:r>
        <w:tab/>
      </w:r>
      <w:r>
        <w:fldChar w:fldCharType="begin"/>
      </w:r>
      <w:r>
        <w:instrText xml:space="preserve"> PAGEREF _Toc23174 \h </w:instrText>
      </w:r>
      <w:r>
        <w:fldChar w:fldCharType="separate"/>
      </w:r>
      <w:r>
        <w:t>17</w:t>
      </w:r>
      <w:r>
        <w:fldChar w:fldCharType="end"/>
      </w:r>
      <w:r>
        <w:rPr>
          <w:szCs w:val="28"/>
          <w:highlight w:val="none"/>
        </w:rPr>
        <w:fldChar w:fldCharType="end"/>
      </w:r>
    </w:p>
    <w:p w14:paraId="7B12696B">
      <w:pPr>
        <w:pStyle w:val="8"/>
        <w:tabs>
          <w:tab w:val="right" w:leader="dot" w:pos="9240"/>
        </w:tabs>
      </w:pPr>
      <w:r>
        <w:rPr>
          <w:szCs w:val="28"/>
          <w:highlight w:val="none"/>
        </w:rPr>
        <w:fldChar w:fldCharType="begin"/>
      </w:r>
      <w:r>
        <w:rPr>
          <w:szCs w:val="28"/>
          <w:highlight w:val="none"/>
        </w:rPr>
        <w:instrText xml:space="preserve"> HYPERLINK \l _Toc22646 </w:instrText>
      </w:r>
      <w:r>
        <w:rPr>
          <w:szCs w:val="28"/>
          <w:highlight w:val="none"/>
        </w:rPr>
        <w:fldChar w:fldCharType="separate"/>
      </w:r>
      <w:r>
        <w:rPr>
          <w:rFonts w:hint="eastAsia" w:ascii="仿宋" w:hAnsi="仿宋" w:eastAsia="仿宋" w:cs="仿宋"/>
          <w:bCs/>
          <w:szCs w:val="28"/>
          <w:highlight w:val="none"/>
          <w:lang w:val="en-US" w:eastAsia="zh-CN"/>
        </w:rPr>
        <w:t>第八章、其他</w:t>
      </w:r>
      <w:r>
        <w:tab/>
      </w:r>
      <w:r>
        <w:fldChar w:fldCharType="begin"/>
      </w:r>
      <w:r>
        <w:instrText xml:space="preserve"> PAGEREF _Toc22646 \h </w:instrText>
      </w:r>
      <w:r>
        <w:fldChar w:fldCharType="separate"/>
      </w:r>
      <w:r>
        <w:t>18</w:t>
      </w:r>
      <w:r>
        <w:fldChar w:fldCharType="end"/>
      </w:r>
      <w:r>
        <w:rPr>
          <w:szCs w:val="28"/>
          <w:highlight w:val="none"/>
        </w:rPr>
        <w:fldChar w:fldCharType="end"/>
      </w:r>
    </w:p>
    <w:p w14:paraId="3A5E7825">
      <w:pPr>
        <w:pStyle w:val="8"/>
        <w:tabs>
          <w:tab w:val="right" w:leader="dot" w:pos="9240"/>
        </w:tabs>
      </w:pPr>
    </w:p>
    <w:p w14:paraId="358401BA">
      <w:pPr>
        <w:spacing w:line="600" w:lineRule="auto"/>
        <w:ind w:firstLine="420" w:firstLineChars="200"/>
        <w:rPr>
          <w:rFonts w:hint="eastAsia" w:ascii="仿宋" w:hAnsi="仿宋" w:eastAsia="仿宋" w:cs="仿宋"/>
          <w:kern w:val="2"/>
          <w:sz w:val="21"/>
          <w:szCs w:val="28"/>
          <w:highlight w:val="none"/>
          <w:lang w:val="en-US" w:eastAsia="zh-CN" w:bidi="ar-SA"/>
        </w:rPr>
      </w:pPr>
      <w:r>
        <w:rPr>
          <w:szCs w:val="28"/>
          <w:highlight w:val="none"/>
        </w:rPr>
        <w:fldChar w:fldCharType="end"/>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TOC \o "1-1" \h \u </w:instrText>
      </w:r>
      <w:r>
        <w:rPr>
          <w:rFonts w:hint="eastAsia" w:ascii="仿宋" w:hAnsi="仿宋" w:eastAsia="仿宋" w:cs="仿宋"/>
          <w:sz w:val="28"/>
          <w:szCs w:val="28"/>
          <w:highlight w:val="none"/>
          <w:lang w:val="en-US" w:eastAsia="zh-CN"/>
        </w:rPr>
        <w:fldChar w:fldCharType="separate"/>
      </w:r>
    </w:p>
    <w:p w14:paraId="285D3A46">
      <w:pPr>
        <w:pStyle w:val="8"/>
        <w:tabs>
          <w:tab w:val="right" w:leader="dot" w:pos="9240"/>
        </w:tabs>
      </w:pPr>
    </w:p>
    <w:p w14:paraId="50697CCE">
      <w:pPr>
        <w:pStyle w:val="8"/>
        <w:tabs>
          <w:tab w:val="right" w:leader="dot" w:pos="9240"/>
        </w:tabs>
      </w:pPr>
    </w:p>
    <w:p w14:paraId="09861354">
      <w:pPr>
        <w:spacing w:line="600" w:lineRule="auto"/>
        <w:ind w:firstLine="420" w:firstLineChars="200"/>
        <w:rPr>
          <w:rFonts w:hint="eastAsia" w:ascii="仿宋" w:hAnsi="仿宋" w:eastAsia="仿宋" w:cs="仿宋"/>
          <w:sz w:val="28"/>
          <w:szCs w:val="28"/>
          <w:highlight w:val="none"/>
          <w:lang w:val="en-US" w:eastAsia="zh-CN"/>
        </w:rPr>
      </w:pPr>
      <w:r>
        <w:rPr>
          <w:rFonts w:hint="eastAsia" w:ascii="仿宋" w:hAnsi="仿宋" w:eastAsia="仿宋" w:cs="仿宋"/>
          <w:szCs w:val="28"/>
          <w:highlight w:val="none"/>
          <w:lang w:val="en-US" w:eastAsia="zh-CN"/>
        </w:rPr>
        <w:fldChar w:fldCharType="end"/>
      </w:r>
    </w:p>
    <w:p w14:paraId="1B40EE5A">
      <w:pPr>
        <w:ind w:firstLine="560" w:firstLineChars="200"/>
        <w:rPr>
          <w:rFonts w:hint="eastAsia" w:ascii="仿宋" w:hAnsi="仿宋" w:eastAsia="仿宋" w:cs="仿宋"/>
          <w:sz w:val="28"/>
          <w:szCs w:val="28"/>
          <w:highlight w:val="none"/>
          <w:lang w:val="en-US" w:eastAsia="zh-CN"/>
        </w:rPr>
      </w:pPr>
    </w:p>
    <w:p w14:paraId="656C22FF">
      <w:pPr>
        <w:ind w:firstLine="560" w:firstLineChars="200"/>
        <w:rPr>
          <w:rFonts w:hint="eastAsia" w:ascii="仿宋" w:hAnsi="仿宋" w:eastAsia="仿宋" w:cs="仿宋"/>
          <w:sz w:val="28"/>
          <w:szCs w:val="28"/>
          <w:highlight w:val="none"/>
          <w:lang w:val="en-US" w:eastAsia="zh-CN"/>
        </w:rPr>
      </w:pPr>
    </w:p>
    <w:p w14:paraId="77FFE29D">
      <w:pPr>
        <w:ind w:firstLine="560" w:firstLineChars="200"/>
        <w:rPr>
          <w:rFonts w:hint="eastAsia" w:ascii="仿宋" w:hAnsi="仿宋" w:eastAsia="仿宋" w:cs="仿宋"/>
          <w:sz w:val="28"/>
          <w:szCs w:val="28"/>
          <w:highlight w:val="none"/>
          <w:lang w:val="en-US" w:eastAsia="zh-CN"/>
        </w:rPr>
      </w:pPr>
    </w:p>
    <w:p w14:paraId="358235D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甲、乙双方在平等、自愿、公平和诚实信用的原则上，依据《中华人民共和国民法典》《中华人民共和国产品质量法》及其他有关法律法规，就拟用于</w:t>
      </w:r>
      <w:r>
        <w:rPr>
          <w:rFonts w:hint="eastAsia" w:ascii="仿宋" w:hAnsi="仿宋" w:eastAsia="仿宋" w:cs="仿宋"/>
          <w:sz w:val="28"/>
          <w:szCs w:val="28"/>
          <w:highlight w:val="none"/>
          <w:u w:val="single"/>
          <w:lang w:val="en-US" w:eastAsia="zh-CN"/>
        </w:rPr>
        <w:t>南京现代表面处理科技产业中心项目A地块</w:t>
      </w:r>
      <w:r>
        <w:rPr>
          <w:rFonts w:hint="eastAsia" w:ascii="仿宋" w:hAnsi="仿宋" w:eastAsia="仿宋" w:cs="仿宋"/>
          <w:sz w:val="28"/>
          <w:szCs w:val="28"/>
          <w:highlight w:val="none"/>
          <w:lang w:val="en-US" w:eastAsia="zh-CN"/>
        </w:rPr>
        <w:t>（以下简称“本项目”）的</w:t>
      </w:r>
      <w:r>
        <w:rPr>
          <w:rFonts w:hint="eastAsia" w:ascii="仿宋" w:hAnsi="仿宋" w:eastAsia="仿宋" w:cs="仿宋"/>
          <w:b/>
          <w:bCs/>
          <w:sz w:val="28"/>
          <w:szCs w:val="28"/>
          <w:highlight w:val="none"/>
          <w:u w:val="single"/>
          <w:lang w:val="en-US" w:eastAsia="zh-CN"/>
        </w:rPr>
        <w:t>散装干拌</w:t>
      </w:r>
      <w:r>
        <w:rPr>
          <w:rFonts w:hint="eastAsia" w:ascii="仿宋" w:hAnsi="仿宋" w:eastAsia="仿宋" w:cs="仿宋"/>
          <w:b/>
          <w:bCs/>
          <w:color w:val="auto"/>
          <w:sz w:val="28"/>
          <w:szCs w:val="28"/>
          <w:highlight w:val="none"/>
          <w:u w:val="single"/>
          <w:lang w:val="en-US" w:eastAsia="zh-CN"/>
        </w:rPr>
        <w:t>砂浆</w:t>
      </w:r>
      <w:r>
        <w:rPr>
          <w:rFonts w:hint="eastAsia" w:ascii="仿宋" w:hAnsi="仿宋" w:eastAsia="仿宋" w:cs="仿宋"/>
          <w:sz w:val="28"/>
          <w:szCs w:val="28"/>
          <w:highlight w:val="none"/>
          <w:lang w:val="en-US" w:eastAsia="zh-CN"/>
        </w:rPr>
        <w:t>（以下简称“产品”） 购销事宜协商一致，特签订本合同。（本合同范围内，对以</w:t>
      </w:r>
      <w:r>
        <w:rPr>
          <w:rFonts w:hint="eastAsia" w:ascii="仿宋" w:hAnsi="仿宋" w:eastAsia="仿宋" w:cs="仿宋"/>
          <w:sz w:val="28"/>
          <w:szCs w:val="28"/>
          <w:highlight w:val="none"/>
          <w:lang w:val="en-US" w:eastAsia="zh-CN"/>
        </w:rPr>
        <w:sym w:font="Wingdings" w:char="00A8"/>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开头的内容，以</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开头的内容为准。）</w:t>
      </w:r>
    </w:p>
    <w:p w14:paraId="24FA661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28" w:name="_Toc2019"/>
      <w:bookmarkStart w:id="29" w:name="_Toc20142"/>
      <w:bookmarkStart w:id="30" w:name="_Toc830"/>
      <w:bookmarkStart w:id="31" w:name="_Toc18179"/>
      <w:bookmarkStart w:id="32" w:name="_Toc26009"/>
      <w:bookmarkStart w:id="33" w:name="_Toc5311"/>
      <w:bookmarkStart w:id="34" w:name="_Toc30517"/>
      <w:r>
        <w:rPr>
          <w:rFonts w:hint="eastAsia" w:ascii="仿宋" w:hAnsi="仿宋" w:eastAsia="仿宋" w:cs="仿宋"/>
          <w:b/>
          <w:bCs/>
          <w:sz w:val="28"/>
          <w:szCs w:val="28"/>
          <w:highlight w:val="none"/>
          <w:lang w:val="en-US" w:eastAsia="zh-CN"/>
        </w:rPr>
        <w:t>第一章、产品内容及合同价款</w:t>
      </w:r>
      <w:bookmarkEnd w:id="28"/>
      <w:bookmarkEnd w:id="29"/>
      <w:bookmarkEnd w:id="30"/>
      <w:bookmarkEnd w:id="31"/>
      <w:r>
        <w:rPr>
          <w:rFonts w:hint="eastAsia" w:ascii="仿宋" w:hAnsi="仿宋" w:eastAsia="仿宋" w:cs="仿宋"/>
          <w:b/>
          <w:bCs/>
          <w:sz w:val="28"/>
          <w:szCs w:val="28"/>
          <w:highlight w:val="none"/>
          <w:lang w:val="en-US" w:eastAsia="zh-CN"/>
        </w:rPr>
        <w:tab/>
      </w:r>
      <w:bookmarkEnd w:id="32"/>
      <w:bookmarkEnd w:id="33"/>
      <w:bookmarkEnd w:id="34"/>
    </w:p>
    <w:tbl>
      <w:tblPr>
        <w:tblStyle w:val="10"/>
        <w:tblW w:w="5101"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463"/>
        <w:gridCol w:w="757"/>
        <w:gridCol w:w="1830"/>
        <w:gridCol w:w="918"/>
        <w:gridCol w:w="812"/>
        <w:gridCol w:w="978"/>
        <w:gridCol w:w="1000"/>
        <w:gridCol w:w="899"/>
      </w:tblGrid>
      <w:tr w14:paraId="37AB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08" w:type="pct"/>
            <w:noWrap w:val="0"/>
            <w:vAlign w:val="center"/>
          </w:tcPr>
          <w:p w14:paraId="0D47AF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1222" w:type="pct"/>
            <w:noWrap w:val="0"/>
            <w:vAlign w:val="center"/>
          </w:tcPr>
          <w:p w14:paraId="2AD804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1283" w:type="pct"/>
            <w:gridSpan w:val="2"/>
            <w:noWrap w:val="0"/>
            <w:vAlign w:val="center"/>
          </w:tcPr>
          <w:p w14:paraId="3DE012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455" w:type="pct"/>
            <w:noWrap w:val="0"/>
            <w:vAlign w:val="center"/>
          </w:tcPr>
          <w:p w14:paraId="068643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02" w:type="pct"/>
            <w:noWrap w:val="0"/>
            <w:vAlign w:val="center"/>
          </w:tcPr>
          <w:p w14:paraId="4DA0C8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485" w:type="pct"/>
            <w:noWrap w:val="0"/>
            <w:vAlign w:val="center"/>
          </w:tcPr>
          <w:p w14:paraId="71B5C0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496" w:type="pct"/>
            <w:noWrap w:val="0"/>
            <w:vAlign w:val="center"/>
          </w:tcPr>
          <w:p w14:paraId="735783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446" w:type="pct"/>
            <w:noWrap w:val="0"/>
            <w:vAlign w:val="center"/>
          </w:tcPr>
          <w:p w14:paraId="718FA6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05E3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8" w:type="pct"/>
            <w:noWrap w:val="0"/>
            <w:vAlign w:val="center"/>
          </w:tcPr>
          <w:p w14:paraId="2D186F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222" w:type="pct"/>
            <w:noWrap w:val="0"/>
            <w:vAlign w:val="center"/>
          </w:tcPr>
          <w:p w14:paraId="6038BF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外墙专用防水砂浆</w:t>
            </w:r>
          </w:p>
        </w:tc>
        <w:tc>
          <w:tcPr>
            <w:tcW w:w="1283" w:type="pct"/>
            <w:gridSpan w:val="2"/>
            <w:noWrap w:val="0"/>
            <w:vAlign w:val="center"/>
          </w:tcPr>
          <w:p w14:paraId="5190CA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1：3</w:t>
            </w:r>
          </w:p>
        </w:tc>
        <w:tc>
          <w:tcPr>
            <w:tcW w:w="455" w:type="pct"/>
            <w:noWrap w:val="0"/>
            <w:vAlign w:val="center"/>
          </w:tcPr>
          <w:p w14:paraId="0A563D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42A3D1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85" w:type="pct"/>
            <w:noWrap w:val="0"/>
            <w:vAlign w:val="center"/>
          </w:tcPr>
          <w:p w14:paraId="34319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61BB37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0E0656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5661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8" w:type="pct"/>
            <w:noWrap w:val="0"/>
            <w:vAlign w:val="center"/>
          </w:tcPr>
          <w:p w14:paraId="2CBEE2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1222" w:type="pct"/>
            <w:noWrap w:val="0"/>
            <w:vAlign w:val="center"/>
          </w:tcPr>
          <w:p w14:paraId="17085F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水泥砂浆</w:t>
            </w:r>
          </w:p>
        </w:tc>
        <w:tc>
          <w:tcPr>
            <w:tcW w:w="1283" w:type="pct"/>
            <w:gridSpan w:val="2"/>
            <w:noWrap w:val="0"/>
            <w:vAlign w:val="center"/>
          </w:tcPr>
          <w:p w14:paraId="640700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1：2</w:t>
            </w:r>
          </w:p>
        </w:tc>
        <w:tc>
          <w:tcPr>
            <w:tcW w:w="455" w:type="pct"/>
            <w:noWrap w:val="0"/>
            <w:vAlign w:val="center"/>
          </w:tcPr>
          <w:p w14:paraId="43A1E2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25E45B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85" w:type="pct"/>
            <w:noWrap w:val="0"/>
            <w:vAlign w:val="center"/>
          </w:tcPr>
          <w:p w14:paraId="41CDB3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5F9594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71C6FE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6E2B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8" w:type="pct"/>
            <w:noWrap w:val="0"/>
            <w:vAlign w:val="center"/>
          </w:tcPr>
          <w:p w14:paraId="0C78C2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1222" w:type="pct"/>
            <w:noWrap w:val="0"/>
            <w:vAlign w:val="center"/>
          </w:tcPr>
          <w:p w14:paraId="3E702F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水泥砂浆</w:t>
            </w:r>
          </w:p>
        </w:tc>
        <w:tc>
          <w:tcPr>
            <w:tcW w:w="1283" w:type="pct"/>
            <w:gridSpan w:val="2"/>
            <w:noWrap w:val="0"/>
            <w:vAlign w:val="center"/>
          </w:tcPr>
          <w:p w14:paraId="66ACCE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1：3</w:t>
            </w:r>
          </w:p>
        </w:tc>
        <w:tc>
          <w:tcPr>
            <w:tcW w:w="455" w:type="pct"/>
            <w:noWrap w:val="0"/>
            <w:vAlign w:val="center"/>
          </w:tcPr>
          <w:p w14:paraId="1CC0DA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4F9842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85" w:type="pct"/>
            <w:noWrap w:val="0"/>
            <w:vAlign w:val="center"/>
          </w:tcPr>
          <w:p w14:paraId="322D87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6EF158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6FEFD8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21F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8" w:type="pct"/>
            <w:noWrap w:val="0"/>
            <w:vAlign w:val="center"/>
          </w:tcPr>
          <w:p w14:paraId="289F8F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1222" w:type="pct"/>
            <w:noWrap w:val="0"/>
            <w:vAlign w:val="center"/>
          </w:tcPr>
          <w:p w14:paraId="1CA005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砌筑砂浆</w:t>
            </w:r>
          </w:p>
        </w:tc>
        <w:tc>
          <w:tcPr>
            <w:tcW w:w="1283" w:type="pct"/>
            <w:gridSpan w:val="2"/>
            <w:noWrap w:val="0"/>
            <w:vAlign w:val="center"/>
          </w:tcPr>
          <w:p w14:paraId="63811D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Ma7.5</w:t>
            </w:r>
          </w:p>
        </w:tc>
        <w:tc>
          <w:tcPr>
            <w:tcW w:w="455" w:type="pct"/>
            <w:noWrap w:val="0"/>
            <w:vAlign w:val="center"/>
          </w:tcPr>
          <w:p w14:paraId="25A737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6CFA5A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85" w:type="pct"/>
            <w:noWrap w:val="0"/>
            <w:vAlign w:val="center"/>
          </w:tcPr>
          <w:p w14:paraId="17307E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7EA83C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62F9D8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07AD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8" w:type="pct"/>
            <w:noWrap w:val="0"/>
            <w:vAlign w:val="center"/>
          </w:tcPr>
          <w:p w14:paraId="612650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w:t>
            </w:r>
          </w:p>
        </w:tc>
        <w:tc>
          <w:tcPr>
            <w:tcW w:w="1222" w:type="pct"/>
            <w:noWrap w:val="0"/>
            <w:vAlign w:val="center"/>
          </w:tcPr>
          <w:p w14:paraId="4E9980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砌筑砂浆</w:t>
            </w:r>
          </w:p>
        </w:tc>
        <w:tc>
          <w:tcPr>
            <w:tcW w:w="1283" w:type="pct"/>
            <w:gridSpan w:val="2"/>
            <w:noWrap w:val="0"/>
            <w:vAlign w:val="center"/>
          </w:tcPr>
          <w:p w14:paraId="1B0899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Ma5</w:t>
            </w:r>
          </w:p>
        </w:tc>
        <w:tc>
          <w:tcPr>
            <w:tcW w:w="455" w:type="pct"/>
            <w:noWrap w:val="0"/>
            <w:vAlign w:val="center"/>
          </w:tcPr>
          <w:p w14:paraId="14C125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2A3FBC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85" w:type="pct"/>
            <w:noWrap w:val="0"/>
            <w:vAlign w:val="center"/>
          </w:tcPr>
          <w:p w14:paraId="2A9398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69FF5F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195F3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694F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trPr>
        <w:tc>
          <w:tcPr>
            <w:tcW w:w="1806" w:type="pct"/>
            <w:gridSpan w:val="3"/>
            <w:noWrap w:val="0"/>
            <w:vAlign w:val="center"/>
          </w:tcPr>
          <w:p w14:paraId="32DF77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合同暂定总价（1+2+3+4+5）</w:t>
            </w:r>
          </w:p>
        </w:tc>
        <w:tc>
          <w:tcPr>
            <w:tcW w:w="3193" w:type="pct"/>
            <w:gridSpan w:val="6"/>
            <w:noWrap w:val="0"/>
            <w:vAlign w:val="center"/>
          </w:tcPr>
          <w:p w14:paraId="2D315B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元</w:t>
            </w:r>
          </w:p>
          <w:p w14:paraId="71EC04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w:t>
            </w:r>
            <w:r>
              <w:rPr>
                <w:rFonts w:hint="eastAsia" w:ascii="仿宋" w:hAnsi="仿宋" w:eastAsia="仿宋" w:cs="仿宋"/>
                <w:b/>
                <w:bCs/>
                <w:sz w:val="28"/>
                <w:szCs w:val="28"/>
                <w:highlight w:val="none"/>
              </w:rPr>
              <w:t>合同暂定总价仅供参考，不作结算用途</w:t>
            </w:r>
            <w:r>
              <w:rPr>
                <w:rFonts w:hint="eastAsia" w:ascii="仿宋" w:hAnsi="仿宋" w:eastAsia="仿宋" w:cs="仿宋"/>
                <w:b/>
                <w:bCs/>
                <w:color w:val="auto"/>
                <w:sz w:val="28"/>
                <w:szCs w:val="28"/>
                <w:highlight w:val="none"/>
                <w:vertAlign w:val="baseline"/>
                <w:lang w:val="en-US" w:eastAsia="zh-CN"/>
              </w:rPr>
              <w:t xml:space="preserve">） </w:t>
            </w:r>
          </w:p>
        </w:tc>
      </w:tr>
    </w:tbl>
    <w:p w14:paraId="397DCBB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表一</w:t>
      </w:r>
    </w:p>
    <w:p w14:paraId="31F5AC3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1.1本合同为固定单价合同，合同单价详见上表及附件《报价清单》。</w:t>
      </w:r>
      <w:r>
        <w:rPr>
          <w:rFonts w:hint="eastAsia" w:ascii="仿宋" w:hAnsi="仿宋" w:eastAsia="仿宋" w:cs="仿宋"/>
          <w:sz w:val="28"/>
          <w:szCs w:val="28"/>
          <w:highlight w:val="none"/>
        </w:rPr>
        <w:t>合同单价含材料原价、材料运杂费、运输费、损耗费、采购保管费等运至</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的各项费用</w:t>
      </w:r>
      <w:r>
        <w:rPr>
          <w:rFonts w:hint="eastAsia" w:ascii="仿宋" w:hAnsi="仿宋" w:eastAsia="仿宋" w:cs="仿宋"/>
          <w:sz w:val="28"/>
          <w:szCs w:val="28"/>
          <w:highlight w:val="none"/>
          <w:lang w:val="en-US" w:eastAsia="zh-CN"/>
        </w:rPr>
        <w:t>和</w:t>
      </w:r>
      <w:r>
        <w:rPr>
          <w:rFonts w:hint="eastAsia" w:ascii="仿宋" w:hAnsi="仿宋" w:eastAsia="仿宋" w:cs="仿宋"/>
          <w:color w:val="auto"/>
          <w:sz w:val="28"/>
          <w:szCs w:val="28"/>
          <w:highlight w:val="none"/>
          <w:lang w:eastAsia="zh-CN"/>
        </w:rPr>
        <w:t>人工费</w:t>
      </w:r>
      <w:r>
        <w:rPr>
          <w:rFonts w:hint="eastAsia" w:ascii="仿宋" w:hAnsi="仿宋" w:eastAsia="仿宋" w:cs="仿宋"/>
          <w:sz w:val="28"/>
          <w:szCs w:val="28"/>
          <w:highlight w:val="none"/>
        </w:rPr>
        <w:t>，也包含税金、提供检验检测所需材料费（数量按当地送检取样要求)、检验检测费(材料移交甲方前的所有检验检测费用，检验检测结果须符合工程所在地政府主管部门要求)、装卸费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sz w:val="28"/>
          <w:szCs w:val="28"/>
          <w:highlight w:val="none"/>
        </w:rPr>
        <w:t>、风险费、保险费、利润、管理费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税金</w:t>
      </w:r>
      <w:r>
        <w:rPr>
          <w:rFonts w:hint="eastAsia" w:ascii="仿宋" w:hAnsi="仿宋" w:eastAsia="仿宋" w:cs="仿宋"/>
          <w:sz w:val="28"/>
          <w:szCs w:val="28"/>
          <w:highlight w:val="none"/>
        </w:rPr>
        <w:t>等承担合同义务、责任、风险所涉及的全部费用。</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的增值税专用</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税率按国家政策执行，</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税率</w:t>
      </w:r>
      <w:r>
        <w:rPr>
          <w:rFonts w:hint="eastAsia" w:ascii="仿宋" w:hAnsi="仿宋" w:eastAsia="仿宋" w:cs="仿宋"/>
          <w:color w:val="auto"/>
          <w:sz w:val="28"/>
          <w:szCs w:val="28"/>
          <w:highlight w:val="none"/>
          <w:lang w:eastAsia="zh-CN"/>
        </w:rPr>
        <w:t>调整，</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单价随之调整</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除合同另有约定外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eastAsia="zh-CN"/>
        </w:rPr>
        <w:t>作</w:t>
      </w:r>
      <w:r>
        <w:rPr>
          <w:rFonts w:hint="eastAsia" w:ascii="仿宋" w:hAnsi="仿宋" w:eastAsia="仿宋" w:cs="仿宋"/>
          <w:color w:val="auto"/>
          <w:sz w:val="28"/>
          <w:szCs w:val="28"/>
          <w:highlight w:val="none"/>
        </w:rPr>
        <w:t>任何调整</w:t>
      </w:r>
      <w:r>
        <w:rPr>
          <w:rFonts w:hint="eastAsia" w:ascii="仿宋" w:hAnsi="仿宋" w:eastAsia="仿宋" w:cs="仿宋"/>
          <w:color w:val="auto"/>
          <w:sz w:val="28"/>
          <w:szCs w:val="28"/>
          <w:highlight w:val="none"/>
          <w:lang w:eastAsia="zh-CN"/>
        </w:rPr>
        <w:t>。</w:t>
      </w:r>
    </w:p>
    <w:p w14:paraId="3752704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乙方的送货数量由甲方决定，乙方无条件配合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上述</w:t>
      </w:r>
      <w:r>
        <w:rPr>
          <w:rFonts w:hint="eastAsia" w:ascii="仿宋" w:hAnsi="仿宋" w:eastAsia="仿宋" w:cs="仿宋"/>
          <w:color w:val="auto"/>
          <w:sz w:val="28"/>
          <w:szCs w:val="28"/>
          <w:highlight w:val="none"/>
          <w:lang w:eastAsia="zh-CN"/>
        </w:rPr>
        <w:t>数量仅作参考，不作为结算依据。</w:t>
      </w:r>
      <w:r>
        <w:rPr>
          <w:rFonts w:hint="eastAsia" w:ascii="仿宋" w:hAnsi="仿宋" w:eastAsia="仿宋" w:cs="仿宋"/>
          <w:color w:val="auto"/>
          <w:sz w:val="28"/>
          <w:szCs w:val="28"/>
          <w:highlight w:val="none"/>
        </w:rPr>
        <w:t>产品购销数量按甲方实际</w:t>
      </w:r>
      <w:r>
        <w:rPr>
          <w:rFonts w:hint="eastAsia" w:ascii="仿宋" w:hAnsi="仿宋" w:eastAsia="仿宋" w:cs="仿宋"/>
          <w:color w:val="auto"/>
          <w:sz w:val="28"/>
          <w:szCs w:val="28"/>
          <w:highlight w:val="none"/>
          <w:lang w:val="en-US" w:eastAsia="zh-CN"/>
        </w:rPr>
        <w:t>接收并</w:t>
      </w:r>
      <w:r>
        <w:rPr>
          <w:rFonts w:hint="eastAsia" w:ascii="仿宋" w:hAnsi="仿宋" w:eastAsia="仿宋" w:cs="仿宋"/>
          <w:color w:val="auto"/>
          <w:sz w:val="28"/>
          <w:szCs w:val="28"/>
          <w:highlight w:val="none"/>
        </w:rPr>
        <w:t>验收合格的数量结算</w:t>
      </w:r>
      <w:r>
        <w:rPr>
          <w:rFonts w:hint="eastAsia" w:ascii="仿宋" w:hAnsi="仿宋" w:eastAsia="仿宋" w:cs="仿宋"/>
          <w:color w:val="auto"/>
          <w:sz w:val="28"/>
          <w:szCs w:val="28"/>
          <w:highlight w:val="none"/>
          <w:lang w:eastAsia="zh-CN"/>
        </w:rPr>
        <w:t>。</w:t>
      </w:r>
    </w:p>
    <w:p w14:paraId="23D756C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乙方根据甲方需要提供现场临时指导和培训，费用已包含在合同单价中，不另计费。</w:t>
      </w:r>
    </w:p>
    <w:p w14:paraId="45B3F54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其他需要约定的与价格相关的事项：</w:t>
      </w:r>
    </w:p>
    <w:p w14:paraId="32C0C76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1.4.1合同单价有效期为：本合同生效之日起至本项目所需产品全部供应完毕为止。</w:t>
      </w:r>
      <w:r>
        <w:rPr>
          <w:rFonts w:hint="eastAsia" w:ascii="仿宋" w:hAnsi="仿宋" w:eastAsia="仿宋" w:cs="仿宋"/>
          <w:color w:val="auto"/>
          <w:sz w:val="28"/>
          <w:szCs w:val="28"/>
          <w:highlight w:val="none"/>
          <w:lang w:val="en-US" w:eastAsia="zh-CN"/>
        </w:rPr>
        <w:t>对表一所列产品</w:t>
      </w:r>
      <w:r>
        <w:rPr>
          <w:rFonts w:hint="eastAsia" w:ascii="仿宋" w:hAnsi="仿宋" w:eastAsia="仿宋" w:cs="仿宋"/>
          <w:color w:val="auto"/>
          <w:sz w:val="28"/>
          <w:szCs w:val="28"/>
          <w:highlight w:val="none"/>
          <w:lang w:eastAsia="zh-CN"/>
        </w:rPr>
        <w:t>，如市场价格发生波动，双方另行协商并以调价函（格式详见附件）确定协商结果。</w:t>
      </w:r>
      <w:r>
        <w:rPr>
          <w:rFonts w:hint="eastAsia" w:ascii="仿宋" w:hAnsi="仿宋" w:eastAsia="仿宋" w:cs="仿宋"/>
          <w:color w:val="auto"/>
          <w:sz w:val="28"/>
          <w:szCs w:val="28"/>
          <w:highlight w:val="none"/>
          <w:lang w:val="en-US" w:eastAsia="zh-CN"/>
        </w:rPr>
        <w:t>对附件《报价清单》所列产品，则按该清单所列办法确定结算单价。</w:t>
      </w:r>
    </w:p>
    <w:p w14:paraId="1274BA1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1.4.2其他要求：乙方供应的产品须在甲方自建</w:t>
      </w:r>
      <w:r>
        <w:rPr>
          <w:rFonts w:hint="eastAsia" w:ascii="仿宋" w:hAnsi="仿宋" w:eastAsia="仿宋" w:cs="仿宋"/>
          <w:color w:val="auto"/>
          <w:sz w:val="28"/>
          <w:szCs w:val="28"/>
          <w:highlight w:val="none"/>
          <w:lang w:val="en-US" w:eastAsia="zh-CN"/>
        </w:rPr>
        <w:t>的本项目</w:t>
      </w:r>
      <w:r>
        <w:rPr>
          <w:rFonts w:hint="eastAsia" w:ascii="仿宋" w:hAnsi="仿宋" w:eastAsia="仿宋" w:cs="仿宋"/>
          <w:color w:val="auto"/>
          <w:sz w:val="28"/>
          <w:szCs w:val="28"/>
          <w:highlight w:val="none"/>
          <w:lang w:eastAsia="zh-CN"/>
        </w:rPr>
        <w:t>地磅过磅（双方人员共同见证），由甲方出具过磅单。若</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lang w:val="en-US" w:eastAsia="zh-CN"/>
        </w:rPr>
        <w:t>地磅的</w:t>
      </w:r>
      <w:r>
        <w:rPr>
          <w:rFonts w:hint="eastAsia" w:ascii="仿宋" w:hAnsi="仿宋" w:eastAsia="仿宋" w:cs="仿宋"/>
          <w:color w:val="auto"/>
          <w:sz w:val="28"/>
          <w:szCs w:val="28"/>
          <w:highlight w:val="none"/>
          <w:lang w:eastAsia="zh-CN"/>
        </w:rPr>
        <w:t>过磅重量与乙方送货单所列重量之差在±0.3%以内（以乙方送货单所列重量为基数，下同），以乙方送货单所列重量结算；若</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lang w:val="en-US" w:eastAsia="zh-CN"/>
        </w:rPr>
        <w:t>地磅的</w:t>
      </w:r>
      <w:r>
        <w:rPr>
          <w:rFonts w:hint="eastAsia" w:ascii="仿宋" w:hAnsi="仿宋" w:eastAsia="仿宋" w:cs="仿宋"/>
          <w:color w:val="auto"/>
          <w:sz w:val="28"/>
          <w:szCs w:val="28"/>
          <w:highlight w:val="none"/>
          <w:lang w:eastAsia="zh-CN"/>
        </w:rPr>
        <w:t>过磅重量与乙方送货单所列重量之差超出或等于±0.3%（以乙方送货单所列重量为基数，下同），双方共同选择第三方公磅进行复磅（公磅选择标准：符合技术监督局检验合格且距交货地点距离较近位置的公磅），公磅所列重量与乙方送货单所列重量之差在±0.3%以内的，按乙方送货单所列重量结算，公磅费由甲方承担；若公磅所列重量与乙方送货单所列重量之差超出或等于±0.3%，按公磅所列重量结算,公磅费由乙方承担。</w:t>
      </w:r>
    </w:p>
    <w:p w14:paraId="4582D2F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如甲方未自建地磅，则到甲乙双方认可的第三方公磅进行过磅，并以该磅过磅单的所列重量结算。</w:t>
      </w:r>
    </w:p>
    <w:p w14:paraId="6CD3CE6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产品在甲方自建</w:t>
      </w:r>
      <w:r>
        <w:rPr>
          <w:rFonts w:hint="eastAsia" w:ascii="仿宋" w:hAnsi="仿宋" w:eastAsia="仿宋" w:cs="仿宋"/>
          <w:color w:val="auto"/>
          <w:sz w:val="28"/>
          <w:szCs w:val="28"/>
          <w:highlight w:val="none"/>
          <w:lang w:val="en-US" w:eastAsia="zh-CN"/>
        </w:rPr>
        <w:t>的本项目</w:t>
      </w:r>
      <w:r>
        <w:rPr>
          <w:rFonts w:hint="eastAsia" w:ascii="仿宋" w:hAnsi="仿宋" w:eastAsia="仿宋" w:cs="仿宋"/>
          <w:color w:val="auto"/>
          <w:sz w:val="28"/>
          <w:szCs w:val="28"/>
          <w:highlight w:val="none"/>
          <w:lang w:eastAsia="zh-CN"/>
        </w:rPr>
        <w:t>地磅过磅产生的过磅单及第三方公磅产生的过磅单，乙方送货人员须签名确认，否则甲方不予支付相关费用。</w:t>
      </w:r>
    </w:p>
    <w:p w14:paraId="51D59B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1.5合同单价已包含各种保险费用，乙方不得另计保险而向甲方索要费用。</w:t>
      </w:r>
    </w:p>
    <w:p w14:paraId="579EE84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5" w:name="_Toc13656"/>
      <w:bookmarkStart w:id="36" w:name="_Toc16178"/>
      <w:bookmarkStart w:id="37" w:name="_Toc8210"/>
      <w:bookmarkStart w:id="38" w:name="_Toc5237"/>
      <w:r>
        <w:rPr>
          <w:rFonts w:hint="eastAsia" w:ascii="仿宋" w:hAnsi="仿宋" w:eastAsia="仿宋" w:cs="仿宋"/>
          <w:b/>
          <w:bCs/>
          <w:sz w:val="28"/>
          <w:szCs w:val="28"/>
          <w:highlight w:val="none"/>
          <w:lang w:val="en-US" w:eastAsia="zh-CN"/>
        </w:rPr>
        <w:t>第二章、付款方式</w:t>
      </w:r>
      <w:bookmarkEnd w:id="35"/>
      <w:bookmarkEnd w:id="36"/>
      <w:bookmarkEnd w:id="37"/>
      <w:bookmarkEnd w:id="38"/>
    </w:p>
    <w:p w14:paraId="63887F3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□办法一</w:t>
      </w:r>
    </w:p>
    <w:p w14:paraId="1D3965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w:t>
      </w:r>
      <w:r>
        <w:rPr>
          <w:rFonts w:hint="eastAsia" w:ascii="仿宋" w:hAnsi="仿宋" w:eastAsia="仿宋" w:cs="仿宋"/>
          <w:b w:val="0"/>
          <w:bCs w:val="0"/>
          <w:sz w:val="28"/>
          <w:szCs w:val="28"/>
          <w:highlight w:val="none"/>
          <w:u w:val="single"/>
          <w:lang w:val="en-US" w:eastAsia="zh-CN"/>
        </w:rPr>
        <w:t>甲乙双方须每月对账并确认对账结果，对账结果须经甲方项目成本管理员签认。</w:t>
      </w:r>
    </w:p>
    <w:p w14:paraId="39828AD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6C9E4BE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w:t>
      </w:r>
      <w:r>
        <w:rPr>
          <w:rFonts w:hint="eastAsia" w:ascii="仿宋" w:hAnsi="仿宋" w:eastAsia="仿宋" w:cs="仿宋"/>
          <w:b/>
          <w:bCs/>
          <w:sz w:val="28"/>
          <w:szCs w:val="28"/>
          <w:highlight w:val="none"/>
          <w:u w:val="none"/>
          <w:lang w:val="en-US" w:eastAsia="zh-CN"/>
        </w:rPr>
        <w:t>办法二</w:t>
      </w:r>
    </w:p>
    <w:p w14:paraId="19762069">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default" w:ascii="仿宋" w:hAnsi="仿宋" w:eastAsia="仿宋" w:cs="仿宋"/>
          <w:b/>
          <w:bCs/>
          <w:sz w:val="28"/>
          <w:szCs w:val="28"/>
          <w:highlight w:val="none"/>
          <w:u w:val="single"/>
          <w:lang w:val="en-US" w:eastAsia="zh-CN"/>
        </w:rPr>
      </w:pPr>
      <w:r>
        <w:rPr>
          <w:rFonts w:hint="eastAsia" w:ascii="仿宋" w:hAnsi="仿宋" w:eastAsia="仿宋" w:cs="仿宋"/>
          <w:b/>
          <w:bCs/>
          <w:sz w:val="28"/>
          <w:szCs w:val="28"/>
          <w:highlight w:val="none"/>
          <w:u w:val="none"/>
          <w:lang w:val="en-US" w:eastAsia="zh-CN"/>
        </w:rPr>
        <w:t>2.1</w:t>
      </w:r>
      <w:r>
        <w:rPr>
          <w:rFonts w:hint="eastAsia" w:ascii="仿宋" w:hAnsi="仿宋" w:eastAsia="仿宋" w:cs="仿宋"/>
          <w:b/>
          <w:bCs/>
          <w:color w:val="auto"/>
          <w:sz w:val="28"/>
          <w:highlight w:val="none"/>
          <w:u w:val="none"/>
          <w:lang w:val="en-US" w:eastAsia="zh-CN"/>
        </w:rPr>
        <w:t>每月货款下月支付。乙方按合同约定将甲方每月所需产品送到交货地点，经甲方形式验收合格并移交甲方，且乙方按合同约定的时间交齐上月货款对账资料并与甲方完成对账后，甲方付清上月货款。乙方逾期交齐对账资料或完成对账的，付款日期顺延至货款完成对账月份的下月底前。甲乙双方须每月对账并确认对账结果，对账结果须经甲方项目成本管理员签认方为有效。</w:t>
      </w:r>
    </w:p>
    <w:p w14:paraId="275EB1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对账日期：对账日期为每月3日至每月8日。乙方在每月3日前一次性交齐上月供货产品的对账资料至甲方项目部，双方在每月8日前（遇节假日则顺延）完成对账，如乙方逾期交齐对账资料，则对账日期顺延至次月的3日至8日。次月乙方对账时还须提供“同意延迟付款声明函”（格式详见附件）给甲方，以此类推。(例：乙方在6月3日前交齐5月份货款的对账资料给甲方项目部并在6月8日完成对账的，则甲方在6月30日前支付5月份货款的100%；若乙方6月4日（或更迟）交齐5月份货款的对账资料给甲方，则5月份货款的对账时间顺延至7月3日至8日，付款时间顺延至7月31日前。依此类推。)</w:t>
      </w:r>
    </w:p>
    <w:p w14:paraId="54EE0C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2.2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3D47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2.3乙方每次对账须提供：甲方下料订单(即甲方发出的《物料申购单》，格式详见附件)、乙方对账单（结算单）、本合同复印件（含调价函）、材料签收单、乙方送货单（发货单）、材料收货水印照片、材料款申报确认表、付款台账汇总表、供应商月度对账单（格式详见附件）、结清承诺书。</w:t>
      </w:r>
    </w:p>
    <w:p w14:paraId="2C5E12C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2.3.1对账资料具体要求：</w:t>
      </w:r>
    </w:p>
    <w:p w14:paraId="5C2BDDE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①乙方对账单（结算单）：该单据须乙方盖章及乙方人员签名和日期，经甲方人员（甲方合同执行人、甲方仓管员）核对无误后签名和日期，原则上款项内容处填写的对账日期应与签注的日期一致。</w:t>
      </w:r>
    </w:p>
    <w:p w14:paraId="1F70092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②本合同复印件（含调价函、合同约定的施工当期“信息价”复印件）：合同复印件以双方签章完毕的为准，包括本合同及附属补充协议；调价函及调税率函以适用的为准（须加盖双方公章），过期或者不适用的不附，如不调价/调税，则无需提供。合同约定的施工当期“信息价”复印件（须加盖乙方公章）。</w:t>
      </w:r>
    </w:p>
    <w:p w14:paraId="33CDC0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③材料签收单：注明材料所用项目、地块、第几期，并正确填写日期、乙方全称、材料名称、规格型号、数量及金额等信息，不得随意修改或涂划，若确有修改，则在需修正数据旁进行修正并附甲方合同执行人、甲方仓管员签名。关于甲乙双方人员（甲方合同执行联系人、甲方仓管员，乙方送货员、乙方合同授权代表）签字，甲方如有规定则按相关规定办理。</w:t>
      </w:r>
    </w:p>
    <w:p w14:paraId="1F1B501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④乙方送货单（发货单）：此单据须乙方盖章及甲乙双方人员（甲方合同执行联系人、甲方仓管员、乙方送货员、乙方合同授权代表）签字，具体按甲方《</w:t>
      </w:r>
      <w:r>
        <w:rPr>
          <w:rFonts w:hint="eastAsia" w:ascii="仿宋" w:hAnsi="仿宋" w:eastAsia="仿宋" w:cs="仿宋"/>
          <w:b w:val="0"/>
          <w:bCs w:val="0"/>
          <w:sz w:val="28"/>
          <w:szCs w:val="28"/>
          <w:highlight w:val="none"/>
          <w:u w:val="none"/>
          <w:lang w:val="en-US" w:eastAsia="zh-CN"/>
        </w:rPr>
        <w:fldChar w:fldCharType="begin"/>
      </w:r>
      <w:r>
        <w:rPr>
          <w:rFonts w:hint="eastAsia" w:ascii="仿宋" w:hAnsi="仿宋" w:eastAsia="仿宋" w:cs="仿宋"/>
          <w:b w:val="0"/>
          <w:bCs w:val="0"/>
          <w:sz w:val="28"/>
          <w:szCs w:val="28"/>
          <w:highlight w:val="none"/>
          <w:u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b w:val="0"/>
          <w:bCs w:val="0"/>
          <w:sz w:val="28"/>
          <w:szCs w:val="28"/>
          <w:highlight w:val="none"/>
          <w:u w:val="none"/>
          <w:lang w:val="en-US" w:eastAsia="zh-CN"/>
        </w:rPr>
        <w:fldChar w:fldCharType="separate"/>
      </w:r>
      <w:r>
        <w:rPr>
          <w:rFonts w:hint="eastAsia" w:ascii="仿宋" w:hAnsi="仿宋" w:eastAsia="仿宋" w:cs="仿宋"/>
          <w:b w:val="0"/>
          <w:bCs w:val="0"/>
          <w:color w:val="auto"/>
          <w:sz w:val="28"/>
          <w:szCs w:val="28"/>
          <w:highlight w:val="none"/>
          <w:u w:val="none"/>
          <w:lang w:val="en-US" w:eastAsia="zh-CN"/>
        </w:rPr>
        <w:t>商品混凝土、</w:t>
      </w:r>
      <w:r>
        <w:rPr>
          <w:rFonts w:hint="eastAsia" w:ascii="仿宋" w:hAnsi="仿宋" w:eastAsia="仿宋" w:cs="仿宋"/>
          <w:b w:val="0"/>
          <w:bCs w:val="0"/>
          <w:sz w:val="28"/>
          <w:szCs w:val="28"/>
          <w:highlight w:val="none"/>
          <w:u w:val="none"/>
          <w:lang w:val="en-US" w:eastAsia="zh-CN"/>
        </w:rPr>
        <w:t>砂浆验收管理制度</w:t>
      </w:r>
      <w:r>
        <w:rPr>
          <w:rFonts w:hint="eastAsia" w:ascii="仿宋" w:hAnsi="仿宋" w:eastAsia="仿宋" w:cs="仿宋"/>
          <w:b w:val="0"/>
          <w:bCs w:val="0"/>
          <w:sz w:val="28"/>
          <w:szCs w:val="28"/>
          <w:highlight w:val="none"/>
          <w:u w:val="none"/>
          <w:lang w:val="en-US" w:eastAsia="zh-CN"/>
        </w:rPr>
        <w:fldChar w:fldCharType="end"/>
      </w:r>
      <w:r>
        <w:rPr>
          <w:rFonts w:hint="eastAsia" w:ascii="仿宋" w:hAnsi="仿宋" w:eastAsia="仿宋" w:cs="仿宋"/>
          <w:b w:val="0"/>
          <w:bCs w:val="0"/>
          <w:sz w:val="28"/>
          <w:szCs w:val="28"/>
          <w:highlight w:val="none"/>
          <w:u w:val="none"/>
          <w:lang w:val="en-US" w:eastAsia="zh-CN"/>
        </w:rPr>
        <w:t>》规定的验收组人员执行。</w:t>
      </w:r>
    </w:p>
    <w:p w14:paraId="745CC2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⑤材料收货水印照片：含甲乙双方参加材料签收人员留影，材料卸货前后对比照，材料实物规格、品牌等参数照，车辆、车牌信息照，卸货现场工程背景照，所有照片均须有水印备注，水印须有项目地址定位和拍照时间、日期。</w:t>
      </w:r>
    </w:p>
    <w:p w14:paraId="019000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⑥材料款申报确认表：格式详见附件。</w:t>
      </w:r>
    </w:p>
    <w:p w14:paraId="6981EF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⑦付款台账汇总表：格式详见附件。</w:t>
      </w:r>
    </w:p>
    <w:p w14:paraId="1FAB04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⑧结清承诺书：格式详见附件。</w:t>
      </w:r>
    </w:p>
    <w:p w14:paraId="78D7714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2.4付款形式：优先使用网银、银行承兑汇票等，支票、电汇视情况而定。甲方选择其中任意一种支付形式给乙方合同款，均视为乙方收到该款。</w:t>
      </w:r>
    </w:p>
    <w:p w14:paraId="09C7C8E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2.5发票要求：甲方收到乙方开具的、符合合同要求的发票后，方按合同约定办理付款。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乙方延迟提供发票的，在申请相关合同款时须提供“延迟付款声明函”（格式详见附件），同时甲方按签收合格发票之日起顺延相应日历天付款且不违约。（甲方顺延付款的日历天数=甲方实际签收合格发票日-合同约定的乙方提供合格发票日）</w:t>
      </w:r>
    </w:p>
    <w:p w14:paraId="72428B6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如因特殊情况甲方在收齐发票前已付款，乙方未按要求及时提供发票，每逾期1个日历天按合同暂定总价的1%向甲方支付违约金。如乙方经甲方书面催告后、超过5个日历天仍不提供的，乙方另按合同暂定总价的30%向甲方支付违约金。</w:t>
      </w:r>
    </w:p>
    <w:p w14:paraId="0E8448F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2.6乙方收款账户开户名称须与本合同乙方名称、收款发票开具单位名称一致，否则甲方有权不支付货款且不视为甲方违约，直到乙方提供甲方认可的发票再计付款周期。如甲方发现乙方开具假发票的，属乙方违约，乙方须书面向甲方承认开具假发票行为并重新开具合法发票，若乙方发生开具假发票行为则视乙方逾期提供发票，按第3.5条逾期提供发票支付违约金。因乙方提供假发票行为导致的不良后果（包括但不限于行政处罚或使甲方遭受损失等所有费用及损失）由乙方全部承担。</w:t>
      </w:r>
    </w:p>
    <w:p w14:paraId="1E46E5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2.7乙方必须按税法规定的四流合一执行合同，即合同流、货物流、发票流、资金流一致，否则视为乙方违约，且由乙方承担所有责任及损失，直至满足四流合一，甲方方才付款。</w:t>
      </w:r>
    </w:p>
    <w:p w14:paraId="2AB06C6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2.8乙方每次向甲方请款时，须按甲方要求注明该次请款所含的每个组团、每个地块、每栋楼具体金额，否则甲方有权不付款且不违约。</w:t>
      </w:r>
    </w:p>
    <w:p w14:paraId="233E94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2.9如甲乙双方对付款金额/结算金额产生争议，甲方有权暂缓付款且不违约，甲方无需向乙方支付违约金或利息，直至双方达成一致意见，方可按甲方相应流程办理付款手续。</w:t>
      </w:r>
    </w:p>
    <w:p w14:paraId="3A0736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2.10甲方支付完任一批次货款或双方完成本项目货款结算或合同款支付完毕后，视为乙方关于除质保金外的合同款支付事宜的全部权利全部消灭，乙方不得基于合同款支付事宜向甲方提出任何权利主张或追索其他任何费用。</w:t>
      </w:r>
    </w:p>
    <w:p w14:paraId="4879AC4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 xml:space="preserve">2.11乙方每次收取合同款时，当期乙方如有未付清给甲方的款项（如：罚款、违约金、代支付款、赔偿、加固、押金等），乙方须一次性付清后，甲方方才支付当期合同款，如乙方未付清所有当期应向甲方支付的款额，则甲方付款周期顺延且属乙方违约，直至乙方付清为止。  </w:t>
      </w:r>
    </w:p>
    <w:p w14:paraId="7FE8FE6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color w:val="auto"/>
          <w:sz w:val="28"/>
          <w:highlight w:val="none"/>
          <w:u w:val="none"/>
          <w:lang w:val="en-US" w:eastAsia="zh-CN"/>
        </w:rPr>
        <w:t>2.12合同履约保证金为人民币</w:t>
      </w:r>
      <w:r>
        <w:rPr>
          <w:rFonts w:hint="eastAsia" w:ascii="仿宋" w:hAnsi="仿宋" w:eastAsia="仿宋" w:cs="仿宋"/>
          <w:b w:val="0"/>
          <w:bCs w:val="0"/>
          <w:color w:val="auto"/>
          <w:sz w:val="28"/>
          <w:highlight w:val="none"/>
          <w:u w:val="single"/>
          <w:lang w:val="en-US" w:eastAsia="zh-CN"/>
        </w:rPr>
        <w:t xml:space="preserve"> 壹万 </w:t>
      </w:r>
      <w:r>
        <w:rPr>
          <w:rFonts w:hint="eastAsia" w:ascii="仿宋" w:hAnsi="仿宋" w:eastAsia="仿宋" w:cs="仿宋"/>
          <w:b w:val="0"/>
          <w:bCs w:val="0"/>
          <w:color w:val="auto"/>
          <w:sz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且按甲方要求供货完成，完成设备、人员撤场后，甲方无息原路退回剩余的履约保证金。</w:t>
      </w:r>
      <w:r>
        <w:rPr>
          <w:rFonts w:hint="eastAsia" w:ascii="仿宋" w:hAnsi="仿宋" w:eastAsia="仿宋" w:cs="仿宋"/>
          <w:b w:val="0"/>
          <w:bCs w:val="0"/>
          <w:sz w:val="28"/>
          <w:szCs w:val="28"/>
          <w:highlight w:val="none"/>
          <w:u w:val="none"/>
          <w:lang w:val="en-US" w:eastAsia="zh-CN"/>
        </w:rPr>
        <w:t xml:space="preserve">                                                                             </w:t>
      </w:r>
    </w:p>
    <w:p w14:paraId="1E7F748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9" w:name="_Toc13709"/>
      <w:bookmarkStart w:id="40" w:name="_Toc17081"/>
      <w:bookmarkStart w:id="41" w:name="_Toc19220"/>
      <w:bookmarkStart w:id="42" w:name="_Toc9375"/>
      <w:r>
        <w:rPr>
          <w:rFonts w:hint="eastAsia" w:ascii="仿宋" w:hAnsi="仿宋" w:eastAsia="仿宋" w:cs="仿宋"/>
          <w:b/>
          <w:bCs/>
          <w:sz w:val="28"/>
          <w:szCs w:val="28"/>
          <w:highlight w:val="none"/>
          <w:lang w:val="en-US" w:eastAsia="zh-CN"/>
        </w:rPr>
        <w:t>第三章、产品质量</w:t>
      </w:r>
      <w:bookmarkEnd w:id="39"/>
      <w:bookmarkEnd w:id="40"/>
      <w:r>
        <w:rPr>
          <w:rFonts w:hint="eastAsia" w:ascii="仿宋" w:hAnsi="仿宋" w:eastAsia="仿宋" w:cs="仿宋"/>
          <w:b/>
          <w:bCs/>
          <w:sz w:val="28"/>
          <w:szCs w:val="28"/>
          <w:highlight w:val="none"/>
          <w:lang w:val="en-US" w:eastAsia="zh-CN"/>
        </w:rPr>
        <w:t>要求</w:t>
      </w:r>
      <w:bookmarkEnd w:id="41"/>
      <w:bookmarkEnd w:id="42"/>
    </w:p>
    <w:p w14:paraId="41D6915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乙方所供</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须满足</w:t>
      </w:r>
      <w:r>
        <w:rPr>
          <w:rFonts w:hint="eastAsia" w:ascii="仿宋" w:hAnsi="仿宋" w:eastAsia="仿宋" w:cs="仿宋"/>
          <w:sz w:val="28"/>
          <w:szCs w:val="28"/>
          <w:highlight w:val="none"/>
          <w:lang w:val="en-US" w:eastAsia="zh-CN"/>
        </w:rPr>
        <w:t>合同约定、</w:t>
      </w:r>
      <w:r>
        <w:rPr>
          <w:rFonts w:hint="eastAsia" w:ascii="仿宋" w:hAnsi="仿宋" w:eastAsia="仿宋" w:cs="仿宋"/>
          <w:sz w:val="28"/>
          <w:szCs w:val="28"/>
          <w:highlight w:val="none"/>
        </w:rPr>
        <w:t>甲方验收要求且符合</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所在地</w:t>
      </w:r>
      <w:r>
        <w:rPr>
          <w:rFonts w:hint="eastAsia" w:ascii="仿宋" w:hAnsi="仿宋" w:eastAsia="仿宋" w:cs="仿宋"/>
          <w:sz w:val="28"/>
          <w:szCs w:val="28"/>
          <w:highlight w:val="none"/>
          <w:lang w:val="en-US" w:eastAsia="zh-CN"/>
        </w:rPr>
        <w:t>政府</w:t>
      </w:r>
      <w:r>
        <w:rPr>
          <w:rFonts w:hint="eastAsia" w:ascii="仿宋" w:hAnsi="仿宋" w:eastAsia="仿宋" w:cs="仿宋"/>
          <w:sz w:val="28"/>
          <w:szCs w:val="28"/>
          <w:highlight w:val="none"/>
        </w:rPr>
        <w:t>主管部门相关质量验收规范标准和文件要求。</w:t>
      </w:r>
    </w:p>
    <w:p w14:paraId="2DE04196">
      <w:pPr>
        <w:pStyle w:val="4"/>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2乙方提供的</w:t>
      </w:r>
      <w:r>
        <w:rPr>
          <w:rFonts w:hint="eastAsia" w:ascii="仿宋" w:hAnsi="仿宋" w:eastAsia="仿宋" w:cs="仿宋"/>
          <w:sz w:val="28"/>
          <w:szCs w:val="28"/>
          <w:highlight w:val="none"/>
          <w:lang w:val="en-US" w:eastAsia="zh-CN"/>
        </w:rPr>
        <w:t>干拌砂浆</w:t>
      </w:r>
      <w:r>
        <w:rPr>
          <w:rFonts w:hint="eastAsia" w:ascii="仿宋" w:hAnsi="仿宋" w:eastAsia="仿宋" w:cs="仿宋"/>
          <w:sz w:val="28"/>
          <w:szCs w:val="28"/>
          <w:highlight w:val="none"/>
        </w:rPr>
        <w:t>质量</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符合最新的国家标准</w:t>
      </w:r>
      <w:r>
        <w:rPr>
          <w:rFonts w:hint="eastAsia" w:ascii="仿宋" w:hAnsi="仿宋" w:eastAsia="仿宋" w:cs="仿宋"/>
          <w:sz w:val="28"/>
          <w:szCs w:val="28"/>
          <w:highlight w:val="none"/>
          <w:lang w:val="en-US" w:eastAsia="zh-CN"/>
        </w:rPr>
        <w:t>《预拌砂浆》GB/T25181-2010</w:t>
      </w:r>
      <w:r>
        <w:rPr>
          <w:rFonts w:hint="eastAsia" w:ascii="仿宋" w:hAnsi="仿宋" w:eastAsia="仿宋" w:cs="仿宋"/>
          <w:sz w:val="28"/>
          <w:szCs w:val="28"/>
          <w:highlight w:val="none"/>
        </w:rPr>
        <w:t>等有关行业和地方标准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向甲方提供相应的技术资料（</w:t>
      </w:r>
      <w:r>
        <w:rPr>
          <w:rFonts w:hint="eastAsia" w:ascii="仿宋" w:hAnsi="仿宋" w:eastAsia="仿宋" w:cs="仿宋"/>
          <w:sz w:val="28"/>
          <w:szCs w:val="28"/>
          <w:highlight w:val="none"/>
          <w:lang w:val="en-US" w:eastAsia="zh-CN"/>
        </w:rPr>
        <w:t>包括</w:t>
      </w:r>
      <w:r>
        <w:rPr>
          <w:rFonts w:hint="eastAsia" w:ascii="仿宋" w:hAnsi="仿宋" w:eastAsia="仿宋" w:cs="仿宋"/>
          <w:sz w:val="28"/>
          <w:szCs w:val="28"/>
          <w:highlight w:val="none"/>
        </w:rPr>
        <w:t>出厂质量证明书等）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以满足并符合本项目当地住建主管部门要求为准</w:t>
      </w:r>
      <w:r>
        <w:rPr>
          <w:rFonts w:hint="eastAsia" w:ascii="仿宋" w:hAnsi="仿宋" w:eastAsia="仿宋" w:cs="仿宋"/>
          <w:sz w:val="28"/>
          <w:szCs w:val="28"/>
          <w:highlight w:val="none"/>
        </w:rPr>
        <w:t>。</w:t>
      </w:r>
    </w:p>
    <w:p w14:paraId="5A3A55C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597DEC0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3.4因乙方送错产品或产品质量问题造成甲方损失的，由乙方全额赔偿甲方损失。</w:t>
      </w:r>
    </w:p>
    <w:p w14:paraId="4F3C1A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3.5其他要求：</w:t>
      </w:r>
      <w:bookmarkStart w:id="43" w:name="_Toc23033"/>
      <w:bookmarkStart w:id="44" w:name="_Toc4462"/>
      <w:r>
        <w:rPr>
          <w:rFonts w:hint="eastAsia" w:ascii="仿宋" w:hAnsi="仿宋" w:eastAsia="仿宋" w:cs="仿宋"/>
          <w:sz w:val="28"/>
          <w:szCs w:val="28"/>
          <w:highlight w:val="none"/>
          <w:u w:val="single"/>
          <w:lang w:val="en-US" w:eastAsia="zh-CN"/>
        </w:rPr>
        <w:t xml:space="preserve"> 无。</w:t>
      </w:r>
      <w:r>
        <w:rPr>
          <w:rFonts w:hint="eastAsia" w:ascii="仿宋" w:hAnsi="仿宋" w:eastAsia="仿宋" w:cs="仿宋"/>
          <w:sz w:val="28"/>
          <w:szCs w:val="28"/>
          <w:highlight w:val="none"/>
          <w:lang w:val="en-US" w:eastAsia="zh-CN"/>
        </w:rPr>
        <w:t xml:space="preserve">       </w:t>
      </w:r>
    </w:p>
    <w:p w14:paraId="4C48985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45" w:name="_Toc7396"/>
      <w:bookmarkStart w:id="46" w:name="_Toc23310"/>
      <w:r>
        <w:rPr>
          <w:rFonts w:hint="eastAsia" w:ascii="仿宋" w:hAnsi="仿宋" w:eastAsia="仿宋" w:cs="仿宋"/>
          <w:b/>
          <w:bCs/>
          <w:sz w:val="28"/>
          <w:szCs w:val="28"/>
          <w:highlight w:val="none"/>
          <w:lang w:val="en-US" w:eastAsia="zh-CN"/>
        </w:rPr>
        <w:t>第四章、订货、交货</w:t>
      </w:r>
      <w:bookmarkEnd w:id="43"/>
      <w:bookmarkEnd w:id="44"/>
      <w:r>
        <w:rPr>
          <w:rFonts w:hint="eastAsia" w:ascii="仿宋" w:hAnsi="仿宋" w:eastAsia="仿宋" w:cs="仿宋"/>
          <w:b/>
          <w:bCs/>
          <w:sz w:val="28"/>
          <w:szCs w:val="28"/>
          <w:highlight w:val="none"/>
          <w:lang w:val="en-US" w:eastAsia="zh-CN"/>
        </w:rPr>
        <w:t>、验收</w:t>
      </w:r>
      <w:bookmarkEnd w:id="45"/>
      <w:bookmarkEnd w:id="46"/>
    </w:p>
    <w:p w14:paraId="0256421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4.1</w:t>
      </w:r>
      <w:r>
        <w:rPr>
          <w:rFonts w:hint="eastAsia" w:ascii="仿宋" w:hAnsi="仿宋" w:eastAsia="仿宋" w:cs="仿宋"/>
          <w:sz w:val="28"/>
          <w:szCs w:val="28"/>
          <w:highlight w:val="none"/>
          <w:lang w:eastAsia="zh-CN"/>
        </w:rPr>
        <w:t>订单确认方式：</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lang w:eastAsia="zh-CN"/>
        </w:rPr>
        <w:t>在产品</w:t>
      </w:r>
      <w:r>
        <w:rPr>
          <w:rFonts w:hint="eastAsia" w:ascii="仿宋" w:hAnsi="仿宋" w:eastAsia="仿宋" w:cs="仿宋"/>
          <w:sz w:val="28"/>
          <w:szCs w:val="28"/>
          <w:highlight w:val="none"/>
          <w:lang w:val="en-US" w:eastAsia="zh-CN"/>
        </w:rPr>
        <w:t>使用之日的前</w:t>
      </w:r>
      <w:r>
        <w:rPr>
          <w:rFonts w:hint="eastAsia" w:ascii="仿宋" w:hAnsi="仿宋" w:eastAsia="仿宋" w:cs="仿宋"/>
          <w:sz w:val="28"/>
          <w:szCs w:val="28"/>
          <w:highlight w:val="none"/>
          <w:u w:val="none"/>
          <w:lang w:val="en-US" w:eastAsia="zh-CN"/>
        </w:rPr>
        <w:t>一个日历天17</w:t>
      </w:r>
      <w:r>
        <w:rPr>
          <w:rFonts w:hint="eastAsia" w:ascii="仿宋" w:hAnsi="仿宋" w:eastAsia="仿宋" w:cs="仿宋"/>
          <w:sz w:val="28"/>
          <w:szCs w:val="28"/>
          <w:highlight w:val="none"/>
          <w:u w:val="none"/>
          <w:lang w:eastAsia="zh-CN"/>
        </w:rPr>
        <w:t>：00</w:t>
      </w:r>
      <w:r>
        <w:rPr>
          <w:rFonts w:hint="eastAsia" w:ascii="仿宋" w:hAnsi="仿宋" w:eastAsia="仿宋" w:cs="仿宋"/>
          <w:sz w:val="28"/>
          <w:szCs w:val="28"/>
          <w:highlight w:val="none"/>
          <w:u w:val="none"/>
          <w:lang w:val="en-US" w:eastAsia="zh-CN"/>
        </w:rPr>
        <w:t>前，将符合甲方相关制度规定、有甲方本合同执行联系人、仓管员</w:t>
      </w:r>
      <w:r>
        <w:rPr>
          <w:rFonts w:hint="eastAsia" w:ascii="仿宋" w:hAnsi="仿宋" w:eastAsia="仿宋" w:cs="仿宋"/>
          <w:color w:val="auto"/>
          <w:sz w:val="28"/>
          <w:highlight w:val="none"/>
          <w:u w:val="single"/>
          <w:lang w:val="en-US" w:eastAsia="zh-CN"/>
        </w:rPr>
        <w:t>等相关岗位人员</w:t>
      </w:r>
      <w:r>
        <w:rPr>
          <w:rFonts w:hint="eastAsia" w:ascii="仿宋" w:hAnsi="仿宋" w:eastAsia="仿宋" w:cs="仿宋"/>
          <w:sz w:val="28"/>
          <w:szCs w:val="28"/>
          <w:highlight w:val="none"/>
          <w:u w:val="none"/>
          <w:lang w:val="en-US" w:eastAsia="zh-CN"/>
        </w:rPr>
        <w:t>签字的“物料申购单”（格式详见附件）发送给</w:t>
      </w:r>
      <w:r>
        <w:rPr>
          <w:rFonts w:hint="eastAsia" w:ascii="仿宋" w:hAnsi="仿宋" w:eastAsia="仿宋" w:cs="仿宋"/>
          <w:sz w:val="28"/>
          <w:szCs w:val="28"/>
          <w:highlight w:val="none"/>
          <w:lang w:val="en-US" w:eastAsia="zh-CN"/>
        </w:rPr>
        <w:t>合同约定的乙方合同</w:t>
      </w:r>
      <w:r>
        <w:rPr>
          <w:rFonts w:hint="eastAsia" w:ascii="仿宋" w:hAnsi="仿宋" w:eastAsia="仿宋" w:cs="仿宋"/>
          <w:sz w:val="28"/>
          <w:szCs w:val="28"/>
          <w:highlight w:val="none"/>
          <w:lang w:eastAsia="zh-CN"/>
        </w:rPr>
        <w:t>执行</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甲方发送方式</w:t>
      </w:r>
      <w:r>
        <w:rPr>
          <w:rFonts w:hint="eastAsia" w:ascii="仿宋" w:hAnsi="仿宋" w:eastAsia="仿宋" w:cs="仿宋"/>
          <w:sz w:val="28"/>
          <w:szCs w:val="28"/>
          <w:highlight w:val="none"/>
          <w:lang w:eastAsia="zh-CN"/>
        </w:rPr>
        <w:t>包括但不限于传真、</w:t>
      </w:r>
      <w:r>
        <w:rPr>
          <w:rFonts w:hint="eastAsia" w:ascii="仿宋" w:hAnsi="仿宋" w:eastAsia="仿宋" w:cs="仿宋"/>
          <w:sz w:val="28"/>
          <w:szCs w:val="28"/>
          <w:highlight w:val="none"/>
          <w:lang w:val="en-US" w:eastAsia="zh-CN"/>
        </w:rPr>
        <w:t>短信</w:t>
      </w:r>
      <w:r>
        <w:rPr>
          <w:rFonts w:hint="eastAsia" w:ascii="仿宋" w:hAnsi="仿宋" w:eastAsia="仿宋" w:cs="仿宋"/>
          <w:sz w:val="28"/>
          <w:szCs w:val="28"/>
          <w:highlight w:val="none"/>
          <w:lang w:eastAsia="zh-CN"/>
        </w:rPr>
        <w:t>、微信等方式。</w:t>
      </w:r>
    </w:p>
    <w:p w14:paraId="31B0D60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lang w:val="en-US" w:eastAsia="zh-CN"/>
        </w:rPr>
        <w:t>4.2</w:t>
      </w:r>
      <w:r>
        <w:rPr>
          <w:rFonts w:hint="eastAsia" w:ascii="仿宋" w:hAnsi="仿宋" w:eastAsia="仿宋" w:cs="仿宋"/>
          <w:sz w:val="28"/>
          <w:szCs w:val="28"/>
          <w:highlight w:val="none"/>
        </w:rPr>
        <w:t>交货地点</w:t>
      </w:r>
      <w:r>
        <w:rPr>
          <w:rFonts w:hint="eastAsia" w:ascii="仿宋" w:hAnsi="仿宋" w:eastAsia="仿宋" w:cs="仿宋"/>
          <w:sz w:val="28"/>
          <w:szCs w:val="28"/>
          <w:highlight w:val="none"/>
          <w:lang w:eastAsia="zh-CN"/>
        </w:rPr>
        <w:t>：</w:t>
      </w:r>
      <w:r>
        <w:rPr>
          <w:rFonts w:hint="eastAsia" w:ascii="仿宋" w:hAnsi="仿宋" w:eastAsia="仿宋" w:cs="仿宋"/>
          <w:b w:val="0"/>
          <w:bCs w:val="0"/>
          <w:color w:val="auto"/>
          <w:sz w:val="28"/>
          <w:szCs w:val="28"/>
          <w:highlight w:val="none"/>
          <w:u w:val="single"/>
          <w:lang w:val="en-US" w:eastAsia="zh-CN"/>
        </w:rPr>
        <w:t>南京市六合区南京现代表面处理科技产业中心项目A地块</w:t>
      </w:r>
      <w:r>
        <w:rPr>
          <w:rFonts w:hint="eastAsia" w:ascii="仿宋" w:hAnsi="仿宋" w:eastAsia="仿宋" w:cs="仿宋"/>
          <w:b w:val="0"/>
          <w:bCs w:val="0"/>
          <w:color w:val="auto"/>
          <w:sz w:val="28"/>
          <w:szCs w:val="28"/>
          <w:highlight w:val="none"/>
          <w:u w:val="single"/>
          <w:lang w:eastAsia="zh-CN"/>
        </w:rPr>
        <w:t>甲方指定地点</w:t>
      </w:r>
      <w:r>
        <w:rPr>
          <w:rFonts w:hint="eastAsia" w:ascii="仿宋" w:hAnsi="仿宋" w:eastAsia="仿宋" w:cs="仿宋"/>
          <w:b w:val="0"/>
          <w:bCs w:val="0"/>
          <w:color w:val="auto"/>
          <w:sz w:val="28"/>
          <w:szCs w:val="28"/>
          <w:highlight w:val="none"/>
          <w:lang w:val="en-US" w:eastAsia="zh-CN"/>
        </w:rPr>
        <w:t>。</w:t>
      </w:r>
    </w:p>
    <w:p w14:paraId="689495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交货期限</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乙方自</w:t>
      </w:r>
      <w:r>
        <w:rPr>
          <w:rFonts w:hint="eastAsia" w:ascii="仿宋" w:hAnsi="仿宋" w:eastAsia="仿宋" w:cs="仿宋"/>
          <w:b/>
          <w:bCs/>
          <w:color w:val="auto"/>
          <w:sz w:val="28"/>
          <w:szCs w:val="28"/>
          <w:highlight w:val="none"/>
          <w:lang w:val="en-US" w:eastAsia="zh-CN"/>
        </w:rPr>
        <w:t>甲方发出订单起</w:t>
      </w:r>
      <w:r>
        <w:rPr>
          <w:rFonts w:hint="eastAsia" w:ascii="仿宋" w:hAnsi="仿宋" w:eastAsia="仿宋" w:cs="仿宋"/>
          <w:b/>
          <w:bCs/>
          <w:color w:val="auto"/>
          <w:sz w:val="28"/>
          <w:szCs w:val="28"/>
          <w:highlight w:val="none"/>
          <w:u w:val="single"/>
          <w:lang w:val="en-US" w:eastAsia="zh-CN"/>
        </w:rPr>
        <w:t xml:space="preserve"> 24 小时</w:t>
      </w:r>
      <w:r>
        <w:rPr>
          <w:rFonts w:hint="eastAsia" w:ascii="仿宋" w:hAnsi="仿宋" w:eastAsia="仿宋" w:cs="仿宋"/>
          <w:b/>
          <w:bCs/>
          <w:sz w:val="28"/>
          <w:szCs w:val="28"/>
          <w:highlight w:val="none"/>
        </w:rPr>
        <w:t>内</w:t>
      </w:r>
      <w:r>
        <w:rPr>
          <w:rFonts w:hint="eastAsia" w:ascii="仿宋" w:hAnsi="仿宋" w:eastAsia="仿宋" w:cs="仿宋"/>
          <w:b/>
          <w:bCs/>
          <w:sz w:val="28"/>
          <w:szCs w:val="28"/>
          <w:highlight w:val="none"/>
          <w:lang w:eastAsia="zh-CN"/>
        </w:rPr>
        <w:t>把</w:t>
      </w:r>
      <w:r>
        <w:rPr>
          <w:rFonts w:hint="eastAsia" w:ascii="仿宋" w:hAnsi="仿宋" w:eastAsia="仿宋" w:cs="仿宋"/>
          <w:b/>
          <w:bCs/>
          <w:sz w:val="28"/>
          <w:szCs w:val="28"/>
          <w:highlight w:val="none"/>
          <w:lang w:val="en-US" w:eastAsia="zh-CN"/>
        </w:rPr>
        <w:t>该订单对应的</w:t>
      </w:r>
      <w:r>
        <w:rPr>
          <w:rFonts w:hint="eastAsia" w:ascii="仿宋" w:hAnsi="仿宋" w:eastAsia="仿宋" w:cs="仿宋"/>
          <w:b/>
          <w:bCs/>
          <w:sz w:val="28"/>
          <w:szCs w:val="28"/>
          <w:highlight w:val="none"/>
          <w:lang w:eastAsia="zh-CN"/>
        </w:rPr>
        <w:t>产品按照甲方要求送齐至甲方指定地点</w:t>
      </w:r>
      <w:r>
        <w:rPr>
          <w:rFonts w:hint="eastAsia" w:ascii="仿宋" w:hAnsi="仿宋" w:eastAsia="仿宋" w:cs="仿宋"/>
          <w:sz w:val="28"/>
          <w:szCs w:val="28"/>
          <w:highlight w:val="none"/>
          <w:lang w:val="en-US" w:eastAsia="zh-CN"/>
        </w:rPr>
        <w:t>。</w:t>
      </w:r>
    </w:p>
    <w:p w14:paraId="722B1B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7265B1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hint="eastAsia" w:ascii="仿宋" w:hAnsi="仿宋" w:eastAsia="仿宋" w:cs="仿宋"/>
          <w:b w:val="0"/>
          <w:bCs w:val="0"/>
          <w:color w:val="auto"/>
          <w:sz w:val="28"/>
          <w:highlight w:val="none"/>
          <w:u w:val="single"/>
          <w:lang w:val="en-US" w:eastAsia="zh-CN"/>
        </w:rPr>
        <w:t xml:space="preserve"> 彭善海（手机号码：13592796498 ）</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b w:val="0"/>
          <w:bCs w:val="0"/>
          <w:color w:val="auto"/>
          <w:sz w:val="28"/>
          <w:highlight w:val="none"/>
          <w:u w:val="single"/>
          <w:lang w:val="en-US" w:eastAsia="zh-CN"/>
        </w:rPr>
        <w:t>杨军（仓管员）</w:t>
      </w:r>
      <w:r>
        <w:rPr>
          <w:rFonts w:hint="eastAsia" w:ascii="仿宋" w:hAnsi="仿宋" w:eastAsia="仿宋" w:cs="仿宋"/>
          <w:b w:val="0"/>
          <w:bCs w:val="0"/>
          <w:color w:val="auto"/>
          <w:sz w:val="28"/>
          <w:highlight w:val="none"/>
          <w:u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13652456602</w:t>
      </w:r>
      <w:r>
        <w:rPr>
          <w:rFonts w:hint="eastAsia"/>
          <w:lang w:eastAsia="zh-CN"/>
        </w:rPr>
        <w:t>。</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方为有效，否则为无效文件，仅盖章或者仅签名的文件亦无效。甲方项目负责人、合同执行联系人变更的，甲方以书面形式通知乙方。</w:t>
      </w:r>
    </w:p>
    <w:p w14:paraId="09839B4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86507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7A701A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63641B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17DC01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48254B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F3CC7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3E4D9C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3A6826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AE814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40B776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658CD9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7A949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7E667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合同执行联系人按合同要求直接拒收、退场并作好记录备查，甲方不折价签收不符合合同要求的产品，且乙方向甲方承担违约金（违约金额等于不符合合同约定的产品金额的三倍且最少不低于一万元/次），甲方有权在任意应付乙方的合同款中自行扣取违约金。</w:t>
      </w:r>
    </w:p>
    <w:p w14:paraId="1BA58E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D287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CCB0D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653043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7569F3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15C842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7E675B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4.14产品送至交货地点后，尽管现场表观验收结果合格，如果有下列情形之一的，则由乙方承担全部责任、损失及费用：</w:t>
      </w:r>
    </w:p>
    <w:p w14:paraId="7DB265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4.14.1砂浆使用原材料不合格的及砂浆质量不符合国家相关规范规定及地方标准文件的；</w:t>
      </w:r>
    </w:p>
    <w:p w14:paraId="7F753B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4.14.2砂浆配合比设计或实际使用的生产配比有误的；</w:t>
      </w:r>
    </w:p>
    <w:p w14:paraId="594CAB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4.14.3因乙方送错料或砂浆本身质量问题的；</w:t>
      </w:r>
    </w:p>
    <w:p w14:paraId="6D4203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4.14.4砂浆施工过程当中发现有离析现象等质量问题的；</w:t>
      </w:r>
    </w:p>
    <w:p w14:paraId="34C69E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4.14.5乙方在其原材料检验检测，施工配合比设计，生产过程中不按国家相关规范执行的。</w:t>
      </w:r>
    </w:p>
    <w:p w14:paraId="365952C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47" w:name="_Toc7651"/>
      <w:bookmarkStart w:id="48" w:name="_Toc3158"/>
      <w:bookmarkStart w:id="49" w:name="_Toc7532"/>
      <w:bookmarkStart w:id="50" w:name="_Toc7486"/>
      <w:r>
        <w:rPr>
          <w:rFonts w:hint="eastAsia" w:ascii="仿宋" w:hAnsi="仿宋" w:eastAsia="仿宋" w:cs="仿宋"/>
          <w:b/>
          <w:bCs/>
          <w:sz w:val="28"/>
          <w:szCs w:val="28"/>
          <w:highlight w:val="none"/>
          <w:lang w:val="en-US" w:eastAsia="zh-CN"/>
        </w:rPr>
        <w:t>第五章、</w:t>
      </w:r>
      <w:bookmarkEnd w:id="47"/>
      <w:r>
        <w:rPr>
          <w:rFonts w:hint="eastAsia" w:ascii="仿宋" w:hAnsi="仿宋" w:eastAsia="仿宋" w:cs="仿宋"/>
          <w:b/>
          <w:bCs/>
          <w:sz w:val="28"/>
          <w:szCs w:val="28"/>
          <w:highlight w:val="none"/>
          <w:lang w:val="en-US" w:eastAsia="zh-CN"/>
        </w:rPr>
        <w:t>质保</w:t>
      </w:r>
      <w:bookmarkEnd w:id="48"/>
      <w:bookmarkEnd w:id="49"/>
      <w:bookmarkEnd w:id="50"/>
    </w:p>
    <w:p w14:paraId="7577F87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按法律、法规和国家有关规定对产品在质保期内承担质量保修责任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质保期内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如产品不能使用</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更换，则该</w:t>
      </w:r>
      <w:r>
        <w:rPr>
          <w:rFonts w:hint="eastAsia" w:ascii="仿宋" w:hAnsi="仿宋" w:eastAsia="仿宋" w:cs="仿宋"/>
          <w:sz w:val="28"/>
          <w:szCs w:val="28"/>
          <w:highlight w:val="none"/>
          <w:lang w:val="en-US" w:eastAsia="zh-CN"/>
        </w:rPr>
        <w:t>部位</w:t>
      </w:r>
      <w:r>
        <w:rPr>
          <w:rFonts w:hint="eastAsia" w:ascii="仿宋" w:hAnsi="仿宋" w:eastAsia="仿宋" w:cs="仿宋"/>
          <w:sz w:val="28"/>
          <w:szCs w:val="28"/>
          <w:highlight w:val="none"/>
        </w:rPr>
        <w:t>产品质保期自更换之日起重新计算。 </w:t>
      </w:r>
    </w:p>
    <w:p w14:paraId="40F598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5.2</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对产品实行</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2 </w:t>
      </w:r>
      <w:r>
        <w:rPr>
          <w:rFonts w:hint="eastAsia" w:ascii="仿宋" w:hAnsi="仿宋" w:eastAsia="仿宋" w:cs="仿宋"/>
          <w:sz w:val="28"/>
          <w:szCs w:val="28"/>
          <w:highlight w:val="none"/>
        </w:rPr>
        <w:t>年免费质保(</w:t>
      </w:r>
      <w:r>
        <w:rPr>
          <w:rFonts w:hint="eastAsia" w:ascii="仿宋" w:hAnsi="仿宋" w:eastAsia="仿宋" w:cs="仿宋"/>
          <w:sz w:val="28"/>
          <w:szCs w:val="28"/>
          <w:highlight w:val="none"/>
          <w:lang w:val="en-US" w:eastAsia="zh-CN"/>
        </w:rPr>
        <w:t>政府主管部门</w:t>
      </w:r>
      <w:r>
        <w:rPr>
          <w:rFonts w:hint="eastAsia" w:ascii="仿宋" w:hAnsi="仿宋" w:eastAsia="仿宋" w:cs="仿宋"/>
          <w:sz w:val="28"/>
          <w:szCs w:val="28"/>
          <w:highlight w:val="none"/>
        </w:rPr>
        <w:t>另有更长质保</w:t>
      </w:r>
      <w:r>
        <w:rPr>
          <w:rFonts w:hint="eastAsia" w:ascii="仿宋" w:hAnsi="仿宋" w:eastAsia="仿宋" w:cs="仿宋"/>
          <w:sz w:val="28"/>
          <w:szCs w:val="28"/>
          <w:highlight w:val="none"/>
          <w:lang w:val="en-US" w:eastAsia="zh-CN"/>
        </w:rPr>
        <w:t>期限</w:t>
      </w:r>
      <w:r>
        <w:rPr>
          <w:rFonts w:hint="eastAsia" w:ascii="仿宋" w:hAnsi="仿宋" w:eastAsia="仿宋" w:cs="仿宋"/>
          <w:sz w:val="28"/>
          <w:szCs w:val="28"/>
          <w:highlight w:val="none"/>
        </w:rPr>
        <w:t>规定的，从其规定)，质保期自</w:t>
      </w:r>
      <w:r>
        <w:rPr>
          <w:rFonts w:hint="eastAsia" w:ascii="仿宋" w:hAnsi="仿宋" w:eastAsia="仿宋" w:cs="仿宋"/>
          <w:sz w:val="28"/>
          <w:szCs w:val="28"/>
          <w:highlight w:val="none"/>
          <w:lang w:eastAsia="zh-CN"/>
        </w:rPr>
        <w:t>产品经甲方</w:t>
      </w:r>
      <w:r>
        <w:rPr>
          <w:rFonts w:hint="eastAsia" w:ascii="仿宋" w:hAnsi="仿宋" w:eastAsia="仿宋" w:cs="仿宋"/>
          <w:sz w:val="28"/>
          <w:szCs w:val="28"/>
          <w:highlight w:val="none"/>
        </w:rPr>
        <w:t>验收合格</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移交</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之日起计。</w:t>
      </w:r>
    </w:p>
    <w:p w14:paraId="1E3A70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质保期内，若产品出现质量问题，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通知后24小时内必须到达现场进行</w:t>
      </w:r>
      <w:r>
        <w:rPr>
          <w:rFonts w:hint="eastAsia" w:ascii="仿宋" w:hAnsi="仿宋" w:eastAsia="仿宋" w:cs="仿宋"/>
          <w:sz w:val="28"/>
          <w:szCs w:val="28"/>
          <w:highlight w:val="none"/>
          <w:lang w:val="en-US" w:eastAsia="zh-CN"/>
        </w:rPr>
        <w:t>处理</w:t>
      </w:r>
      <w:r>
        <w:rPr>
          <w:rFonts w:hint="eastAsia" w:ascii="仿宋" w:hAnsi="仿宋" w:eastAsia="仿宋" w:cs="仿宋"/>
          <w:sz w:val="28"/>
          <w:szCs w:val="28"/>
          <w:highlight w:val="none"/>
        </w:rPr>
        <w:t>。如甲乙双方共同确认非</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原因导致问题发生，</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仍应提供</w:t>
      </w:r>
      <w:r>
        <w:rPr>
          <w:rFonts w:hint="eastAsia" w:ascii="仿宋" w:hAnsi="仿宋" w:eastAsia="仿宋" w:cs="仿宋"/>
          <w:sz w:val="28"/>
          <w:szCs w:val="28"/>
          <w:highlight w:val="none"/>
          <w:lang w:val="en-US" w:eastAsia="zh-CN"/>
        </w:rPr>
        <w:t>售后</w:t>
      </w:r>
      <w:r>
        <w:rPr>
          <w:rFonts w:hint="eastAsia" w:ascii="仿宋" w:hAnsi="仿宋" w:eastAsia="仿宋" w:cs="仿宋"/>
          <w:sz w:val="28"/>
          <w:szCs w:val="28"/>
          <w:highlight w:val="none"/>
        </w:rPr>
        <w:t>服务，相关费用经双方商定后由</w:t>
      </w:r>
      <w:r>
        <w:rPr>
          <w:rFonts w:hint="eastAsia" w:ascii="仿宋" w:hAnsi="仿宋" w:eastAsia="仿宋" w:cs="仿宋"/>
          <w:sz w:val="28"/>
          <w:szCs w:val="28"/>
          <w:highlight w:val="none"/>
          <w:lang w:val="en-US" w:eastAsia="zh-CN"/>
        </w:rPr>
        <w:t>责任</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甲方负责协调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未准时到达现场，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可自行处理，</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同时承担违约责任。</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自行处理所耗费用</w:t>
      </w:r>
      <w:r>
        <w:rPr>
          <w:rFonts w:hint="eastAsia" w:ascii="仿宋" w:hAnsi="仿宋" w:eastAsia="仿宋" w:cs="仿宋"/>
          <w:sz w:val="28"/>
          <w:szCs w:val="28"/>
          <w:highlight w:val="none"/>
          <w:lang w:eastAsia="zh-CN"/>
        </w:rPr>
        <w:t>另加</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通知之日起</w:t>
      </w:r>
      <w:r>
        <w:rPr>
          <w:rFonts w:hint="eastAsia" w:ascii="仿宋" w:hAnsi="仿宋" w:eastAsia="仿宋" w:cs="仿宋"/>
          <w:sz w:val="28"/>
          <w:szCs w:val="28"/>
          <w:highlight w:val="none"/>
          <w:lang w:val="en-US" w:eastAsia="zh-CN"/>
        </w:rPr>
        <w:t>10个</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历天</w:t>
      </w:r>
      <w:r>
        <w:rPr>
          <w:rFonts w:hint="eastAsia" w:ascii="仿宋" w:hAnsi="仿宋" w:eastAsia="仿宋" w:cs="仿宋"/>
          <w:sz w:val="28"/>
          <w:szCs w:val="28"/>
          <w:highlight w:val="none"/>
        </w:rPr>
        <w:t>内支付，因此造成的损失由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负责全额赔偿。</w:t>
      </w:r>
      <w:r>
        <w:rPr>
          <w:rFonts w:hint="eastAsia" w:ascii="仿宋" w:hAnsi="仿宋" w:eastAsia="仿宋" w:cs="仿宋"/>
          <w:sz w:val="28"/>
          <w:szCs w:val="28"/>
          <w:highlight w:val="none"/>
          <w:lang w:eastAsia="zh-CN"/>
        </w:rPr>
        <w:t>乙方未在</w:t>
      </w:r>
      <w:r>
        <w:rPr>
          <w:rFonts w:hint="eastAsia" w:ascii="仿宋" w:hAnsi="仿宋" w:eastAsia="仿宋" w:cs="仿宋"/>
          <w:sz w:val="28"/>
          <w:szCs w:val="28"/>
          <w:highlight w:val="none"/>
          <w:lang w:val="en-US" w:eastAsia="zh-CN"/>
        </w:rPr>
        <w:t>24小时内到达现场的，出现的质量问题一律视为乙方原因导致的。</w:t>
      </w:r>
      <w:r>
        <w:rPr>
          <w:rFonts w:hint="eastAsia" w:ascii="仿宋" w:hAnsi="仿宋" w:eastAsia="仿宋" w:cs="仿宋"/>
          <w:sz w:val="28"/>
          <w:szCs w:val="28"/>
          <w:highlight w:val="none"/>
        </w:rPr>
        <w:t>质保期内，由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原因造成的缺陷和事故，</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事故所产生的</w:t>
      </w:r>
      <w:r>
        <w:rPr>
          <w:rFonts w:hint="eastAsia" w:ascii="仿宋" w:hAnsi="仿宋" w:eastAsia="仿宋" w:cs="仿宋"/>
          <w:sz w:val="28"/>
          <w:szCs w:val="28"/>
          <w:highlight w:val="none"/>
        </w:rPr>
        <w:t>全部费用。如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不维修也不承担费用，由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承担违约责任及</w:t>
      </w:r>
      <w:r>
        <w:rPr>
          <w:rFonts w:hint="eastAsia" w:ascii="仿宋" w:hAnsi="仿宋" w:eastAsia="仿宋" w:cs="仿宋"/>
          <w:sz w:val="28"/>
          <w:szCs w:val="28"/>
          <w:highlight w:val="none"/>
          <w:lang w:eastAsia="zh-CN"/>
        </w:rPr>
        <w:t>所有损失的</w:t>
      </w:r>
      <w:r>
        <w:rPr>
          <w:rFonts w:hint="eastAsia" w:ascii="仿宋" w:hAnsi="仿宋" w:eastAsia="仿宋" w:cs="仿宋"/>
          <w:sz w:val="28"/>
          <w:szCs w:val="28"/>
          <w:highlight w:val="none"/>
        </w:rPr>
        <w:t>责任。</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维修并承担相应费用后，不免除对</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/第三方的损失赔偿责任。</w:t>
      </w:r>
    </w:p>
    <w:p w14:paraId="2C60210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5.4</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单位在</w:t>
      </w:r>
      <w:r>
        <w:rPr>
          <w:rFonts w:hint="eastAsia" w:ascii="仿宋" w:hAnsi="仿宋" w:eastAsia="仿宋" w:cs="仿宋"/>
          <w:sz w:val="28"/>
          <w:szCs w:val="28"/>
          <w:highlight w:val="none"/>
        </w:rPr>
        <w:t>产品</w:t>
      </w:r>
      <w:r>
        <w:rPr>
          <w:rFonts w:hint="eastAsia" w:ascii="仿宋" w:hAnsi="仿宋" w:eastAsia="仿宋" w:cs="仿宋"/>
          <w:sz w:val="28"/>
          <w:szCs w:val="28"/>
          <w:highlight w:val="none"/>
          <w:lang w:eastAsia="zh-CN"/>
        </w:rPr>
        <w:t>使用过程</w:t>
      </w:r>
      <w:r>
        <w:rPr>
          <w:rFonts w:hint="eastAsia" w:ascii="仿宋" w:hAnsi="仿宋" w:eastAsia="仿宋" w:cs="仿宋"/>
          <w:sz w:val="28"/>
          <w:szCs w:val="28"/>
          <w:highlight w:val="none"/>
        </w:rPr>
        <w:t>中遇到的问题，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须随时提供电话答疑（答疑负责人及其电话在质量保修书里注明）。凡与产品相关联的一切问题（如操作、产品的保养及维护等）都属于答疑范围</w:t>
      </w:r>
      <w:r>
        <w:rPr>
          <w:rFonts w:hint="eastAsia" w:ascii="仿宋" w:hAnsi="仿宋" w:eastAsia="仿宋" w:cs="仿宋"/>
          <w:sz w:val="28"/>
          <w:szCs w:val="28"/>
          <w:highlight w:val="none"/>
          <w:lang w:eastAsia="zh-CN"/>
        </w:rPr>
        <w:t>，所需费用已包含在合同</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lang w:eastAsia="zh-CN"/>
        </w:rPr>
        <w:t>价中，不另计费。</w:t>
      </w:r>
    </w:p>
    <w:p w14:paraId="26B53D7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需要提供现场临时指导</w:t>
      </w:r>
      <w:r>
        <w:rPr>
          <w:rFonts w:hint="eastAsia" w:ascii="仿宋" w:hAnsi="仿宋" w:eastAsia="仿宋" w:cs="仿宋"/>
          <w:sz w:val="28"/>
          <w:szCs w:val="28"/>
          <w:highlight w:val="none"/>
          <w:lang w:eastAsia="zh-CN"/>
        </w:rPr>
        <w:t>和培训，费用已包含在</w:t>
      </w:r>
      <w:r>
        <w:rPr>
          <w:rFonts w:hint="eastAsia" w:ascii="仿宋" w:hAnsi="仿宋" w:eastAsia="仿宋" w:cs="仿宋"/>
          <w:sz w:val="28"/>
          <w:szCs w:val="28"/>
          <w:highlight w:val="none"/>
          <w:lang w:val="en-US" w:eastAsia="zh-CN"/>
        </w:rPr>
        <w:t>合同单价</w:t>
      </w:r>
      <w:r>
        <w:rPr>
          <w:rFonts w:hint="eastAsia" w:ascii="仿宋" w:hAnsi="仿宋" w:eastAsia="仿宋" w:cs="仿宋"/>
          <w:sz w:val="28"/>
          <w:szCs w:val="28"/>
          <w:highlight w:val="none"/>
          <w:lang w:eastAsia="zh-CN"/>
        </w:rPr>
        <w:t>中，不另计费。</w:t>
      </w:r>
    </w:p>
    <w:p w14:paraId="1E2049F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5.6</w:t>
      </w: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val="en-US" w:eastAsia="zh-CN"/>
        </w:rPr>
        <w:t>届满后第</w:t>
      </w:r>
      <w:r>
        <w:rPr>
          <w:rFonts w:hint="eastAsia" w:ascii="仿宋" w:hAnsi="仿宋" w:eastAsia="仿宋" w:cs="仿宋"/>
          <w:sz w:val="28"/>
          <w:szCs w:val="28"/>
          <w:highlight w:val="none"/>
        </w:rPr>
        <w:t>一周内，甲乙双方对产品进行全面检查。</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自费负责对检查中发现的问题予以及时处理和解决。如产品在</w:t>
      </w:r>
      <w:r>
        <w:rPr>
          <w:rFonts w:hint="eastAsia" w:ascii="仿宋" w:hAnsi="仿宋" w:eastAsia="仿宋" w:cs="仿宋"/>
          <w:sz w:val="28"/>
          <w:szCs w:val="28"/>
          <w:highlight w:val="none"/>
          <w:lang w:val="en-US" w:eastAsia="zh-CN"/>
        </w:rPr>
        <w:t>质保</w:t>
      </w:r>
      <w:r>
        <w:rPr>
          <w:rFonts w:hint="eastAsia" w:ascii="仿宋" w:hAnsi="仿宋" w:eastAsia="仿宋" w:cs="仿宋"/>
          <w:sz w:val="28"/>
          <w:szCs w:val="28"/>
          <w:highlight w:val="none"/>
        </w:rPr>
        <w:t>期满后发现乙方原因导致的质量问题或缺陷，乙方仍须承担修复责任，必须按甲方要求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6DFE7F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51" w:name="_Toc6114"/>
      <w:bookmarkStart w:id="52" w:name="_Toc30305"/>
      <w:bookmarkStart w:id="53" w:name="_Toc28932"/>
      <w:bookmarkStart w:id="54" w:name="_Toc23822"/>
      <w:r>
        <w:rPr>
          <w:rFonts w:hint="eastAsia" w:ascii="仿宋" w:hAnsi="仿宋" w:eastAsia="仿宋" w:cs="仿宋"/>
          <w:b/>
          <w:bCs/>
          <w:sz w:val="28"/>
          <w:szCs w:val="28"/>
          <w:highlight w:val="none"/>
          <w:lang w:val="en-US" w:eastAsia="zh-CN"/>
        </w:rPr>
        <w:t>第六章、违约责任</w:t>
      </w:r>
      <w:bookmarkEnd w:id="51"/>
      <w:bookmarkEnd w:id="52"/>
      <w:bookmarkEnd w:id="53"/>
      <w:bookmarkEnd w:id="54"/>
    </w:p>
    <w:p w14:paraId="481C69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2D13D9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5366BD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456B0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15338F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46304D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58E62B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担保费由乙方全额承担。</w:t>
      </w:r>
    </w:p>
    <w:p w14:paraId="61D054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7DAEF7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227AF4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686B74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6.11合同履行期间，因乙方原因导致建设单位或其他单位对甲方进行处罚扣款的，甲方有权按该处罚金额的2倍以上向乙方收取违约金。</w:t>
      </w:r>
    </w:p>
    <w:p w14:paraId="70C2DA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476FC1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394D9F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6.14乙方与第三人签订的劳动、租赁、买卖等一切合同，与甲方无关。乙方在施工期间发生的与第三方一切合同债务，由乙方负全责处理并承担责任。</w:t>
      </w:r>
    </w:p>
    <w:p w14:paraId="5E8EFC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6.15乙方与第三方发生的任何经济往来、债务纠纷均与甲方无关。乙方须保证所供产品无权属上的瑕疵或无知识产权的争议，若因此对甲方造成损失，乙方全责赔偿。</w:t>
      </w:r>
    </w:p>
    <w:p w14:paraId="5DCA5AC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sz w:val="28"/>
          <w:szCs w:val="28"/>
          <w:highlight w:val="none"/>
        </w:rPr>
      </w:pPr>
      <w:bookmarkStart w:id="55" w:name="_Toc28370"/>
      <w:bookmarkStart w:id="56" w:name="_Toc6546"/>
      <w:bookmarkStart w:id="57" w:name="_Toc23375"/>
      <w:bookmarkStart w:id="58" w:name="_Toc15930"/>
      <w:bookmarkStart w:id="59" w:name="_Toc23174"/>
      <w:bookmarkStart w:id="60" w:name="_Toc29740"/>
      <w:r>
        <w:rPr>
          <w:rFonts w:hint="eastAsia" w:ascii="仿宋" w:hAnsi="仿宋" w:eastAsia="仿宋" w:cs="仿宋"/>
          <w:b/>
          <w:bCs/>
          <w:sz w:val="28"/>
          <w:szCs w:val="28"/>
          <w:highlight w:val="none"/>
          <w:lang w:val="en-US" w:eastAsia="zh-CN"/>
        </w:rPr>
        <w:t>第七章、廉洁条款</w:t>
      </w:r>
      <w:bookmarkEnd w:id="55"/>
      <w:bookmarkEnd w:id="56"/>
      <w:bookmarkEnd w:id="57"/>
      <w:bookmarkEnd w:id="58"/>
      <w:bookmarkEnd w:id="59"/>
      <w:bookmarkEnd w:id="60"/>
      <w:r>
        <w:rPr>
          <w:rFonts w:hint="eastAsia" w:ascii="仿宋" w:hAnsi="仿宋" w:eastAsia="仿宋" w:cs="仿宋"/>
          <w:b/>
          <w:bCs/>
          <w:sz w:val="28"/>
          <w:szCs w:val="28"/>
          <w:highlight w:val="none"/>
          <w:lang w:val="en-US" w:eastAsia="zh-CN"/>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p>
    <w:p w14:paraId="0EB9104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在与</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合作期间（包括本合同</w:t>
      </w:r>
      <w:r>
        <w:rPr>
          <w:rFonts w:hint="eastAsia" w:ascii="仿宋" w:hAnsi="仿宋" w:eastAsia="仿宋" w:cs="仿宋"/>
          <w:sz w:val="28"/>
          <w:szCs w:val="28"/>
          <w:highlight w:val="none"/>
          <w:lang w:val="en-US" w:eastAsia="zh-CN"/>
        </w:rPr>
        <w:t>招采、</w:t>
      </w:r>
      <w:r>
        <w:rPr>
          <w:rFonts w:hint="eastAsia" w:ascii="仿宋" w:hAnsi="仿宋" w:eastAsia="仿宋" w:cs="仿宋"/>
          <w:sz w:val="28"/>
          <w:szCs w:val="28"/>
          <w:highlight w:val="none"/>
        </w:rPr>
        <w:t>签约、履约期间），不得向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职员提供请吃、送礼、旅游、色情服务、行贿、回扣或其他好处，如有违反，</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每次向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支付人民币十万元作为违约金（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可从任意一笔合同款中扣款），造成</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经济或其他损失的，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全额赔偿</w:t>
      </w:r>
      <w:r>
        <w:rPr>
          <w:rFonts w:hint="eastAsia" w:ascii="仿宋" w:hAnsi="仿宋" w:eastAsia="仿宋" w:cs="仿宋"/>
          <w:sz w:val="28"/>
          <w:szCs w:val="28"/>
          <w:highlight w:val="none"/>
          <w:lang w:eastAsia="zh-CN"/>
        </w:rPr>
        <w:t>，且甲方有权单方解除本合同。</w:t>
      </w:r>
    </w:p>
    <w:p w14:paraId="59DB302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7.2甲乙</w:t>
      </w:r>
      <w:r>
        <w:rPr>
          <w:rFonts w:hint="eastAsia" w:ascii="仿宋" w:hAnsi="仿宋" w:eastAsia="仿宋" w:cs="仿宋"/>
          <w:sz w:val="28"/>
          <w:szCs w:val="28"/>
          <w:highlight w:val="none"/>
        </w:rPr>
        <w:t>双方管理人员有权拒绝执行合同以外的违法要求。</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发现</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人员或</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委托的其他人员行贿或输送不正当利益的，</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进行处罚并单方解除合同，对所发生的工程量/工作量不予结算及不支付费用</w:t>
      </w:r>
      <w:r>
        <w:rPr>
          <w:rFonts w:hint="eastAsia" w:ascii="仿宋" w:hAnsi="仿宋" w:eastAsia="仿宋" w:cs="仿宋"/>
          <w:sz w:val="28"/>
          <w:szCs w:val="28"/>
          <w:highlight w:val="none"/>
          <w:lang w:eastAsia="zh-CN"/>
        </w:rPr>
        <w:t>。</w:t>
      </w:r>
    </w:p>
    <w:p w14:paraId="02660E2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7.3如甲方发现乙方可能存在违反廉洁条款的行为时，甲方有权暂扣违约金/争议材料款/处罚款等对应等额的材料款，直至调查完毕后根据调查结果再作处理，甲方暂不付款的行为不视为甲方违约。</w:t>
      </w:r>
    </w:p>
    <w:p w14:paraId="2086D5C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61" w:name="_Toc7857"/>
      <w:bookmarkStart w:id="62" w:name="_Toc2216"/>
      <w:bookmarkStart w:id="63" w:name="_Toc15812"/>
      <w:bookmarkStart w:id="64" w:name="_Toc22646"/>
      <w:r>
        <w:rPr>
          <w:rFonts w:hint="eastAsia" w:ascii="仿宋" w:hAnsi="仿宋" w:eastAsia="仿宋" w:cs="仿宋"/>
          <w:b/>
          <w:bCs/>
          <w:sz w:val="28"/>
          <w:szCs w:val="28"/>
          <w:highlight w:val="none"/>
          <w:lang w:val="en-US" w:eastAsia="zh-CN"/>
        </w:rPr>
        <w:t>第八章、其他</w:t>
      </w:r>
      <w:bookmarkEnd w:id="61"/>
      <w:bookmarkEnd w:id="62"/>
      <w:bookmarkEnd w:id="63"/>
      <w:bookmarkEnd w:id="64"/>
    </w:p>
    <w:p w14:paraId="316D033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8.1合同价款及合同条款已考虑各种疾病影响，乙方不以疫情为由要求甲方对合同价款、结算办法及货期等合同条款进行调整，防疫措施的一切费用由乙方承担。</w:t>
      </w:r>
    </w:p>
    <w:p w14:paraId="702FF93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8.2乙方人员在本合同履行期间所发生的所有安全事故，均由乙方承担所发生的全部费用及损失，对甲方造成损失的则由乙方赔偿甲方损失。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8.6专利技术及特殊工艺 </w:t>
      </w:r>
    </w:p>
    <w:p w14:paraId="6F157AE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8.6.1乙方须保障甲方在使用其提供的产品、服务不受到第三方关于侵权的指控。如果出现此类情况，由乙方与第三方交涉并承担一切费用和责任，如造成甲方损失的，乙方向甲方赔偿。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1A784C0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8.9本合同未尽事宜或需变更的，甲乙双方另行签订补充协议进行明确。与本合同相关的争议，双方友好协商解决，协商不成则提交甲方所在地人民法院以诉讼方式解决。法院送达的文书以合同签章处所列地址为有效地址，以邮寄方式送达的，通过邮政特快专递寄出第三日视为送达。</w:t>
      </w:r>
    </w:p>
    <w:p w14:paraId="439BB67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8.10甲方编制的《</w:t>
      </w:r>
      <w:r>
        <w:rPr>
          <w:rFonts w:hint="eastAsia" w:ascii="仿宋" w:hAnsi="仿宋" w:eastAsia="仿宋" w:cs="仿宋"/>
          <w:color w:val="auto"/>
          <w:sz w:val="28"/>
          <w:szCs w:val="28"/>
          <w:highlight w:val="none"/>
          <w:lang w:val="en-US" w:eastAsia="zh-CN"/>
        </w:rPr>
        <w:t>商品混凝土、</w:t>
      </w:r>
      <w:r>
        <w:rPr>
          <w:rFonts w:hint="eastAsia" w:ascii="仿宋" w:hAnsi="仿宋" w:eastAsia="仿宋" w:cs="仿宋"/>
          <w:sz w:val="28"/>
          <w:szCs w:val="28"/>
          <w:highlight w:val="none"/>
          <w:lang w:val="en-US" w:eastAsia="zh-CN"/>
        </w:rPr>
        <w:t>砂浆验收管理制度》为本合同不可分割的组成部分，与合同正文具有同等效力，乙方须照章供应。此类文件及本合同附件表格格式以施工当期甲方提供的最新版为准，最终解释权归甲方所有。</w:t>
      </w:r>
    </w:p>
    <w:p w14:paraId="1A8450D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8.11本合同执行期间，甲方制度文件如有更新，按甲方最新版要求执行，最终解释权归甲方所有。</w:t>
      </w:r>
    </w:p>
    <w:p w14:paraId="139D103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8.12以下文件均为合同有效组成部分，各文件互相解释，互为说明。当前后合同文件、资料等出现不一致或矛盾时，以下排列顺序为合同文件的优先解释顺序；同一类文件以最新（近）时间为优先：</w:t>
      </w:r>
    </w:p>
    <w:p w14:paraId="2C0ECBA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 合同履行过程中，双方法人代表或授权人签字并加盖公章的补充协议；</w:t>
      </w:r>
    </w:p>
    <w:p w14:paraId="652ED24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 本合同书（含附件）；</w:t>
      </w:r>
    </w:p>
    <w:p w14:paraId="18595B5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 经甲方确认的方案及相关设计变更；</w:t>
      </w:r>
    </w:p>
    <w:p w14:paraId="6E9C0C3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 本合同招采文件（含相关答疑、补充通知等）；</w:t>
      </w:r>
    </w:p>
    <w:p w14:paraId="34BEC0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 乙方发出的、经甲方确认的本合同投标报价文件及相关澄清文件；</w:t>
      </w:r>
    </w:p>
    <w:p w14:paraId="13B44A8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 本项目所在地现行法律、法规、标准、规范及政府主管部门的强制性要求。</w:t>
      </w:r>
    </w:p>
    <w:p w14:paraId="763DB8B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8.13本合同正文为清洁打印文本，如双方对此合同有任何修改及补充均应另行签订补充协议。合同正文中任何非打印的文字或者图形，除非经双方确认同意，否则不产生约束力。</w:t>
      </w:r>
    </w:p>
    <w:p w14:paraId="080DEC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8.14甲乙双方均确认已经审阅并理解本合同的全部条款，且已经就条款相关的任何疑问得到满意的解释，并确认本合同的条款为双方本着诚信互利的原则友好协商一致的结果，不属于任何一方的格式条款。</w:t>
      </w:r>
    </w:p>
    <w:p w14:paraId="6128958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8.15本合同一式二份，甲乙双方各执一份，均具同等效力。</w:t>
      </w:r>
    </w:p>
    <w:p w14:paraId="768192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8.16本合同自甲乙双方签字、加盖公章（或合同章）之日起生效，双方履行完合同义务、责任之日起终止。</w:t>
      </w:r>
    </w:p>
    <w:p w14:paraId="0E753E9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lang w:eastAsia="zh-CN"/>
        </w:rPr>
        <w:t>以下无正文</w:t>
      </w:r>
      <w:r>
        <w:rPr>
          <w:rFonts w:hint="eastAsia" w:ascii="仿宋" w:hAnsi="仿宋" w:eastAsia="仿宋" w:cs="仿宋"/>
          <w:sz w:val="28"/>
          <w:szCs w:val="28"/>
          <w:highlight w:val="none"/>
          <w:lang w:eastAsia="zh-CN"/>
        </w:rPr>
        <w:t>）</w:t>
      </w:r>
    </w:p>
    <w:p w14:paraId="3A0E00B9">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5" w:name="_Toc16084"/>
      <w:bookmarkStart w:id="66" w:name="_Toc31119"/>
      <w:bookmarkStart w:id="67" w:name="_Toc29817"/>
      <w:bookmarkStart w:id="68" w:name="_Toc22179"/>
      <w:bookmarkStart w:id="69" w:name="_Toc14654"/>
      <w:bookmarkStart w:id="70" w:name="_Toc21875"/>
      <w:bookmarkStart w:id="71" w:name="_Toc21822"/>
      <w:r>
        <w:rPr>
          <w:rFonts w:hint="eastAsia" w:ascii="仿宋" w:hAnsi="仿宋" w:eastAsia="仿宋" w:cs="仿宋"/>
          <w:kern w:val="2"/>
          <w:sz w:val="28"/>
          <w:szCs w:val="28"/>
          <w:highlight w:val="none"/>
          <w:lang w:val="en-US" w:eastAsia="zh-CN" w:bidi="ar-SA"/>
        </w:rPr>
        <w:t>附件一：《甲方项目章》格式；</w:t>
      </w:r>
      <w:bookmarkEnd w:id="65"/>
      <w:bookmarkEnd w:id="66"/>
      <w:bookmarkEnd w:id="67"/>
      <w:bookmarkEnd w:id="68"/>
      <w:bookmarkEnd w:id="69"/>
    </w:p>
    <w:p w14:paraId="0A7C0B52">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72" w:name="_Toc23821"/>
      <w:bookmarkStart w:id="73" w:name="_Toc30545"/>
      <w:bookmarkStart w:id="74" w:name="_Toc11622"/>
      <w:bookmarkStart w:id="75" w:name="_Toc28675"/>
      <w:bookmarkStart w:id="76" w:name="_Toc17039"/>
      <w:r>
        <w:rPr>
          <w:rFonts w:hint="eastAsia" w:ascii="仿宋" w:hAnsi="仿宋" w:eastAsia="仿宋" w:cs="仿宋"/>
          <w:kern w:val="2"/>
          <w:sz w:val="28"/>
          <w:szCs w:val="28"/>
          <w:highlight w:val="none"/>
          <w:lang w:val="en-US" w:eastAsia="zh-CN" w:bidi="ar-SA"/>
        </w:rPr>
        <w:t>附件二：《延迟付款声明函》格式</w:t>
      </w:r>
      <w:bookmarkEnd w:id="70"/>
      <w:bookmarkEnd w:id="71"/>
      <w:r>
        <w:rPr>
          <w:rFonts w:hint="eastAsia" w:ascii="仿宋" w:hAnsi="仿宋" w:eastAsia="仿宋" w:cs="仿宋"/>
          <w:kern w:val="2"/>
          <w:sz w:val="28"/>
          <w:szCs w:val="28"/>
          <w:highlight w:val="none"/>
          <w:lang w:val="en-US" w:eastAsia="zh-CN" w:bidi="ar-SA"/>
        </w:rPr>
        <w:t>；</w:t>
      </w:r>
      <w:bookmarkEnd w:id="72"/>
      <w:bookmarkEnd w:id="73"/>
      <w:bookmarkEnd w:id="74"/>
      <w:bookmarkEnd w:id="75"/>
      <w:bookmarkEnd w:id="76"/>
    </w:p>
    <w:p w14:paraId="201B152B">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77" w:name="_Toc21260"/>
      <w:bookmarkStart w:id="78" w:name="_Toc12464"/>
      <w:bookmarkStart w:id="79" w:name="_Toc3654"/>
      <w:bookmarkStart w:id="80" w:name="_Toc12629"/>
      <w:bookmarkStart w:id="81" w:name="_Toc31961"/>
      <w:bookmarkStart w:id="82" w:name="_Toc18716"/>
      <w:bookmarkStart w:id="83" w:name="_Toc846"/>
      <w:r>
        <w:rPr>
          <w:rFonts w:hint="eastAsia" w:ascii="仿宋" w:hAnsi="仿宋" w:eastAsia="仿宋" w:cs="仿宋"/>
          <w:kern w:val="2"/>
          <w:sz w:val="28"/>
          <w:szCs w:val="28"/>
          <w:highlight w:val="none"/>
          <w:lang w:val="en-US" w:eastAsia="zh-CN" w:bidi="ar-SA"/>
        </w:rPr>
        <w:t>附件三：《材料款申报确认表》格式；</w:t>
      </w:r>
      <w:bookmarkEnd w:id="77"/>
      <w:bookmarkEnd w:id="78"/>
      <w:bookmarkEnd w:id="79"/>
      <w:bookmarkEnd w:id="80"/>
      <w:bookmarkEnd w:id="81"/>
      <w:r>
        <w:rPr>
          <w:rFonts w:hint="eastAsia" w:ascii="仿宋" w:hAnsi="仿宋" w:eastAsia="仿宋" w:cs="仿宋"/>
          <w:kern w:val="2"/>
          <w:sz w:val="28"/>
          <w:szCs w:val="28"/>
          <w:highlight w:val="none"/>
          <w:lang w:val="en-US" w:eastAsia="zh-CN" w:bidi="ar-SA"/>
        </w:rPr>
        <w:t xml:space="preserve">      </w:t>
      </w:r>
    </w:p>
    <w:p w14:paraId="6AC9919A">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84" w:name="_Toc21317"/>
      <w:bookmarkStart w:id="85" w:name="_Toc23496"/>
      <w:bookmarkStart w:id="86" w:name="_Toc5880"/>
      <w:bookmarkStart w:id="87" w:name="_Toc20988"/>
      <w:bookmarkStart w:id="88" w:name="_Toc30943"/>
      <w:r>
        <w:rPr>
          <w:rFonts w:hint="eastAsia" w:ascii="仿宋" w:hAnsi="仿宋" w:eastAsia="仿宋" w:cs="仿宋"/>
          <w:kern w:val="2"/>
          <w:sz w:val="28"/>
          <w:szCs w:val="28"/>
          <w:highlight w:val="none"/>
          <w:lang w:val="en-US" w:eastAsia="zh-CN" w:bidi="ar-SA"/>
        </w:rPr>
        <w:t>附件四：《付款台账汇总表》格式</w:t>
      </w:r>
      <w:bookmarkEnd w:id="82"/>
      <w:bookmarkEnd w:id="83"/>
      <w:bookmarkStart w:id="89" w:name="_Toc19217"/>
      <w:bookmarkStart w:id="90" w:name="_Toc10096"/>
      <w:r>
        <w:rPr>
          <w:rFonts w:hint="eastAsia" w:ascii="仿宋" w:hAnsi="仿宋" w:eastAsia="仿宋" w:cs="仿宋"/>
          <w:kern w:val="2"/>
          <w:sz w:val="28"/>
          <w:szCs w:val="28"/>
          <w:highlight w:val="none"/>
          <w:lang w:val="en-US" w:eastAsia="zh-CN" w:bidi="ar-SA"/>
        </w:rPr>
        <w:t>；</w:t>
      </w:r>
      <w:bookmarkEnd w:id="84"/>
      <w:bookmarkEnd w:id="85"/>
      <w:bookmarkEnd w:id="86"/>
      <w:bookmarkEnd w:id="87"/>
      <w:bookmarkEnd w:id="88"/>
    </w:p>
    <w:p w14:paraId="42730E1F">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91" w:name="_Toc6998"/>
      <w:bookmarkStart w:id="92" w:name="_Toc8459"/>
      <w:bookmarkStart w:id="93" w:name="_Toc25762"/>
      <w:bookmarkStart w:id="94" w:name="_Toc29519"/>
      <w:bookmarkStart w:id="95" w:name="_Toc2349"/>
      <w:r>
        <w:rPr>
          <w:rFonts w:hint="eastAsia" w:ascii="仿宋" w:hAnsi="仿宋" w:eastAsia="仿宋" w:cs="仿宋"/>
          <w:kern w:val="2"/>
          <w:sz w:val="28"/>
          <w:szCs w:val="28"/>
          <w:highlight w:val="none"/>
          <w:lang w:val="en-US" w:eastAsia="zh-CN" w:bidi="ar-SA"/>
        </w:rPr>
        <w:t>附件五：《结清承诺书》格式</w:t>
      </w:r>
      <w:bookmarkEnd w:id="89"/>
      <w:bookmarkEnd w:id="90"/>
      <w:r>
        <w:rPr>
          <w:rFonts w:hint="eastAsia" w:ascii="仿宋" w:hAnsi="仿宋" w:eastAsia="仿宋" w:cs="仿宋"/>
          <w:kern w:val="2"/>
          <w:sz w:val="28"/>
          <w:szCs w:val="28"/>
          <w:highlight w:val="none"/>
          <w:lang w:val="en-US" w:eastAsia="zh-CN" w:bidi="ar-SA"/>
        </w:rPr>
        <w:t>；</w:t>
      </w:r>
      <w:bookmarkEnd w:id="91"/>
      <w:bookmarkEnd w:id="92"/>
      <w:bookmarkEnd w:id="93"/>
      <w:bookmarkEnd w:id="94"/>
      <w:bookmarkEnd w:id="95"/>
    </w:p>
    <w:p w14:paraId="1E073EE5">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96" w:name="_Toc829"/>
      <w:bookmarkStart w:id="97" w:name="_Toc12121"/>
      <w:bookmarkStart w:id="98" w:name="_Toc13958"/>
      <w:bookmarkStart w:id="99" w:name="_Toc29272"/>
      <w:bookmarkStart w:id="100" w:name="_Toc19922"/>
      <w:r>
        <w:rPr>
          <w:rFonts w:hint="eastAsia" w:ascii="仿宋" w:hAnsi="仿宋" w:eastAsia="仿宋" w:cs="仿宋"/>
          <w:kern w:val="2"/>
          <w:sz w:val="28"/>
          <w:szCs w:val="28"/>
          <w:highlight w:val="none"/>
          <w:lang w:val="en-US" w:eastAsia="zh-CN" w:bidi="ar-SA"/>
        </w:rPr>
        <w:t>附件六：</w:t>
      </w:r>
      <w:bookmarkEnd w:id="96"/>
      <w:bookmarkEnd w:id="97"/>
      <w:bookmarkStart w:id="101" w:name="_Toc23179"/>
      <w:bookmarkStart w:id="102" w:name="_Toc11222"/>
      <w:r>
        <w:rPr>
          <w:rFonts w:hint="eastAsia" w:ascii="仿宋" w:hAnsi="仿宋" w:eastAsia="仿宋" w:cs="仿宋"/>
          <w:kern w:val="2"/>
          <w:sz w:val="28"/>
          <w:szCs w:val="28"/>
          <w:highlight w:val="none"/>
          <w:lang w:val="en-US" w:eastAsia="zh-CN" w:bidi="ar-SA"/>
        </w:rPr>
        <w:t>《供应商月度对账单》格式；</w:t>
      </w:r>
      <w:bookmarkEnd w:id="98"/>
      <w:bookmarkEnd w:id="99"/>
      <w:bookmarkEnd w:id="100"/>
      <w:bookmarkEnd w:id="101"/>
      <w:bookmarkEnd w:id="102"/>
    </w:p>
    <w:p w14:paraId="73DB4D09">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103" w:name="_Toc9256"/>
      <w:bookmarkStart w:id="104" w:name="_Toc24747"/>
      <w:bookmarkStart w:id="105" w:name="_Toc22264"/>
      <w:bookmarkStart w:id="106" w:name="_Toc19612"/>
      <w:bookmarkStart w:id="107" w:name="_Toc7367"/>
      <w:r>
        <w:rPr>
          <w:rFonts w:hint="eastAsia" w:ascii="仿宋" w:hAnsi="仿宋" w:eastAsia="仿宋" w:cs="仿宋"/>
          <w:kern w:val="2"/>
          <w:sz w:val="28"/>
          <w:szCs w:val="28"/>
          <w:highlight w:val="none"/>
          <w:lang w:val="en-US" w:eastAsia="zh-CN" w:bidi="ar-SA"/>
        </w:rPr>
        <w:t>附件七：《物料申购单》格式；</w:t>
      </w:r>
      <w:bookmarkEnd w:id="103"/>
      <w:bookmarkEnd w:id="104"/>
      <w:bookmarkEnd w:id="105"/>
      <w:bookmarkEnd w:id="106"/>
      <w:bookmarkEnd w:id="107"/>
    </w:p>
    <w:p w14:paraId="54B08D5B">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108" w:name="_Toc30556"/>
      <w:bookmarkStart w:id="109" w:name="_Toc15821"/>
      <w:bookmarkStart w:id="110" w:name="_Toc6117"/>
      <w:bookmarkStart w:id="111" w:name="_Toc3219"/>
      <w:bookmarkStart w:id="112" w:name="_Toc11793"/>
      <w:r>
        <w:rPr>
          <w:rFonts w:hint="eastAsia" w:ascii="仿宋" w:hAnsi="仿宋" w:eastAsia="仿宋" w:cs="仿宋"/>
          <w:kern w:val="2"/>
          <w:sz w:val="28"/>
          <w:szCs w:val="28"/>
          <w:highlight w:val="none"/>
          <w:lang w:val="en-US" w:eastAsia="zh-CN" w:bidi="ar-SA"/>
        </w:rPr>
        <w:t>附件八：《报价清单》。</w:t>
      </w:r>
      <w:bookmarkEnd w:id="108"/>
      <w:bookmarkEnd w:id="109"/>
      <w:bookmarkEnd w:id="110"/>
      <w:bookmarkEnd w:id="111"/>
      <w:bookmarkEnd w:id="112"/>
    </w:p>
    <w:p w14:paraId="723E4A8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r>
        <w:rPr>
          <w:rFonts w:hint="eastAsia" w:ascii="仿宋" w:hAnsi="仿宋" w:eastAsia="仿宋" w:cs="仿宋"/>
          <w:b/>
          <w:bCs/>
          <w:color w:val="auto"/>
          <w:sz w:val="24"/>
          <w:szCs w:val="24"/>
          <w:highlight w:val="none"/>
          <w:lang w:val="en-US" w:eastAsia="zh-CN"/>
        </w:rPr>
        <w:t xml:space="preserve"> </w:t>
      </w:r>
    </w:p>
    <w:p w14:paraId="0ABC855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3A5AC5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506670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51BBE5E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纳税号：91441900732168546R               纳税号：</w:t>
      </w:r>
      <w:r>
        <w:rPr>
          <w:rFonts w:hint="eastAsia" w:ascii="仿宋" w:hAnsi="仿宋" w:eastAsia="仿宋" w:cs="仿宋"/>
          <w:b/>
          <w:bCs/>
          <w:color w:val="auto"/>
          <w:sz w:val="24"/>
          <w:szCs w:val="24"/>
          <w:highlight w:val="none"/>
          <w:lang w:val="en-US" w:eastAsia="zh-CN"/>
        </w:rPr>
        <w:t xml:space="preserve"> </w:t>
      </w:r>
    </w:p>
    <w:p w14:paraId="7EA82D6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7227CEE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E301A3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r>
        <w:rPr>
          <w:rFonts w:hint="eastAsia" w:ascii="仿宋" w:hAnsi="仿宋" w:eastAsia="仿宋" w:cs="仿宋"/>
          <w:b/>
          <w:bCs/>
          <w:color w:val="auto"/>
          <w:sz w:val="24"/>
          <w:szCs w:val="24"/>
          <w:highlight w:val="none"/>
          <w:lang w:val="en-US" w:eastAsia="zh-CN"/>
        </w:rPr>
        <w:t xml:space="preserve"> </w:t>
      </w:r>
    </w:p>
    <w:p w14:paraId="762A0F9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7677182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r>
        <w:rPr>
          <w:rFonts w:hint="eastAsia" w:ascii="仿宋" w:hAnsi="仿宋" w:eastAsia="仿宋" w:cs="仿宋"/>
          <w:b/>
          <w:bCs/>
          <w:color w:val="auto"/>
          <w:sz w:val="24"/>
          <w:szCs w:val="24"/>
          <w:highlight w:val="none"/>
          <w:lang w:val="en-US" w:eastAsia="zh-CN"/>
        </w:rPr>
        <w:t xml:space="preserve"> </w:t>
      </w:r>
    </w:p>
    <w:p w14:paraId="20D7612B">
      <w:pPr>
        <w:keepNext w:val="0"/>
        <w:keepLines w:val="0"/>
        <w:pageBreakBefore w:val="0"/>
        <w:widowControl w:val="0"/>
        <w:kinsoku/>
        <w:overflowPunct/>
        <w:topLinePunct w:val="0"/>
        <w:autoSpaceDE/>
        <w:autoSpaceDN/>
        <w:bidi w:val="0"/>
        <w:snapToGrid w:val="0"/>
        <w:spacing w:line="24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sz w:val="24"/>
          <w:szCs w:val="24"/>
          <w:highlight w:val="none"/>
          <w:lang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113" w:name="_Toc11233"/>
      <w:bookmarkStart w:id="114" w:name="_Toc19000"/>
    </w:p>
    <w:p w14:paraId="1035EA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bookmarkStart w:id="115" w:name="_Toc17953"/>
      <w:bookmarkStart w:id="116" w:name="_Toc15436"/>
      <w:bookmarkStart w:id="117" w:name="_Toc9127"/>
      <w:bookmarkStart w:id="118" w:name="_Toc8317"/>
      <w:bookmarkStart w:id="119" w:name="_Toc30455"/>
    </w:p>
    <w:p w14:paraId="4FD8B9C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4E249E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2E0B52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5F5CAA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096F74DA">
      <w:pPr>
        <w:pStyle w:val="2"/>
        <w:rPr>
          <w:rFonts w:hint="eastAsia" w:ascii="仿宋" w:hAnsi="仿宋" w:eastAsia="仿宋" w:cs="仿宋"/>
          <w:b/>
          <w:bCs/>
          <w:color w:val="auto"/>
          <w:sz w:val="44"/>
          <w:szCs w:val="44"/>
          <w:highlight w:val="none"/>
          <w:lang w:val="en-US" w:eastAsia="zh-CN"/>
        </w:rPr>
      </w:pPr>
    </w:p>
    <w:p w14:paraId="570EAE64">
      <w:pPr>
        <w:pStyle w:val="2"/>
        <w:rPr>
          <w:rFonts w:hint="eastAsia" w:ascii="仿宋" w:hAnsi="仿宋" w:eastAsia="仿宋" w:cs="仿宋"/>
          <w:b/>
          <w:bCs/>
          <w:color w:val="auto"/>
          <w:sz w:val="44"/>
          <w:szCs w:val="44"/>
          <w:highlight w:val="none"/>
          <w:lang w:val="en-US" w:eastAsia="zh-CN"/>
        </w:rPr>
      </w:pPr>
    </w:p>
    <w:p w14:paraId="6B9583C7">
      <w:pPr>
        <w:pStyle w:val="2"/>
        <w:rPr>
          <w:rFonts w:hint="eastAsia" w:ascii="仿宋" w:hAnsi="仿宋" w:eastAsia="仿宋" w:cs="仿宋"/>
          <w:b/>
          <w:bCs/>
          <w:color w:val="auto"/>
          <w:sz w:val="44"/>
          <w:szCs w:val="44"/>
          <w:highlight w:val="none"/>
          <w:lang w:val="en-US" w:eastAsia="zh-CN"/>
        </w:rPr>
      </w:pPr>
    </w:p>
    <w:p w14:paraId="53A29BE2">
      <w:pPr>
        <w:pStyle w:val="2"/>
        <w:rPr>
          <w:rFonts w:hint="eastAsia" w:ascii="仿宋" w:hAnsi="仿宋" w:eastAsia="仿宋" w:cs="仿宋"/>
          <w:b/>
          <w:bCs/>
          <w:color w:val="auto"/>
          <w:sz w:val="44"/>
          <w:szCs w:val="44"/>
          <w:highlight w:val="none"/>
          <w:lang w:val="en-US" w:eastAsia="zh-CN"/>
        </w:rPr>
      </w:pPr>
    </w:p>
    <w:p w14:paraId="419B1E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6F1DD5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bookmarkEnd w:id="115"/>
      <w:bookmarkEnd w:id="116"/>
      <w:bookmarkEnd w:id="117"/>
      <w:bookmarkEnd w:id="118"/>
      <w:bookmarkEnd w:id="119"/>
    </w:p>
    <w:p w14:paraId="18DA37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A5A6C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B8C42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51E31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8D33A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6AC1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default" w:ascii="仿宋" w:hAnsi="仿宋" w:eastAsia="仿宋" w:cs="仿宋"/>
          <w:b/>
          <w:bCs/>
          <w:color w:val="auto"/>
          <w:sz w:val="30"/>
          <w:highlight w:val="none"/>
          <w:lang w:val="en-US" w:eastAsia="zh-CN"/>
        </w:rPr>
      </w:pPr>
      <w:bookmarkStart w:id="120" w:name="_Toc32390"/>
      <w:bookmarkStart w:id="121" w:name="_Toc13325"/>
      <w:bookmarkStart w:id="122" w:name="_Toc22046"/>
      <w:bookmarkStart w:id="123" w:name="_Toc26990"/>
      <w:bookmarkStart w:id="124" w:name="_Toc2040"/>
      <w:r>
        <w:rPr>
          <w:rFonts w:hint="eastAsia" w:ascii="仿宋" w:hAnsi="仿宋" w:eastAsia="仿宋" w:cs="仿宋"/>
          <w:b/>
          <w:bCs/>
          <w:color w:val="auto"/>
          <w:sz w:val="30"/>
          <w:highlight w:val="none"/>
          <w:lang w:val="en-US" w:eastAsia="zh-CN"/>
        </w:rPr>
        <w:t>甲方项目章</w:t>
      </w:r>
      <w:bookmarkEnd w:id="113"/>
      <w:bookmarkEnd w:id="114"/>
      <w:r>
        <w:rPr>
          <w:rFonts w:hint="eastAsia" w:ascii="仿宋" w:hAnsi="仿宋" w:eastAsia="仿宋" w:cs="仿宋"/>
          <w:b/>
          <w:bCs/>
          <w:color w:val="auto"/>
          <w:sz w:val="30"/>
          <w:highlight w:val="none"/>
          <w:lang w:val="en-US" w:eastAsia="zh-CN"/>
        </w:rPr>
        <w:t>样式</w:t>
      </w:r>
      <w:bookmarkEnd w:id="120"/>
      <w:bookmarkEnd w:id="121"/>
      <w:bookmarkEnd w:id="122"/>
      <w:bookmarkEnd w:id="123"/>
      <w:bookmarkEnd w:id="124"/>
    </w:p>
    <w:p w14:paraId="35C230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F212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bookmarkStart w:id="125" w:name="_Toc13609"/>
      <w:bookmarkStart w:id="126" w:name="_Toc2259"/>
      <w:bookmarkStart w:id="127" w:name="_Toc8240"/>
      <w:bookmarkStart w:id="128" w:name="_Toc28448"/>
      <w:bookmarkStart w:id="129" w:name="_Toc6747"/>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3810" b="762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8"/>
                    <a:stretch>
                      <a:fillRect/>
                    </a:stretch>
                  </pic:blipFill>
                  <pic:spPr>
                    <a:xfrm>
                      <a:off x="0" y="0"/>
                      <a:ext cx="4476750" cy="3238500"/>
                    </a:xfrm>
                    <a:prstGeom prst="rect">
                      <a:avLst/>
                    </a:prstGeom>
                  </pic:spPr>
                </pic:pic>
              </a:graphicData>
            </a:graphic>
          </wp:inline>
        </w:drawing>
      </w:r>
      <w:bookmarkEnd w:id="125"/>
      <w:bookmarkEnd w:id="126"/>
      <w:bookmarkEnd w:id="127"/>
      <w:bookmarkEnd w:id="128"/>
      <w:bookmarkEnd w:id="129"/>
    </w:p>
    <w:p w14:paraId="0B5F4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BB6F8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62275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D8F32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78E64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7AB8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6C7D0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C48FF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1DFF3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23FC4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D7A24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58CF1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2742D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8853C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80691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1200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C31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51BAE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延迟付款声明函</w:t>
      </w:r>
    </w:p>
    <w:p w14:paraId="49211D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p>
    <w:p w14:paraId="5E0842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致东莞市中泰建安工程有限公司：</w:t>
      </w:r>
    </w:p>
    <w:p w14:paraId="77B450D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sz w:val="30"/>
          <w:szCs w:val="30"/>
          <w:highlight w:val="none"/>
          <w:u w:val="none"/>
          <w:lang w:val="en-US" w:eastAsia="zh-CN"/>
        </w:rPr>
        <w:t>，因</w:t>
      </w:r>
      <w:r>
        <w:rPr>
          <w:rFonts w:hint="eastAsia" w:ascii="仿宋" w:hAnsi="仿宋" w:eastAsia="仿宋" w:cs="仿宋"/>
          <w:sz w:val="30"/>
          <w:szCs w:val="30"/>
          <w:highlight w:val="none"/>
          <w:lang w:val="en-US" w:eastAsia="zh-CN"/>
        </w:rPr>
        <w:t>我司</w:t>
      </w:r>
      <w:r>
        <w:rPr>
          <w:rFonts w:hint="eastAsia" w:ascii="仿宋" w:hAnsi="仿宋" w:eastAsia="仿宋" w:cs="仿宋"/>
          <w:sz w:val="30"/>
          <w:szCs w:val="30"/>
          <w:highlight w:val="none"/>
          <w:u w:val="none"/>
          <w:lang w:val="en-US" w:eastAsia="zh-CN"/>
        </w:rPr>
        <w:t>原因导致无法</w:t>
      </w:r>
      <w:r>
        <w:rPr>
          <w:rFonts w:hint="eastAsia" w:ascii="仿宋" w:hAnsi="仿宋" w:eastAsia="仿宋" w:cs="仿宋"/>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6F4ACF1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highlight w:val="none"/>
          <w:lang w:val="en-US" w:eastAsia="zh-CN"/>
        </w:rPr>
      </w:pPr>
      <w:r>
        <w:rPr>
          <w:rFonts w:hint="eastAsia" w:ascii="仿宋" w:hAnsi="仿宋" w:eastAsia="仿宋" w:cs="仿宋"/>
          <w:sz w:val="30"/>
          <w:szCs w:val="30"/>
          <w:highlight w:val="none"/>
          <w:lang w:val="en-US" w:eastAsia="zh-CN"/>
        </w:rPr>
        <w:t>特此声明。</w:t>
      </w:r>
    </w:p>
    <w:p w14:paraId="4446F8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5F5163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66A8F1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0BFA4884">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声明单位：</w:t>
      </w:r>
    </w:p>
    <w:p w14:paraId="2BCFD4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负责人：</w:t>
      </w:r>
    </w:p>
    <w:p w14:paraId="765E5D8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（加盖公章及法定代表人或授权代表签字）     </w:t>
      </w:r>
    </w:p>
    <w:p w14:paraId="4978CF3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w:t>
      </w:r>
    </w:p>
    <w:p w14:paraId="5E6DE0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A8997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F03C4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2570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CADCB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20C66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03F53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B7073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A0A7A8B">
      <w:pPr>
        <w:keepNext/>
        <w:keepLines/>
        <w:widowControl w:val="0"/>
        <w:spacing w:before="120"/>
        <w:jc w:val="right"/>
        <w:outlineLvl w:val="0"/>
        <w:rPr>
          <w:rFonts w:hint="eastAsia" w:ascii="仿宋" w:hAnsi="仿宋" w:eastAsia="仿宋" w:cs="仿宋"/>
          <w:highlight w:val="none"/>
        </w:rPr>
      </w:pPr>
      <w:bookmarkStart w:id="130" w:name="_Toc23013"/>
      <w:bookmarkStart w:id="131" w:name="_Toc3377"/>
      <w:bookmarkStart w:id="132" w:name="_Toc86334254"/>
      <w:bookmarkStart w:id="133" w:name="_Toc11341"/>
      <w:bookmarkStart w:id="134" w:name="_Toc2838"/>
      <w:bookmarkStart w:id="135" w:name="_Toc18596"/>
      <w:bookmarkStart w:id="136" w:name="_Toc7796"/>
      <w:bookmarkStart w:id="137" w:name="_Toc25054"/>
      <w:r>
        <w:rPr>
          <w:rFonts w:hint="eastAsia" w:ascii="仿宋" w:hAnsi="仿宋" w:eastAsia="仿宋" w:cs="仿宋"/>
          <w:b/>
          <w:bCs/>
          <w:kern w:val="2"/>
          <w:sz w:val="44"/>
          <w:szCs w:val="48"/>
          <w:highlight w:val="none"/>
          <w:lang w:val="en-US" w:eastAsia="zh-CN" w:bidi="ar-SA"/>
        </w:rPr>
        <w:t>附件三</w:t>
      </w:r>
      <w:bookmarkEnd w:id="130"/>
      <w:bookmarkEnd w:id="131"/>
      <w:bookmarkEnd w:id="132"/>
      <w:bookmarkEnd w:id="133"/>
      <w:bookmarkEnd w:id="134"/>
      <w:bookmarkEnd w:id="135"/>
      <w:bookmarkEnd w:id="136"/>
      <w:bookmarkEnd w:id="137"/>
    </w:p>
    <w:p w14:paraId="441D78DD">
      <w:pPr>
        <w:tabs>
          <w:tab w:val="left" w:pos="720"/>
        </w:tabs>
        <w:adjustRightInd w:val="0"/>
        <w:snapToGrid w:val="0"/>
        <w:spacing w:line="360" w:lineRule="auto"/>
        <w:ind w:left="482" w:hanging="663" w:hangingChars="150"/>
        <w:jc w:val="center"/>
        <w:rPr>
          <w:rFonts w:hint="eastAsia" w:ascii="仿宋" w:hAnsi="仿宋" w:eastAsia="仿宋" w:cs="仿宋"/>
          <w:b/>
          <w:bCs w:val="0"/>
          <w:sz w:val="44"/>
          <w:szCs w:val="44"/>
          <w:highlight w:val="none"/>
        </w:rPr>
      </w:pPr>
      <w:r>
        <w:rPr>
          <w:rFonts w:hint="eastAsia" w:ascii="仿宋" w:hAnsi="仿宋" w:eastAsia="仿宋" w:cs="仿宋"/>
          <w:b/>
          <w:bCs w:val="0"/>
          <w:sz w:val="44"/>
          <w:szCs w:val="44"/>
          <w:highlight w:val="none"/>
        </w:rPr>
        <w:t>材料款申报确认表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423"/>
      </w:tblGrid>
      <w:tr w14:paraId="74F2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355E4F3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工程名称</w:t>
            </w:r>
          </w:p>
        </w:tc>
        <w:tc>
          <w:tcPr>
            <w:tcW w:w="3402" w:type="dxa"/>
            <w:noWrap w:val="0"/>
            <w:vAlign w:val="top"/>
          </w:tcPr>
          <w:p w14:paraId="2431987D">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797B137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合同名称</w:t>
            </w:r>
          </w:p>
        </w:tc>
        <w:tc>
          <w:tcPr>
            <w:tcW w:w="3423" w:type="dxa"/>
            <w:noWrap w:val="0"/>
            <w:vAlign w:val="top"/>
          </w:tcPr>
          <w:p w14:paraId="2620EBC8">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43B4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5D95C332">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供货单位</w:t>
            </w:r>
          </w:p>
        </w:tc>
        <w:tc>
          <w:tcPr>
            <w:tcW w:w="3402" w:type="dxa"/>
            <w:noWrap w:val="0"/>
            <w:vAlign w:val="top"/>
          </w:tcPr>
          <w:p w14:paraId="1D83B99A">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1A852479">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合同编号</w:t>
            </w:r>
          </w:p>
        </w:tc>
        <w:tc>
          <w:tcPr>
            <w:tcW w:w="3423" w:type="dxa"/>
            <w:noWrap w:val="0"/>
            <w:vAlign w:val="top"/>
          </w:tcPr>
          <w:p w14:paraId="7DE2B2D0">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65D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9377" w:type="dxa"/>
            <w:gridSpan w:val="4"/>
            <w:noWrap w:val="0"/>
            <w:vAlign w:val="top"/>
          </w:tcPr>
          <w:p w14:paraId="3B0F7E3A">
            <w:pPr>
              <w:tabs>
                <w:tab w:val="left" w:pos="720"/>
              </w:tabs>
              <w:adjustRightInd w:val="0"/>
              <w:snapToGrid w:val="0"/>
              <w:spacing w:line="360" w:lineRule="auto"/>
              <w:ind w:firstLine="120" w:firstLineChars="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材料申报内容：</w:t>
            </w:r>
          </w:p>
          <w:p w14:paraId="1CEB047C">
            <w:pPr>
              <w:tabs>
                <w:tab w:val="left" w:pos="720"/>
              </w:tabs>
              <w:adjustRightInd w:val="0"/>
              <w:snapToGrid w:val="0"/>
              <w:spacing w:line="360" w:lineRule="auto"/>
              <w:jc w:val="left"/>
              <w:rPr>
                <w:rFonts w:hint="eastAsia" w:ascii="仿宋" w:hAnsi="仿宋" w:eastAsia="仿宋" w:cs="仿宋"/>
                <w:b w:val="0"/>
                <w:bCs/>
                <w:sz w:val="24"/>
                <w:highlight w:val="none"/>
              </w:rPr>
            </w:pPr>
          </w:p>
          <w:p w14:paraId="2B35554E">
            <w:pPr>
              <w:tabs>
                <w:tab w:val="left" w:pos="720"/>
              </w:tabs>
              <w:adjustRightInd w:val="0"/>
              <w:snapToGrid w:val="0"/>
              <w:spacing w:line="360" w:lineRule="auto"/>
              <w:jc w:val="left"/>
              <w:rPr>
                <w:rFonts w:hint="eastAsia" w:ascii="仿宋" w:hAnsi="仿宋" w:eastAsia="仿宋" w:cs="仿宋"/>
                <w:b w:val="0"/>
                <w:bCs/>
                <w:sz w:val="24"/>
                <w:highlight w:val="none"/>
              </w:rPr>
            </w:pPr>
          </w:p>
          <w:p w14:paraId="1E6EB071">
            <w:pPr>
              <w:tabs>
                <w:tab w:val="left" w:pos="720"/>
              </w:tabs>
              <w:adjustRightInd w:val="0"/>
              <w:snapToGrid w:val="0"/>
              <w:spacing w:line="360" w:lineRule="auto"/>
              <w:jc w:val="left"/>
              <w:rPr>
                <w:rFonts w:hint="eastAsia" w:ascii="仿宋" w:hAnsi="仿宋" w:eastAsia="仿宋" w:cs="仿宋"/>
                <w:b w:val="0"/>
                <w:bCs/>
                <w:sz w:val="24"/>
                <w:highlight w:val="none"/>
              </w:rPr>
            </w:pPr>
          </w:p>
          <w:p w14:paraId="10FC5FB7">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供货单位（章）：</w:t>
            </w:r>
          </w:p>
          <w:p w14:paraId="6E9096B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供货单位负责人：</w:t>
            </w:r>
          </w:p>
        </w:tc>
      </w:tr>
      <w:tr w14:paraId="206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377" w:type="dxa"/>
            <w:gridSpan w:val="4"/>
            <w:noWrap w:val="0"/>
            <w:vAlign w:val="top"/>
          </w:tcPr>
          <w:p w14:paraId="6F2F52CD">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仓管员①/经办人审核意见：</w:t>
            </w:r>
          </w:p>
          <w:p w14:paraId="24D0B41B">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p>
          <w:p w14:paraId="0F04E9CF">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7024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377" w:type="dxa"/>
            <w:gridSpan w:val="4"/>
            <w:noWrap w:val="0"/>
            <w:vAlign w:val="top"/>
          </w:tcPr>
          <w:p w14:paraId="08F61C5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仓管员②审核意见：</w:t>
            </w:r>
          </w:p>
          <w:p w14:paraId="52D89CFC">
            <w:pPr>
              <w:tabs>
                <w:tab w:val="left" w:pos="720"/>
              </w:tabs>
              <w:adjustRightInd w:val="0"/>
              <w:snapToGrid w:val="0"/>
              <w:spacing w:line="360" w:lineRule="auto"/>
              <w:jc w:val="left"/>
              <w:rPr>
                <w:rFonts w:hint="eastAsia" w:ascii="仿宋" w:hAnsi="仿宋" w:eastAsia="仿宋" w:cs="仿宋"/>
                <w:b w:val="0"/>
                <w:bCs/>
                <w:sz w:val="24"/>
                <w:highlight w:val="none"/>
              </w:rPr>
            </w:pPr>
          </w:p>
          <w:p w14:paraId="339DBF8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 </w:t>
            </w:r>
          </w:p>
        </w:tc>
      </w:tr>
      <w:tr w14:paraId="14EE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377" w:type="dxa"/>
            <w:gridSpan w:val="4"/>
            <w:noWrap w:val="0"/>
            <w:vAlign w:val="top"/>
          </w:tcPr>
          <w:p w14:paraId="69CCDD98">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项目成本管理员审核意见：</w:t>
            </w:r>
          </w:p>
          <w:p w14:paraId="4B5E82AB">
            <w:pPr>
              <w:tabs>
                <w:tab w:val="left" w:pos="720"/>
              </w:tabs>
              <w:adjustRightInd w:val="0"/>
              <w:snapToGrid w:val="0"/>
              <w:spacing w:line="360" w:lineRule="auto"/>
              <w:jc w:val="left"/>
              <w:rPr>
                <w:rFonts w:hint="eastAsia" w:ascii="仿宋" w:hAnsi="仿宋" w:eastAsia="仿宋" w:cs="仿宋"/>
                <w:b w:val="0"/>
                <w:bCs/>
                <w:sz w:val="24"/>
                <w:highlight w:val="none"/>
              </w:rPr>
            </w:pPr>
          </w:p>
          <w:p w14:paraId="1847B12F">
            <w:pPr>
              <w:tabs>
                <w:tab w:val="left" w:pos="720"/>
              </w:tabs>
              <w:adjustRightInd w:val="0"/>
              <w:snapToGrid w:val="0"/>
              <w:spacing w:line="360" w:lineRule="auto"/>
              <w:jc w:val="left"/>
              <w:rPr>
                <w:rFonts w:hint="eastAsia" w:ascii="仿宋" w:hAnsi="仿宋" w:eastAsia="仿宋" w:cs="仿宋"/>
                <w:b w:val="0"/>
                <w:bCs/>
                <w:sz w:val="24"/>
                <w:highlight w:val="none"/>
              </w:rPr>
            </w:pPr>
          </w:p>
          <w:p w14:paraId="33975E23">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1D34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377" w:type="dxa"/>
            <w:gridSpan w:val="4"/>
            <w:noWrap w:val="0"/>
            <w:vAlign w:val="top"/>
          </w:tcPr>
          <w:p w14:paraId="2DDC0F6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项目经理审核意见：</w:t>
            </w:r>
          </w:p>
          <w:p w14:paraId="48FF6051">
            <w:pPr>
              <w:tabs>
                <w:tab w:val="left" w:pos="720"/>
              </w:tabs>
              <w:adjustRightInd w:val="0"/>
              <w:snapToGrid w:val="0"/>
              <w:spacing w:line="360" w:lineRule="auto"/>
              <w:jc w:val="left"/>
              <w:rPr>
                <w:rFonts w:hint="eastAsia" w:ascii="仿宋" w:hAnsi="仿宋" w:eastAsia="仿宋" w:cs="仿宋"/>
                <w:b w:val="0"/>
                <w:bCs/>
                <w:sz w:val="24"/>
                <w:highlight w:val="none"/>
              </w:rPr>
            </w:pPr>
          </w:p>
          <w:p w14:paraId="0474827F">
            <w:pPr>
              <w:tabs>
                <w:tab w:val="left" w:pos="720"/>
              </w:tabs>
              <w:adjustRightInd w:val="0"/>
              <w:snapToGrid w:val="0"/>
              <w:spacing w:line="360" w:lineRule="auto"/>
              <w:jc w:val="left"/>
              <w:rPr>
                <w:rFonts w:hint="eastAsia" w:ascii="仿宋" w:hAnsi="仿宋" w:eastAsia="仿宋" w:cs="仿宋"/>
                <w:b w:val="0"/>
                <w:bCs/>
                <w:sz w:val="24"/>
                <w:highlight w:val="none"/>
              </w:rPr>
            </w:pPr>
          </w:p>
          <w:p w14:paraId="590EE5EE">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bl>
    <w:p w14:paraId="0B541C17">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填表要求：1、此表由</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发起，如实填写，不允许涂改，如有涂改或虚报，此表无效。</w:t>
      </w:r>
    </w:p>
    <w:p w14:paraId="4B6AB271">
      <w:pPr>
        <w:numPr>
          <w:ilvl w:val="0"/>
          <w:numId w:val="1"/>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此确认表作为</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向</w:t>
      </w:r>
      <w:r>
        <w:rPr>
          <w:rFonts w:hint="eastAsia" w:ascii="仿宋" w:hAnsi="仿宋" w:eastAsia="仿宋" w:cs="仿宋"/>
          <w:b w:val="0"/>
          <w:bCs/>
          <w:sz w:val="18"/>
          <w:szCs w:val="18"/>
          <w:highlight w:val="none"/>
          <w:lang w:val="en-US" w:eastAsia="zh-CN"/>
        </w:rPr>
        <w:t>中泰建安</w:t>
      </w:r>
      <w:r>
        <w:rPr>
          <w:rFonts w:hint="eastAsia" w:ascii="仿宋" w:hAnsi="仿宋" w:eastAsia="仿宋" w:cs="仿宋"/>
          <w:b w:val="0"/>
          <w:bCs/>
          <w:sz w:val="18"/>
          <w:szCs w:val="18"/>
          <w:highlight w:val="none"/>
        </w:rPr>
        <w:t>司申报款项支付审批单的附件。</w:t>
      </w:r>
    </w:p>
    <w:p w14:paraId="179EFE51">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11495FD2">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55BC3EDF">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0F07F2F8">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r>
        <w:rPr>
          <w:rFonts w:hint="eastAsia" w:ascii="仿宋" w:hAnsi="仿宋" w:eastAsia="仿宋" w:cs="仿宋"/>
          <w:b/>
          <w:bCs/>
          <w:i w:val="0"/>
          <w:iCs w:val="0"/>
          <w:color w:val="000000"/>
          <w:kern w:val="0"/>
          <w:sz w:val="44"/>
          <w:szCs w:val="44"/>
          <w:highlight w:val="none"/>
          <w:u w:val="none"/>
          <w:lang w:val="en-US" w:eastAsia="zh-CN" w:bidi="ar"/>
        </w:rPr>
        <w:t>附件四</w:t>
      </w:r>
    </w:p>
    <w:p w14:paraId="6C0D8BF8">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sz w:val="18"/>
          <w:szCs w:val="18"/>
          <w:highlight w:val="none"/>
        </w:rPr>
      </w:pPr>
    </w:p>
    <w:tbl>
      <w:tblPr>
        <w:tblStyle w:val="9"/>
        <w:tblW w:w="47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1407"/>
        <w:gridCol w:w="1060"/>
        <w:gridCol w:w="1060"/>
        <w:gridCol w:w="1485"/>
        <w:gridCol w:w="1355"/>
        <w:gridCol w:w="1100"/>
        <w:gridCol w:w="1184"/>
      </w:tblGrid>
      <w:tr w14:paraId="473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5B8F4DA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44"/>
                <w:szCs w:val="44"/>
                <w:highlight w:val="none"/>
                <w:u w:val="none"/>
                <w:lang w:val="en-US" w:eastAsia="zh-CN" w:bidi="ar"/>
              </w:rPr>
              <w:t>款项支付台账</w:t>
            </w:r>
          </w:p>
        </w:tc>
      </w:tr>
      <w:tr w14:paraId="0D81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661896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项目名称：</w:t>
            </w:r>
          </w:p>
        </w:tc>
      </w:tr>
      <w:tr w14:paraId="5C40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BCFBA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合同名称：</w:t>
            </w:r>
          </w:p>
        </w:tc>
      </w:tr>
      <w:tr w14:paraId="744B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B715D6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付款公司名称：东莞市中泰建安工程有限公司</w:t>
            </w:r>
          </w:p>
        </w:tc>
      </w:tr>
      <w:tr w14:paraId="7A01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4CA6B2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EB966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收/付款日期（年/月）</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3DEB0F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发票代码</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C7DC2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发票号码</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9F45A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当期应付金额</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7932B5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已付金额</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7E02B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未付金额</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87240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付款内容</w:t>
            </w:r>
          </w:p>
        </w:tc>
      </w:tr>
      <w:tr w14:paraId="057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0B1012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23FF5DF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C0C0F9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DE76286">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F2515C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903E33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9AB7E5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7629A2E">
            <w:pPr>
              <w:jc w:val="center"/>
              <w:rPr>
                <w:rFonts w:hint="eastAsia" w:ascii="仿宋" w:hAnsi="仿宋" w:eastAsia="仿宋" w:cs="仿宋"/>
                <w:i w:val="0"/>
                <w:iCs w:val="0"/>
                <w:color w:val="000000"/>
                <w:sz w:val="22"/>
                <w:szCs w:val="22"/>
                <w:highlight w:val="none"/>
                <w:u w:val="none"/>
              </w:rPr>
            </w:pPr>
          </w:p>
        </w:tc>
      </w:tr>
      <w:tr w14:paraId="6153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CB75F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9ED80C4">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BE03F4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52599CD">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ADBA7F">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4E3A0D">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1987A62">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83A49F2">
            <w:pPr>
              <w:jc w:val="center"/>
              <w:rPr>
                <w:rFonts w:hint="eastAsia" w:ascii="仿宋" w:hAnsi="仿宋" w:eastAsia="仿宋" w:cs="仿宋"/>
                <w:i w:val="0"/>
                <w:iCs w:val="0"/>
                <w:color w:val="000000"/>
                <w:sz w:val="22"/>
                <w:szCs w:val="22"/>
                <w:highlight w:val="none"/>
                <w:u w:val="none"/>
              </w:rPr>
            </w:pPr>
          </w:p>
        </w:tc>
      </w:tr>
      <w:tr w14:paraId="1FCF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3FEEB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0B9B502">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7C848D3">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5993D8F">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55D2E1">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3FEB9F73">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15AC585">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53E9EDB">
            <w:pPr>
              <w:jc w:val="center"/>
              <w:rPr>
                <w:rFonts w:hint="eastAsia" w:ascii="仿宋" w:hAnsi="仿宋" w:eastAsia="仿宋" w:cs="仿宋"/>
                <w:i w:val="0"/>
                <w:iCs w:val="0"/>
                <w:color w:val="000000"/>
                <w:sz w:val="22"/>
                <w:szCs w:val="22"/>
                <w:highlight w:val="none"/>
                <w:u w:val="none"/>
              </w:rPr>
            </w:pPr>
          </w:p>
        </w:tc>
      </w:tr>
      <w:tr w14:paraId="66B9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74571E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8C861C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8E0763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7E46B2A">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CB7902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6DE9221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F48594B">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A83B00">
            <w:pPr>
              <w:jc w:val="center"/>
              <w:rPr>
                <w:rFonts w:hint="eastAsia" w:ascii="仿宋" w:hAnsi="仿宋" w:eastAsia="仿宋" w:cs="仿宋"/>
                <w:i w:val="0"/>
                <w:iCs w:val="0"/>
                <w:color w:val="000000"/>
                <w:sz w:val="22"/>
                <w:szCs w:val="22"/>
                <w:highlight w:val="none"/>
                <w:u w:val="none"/>
              </w:rPr>
            </w:pPr>
          </w:p>
        </w:tc>
      </w:tr>
      <w:tr w14:paraId="10DB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522125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7FFF9B2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532A099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6CB4F1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CC3F7F8">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4FB7578">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B88480E">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029E7F">
            <w:pPr>
              <w:jc w:val="center"/>
              <w:rPr>
                <w:rFonts w:hint="eastAsia" w:ascii="仿宋" w:hAnsi="仿宋" w:eastAsia="仿宋" w:cs="仿宋"/>
                <w:i w:val="0"/>
                <w:iCs w:val="0"/>
                <w:color w:val="000000"/>
                <w:sz w:val="22"/>
                <w:szCs w:val="22"/>
                <w:highlight w:val="none"/>
                <w:u w:val="none"/>
              </w:rPr>
            </w:pPr>
          </w:p>
        </w:tc>
      </w:tr>
      <w:tr w14:paraId="300C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CD32F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6C99A38">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AC0D11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3AAE3C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10B3486">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117A34">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CAB4A3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423C866">
            <w:pPr>
              <w:jc w:val="center"/>
              <w:rPr>
                <w:rFonts w:hint="eastAsia" w:ascii="仿宋" w:hAnsi="仿宋" w:eastAsia="仿宋" w:cs="仿宋"/>
                <w:i w:val="0"/>
                <w:iCs w:val="0"/>
                <w:color w:val="000000"/>
                <w:sz w:val="22"/>
                <w:szCs w:val="22"/>
                <w:highlight w:val="none"/>
                <w:u w:val="none"/>
              </w:rPr>
            </w:pPr>
          </w:p>
        </w:tc>
      </w:tr>
      <w:tr w14:paraId="42D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1" w:type="pct"/>
            <w:gridSpan w:val="2"/>
            <w:tcBorders>
              <w:top w:val="nil"/>
              <w:left w:val="nil"/>
              <w:bottom w:val="nil"/>
              <w:right w:val="nil"/>
            </w:tcBorders>
            <w:noWrap/>
            <w:vAlign w:val="center"/>
          </w:tcPr>
          <w:p w14:paraId="4BE6E59C">
            <w:pPr>
              <w:jc w:val="left"/>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制表人：</w:t>
            </w:r>
          </w:p>
        </w:tc>
        <w:tc>
          <w:tcPr>
            <w:tcW w:w="560" w:type="pct"/>
            <w:tcBorders>
              <w:top w:val="nil"/>
              <w:left w:val="nil"/>
              <w:bottom w:val="nil"/>
              <w:right w:val="nil"/>
            </w:tcBorders>
            <w:noWrap/>
            <w:vAlign w:val="center"/>
          </w:tcPr>
          <w:p w14:paraId="499B1264">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349F5DA2">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BAFCC00">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78DF8EA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制表日期：</w:t>
            </w:r>
          </w:p>
        </w:tc>
        <w:tc>
          <w:tcPr>
            <w:tcW w:w="581" w:type="pct"/>
            <w:tcBorders>
              <w:top w:val="nil"/>
              <w:left w:val="nil"/>
              <w:bottom w:val="nil"/>
              <w:right w:val="nil"/>
            </w:tcBorders>
            <w:noWrap/>
            <w:vAlign w:val="center"/>
          </w:tcPr>
          <w:p w14:paraId="3C039A62">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6653AF7F">
            <w:pPr>
              <w:jc w:val="center"/>
              <w:rPr>
                <w:rFonts w:hint="eastAsia" w:ascii="仿宋" w:hAnsi="仿宋" w:eastAsia="仿宋" w:cs="仿宋"/>
                <w:i w:val="0"/>
                <w:iCs w:val="0"/>
                <w:color w:val="000000"/>
                <w:sz w:val="22"/>
                <w:szCs w:val="22"/>
                <w:highlight w:val="none"/>
                <w:u w:val="none"/>
              </w:rPr>
            </w:pPr>
          </w:p>
        </w:tc>
      </w:tr>
      <w:tr w14:paraId="7F93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C1AE1D7">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39AFF235">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004A52A">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0D984F77">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55C926EC">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467A6D0A">
            <w:pPr>
              <w:jc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51199ED2">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054D6B66">
            <w:pPr>
              <w:jc w:val="center"/>
              <w:rPr>
                <w:rFonts w:hint="eastAsia" w:ascii="仿宋" w:hAnsi="仿宋" w:eastAsia="仿宋" w:cs="仿宋"/>
                <w:i w:val="0"/>
                <w:iCs w:val="0"/>
                <w:color w:val="000000"/>
                <w:sz w:val="22"/>
                <w:szCs w:val="22"/>
                <w:highlight w:val="none"/>
                <w:u w:val="none"/>
              </w:rPr>
            </w:pPr>
          </w:p>
        </w:tc>
      </w:tr>
      <w:tr w14:paraId="2856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8BC9718">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257AA88E">
            <w:pP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F561B9C">
            <w:pP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049304A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收款公司名称：（加盖公章）</w:t>
            </w:r>
          </w:p>
        </w:tc>
        <w:tc>
          <w:tcPr>
            <w:tcW w:w="581" w:type="pct"/>
            <w:tcBorders>
              <w:top w:val="nil"/>
              <w:left w:val="nil"/>
              <w:bottom w:val="nil"/>
              <w:right w:val="nil"/>
            </w:tcBorders>
            <w:noWrap/>
            <w:vAlign w:val="center"/>
          </w:tcPr>
          <w:p w14:paraId="7B51F2DB">
            <w:pP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81CEF94">
            <w:pPr>
              <w:rPr>
                <w:rFonts w:hint="eastAsia" w:ascii="仿宋" w:hAnsi="仿宋" w:eastAsia="仿宋" w:cs="仿宋"/>
                <w:i w:val="0"/>
                <w:iCs w:val="0"/>
                <w:color w:val="000000"/>
                <w:sz w:val="22"/>
                <w:szCs w:val="22"/>
                <w:highlight w:val="none"/>
                <w:u w:val="none"/>
              </w:rPr>
            </w:pPr>
          </w:p>
        </w:tc>
      </w:tr>
      <w:tr w14:paraId="03A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center"/>
          </w:tcPr>
          <w:p w14:paraId="0ABE98DF">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667675D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7D1DAA0F">
            <w:pPr>
              <w:jc w:val="cente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654776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收款公司负责人：（签名）</w:t>
            </w:r>
          </w:p>
        </w:tc>
        <w:tc>
          <w:tcPr>
            <w:tcW w:w="581" w:type="pct"/>
            <w:tcBorders>
              <w:top w:val="nil"/>
              <w:left w:val="nil"/>
              <w:bottom w:val="nil"/>
              <w:right w:val="nil"/>
            </w:tcBorders>
            <w:noWrap/>
            <w:vAlign w:val="center"/>
          </w:tcPr>
          <w:p w14:paraId="56B78054">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45FA463B">
            <w:pPr>
              <w:rPr>
                <w:rFonts w:hint="eastAsia" w:ascii="仿宋" w:hAnsi="仿宋" w:eastAsia="仿宋" w:cs="仿宋"/>
                <w:i w:val="0"/>
                <w:iCs w:val="0"/>
                <w:color w:val="000000"/>
                <w:sz w:val="22"/>
                <w:szCs w:val="22"/>
                <w:highlight w:val="none"/>
                <w:u w:val="none"/>
              </w:rPr>
            </w:pPr>
          </w:p>
        </w:tc>
      </w:tr>
      <w:tr w14:paraId="7EEC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7" w:type="pct"/>
            <w:tcBorders>
              <w:top w:val="nil"/>
              <w:left w:val="nil"/>
              <w:bottom w:val="nil"/>
              <w:right w:val="nil"/>
            </w:tcBorders>
            <w:noWrap/>
            <w:vAlign w:val="center"/>
          </w:tcPr>
          <w:p w14:paraId="247CD6AC">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734120E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66416572">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126D22A5">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F511905">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281122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22E1F3D1">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4A4B4C9">
            <w:pPr>
              <w:rPr>
                <w:rFonts w:hint="eastAsia" w:ascii="仿宋" w:hAnsi="仿宋" w:eastAsia="仿宋" w:cs="仿宋"/>
                <w:i w:val="0"/>
                <w:iCs w:val="0"/>
                <w:color w:val="000000"/>
                <w:sz w:val="22"/>
                <w:szCs w:val="22"/>
                <w:highlight w:val="none"/>
                <w:u w:val="none"/>
              </w:rPr>
            </w:pPr>
          </w:p>
        </w:tc>
      </w:tr>
    </w:tbl>
    <w:p w14:paraId="756EA38E">
      <w:pPr>
        <w:pStyle w:val="2"/>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4098030">
      <w:pPr>
        <w:jc w:val="right"/>
        <w:rPr>
          <w:rFonts w:hint="eastAsia" w:ascii="仿宋" w:hAnsi="仿宋" w:eastAsia="仿宋" w:cs="仿宋"/>
          <w:b/>
          <w:bCs/>
          <w:color w:val="auto"/>
          <w:sz w:val="44"/>
          <w:szCs w:val="44"/>
          <w:highlight w:val="none"/>
          <w:lang w:val="en-US" w:eastAsia="zh-CN"/>
        </w:rPr>
      </w:pPr>
    </w:p>
    <w:p w14:paraId="0C18A988">
      <w:pPr>
        <w:jc w:val="right"/>
        <w:rPr>
          <w:rFonts w:hint="eastAsia" w:ascii="仿宋" w:hAnsi="仿宋" w:eastAsia="仿宋" w:cs="仿宋"/>
          <w:b/>
          <w:bCs/>
          <w:color w:val="auto"/>
          <w:sz w:val="44"/>
          <w:szCs w:val="44"/>
          <w:highlight w:val="none"/>
          <w:lang w:val="en-US" w:eastAsia="zh-CN"/>
        </w:rPr>
      </w:pPr>
    </w:p>
    <w:p w14:paraId="32F1B529">
      <w:pPr>
        <w:jc w:val="right"/>
        <w:rPr>
          <w:rFonts w:hint="eastAsia" w:ascii="仿宋" w:hAnsi="仿宋" w:eastAsia="仿宋" w:cs="仿宋"/>
          <w:b/>
          <w:bCs/>
          <w:color w:val="auto"/>
          <w:sz w:val="44"/>
          <w:szCs w:val="44"/>
          <w:highlight w:val="none"/>
          <w:lang w:val="en-US" w:eastAsia="zh-CN"/>
        </w:rPr>
      </w:pPr>
    </w:p>
    <w:p w14:paraId="2944E50A">
      <w:pPr>
        <w:jc w:val="right"/>
        <w:rPr>
          <w:rFonts w:hint="eastAsia" w:ascii="仿宋" w:hAnsi="仿宋" w:eastAsia="仿宋" w:cs="仿宋"/>
          <w:b/>
          <w:bCs/>
          <w:color w:val="auto"/>
          <w:sz w:val="44"/>
          <w:szCs w:val="44"/>
          <w:highlight w:val="none"/>
          <w:lang w:val="en-US" w:eastAsia="zh-CN"/>
        </w:rPr>
      </w:pPr>
    </w:p>
    <w:p w14:paraId="579A667F">
      <w:pPr>
        <w:jc w:val="right"/>
        <w:rPr>
          <w:rFonts w:hint="eastAsia" w:ascii="仿宋" w:hAnsi="仿宋" w:eastAsia="仿宋" w:cs="仿宋"/>
          <w:b/>
          <w:bCs/>
          <w:color w:val="auto"/>
          <w:sz w:val="44"/>
          <w:szCs w:val="44"/>
          <w:highlight w:val="none"/>
          <w:lang w:val="en-US" w:eastAsia="zh-CN"/>
        </w:rPr>
      </w:pPr>
    </w:p>
    <w:p w14:paraId="56C6AEDE">
      <w:pPr>
        <w:jc w:val="both"/>
        <w:rPr>
          <w:rFonts w:hint="eastAsia" w:ascii="仿宋" w:hAnsi="仿宋" w:eastAsia="仿宋" w:cs="仿宋"/>
          <w:b/>
          <w:bCs/>
          <w:color w:val="auto"/>
          <w:sz w:val="44"/>
          <w:szCs w:val="44"/>
          <w:highlight w:val="none"/>
          <w:lang w:val="en-US" w:eastAsia="zh-CN"/>
        </w:rPr>
      </w:pPr>
    </w:p>
    <w:p w14:paraId="7AE34BB7">
      <w:pPr>
        <w:jc w:val="right"/>
        <w:outlineLvl w:val="0"/>
        <w:rPr>
          <w:rFonts w:hint="eastAsia" w:ascii="仿宋" w:hAnsi="仿宋" w:eastAsia="仿宋" w:cs="仿宋"/>
          <w:b/>
          <w:bCs/>
          <w:color w:val="auto"/>
          <w:sz w:val="44"/>
          <w:szCs w:val="44"/>
          <w:highlight w:val="none"/>
          <w:lang w:val="en-US" w:eastAsia="zh-CN"/>
        </w:rPr>
      </w:pPr>
      <w:bookmarkStart w:id="138" w:name="_Toc16723"/>
      <w:bookmarkStart w:id="139" w:name="_Toc19067"/>
    </w:p>
    <w:p w14:paraId="28030D6B">
      <w:pPr>
        <w:jc w:val="both"/>
        <w:outlineLvl w:val="0"/>
        <w:rPr>
          <w:rFonts w:hint="eastAsia" w:ascii="仿宋" w:hAnsi="仿宋" w:eastAsia="仿宋" w:cs="仿宋"/>
          <w:b/>
          <w:bCs/>
          <w:color w:val="auto"/>
          <w:sz w:val="44"/>
          <w:szCs w:val="44"/>
          <w:highlight w:val="none"/>
          <w:lang w:val="en-US" w:eastAsia="zh-CN"/>
        </w:rPr>
      </w:pPr>
    </w:p>
    <w:p w14:paraId="22352F2C">
      <w:pPr>
        <w:jc w:val="right"/>
        <w:outlineLvl w:val="0"/>
        <w:rPr>
          <w:rFonts w:hint="eastAsia" w:ascii="仿宋" w:hAnsi="仿宋" w:eastAsia="仿宋" w:cs="仿宋"/>
          <w:b/>
          <w:bCs/>
          <w:color w:val="auto"/>
          <w:sz w:val="44"/>
          <w:szCs w:val="44"/>
          <w:highlight w:val="none"/>
          <w:lang w:val="en-US" w:eastAsia="zh-CN"/>
        </w:rPr>
      </w:pPr>
      <w:bookmarkStart w:id="140" w:name="_Toc32530"/>
      <w:bookmarkStart w:id="141" w:name="_Toc13454"/>
      <w:bookmarkStart w:id="142" w:name="_Toc29464"/>
      <w:bookmarkStart w:id="143" w:name="_Toc14727"/>
      <w:bookmarkStart w:id="144" w:name="_Toc11241"/>
      <w:r>
        <w:rPr>
          <w:rFonts w:hint="eastAsia" w:ascii="仿宋" w:hAnsi="仿宋" w:eastAsia="仿宋" w:cs="仿宋"/>
          <w:b/>
          <w:bCs/>
          <w:color w:val="auto"/>
          <w:sz w:val="44"/>
          <w:szCs w:val="44"/>
          <w:highlight w:val="none"/>
          <w:lang w:val="en-US" w:eastAsia="zh-CN"/>
        </w:rPr>
        <w:t>附件五</w:t>
      </w:r>
      <w:bookmarkEnd w:id="138"/>
      <w:bookmarkEnd w:id="139"/>
      <w:bookmarkEnd w:id="140"/>
      <w:bookmarkEnd w:id="141"/>
      <w:bookmarkEnd w:id="142"/>
      <w:bookmarkEnd w:id="143"/>
      <w:bookmarkEnd w:id="144"/>
    </w:p>
    <w:p w14:paraId="713C996E">
      <w:pPr>
        <w:jc w:val="center"/>
        <w:outlineLvl w:val="0"/>
        <w:rPr>
          <w:rFonts w:hint="eastAsia" w:ascii="仿宋" w:hAnsi="仿宋" w:eastAsia="仿宋" w:cs="仿宋"/>
          <w:b/>
          <w:bCs/>
          <w:color w:val="auto"/>
          <w:sz w:val="44"/>
          <w:szCs w:val="44"/>
          <w:highlight w:val="none"/>
        </w:rPr>
      </w:pPr>
      <w:bookmarkStart w:id="145" w:name="_Toc24167"/>
      <w:bookmarkStart w:id="146" w:name="_Toc14992"/>
    </w:p>
    <w:p w14:paraId="42BD62CF">
      <w:pPr>
        <w:jc w:val="center"/>
        <w:outlineLvl w:val="0"/>
        <w:rPr>
          <w:rFonts w:hint="eastAsia" w:ascii="仿宋" w:hAnsi="仿宋" w:eastAsia="仿宋" w:cs="仿宋"/>
          <w:b/>
          <w:bCs/>
          <w:color w:val="auto"/>
          <w:sz w:val="44"/>
          <w:szCs w:val="44"/>
          <w:highlight w:val="none"/>
        </w:rPr>
      </w:pPr>
      <w:bookmarkStart w:id="147" w:name="_Toc14033"/>
      <w:bookmarkStart w:id="148" w:name="_Toc28467"/>
      <w:bookmarkStart w:id="149" w:name="_Toc16556"/>
      <w:bookmarkStart w:id="150" w:name="_Toc16459"/>
      <w:bookmarkStart w:id="151" w:name="_Toc20348"/>
      <w:r>
        <w:rPr>
          <w:rFonts w:hint="eastAsia" w:ascii="仿宋" w:hAnsi="仿宋" w:eastAsia="仿宋" w:cs="仿宋"/>
          <w:b/>
          <w:bCs/>
          <w:color w:val="auto"/>
          <w:sz w:val="44"/>
          <w:szCs w:val="44"/>
          <w:highlight w:val="none"/>
        </w:rPr>
        <w:t>结清承诺书</w:t>
      </w:r>
      <w:bookmarkEnd w:id="145"/>
      <w:bookmarkEnd w:id="146"/>
      <w:bookmarkEnd w:id="147"/>
      <w:bookmarkEnd w:id="148"/>
      <w:bookmarkEnd w:id="149"/>
      <w:bookmarkEnd w:id="150"/>
      <w:bookmarkEnd w:id="151"/>
    </w:p>
    <w:p w14:paraId="7BCF46E6">
      <w:pPr>
        <w:rPr>
          <w:rFonts w:hint="eastAsia" w:ascii="仿宋" w:hAnsi="仿宋" w:eastAsia="仿宋" w:cs="仿宋"/>
          <w:color w:val="auto"/>
          <w:kern w:val="0"/>
          <w:sz w:val="28"/>
          <w:szCs w:val="28"/>
          <w:highlight w:val="none"/>
        </w:rPr>
      </w:pPr>
    </w:p>
    <w:p w14:paraId="5736C072">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致：</w:t>
      </w:r>
      <w:r>
        <w:rPr>
          <w:rFonts w:hint="eastAsia" w:ascii="仿宋" w:hAnsi="仿宋" w:eastAsia="仿宋" w:cs="仿宋"/>
          <w:color w:val="auto"/>
          <w:kern w:val="0"/>
          <w:sz w:val="28"/>
          <w:szCs w:val="28"/>
          <w:highlight w:val="none"/>
        </w:rPr>
        <w:t>东莞市中泰建安工程有限公司</w:t>
      </w:r>
    </w:p>
    <w:p w14:paraId="07978912">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感谢</w:t>
      </w:r>
      <w:r>
        <w:rPr>
          <w:rFonts w:hint="eastAsia" w:ascii="仿宋" w:hAnsi="仿宋" w:eastAsia="仿宋" w:cs="仿宋"/>
          <w:color w:val="auto"/>
          <w:sz w:val="28"/>
          <w:szCs w:val="28"/>
          <w:highlight w:val="none"/>
        </w:rPr>
        <w:t>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u w:val="single"/>
          <w:lang w:val="en-US" w:eastAsia="zh-CN"/>
        </w:rPr>
        <w:t xml:space="preserve">  （材料名称）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合同款</w:t>
      </w:r>
      <w:r>
        <w:rPr>
          <w:rFonts w:hint="eastAsia" w:ascii="仿宋" w:hAnsi="仿宋" w:eastAsia="仿宋" w:cs="仿宋"/>
          <w:color w:val="auto"/>
          <w:sz w:val="28"/>
          <w:szCs w:val="28"/>
          <w:highlight w:val="none"/>
        </w:rPr>
        <w:t>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30A9C79D">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收到贵司支付的</w:t>
      </w:r>
      <w:r>
        <w:rPr>
          <w:rFonts w:hint="eastAsia" w:ascii="仿宋" w:hAnsi="仿宋" w:eastAsia="仿宋" w:cs="仿宋"/>
          <w:bCs/>
          <w:color w:val="auto"/>
          <w:kern w:val="0"/>
          <w:sz w:val="28"/>
          <w:szCs w:val="28"/>
          <w:highlight w:val="none"/>
          <w:lang w:eastAsia="zh-CN"/>
        </w:rPr>
        <w:t>尾款</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元后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该</w:t>
      </w:r>
      <w:r>
        <w:rPr>
          <w:rFonts w:hint="eastAsia" w:ascii="仿宋" w:hAnsi="仿宋" w:eastAsia="仿宋" w:cs="仿宋"/>
          <w:color w:val="auto"/>
          <w:sz w:val="28"/>
          <w:szCs w:val="28"/>
          <w:highlight w:val="none"/>
        </w:rPr>
        <w:t>项目的</w:t>
      </w:r>
      <w:r>
        <w:rPr>
          <w:rFonts w:hint="eastAsia" w:ascii="仿宋" w:hAnsi="仿宋" w:eastAsia="仿宋" w:cs="仿宋"/>
          <w:color w:val="auto"/>
          <w:sz w:val="28"/>
          <w:szCs w:val="28"/>
          <w:highlight w:val="none"/>
          <w:u w:val="single"/>
        </w:rPr>
        <w:t>（材料名称）</w:t>
      </w:r>
      <w:r>
        <w:rPr>
          <w:rFonts w:hint="eastAsia" w:ascii="仿宋" w:hAnsi="仿宋" w:eastAsia="仿宋" w:cs="仿宋"/>
          <w:color w:val="auto"/>
          <w:sz w:val="28"/>
          <w:szCs w:val="28"/>
          <w:highlight w:val="none"/>
          <w:u w:val="none"/>
          <w:lang w:val="en-US" w:eastAsia="zh-CN"/>
        </w:rPr>
        <w:t>所涉及的合同款</w:t>
      </w:r>
      <w:r>
        <w:rPr>
          <w:rFonts w:hint="eastAsia" w:ascii="仿宋" w:hAnsi="仿宋" w:eastAsia="仿宋" w:cs="仿宋"/>
          <w:color w:val="auto"/>
          <w:sz w:val="28"/>
          <w:szCs w:val="28"/>
          <w:highlight w:val="none"/>
        </w:rPr>
        <w:t>已全部结</w:t>
      </w:r>
      <w:r>
        <w:rPr>
          <w:rFonts w:hint="eastAsia" w:ascii="仿宋" w:hAnsi="仿宋" w:eastAsia="仿宋" w:cs="仿宋"/>
          <w:color w:val="auto"/>
          <w:sz w:val="28"/>
          <w:szCs w:val="28"/>
          <w:highlight w:val="none"/>
          <w:lang w:eastAsia="zh-CN"/>
        </w:rPr>
        <w:t>清，我司</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合同中的所有权利</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lang w:eastAsia="zh-CN"/>
        </w:rPr>
        <w:t>全部消灭。我司</w:t>
      </w:r>
      <w:r>
        <w:rPr>
          <w:rFonts w:hint="eastAsia" w:ascii="仿宋" w:hAnsi="仿宋" w:eastAsia="仿宋" w:cs="仿宋"/>
          <w:color w:val="auto"/>
          <w:sz w:val="28"/>
          <w:szCs w:val="28"/>
          <w:highlight w:val="none"/>
          <w:lang w:val="en-US" w:eastAsia="zh-CN"/>
        </w:rPr>
        <w:t>将不再</w:t>
      </w:r>
      <w:r>
        <w:rPr>
          <w:rFonts w:hint="eastAsia" w:ascii="仿宋" w:hAnsi="仿宋" w:eastAsia="仿宋" w:cs="仿宋"/>
          <w:color w:val="auto"/>
          <w:sz w:val="28"/>
          <w:szCs w:val="28"/>
          <w:highlight w:val="none"/>
          <w:lang w:eastAsia="zh-CN"/>
        </w:rPr>
        <w:t>以任何理由、任何方式就该项目的合作向贵司主张任何权利和费用。</w:t>
      </w:r>
    </w:p>
    <w:p w14:paraId="6C51AF41">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w:t>
      </w:r>
      <w:r>
        <w:rPr>
          <w:rFonts w:hint="eastAsia" w:ascii="仿宋" w:hAnsi="仿宋" w:eastAsia="仿宋" w:cs="仿宋"/>
          <w:color w:val="auto"/>
          <w:sz w:val="28"/>
          <w:szCs w:val="28"/>
          <w:highlight w:val="none"/>
          <w:lang w:eastAsia="zh-CN"/>
        </w:rPr>
        <w:t>声</w:t>
      </w:r>
      <w:r>
        <w:rPr>
          <w:rFonts w:hint="eastAsia" w:ascii="仿宋" w:hAnsi="仿宋" w:eastAsia="仿宋" w:cs="仿宋"/>
          <w:color w:val="auto"/>
          <w:sz w:val="28"/>
          <w:szCs w:val="28"/>
          <w:highlight w:val="none"/>
        </w:rPr>
        <w:t>明！</w:t>
      </w:r>
    </w:p>
    <w:p w14:paraId="286A6E68">
      <w:pPr>
        <w:ind w:firstLine="560" w:firstLineChars="200"/>
        <w:rPr>
          <w:rFonts w:hint="eastAsia" w:ascii="仿宋" w:hAnsi="仿宋" w:eastAsia="仿宋" w:cs="仿宋"/>
          <w:color w:val="auto"/>
          <w:sz w:val="28"/>
          <w:szCs w:val="28"/>
          <w:highlight w:val="none"/>
        </w:rPr>
      </w:pPr>
    </w:p>
    <w:p w14:paraId="52045BCD">
      <w:pP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6276E508">
      <w:pP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52E08DED">
      <w:pPr>
        <w:ind w:firstLine="5600" w:firstLineChars="2000"/>
        <w:jc w:val="left"/>
        <w:rPr>
          <w:rFonts w:hint="eastAsia" w:ascii="仿宋" w:hAnsi="仿宋" w:eastAsia="仿宋" w:cs="仿宋"/>
          <w:bCs/>
          <w:color w:val="auto"/>
          <w:kern w:val="0"/>
          <w:sz w:val="28"/>
          <w:szCs w:val="28"/>
          <w:highlight w:val="none"/>
        </w:rPr>
      </w:pPr>
    </w:p>
    <w:p w14:paraId="1185C00E">
      <w:pPr>
        <w:jc w:val="left"/>
        <w:rPr>
          <w:rFonts w:hint="eastAsia" w:ascii="仿宋" w:hAnsi="仿宋" w:eastAsia="仿宋" w:cs="仿宋"/>
          <w:bCs/>
          <w:color w:val="auto"/>
          <w:kern w:val="0"/>
          <w:sz w:val="24"/>
          <w:szCs w:val="24"/>
          <w:highlight w:val="none"/>
          <w:u w:val="dash"/>
          <w:lang w:val="en-US" w:eastAsia="zh-CN"/>
        </w:rPr>
      </w:pPr>
      <w:r>
        <w:rPr>
          <w:rFonts w:hint="eastAsia" w:ascii="仿宋" w:hAnsi="仿宋" w:eastAsia="仿宋" w:cs="仿宋"/>
          <w:bCs/>
          <w:color w:val="auto"/>
          <w:kern w:val="0"/>
          <w:sz w:val="24"/>
          <w:szCs w:val="24"/>
          <w:highlight w:val="none"/>
          <w:u w:val="dash"/>
          <w:lang w:val="en-US" w:eastAsia="zh-CN"/>
        </w:rPr>
        <w:t xml:space="preserve">                                                                                  </w:t>
      </w:r>
    </w:p>
    <w:p w14:paraId="6C8D6628">
      <w:p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369CDB25">
      <w:pPr>
        <w:numPr>
          <w:ilvl w:val="0"/>
          <w:numId w:val="0"/>
        </w:num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1、本费用结清声明仅适用于“材料类”的购销合同。</w:t>
      </w:r>
    </w:p>
    <w:p w14:paraId="703D8BB9">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2、承诺单位须在“中泰建安”支付该合同最后一笔款前完成本文件签章，并将原件给“中泰建安”留存作为支付最后一笔款的附件。</w:t>
      </w:r>
    </w:p>
    <w:p w14:paraId="1B949869">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7EE8C6A">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F65740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3FA548F1">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53F8C86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E805558">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058FDECB">
      <w:pPr>
        <w:jc w:val="right"/>
        <w:outlineLvl w:val="0"/>
        <w:rPr>
          <w:highlight w:val="none"/>
        </w:rPr>
      </w:pPr>
    </w:p>
    <w:p w14:paraId="25ABC6F0">
      <w:pPr>
        <w:spacing w:before="63" w:line="219" w:lineRule="auto"/>
        <w:jc w:val="right"/>
        <w:rPr>
          <w:rFonts w:hint="eastAsia" w:ascii="仿宋" w:hAnsi="仿宋" w:eastAsia="仿宋" w:cs="仿宋"/>
          <w:b/>
          <w:bCs/>
          <w:color w:val="auto"/>
          <w:sz w:val="44"/>
          <w:szCs w:val="44"/>
          <w:highlight w:val="none"/>
          <w:lang w:val="en-US" w:eastAsia="zh-CN"/>
        </w:rPr>
      </w:pPr>
    </w:p>
    <w:p w14:paraId="1A72E0B2">
      <w:pPr>
        <w:spacing w:before="63" w:line="219" w:lineRule="auto"/>
        <w:jc w:val="right"/>
        <w:rPr>
          <w:rFonts w:hint="eastAsia" w:ascii="仿宋" w:hAnsi="仿宋" w:eastAsia="仿宋" w:cs="仿宋"/>
          <w:b/>
          <w:bCs/>
          <w:color w:val="auto"/>
          <w:sz w:val="44"/>
          <w:szCs w:val="44"/>
          <w:highlight w:val="none"/>
          <w:lang w:val="en-US" w:eastAsia="zh-CN"/>
        </w:rPr>
      </w:pPr>
    </w:p>
    <w:p w14:paraId="664C9457">
      <w:pPr>
        <w:spacing w:before="63" w:line="219" w:lineRule="auto"/>
        <w:jc w:val="right"/>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lang w:val="en-US" w:eastAsia="zh-CN"/>
        </w:rPr>
        <w:t>附件六</w:t>
      </w:r>
    </w:p>
    <w:p w14:paraId="443F8579">
      <w:pPr>
        <w:pStyle w:val="5"/>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152" w:name="_Toc5940"/>
      <w:bookmarkStart w:id="153" w:name="_Toc4752"/>
      <w:bookmarkStart w:id="154" w:name="_Toc8959"/>
      <w:bookmarkStart w:id="155" w:name="_Toc22957"/>
      <w:bookmarkStart w:id="156" w:name="_Toc28324"/>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52"/>
      <w:bookmarkEnd w:id="153"/>
      <w:bookmarkEnd w:id="154"/>
      <w:bookmarkEnd w:id="155"/>
      <w:bookmarkEnd w:id="156"/>
    </w:p>
    <w:p w14:paraId="3ADD3160">
      <w:pPr>
        <w:rPr>
          <w:rFonts w:hint="default"/>
          <w:color w:val="auto"/>
          <w:highlight w:val="none"/>
          <w:lang w:val="en-US" w:eastAsia="zh-CN"/>
        </w:rPr>
      </w:pPr>
    </w:p>
    <w:p w14:paraId="5D4E7BFE">
      <w:pPr>
        <w:pStyle w:val="5"/>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2F2F6078">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2C50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70BA2E66">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6DC48BA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742A7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0F402AE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7D5322C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505D29C1">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7B9A2897">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3C394D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638F985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174353FA">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20BED7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41ADE20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66F3C85C">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097E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043E4909">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23E0D3E1">
            <w:pPr>
              <w:pStyle w:val="15"/>
              <w:jc w:val="center"/>
              <w:rPr>
                <w:color w:val="auto"/>
                <w:highlight w:val="none"/>
              </w:rPr>
            </w:pPr>
          </w:p>
        </w:tc>
        <w:tc>
          <w:tcPr>
            <w:tcW w:w="578" w:type="dxa"/>
            <w:noWrap w:val="0"/>
            <w:vAlign w:val="center"/>
          </w:tcPr>
          <w:p w14:paraId="71671C33">
            <w:pPr>
              <w:pStyle w:val="15"/>
              <w:jc w:val="center"/>
              <w:rPr>
                <w:color w:val="auto"/>
                <w:highlight w:val="none"/>
              </w:rPr>
            </w:pPr>
          </w:p>
        </w:tc>
        <w:tc>
          <w:tcPr>
            <w:tcW w:w="556" w:type="dxa"/>
            <w:noWrap w:val="0"/>
            <w:vAlign w:val="center"/>
          </w:tcPr>
          <w:p w14:paraId="5D41348D">
            <w:pPr>
              <w:pStyle w:val="15"/>
              <w:jc w:val="center"/>
              <w:rPr>
                <w:color w:val="auto"/>
                <w:highlight w:val="none"/>
              </w:rPr>
            </w:pPr>
          </w:p>
        </w:tc>
        <w:tc>
          <w:tcPr>
            <w:tcW w:w="502" w:type="dxa"/>
            <w:noWrap w:val="0"/>
            <w:vAlign w:val="center"/>
          </w:tcPr>
          <w:p w14:paraId="685F48E7">
            <w:pPr>
              <w:pStyle w:val="15"/>
              <w:jc w:val="center"/>
              <w:rPr>
                <w:color w:val="auto"/>
                <w:highlight w:val="none"/>
              </w:rPr>
            </w:pPr>
          </w:p>
        </w:tc>
        <w:tc>
          <w:tcPr>
            <w:tcW w:w="524" w:type="dxa"/>
            <w:noWrap w:val="0"/>
            <w:vAlign w:val="center"/>
          </w:tcPr>
          <w:p w14:paraId="6A6EDCE3">
            <w:pPr>
              <w:pStyle w:val="15"/>
              <w:jc w:val="center"/>
              <w:rPr>
                <w:color w:val="auto"/>
                <w:highlight w:val="none"/>
              </w:rPr>
            </w:pPr>
          </w:p>
        </w:tc>
        <w:tc>
          <w:tcPr>
            <w:tcW w:w="600" w:type="dxa"/>
            <w:noWrap w:val="0"/>
            <w:vAlign w:val="center"/>
          </w:tcPr>
          <w:p w14:paraId="6D95A5E1">
            <w:pPr>
              <w:pStyle w:val="15"/>
              <w:jc w:val="center"/>
              <w:rPr>
                <w:color w:val="auto"/>
                <w:highlight w:val="none"/>
              </w:rPr>
            </w:pPr>
          </w:p>
        </w:tc>
        <w:tc>
          <w:tcPr>
            <w:tcW w:w="567" w:type="dxa"/>
            <w:noWrap w:val="0"/>
            <w:vAlign w:val="center"/>
          </w:tcPr>
          <w:p w14:paraId="119BFBF0">
            <w:pPr>
              <w:pStyle w:val="15"/>
              <w:jc w:val="center"/>
              <w:rPr>
                <w:color w:val="auto"/>
                <w:highlight w:val="none"/>
              </w:rPr>
            </w:pPr>
          </w:p>
        </w:tc>
        <w:tc>
          <w:tcPr>
            <w:tcW w:w="556" w:type="dxa"/>
            <w:noWrap w:val="0"/>
            <w:vAlign w:val="center"/>
          </w:tcPr>
          <w:p w14:paraId="550A5960">
            <w:pPr>
              <w:pStyle w:val="15"/>
              <w:jc w:val="center"/>
              <w:rPr>
                <w:color w:val="auto"/>
                <w:highlight w:val="none"/>
              </w:rPr>
            </w:pPr>
          </w:p>
        </w:tc>
        <w:tc>
          <w:tcPr>
            <w:tcW w:w="910" w:type="dxa"/>
            <w:noWrap w:val="0"/>
            <w:vAlign w:val="center"/>
          </w:tcPr>
          <w:p w14:paraId="00AAE9C1">
            <w:pPr>
              <w:pStyle w:val="15"/>
              <w:jc w:val="center"/>
              <w:rPr>
                <w:color w:val="auto"/>
                <w:highlight w:val="none"/>
              </w:rPr>
            </w:pPr>
          </w:p>
        </w:tc>
        <w:tc>
          <w:tcPr>
            <w:tcW w:w="940" w:type="dxa"/>
            <w:noWrap w:val="0"/>
            <w:vAlign w:val="center"/>
          </w:tcPr>
          <w:p w14:paraId="4CBD7D71">
            <w:pPr>
              <w:pStyle w:val="15"/>
              <w:jc w:val="center"/>
              <w:rPr>
                <w:color w:val="auto"/>
                <w:highlight w:val="none"/>
              </w:rPr>
            </w:pPr>
          </w:p>
        </w:tc>
        <w:tc>
          <w:tcPr>
            <w:tcW w:w="1772" w:type="dxa"/>
            <w:noWrap w:val="0"/>
            <w:vAlign w:val="center"/>
          </w:tcPr>
          <w:p w14:paraId="15F26169">
            <w:pPr>
              <w:pStyle w:val="15"/>
              <w:jc w:val="center"/>
              <w:rPr>
                <w:color w:val="auto"/>
                <w:highlight w:val="none"/>
              </w:rPr>
            </w:pPr>
          </w:p>
        </w:tc>
        <w:tc>
          <w:tcPr>
            <w:tcW w:w="927" w:type="dxa"/>
            <w:noWrap w:val="0"/>
            <w:vAlign w:val="center"/>
          </w:tcPr>
          <w:p w14:paraId="18C27658">
            <w:pPr>
              <w:pStyle w:val="15"/>
              <w:jc w:val="center"/>
              <w:rPr>
                <w:color w:val="auto"/>
                <w:highlight w:val="none"/>
              </w:rPr>
            </w:pPr>
          </w:p>
        </w:tc>
      </w:tr>
      <w:tr w14:paraId="71AE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270538F">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729491A2">
            <w:pPr>
              <w:pStyle w:val="15"/>
              <w:jc w:val="center"/>
              <w:rPr>
                <w:color w:val="auto"/>
                <w:highlight w:val="none"/>
              </w:rPr>
            </w:pPr>
          </w:p>
        </w:tc>
        <w:tc>
          <w:tcPr>
            <w:tcW w:w="578" w:type="dxa"/>
            <w:noWrap w:val="0"/>
            <w:vAlign w:val="center"/>
          </w:tcPr>
          <w:p w14:paraId="59521F31">
            <w:pPr>
              <w:pStyle w:val="15"/>
              <w:jc w:val="center"/>
              <w:rPr>
                <w:color w:val="auto"/>
                <w:highlight w:val="none"/>
              </w:rPr>
            </w:pPr>
          </w:p>
        </w:tc>
        <w:tc>
          <w:tcPr>
            <w:tcW w:w="556" w:type="dxa"/>
            <w:noWrap w:val="0"/>
            <w:vAlign w:val="center"/>
          </w:tcPr>
          <w:p w14:paraId="0ADB0B2B">
            <w:pPr>
              <w:pStyle w:val="15"/>
              <w:jc w:val="center"/>
              <w:rPr>
                <w:color w:val="auto"/>
                <w:highlight w:val="none"/>
              </w:rPr>
            </w:pPr>
          </w:p>
        </w:tc>
        <w:tc>
          <w:tcPr>
            <w:tcW w:w="502" w:type="dxa"/>
            <w:noWrap w:val="0"/>
            <w:vAlign w:val="center"/>
          </w:tcPr>
          <w:p w14:paraId="1C002935">
            <w:pPr>
              <w:pStyle w:val="15"/>
              <w:jc w:val="center"/>
              <w:rPr>
                <w:color w:val="auto"/>
                <w:highlight w:val="none"/>
              </w:rPr>
            </w:pPr>
          </w:p>
        </w:tc>
        <w:tc>
          <w:tcPr>
            <w:tcW w:w="524" w:type="dxa"/>
            <w:noWrap w:val="0"/>
            <w:vAlign w:val="center"/>
          </w:tcPr>
          <w:p w14:paraId="67DAF9BF">
            <w:pPr>
              <w:pStyle w:val="15"/>
              <w:jc w:val="center"/>
              <w:rPr>
                <w:color w:val="auto"/>
                <w:highlight w:val="none"/>
              </w:rPr>
            </w:pPr>
          </w:p>
        </w:tc>
        <w:tc>
          <w:tcPr>
            <w:tcW w:w="600" w:type="dxa"/>
            <w:noWrap w:val="0"/>
            <w:vAlign w:val="center"/>
          </w:tcPr>
          <w:p w14:paraId="685A77CF">
            <w:pPr>
              <w:pStyle w:val="15"/>
              <w:jc w:val="center"/>
              <w:rPr>
                <w:color w:val="auto"/>
                <w:highlight w:val="none"/>
              </w:rPr>
            </w:pPr>
          </w:p>
        </w:tc>
        <w:tc>
          <w:tcPr>
            <w:tcW w:w="567" w:type="dxa"/>
            <w:noWrap w:val="0"/>
            <w:vAlign w:val="center"/>
          </w:tcPr>
          <w:p w14:paraId="66AA3F76">
            <w:pPr>
              <w:pStyle w:val="15"/>
              <w:jc w:val="center"/>
              <w:rPr>
                <w:color w:val="auto"/>
                <w:highlight w:val="none"/>
              </w:rPr>
            </w:pPr>
          </w:p>
        </w:tc>
        <w:tc>
          <w:tcPr>
            <w:tcW w:w="556" w:type="dxa"/>
            <w:noWrap w:val="0"/>
            <w:vAlign w:val="center"/>
          </w:tcPr>
          <w:p w14:paraId="63DF9659">
            <w:pPr>
              <w:pStyle w:val="15"/>
              <w:jc w:val="center"/>
              <w:rPr>
                <w:color w:val="auto"/>
                <w:highlight w:val="none"/>
              </w:rPr>
            </w:pPr>
          </w:p>
        </w:tc>
        <w:tc>
          <w:tcPr>
            <w:tcW w:w="910" w:type="dxa"/>
            <w:noWrap w:val="0"/>
            <w:vAlign w:val="center"/>
          </w:tcPr>
          <w:p w14:paraId="4B99DBF4">
            <w:pPr>
              <w:pStyle w:val="15"/>
              <w:jc w:val="center"/>
              <w:rPr>
                <w:color w:val="auto"/>
                <w:highlight w:val="none"/>
              </w:rPr>
            </w:pPr>
          </w:p>
        </w:tc>
        <w:tc>
          <w:tcPr>
            <w:tcW w:w="940" w:type="dxa"/>
            <w:noWrap w:val="0"/>
            <w:vAlign w:val="center"/>
          </w:tcPr>
          <w:p w14:paraId="7A948DBD">
            <w:pPr>
              <w:pStyle w:val="15"/>
              <w:jc w:val="center"/>
              <w:rPr>
                <w:color w:val="auto"/>
                <w:highlight w:val="none"/>
              </w:rPr>
            </w:pPr>
          </w:p>
        </w:tc>
        <w:tc>
          <w:tcPr>
            <w:tcW w:w="1772" w:type="dxa"/>
            <w:noWrap w:val="0"/>
            <w:vAlign w:val="center"/>
          </w:tcPr>
          <w:p w14:paraId="53B28F36">
            <w:pPr>
              <w:pStyle w:val="15"/>
              <w:jc w:val="center"/>
              <w:rPr>
                <w:color w:val="auto"/>
                <w:highlight w:val="none"/>
              </w:rPr>
            </w:pPr>
          </w:p>
        </w:tc>
        <w:tc>
          <w:tcPr>
            <w:tcW w:w="927" w:type="dxa"/>
            <w:noWrap w:val="0"/>
            <w:vAlign w:val="center"/>
          </w:tcPr>
          <w:p w14:paraId="6FAFB29B">
            <w:pPr>
              <w:pStyle w:val="15"/>
              <w:jc w:val="center"/>
              <w:rPr>
                <w:color w:val="auto"/>
                <w:highlight w:val="none"/>
              </w:rPr>
            </w:pPr>
          </w:p>
        </w:tc>
      </w:tr>
      <w:tr w14:paraId="5ED8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13B9AADB">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31CE4AC3">
            <w:pPr>
              <w:pStyle w:val="15"/>
              <w:jc w:val="center"/>
              <w:rPr>
                <w:color w:val="auto"/>
                <w:highlight w:val="none"/>
              </w:rPr>
            </w:pPr>
          </w:p>
        </w:tc>
        <w:tc>
          <w:tcPr>
            <w:tcW w:w="578" w:type="dxa"/>
            <w:noWrap w:val="0"/>
            <w:vAlign w:val="center"/>
          </w:tcPr>
          <w:p w14:paraId="01600869">
            <w:pPr>
              <w:pStyle w:val="15"/>
              <w:jc w:val="center"/>
              <w:rPr>
                <w:color w:val="auto"/>
                <w:highlight w:val="none"/>
              </w:rPr>
            </w:pPr>
          </w:p>
        </w:tc>
        <w:tc>
          <w:tcPr>
            <w:tcW w:w="556" w:type="dxa"/>
            <w:noWrap w:val="0"/>
            <w:vAlign w:val="center"/>
          </w:tcPr>
          <w:p w14:paraId="3429E3A9">
            <w:pPr>
              <w:pStyle w:val="15"/>
              <w:jc w:val="center"/>
              <w:rPr>
                <w:color w:val="auto"/>
                <w:highlight w:val="none"/>
              </w:rPr>
            </w:pPr>
          </w:p>
        </w:tc>
        <w:tc>
          <w:tcPr>
            <w:tcW w:w="502" w:type="dxa"/>
            <w:noWrap w:val="0"/>
            <w:vAlign w:val="center"/>
          </w:tcPr>
          <w:p w14:paraId="7C20A1BC">
            <w:pPr>
              <w:pStyle w:val="15"/>
              <w:jc w:val="center"/>
              <w:rPr>
                <w:color w:val="auto"/>
                <w:highlight w:val="none"/>
              </w:rPr>
            </w:pPr>
          </w:p>
        </w:tc>
        <w:tc>
          <w:tcPr>
            <w:tcW w:w="524" w:type="dxa"/>
            <w:noWrap w:val="0"/>
            <w:vAlign w:val="center"/>
          </w:tcPr>
          <w:p w14:paraId="0B24638F">
            <w:pPr>
              <w:pStyle w:val="15"/>
              <w:jc w:val="center"/>
              <w:rPr>
                <w:color w:val="auto"/>
                <w:highlight w:val="none"/>
              </w:rPr>
            </w:pPr>
          </w:p>
        </w:tc>
        <w:tc>
          <w:tcPr>
            <w:tcW w:w="600" w:type="dxa"/>
            <w:noWrap w:val="0"/>
            <w:vAlign w:val="center"/>
          </w:tcPr>
          <w:p w14:paraId="690AF30B">
            <w:pPr>
              <w:pStyle w:val="15"/>
              <w:jc w:val="center"/>
              <w:rPr>
                <w:color w:val="auto"/>
                <w:highlight w:val="none"/>
              </w:rPr>
            </w:pPr>
          </w:p>
        </w:tc>
        <w:tc>
          <w:tcPr>
            <w:tcW w:w="567" w:type="dxa"/>
            <w:noWrap w:val="0"/>
            <w:vAlign w:val="center"/>
          </w:tcPr>
          <w:p w14:paraId="7752FD58">
            <w:pPr>
              <w:pStyle w:val="15"/>
              <w:jc w:val="center"/>
              <w:rPr>
                <w:color w:val="auto"/>
                <w:highlight w:val="none"/>
              </w:rPr>
            </w:pPr>
          </w:p>
        </w:tc>
        <w:tc>
          <w:tcPr>
            <w:tcW w:w="556" w:type="dxa"/>
            <w:noWrap w:val="0"/>
            <w:vAlign w:val="center"/>
          </w:tcPr>
          <w:p w14:paraId="16F6CCE9">
            <w:pPr>
              <w:pStyle w:val="15"/>
              <w:jc w:val="center"/>
              <w:rPr>
                <w:color w:val="auto"/>
                <w:highlight w:val="none"/>
              </w:rPr>
            </w:pPr>
          </w:p>
        </w:tc>
        <w:tc>
          <w:tcPr>
            <w:tcW w:w="910" w:type="dxa"/>
            <w:noWrap w:val="0"/>
            <w:vAlign w:val="center"/>
          </w:tcPr>
          <w:p w14:paraId="1B728C80">
            <w:pPr>
              <w:pStyle w:val="15"/>
              <w:jc w:val="center"/>
              <w:rPr>
                <w:color w:val="auto"/>
                <w:highlight w:val="none"/>
              </w:rPr>
            </w:pPr>
          </w:p>
        </w:tc>
        <w:tc>
          <w:tcPr>
            <w:tcW w:w="940" w:type="dxa"/>
            <w:noWrap w:val="0"/>
            <w:vAlign w:val="center"/>
          </w:tcPr>
          <w:p w14:paraId="228B3AE4">
            <w:pPr>
              <w:pStyle w:val="15"/>
              <w:jc w:val="center"/>
              <w:rPr>
                <w:color w:val="auto"/>
                <w:highlight w:val="none"/>
              </w:rPr>
            </w:pPr>
          </w:p>
        </w:tc>
        <w:tc>
          <w:tcPr>
            <w:tcW w:w="1772" w:type="dxa"/>
            <w:noWrap w:val="0"/>
            <w:vAlign w:val="center"/>
          </w:tcPr>
          <w:p w14:paraId="1A596C3D">
            <w:pPr>
              <w:pStyle w:val="15"/>
              <w:jc w:val="center"/>
              <w:rPr>
                <w:color w:val="auto"/>
                <w:highlight w:val="none"/>
              </w:rPr>
            </w:pPr>
          </w:p>
        </w:tc>
        <w:tc>
          <w:tcPr>
            <w:tcW w:w="927" w:type="dxa"/>
            <w:noWrap w:val="0"/>
            <w:vAlign w:val="center"/>
          </w:tcPr>
          <w:p w14:paraId="6E7691DC">
            <w:pPr>
              <w:pStyle w:val="15"/>
              <w:jc w:val="center"/>
              <w:rPr>
                <w:color w:val="auto"/>
                <w:highlight w:val="none"/>
              </w:rPr>
            </w:pPr>
          </w:p>
        </w:tc>
      </w:tr>
      <w:tr w14:paraId="680D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53D04C72">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06AF98F2">
            <w:pPr>
              <w:pStyle w:val="15"/>
              <w:jc w:val="center"/>
              <w:rPr>
                <w:color w:val="auto"/>
                <w:highlight w:val="none"/>
              </w:rPr>
            </w:pPr>
          </w:p>
        </w:tc>
        <w:tc>
          <w:tcPr>
            <w:tcW w:w="578" w:type="dxa"/>
            <w:noWrap w:val="0"/>
            <w:vAlign w:val="center"/>
          </w:tcPr>
          <w:p w14:paraId="3B585489">
            <w:pPr>
              <w:pStyle w:val="15"/>
              <w:jc w:val="center"/>
              <w:rPr>
                <w:color w:val="auto"/>
                <w:highlight w:val="none"/>
              </w:rPr>
            </w:pPr>
          </w:p>
        </w:tc>
        <w:tc>
          <w:tcPr>
            <w:tcW w:w="556" w:type="dxa"/>
            <w:noWrap w:val="0"/>
            <w:vAlign w:val="center"/>
          </w:tcPr>
          <w:p w14:paraId="0A0FAC20">
            <w:pPr>
              <w:pStyle w:val="15"/>
              <w:jc w:val="center"/>
              <w:rPr>
                <w:color w:val="auto"/>
                <w:highlight w:val="none"/>
              </w:rPr>
            </w:pPr>
          </w:p>
        </w:tc>
        <w:tc>
          <w:tcPr>
            <w:tcW w:w="502" w:type="dxa"/>
            <w:noWrap w:val="0"/>
            <w:vAlign w:val="center"/>
          </w:tcPr>
          <w:p w14:paraId="629D1ABD">
            <w:pPr>
              <w:pStyle w:val="15"/>
              <w:jc w:val="center"/>
              <w:rPr>
                <w:color w:val="auto"/>
                <w:highlight w:val="none"/>
              </w:rPr>
            </w:pPr>
          </w:p>
        </w:tc>
        <w:tc>
          <w:tcPr>
            <w:tcW w:w="524" w:type="dxa"/>
            <w:noWrap w:val="0"/>
            <w:vAlign w:val="center"/>
          </w:tcPr>
          <w:p w14:paraId="545272AF">
            <w:pPr>
              <w:pStyle w:val="15"/>
              <w:jc w:val="center"/>
              <w:rPr>
                <w:color w:val="auto"/>
                <w:highlight w:val="none"/>
              </w:rPr>
            </w:pPr>
          </w:p>
        </w:tc>
        <w:tc>
          <w:tcPr>
            <w:tcW w:w="600" w:type="dxa"/>
            <w:noWrap w:val="0"/>
            <w:vAlign w:val="center"/>
          </w:tcPr>
          <w:p w14:paraId="6A1F76D3">
            <w:pPr>
              <w:pStyle w:val="15"/>
              <w:jc w:val="center"/>
              <w:rPr>
                <w:color w:val="auto"/>
                <w:highlight w:val="none"/>
              </w:rPr>
            </w:pPr>
          </w:p>
        </w:tc>
        <w:tc>
          <w:tcPr>
            <w:tcW w:w="567" w:type="dxa"/>
            <w:noWrap w:val="0"/>
            <w:vAlign w:val="center"/>
          </w:tcPr>
          <w:p w14:paraId="3F64D524">
            <w:pPr>
              <w:pStyle w:val="15"/>
              <w:jc w:val="center"/>
              <w:rPr>
                <w:color w:val="auto"/>
                <w:highlight w:val="none"/>
              </w:rPr>
            </w:pPr>
          </w:p>
        </w:tc>
        <w:tc>
          <w:tcPr>
            <w:tcW w:w="556" w:type="dxa"/>
            <w:noWrap w:val="0"/>
            <w:vAlign w:val="center"/>
          </w:tcPr>
          <w:p w14:paraId="270D1F50">
            <w:pPr>
              <w:pStyle w:val="15"/>
              <w:jc w:val="center"/>
              <w:rPr>
                <w:color w:val="auto"/>
                <w:highlight w:val="none"/>
              </w:rPr>
            </w:pPr>
          </w:p>
        </w:tc>
        <w:tc>
          <w:tcPr>
            <w:tcW w:w="910" w:type="dxa"/>
            <w:noWrap w:val="0"/>
            <w:vAlign w:val="center"/>
          </w:tcPr>
          <w:p w14:paraId="69DCBF47">
            <w:pPr>
              <w:pStyle w:val="15"/>
              <w:jc w:val="center"/>
              <w:rPr>
                <w:color w:val="auto"/>
                <w:highlight w:val="none"/>
              </w:rPr>
            </w:pPr>
          </w:p>
        </w:tc>
        <w:tc>
          <w:tcPr>
            <w:tcW w:w="940" w:type="dxa"/>
            <w:noWrap w:val="0"/>
            <w:vAlign w:val="center"/>
          </w:tcPr>
          <w:p w14:paraId="41916AA2">
            <w:pPr>
              <w:pStyle w:val="15"/>
              <w:jc w:val="center"/>
              <w:rPr>
                <w:color w:val="auto"/>
                <w:highlight w:val="none"/>
              </w:rPr>
            </w:pPr>
          </w:p>
        </w:tc>
        <w:tc>
          <w:tcPr>
            <w:tcW w:w="1772" w:type="dxa"/>
            <w:noWrap w:val="0"/>
            <w:vAlign w:val="center"/>
          </w:tcPr>
          <w:p w14:paraId="01DC9255">
            <w:pPr>
              <w:pStyle w:val="15"/>
              <w:jc w:val="center"/>
              <w:rPr>
                <w:color w:val="auto"/>
                <w:highlight w:val="none"/>
              </w:rPr>
            </w:pPr>
          </w:p>
        </w:tc>
        <w:tc>
          <w:tcPr>
            <w:tcW w:w="927" w:type="dxa"/>
            <w:noWrap w:val="0"/>
            <w:vAlign w:val="center"/>
          </w:tcPr>
          <w:p w14:paraId="011FBC14">
            <w:pPr>
              <w:pStyle w:val="15"/>
              <w:jc w:val="center"/>
              <w:rPr>
                <w:color w:val="auto"/>
                <w:highlight w:val="none"/>
              </w:rPr>
            </w:pPr>
          </w:p>
        </w:tc>
      </w:tr>
      <w:tr w14:paraId="2E15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6D0851C">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126117FC">
            <w:pPr>
              <w:pStyle w:val="15"/>
              <w:jc w:val="center"/>
              <w:rPr>
                <w:color w:val="auto"/>
                <w:highlight w:val="none"/>
              </w:rPr>
            </w:pPr>
          </w:p>
        </w:tc>
        <w:tc>
          <w:tcPr>
            <w:tcW w:w="578" w:type="dxa"/>
            <w:noWrap w:val="0"/>
            <w:vAlign w:val="center"/>
          </w:tcPr>
          <w:p w14:paraId="7DCA414C">
            <w:pPr>
              <w:pStyle w:val="15"/>
              <w:jc w:val="center"/>
              <w:rPr>
                <w:color w:val="auto"/>
                <w:highlight w:val="none"/>
              </w:rPr>
            </w:pPr>
          </w:p>
        </w:tc>
        <w:tc>
          <w:tcPr>
            <w:tcW w:w="556" w:type="dxa"/>
            <w:noWrap w:val="0"/>
            <w:vAlign w:val="center"/>
          </w:tcPr>
          <w:p w14:paraId="5BB9E5E5">
            <w:pPr>
              <w:pStyle w:val="15"/>
              <w:jc w:val="center"/>
              <w:rPr>
                <w:color w:val="auto"/>
                <w:highlight w:val="none"/>
              </w:rPr>
            </w:pPr>
          </w:p>
        </w:tc>
        <w:tc>
          <w:tcPr>
            <w:tcW w:w="502" w:type="dxa"/>
            <w:noWrap w:val="0"/>
            <w:vAlign w:val="center"/>
          </w:tcPr>
          <w:p w14:paraId="3081795D">
            <w:pPr>
              <w:pStyle w:val="15"/>
              <w:jc w:val="center"/>
              <w:rPr>
                <w:color w:val="auto"/>
                <w:highlight w:val="none"/>
              </w:rPr>
            </w:pPr>
          </w:p>
        </w:tc>
        <w:tc>
          <w:tcPr>
            <w:tcW w:w="524" w:type="dxa"/>
            <w:noWrap w:val="0"/>
            <w:vAlign w:val="center"/>
          </w:tcPr>
          <w:p w14:paraId="0599E926">
            <w:pPr>
              <w:pStyle w:val="15"/>
              <w:jc w:val="center"/>
              <w:rPr>
                <w:color w:val="auto"/>
                <w:highlight w:val="none"/>
              </w:rPr>
            </w:pPr>
          </w:p>
        </w:tc>
        <w:tc>
          <w:tcPr>
            <w:tcW w:w="600" w:type="dxa"/>
            <w:noWrap w:val="0"/>
            <w:vAlign w:val="center"/>
          </w:tcPr>
          <w:p w14:paraId="44AA5B40">
            <w:pPr>
              <w:pStyle w:val="15"/>
              <w:jc w:val="center"/>
              <w:rPr>
                <w:color w:val="auto"/>
                <w:highlight w:val="none"/>
              </w:rPr>
            </w:pPr>
          </w:p>
        </w:tc>
        <w:tc>
          <w:tcPr>
            <w:tcW w:w="567" w:type="dxa"/>
            <w:noWrap w:val="0"/>
            <w:vAlign w:val="center"/>
          </w:tcPr>
          <w:p w14:paraId="692FB57E">
            <w:pPr>
              <w:pStyle w:val="15"/>
              <w:jc w:val="center"/>
              <w:rPr>
                <w:color w:val="auto"/>
                <w:highlight w:val="none"/>
              </w:rPr>
            </w:pPr>
          </w:p>
        </w:tc>
        <w:tc>
          <w:tcPr>
            <w:tcW w:w="556" w:type="dxa"/>
            <w:noWrap w:val="0"/>
            <w:vAlign w:val="center"/>
          </w:tcPr>
          <w:p w14:paraId="65316050">
            <w:pPr>
              <w:pStyle w:val="15"/>
              <w:jc w:val="center"/>
              <w:rPr>
                <w:color w:val="auto"/>
                <w:highlight w:val="none"/>
              </w:rPr>
            </w:pPr>
          </w:p>
        </w:tc>
        <w:tc>
          <w:tcPr>
            <w:tcW w:w="910" w:type="dxa"/>
            <w:noWrap w:val="0"/>
            <w:vAlign w:val="center"/>
          </w:tcPr>
          <w:p w14:paraId="14597089">
            <w:pPr>
              <w:pStyle w:val="15"/>
              <w:jc w:val="center"/>
              <w:rPr>
                <w:color w:val="auto"/>
                <w:highlight w:val="none"/>
              </w:rPr>
            </w:pPr>
          </w:p>
        </w:tc>
        <w:tc>
          <w:tcPr>
            <w:tcW w:w="940" w:type="dxa"/>
            <w:noWrap w:val="0"/>
            <w:vAlign w:val="center"/>
          </w:tcPr>
          <w:p w14:paraId="1CC4E19F">
            <w:pPr>
              <w:pStyle w:val="15"/>
              <w:jc w:val="center"/>
              <w:rPr>
                <w:color w:val="auto"/>
                <w:highlight w:val="none"/>
              </w:rPr>
            </w:pPr>
          </w:p>
        </w:tc>
        <w:tc>
          <w:tcPr>
            <w:tcW w:w="1772" w:type="dxa"/>
            <w:noWrap w:val="0"/>
            <w:vAlign w:val="center"/>
          </w:tcPr>
          <w:p w14:paraId="1419C91F">
            <w:pPr>
              <w:pStyle w:val="15"/>
              <w:jc w:val="center"/>
              <w:rPr>
                <w:color w:val="auto"/>
                <w:highlight w:val="none"/>
              </w:rPr>
            </w:pPr>
          </w:p>
        </w:tc>
        <w:tc>
          <w:tcPr>
            <w:tcW w:w="927" w:type="dxa"/>
            <w:noWrap w:val="0"/>
            <w:vAlign w:val="center"/>
          </w:tcPr>
          <w:p w14:paraId="0C1B9D68">
            <w:pPr>
              <w:pStyle w:val="15"/>
              <w:jc w:val="center"/>
              <w:rPr>
                <w:color w:val="auto"/>
                <w:highlight w:val="none"/>
              </w:rPr>
            </w:pPr>
          </w:p>
        </w:tc>
      </w:tr>
      <w:tr w14:paraId="21C5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258C0C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1DA94F20">
            <w:pPr>
              <w:pStyle w:val="15"/>
              <w:jc w:val="center"/>
              <w:rPr>
                <w:color w:val="auto"/>
                <w:highlight w:val="none"/>
              </w:rPr>
            </w:pPr>
          </w:p>
        </w:tc>
        <w:tc>
          <w:tcPr>
            <w:tcW w:w="578" w:type="dxa"/>
            <w:noWrap w:val="0"/>
            <w:vAlign w:val="center"/>
          </w:tcPr>
          <w:p w14:paraId="122F3928">
            <w:pPr>
              <w:pStyle w:val="15"/>
              <w:jc w:val="center"/>
              <w:rPr>
                <w:color w:val="auto"/>
                <w:highlight w:val="none"/>
              </w:rPr>
            </w:pPr>
          </w:p>
        </w:tc>
        <w:tc>
          <w:tcPr>
            <w:tcW w:w="556" w:type="dxa"/>
            <w:noWrap w:val="0"/>
            <w:vAlign w:val="center"/>
          </w:tcPr>
          <w:p w14:paraId="0065797B">
            <w:pPr>
              <w:pStyle w:val="15"/>
              <w:jc w:val="center"/>
              <w:rPr>
                <w:color w:val="auto"/>
                <w:highlight w:val="none"/>
              </w:rPr>
            </w:pPr>
          </w:p>
        </w:tc>
        <w:tc>
          <w:tcPr>
            <w:tcW w:w="502" w:type="dxa"/>
            <w:noWrap w:val="0"/>
            <w:vAlign w:val="center"/>
          </w:tcPr>
          <w:p w14:paraId="281DEF04">
            <w:pPr>
              <w:pStyle w:val="15"/>
              <w:jc w:val="center"/>
              <w:rPr>
                <w:color w:val="auto"/>
                <w:highlight w:val="none"/>
              </w:rPr>
            </w:pPr>
          </w:p>
        </w:tc>
        <w:tc>
          <w:tcPr>
            <w:tcW w:w="524" w:type="dxa"/>
            <w:noWrap w:val="0"/>
            <w:vAlign w:val="center"/>
          </w:tcPr>
          <w:p w14:paraId="7A8CB770">
            <w:pPr>
              <w:pStyle w:val="15"/>
              <w:jc w:val="center"/>
              <w:rPr>
                <w:color w:val="auto"/>
                <w:highlight w:val="none"/>
              </w:rPr>
            </w:pPr>
          </w:p>
        </w:tc>
        <w:tc>
          <w:tcPr>
            <w:tcW w:w="600" w:type="dxa"/>
            <w:noWrap w:val="0"/>
            <w:vAlign w:val="center"/>
          </w:tcPr>
          <w:p w14:paraId="02B3B91B">
            <w:pPr>
              <w:pStyle w:val="15"/>
              <w:jc w:val="center"/>
              <w:rPr>
                <w:color w:val="auto"/>
                <w:highlight w:val="none"/>
              </w:rPr>
            </w:pPr>
          </w:p>
        </w:tc>
        <w:tc>
          <w:tcPr>
            <w:tcW w:w="567" w:type="dxa"/>
            <w:noWrap w:val="0"/>
            <w:vAlign w:val="center"/>
          </w:tcPr>
          <w:p w14:paraId="5CB46714">
            <w:pPr>
              <w:pStyle w:val="15"/>
              <w:jc w:val="center"/>
              <w:rPr>
                <w:color w:val="auto"/>
                <w:highlight w:val="none"/>
              </w:rPr>
            </w:pPr>
          </w:p>
        </w:tc>
        <w:tc>
          <w:tcPr>
            <w:tcW w:w="556" w:type="dxa"/>
            <w:noWrap w:val="0"/>
            <w:vAlign w:val="center"/>
          </w:tcPr>
          <w:p w14:paraId="189B4FC8">
            <w:pPr>
              <w:pStyle w:val="15"/>
              <w:jc w:val="center"/>
              <w:rPr>
                <w:color w:val="auto"/>
                <w:highlight w:val="none"/>
              </w:rPr>
            </w:pPr>
          </w:p>
        </w:tc>
        <w:tc>
          <w:tcPr>
            <w:tcW w:w="910" w:type="dxa"/>
            <w:noWrap w:val="0"/>
            <w:vAlign w:val="center"/>
          </w:tcPr>
          <w:p w14:paraId="74F90215">
            <w:pPr>
              <w:pStyle w:val="15"/>
              <w:jc w:val="center"/>
              <w:rPr>
                <w:color w:val="auto"/>
                <w:highlight w:val="none"/>
              </w:rPr>
            </w:pPr>
          </w:p>
        </w:tc>
        <w:tc>
          <w:tcPr>
            <w:tcW w:w="940" w:type="dxa"/>
            <w:noWrap w:val="0"/>
            <w:vAlign w:val="center"/>
          </w:tcPr>
          <w:p w14:paraId="68F6767B">
            <w:pPr>
              <w:pStyle w:val="15"/>
              <w:jc w:val="center"/>
              <w:rPr>
                <w:color w:val="auto"/>
                <w:highlight w:val="none"/>
              </w:rPr>
            </w:pPr>
          </w:p>
        </w:tc>
        <w:tc>
          <w:tcPr>
            <w:tcW w:w="1772" w:type="dxa"/>
            <w:noWrap w:val="0"/>
            <w:vAlign w:val="center"/>
          </w:tcPr>
          <w:p w14:paraId="39E943A7">
            <w:pPr>
              <w:pStyle w:val="15"/>
              <w:jc w:val="center"/>
              <w:rPr>
                <w:color w:val="auto"/>
                <w:highlight w:val="none"/>
              </w:rPr>
            </w:pPr>
          </w:p>
        </w:tc>
        <w:tc>
          <w:tcPr>
            <w:tcW w:w="927" w:type="dxa"/>
            <w:noWrap w:val="0"/>
            <w:vAlign w:val="center"/>
          </w:tcPr>
          <w:p w14:paraId="1BD03EFB">
            <w:pPr>
              <w:pStyle w:val="15"/>
              <w:jc w:val="center"/>
              <w:rPr>
                <w:color w:val="auto"/>
                <w:highlight w:val="none"/>
              </w:rPr>
            </w:pPr>
          </w:p>
        </w:tc>
      </w:tr>
      <w:tr w14:paraId="414A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8A63D8F">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270880CC">
            <w:pPr>
              <w:pStyle w:val="15"/>
              <w:jc w:val="center"/>
              <w:rPr>
                <w:color w:val="auto"/>
                <w:highlight w:val="none"/>
              </w:rPr>
            </w:pPr>
          </w:p>
        </w:tc>
        <w:tc>
          <w:tcPr>
            <w:tcW w:w="578" w:type="dxa"/>
            <w:noWrap w:val="0"/>
            <w:vAlign w:val="center"/>
          </w:tcPr>
          <w:p w14:paraId="1F3EE1A7">
            <w:pPr>
              <w:pStyle w:val="15"/>
              <w:jc w:val="center"/>
              <w:rPr>
                <w:color w:val="auto"/>
                <w:highlight w:val="none"/>
              </w:rPr>
            </w:pPr>
          </w:p>
        </w:tc>
        <w:tc>
          <w:tcPr>
            <w:tcW w:w="556" w:type="dxa"/>
            <w:noWrap w:val="0"/>
            <w:vAlign w:val="center"/>
          </w:tcPr>
          <w:p w14:paraId="6AE62EC0">
            <w:pPr>
              <w:pStyle w:val="15"/>
              <w:jc w:val="center"/>
              <w:rPr>
                <w:color w:val="auto"/>
                <w:highlight w:val="none"/>
              </w:rPr>
            </w:pPr>
          </w:p>
        </w:tc>
        <w:tc>
          <w:tcPr>
            <w:tcW w:w="502" w:type="dxa"/>
            <w:noWrap w:val="0"/>
            <w:vAlign w:val="center"/>
          </w:tcPr>
          <w:p w14:paraId="224D9ED0">
            <w:pPr>
              <w:pStyle w:val="15"/>
              <w:jc w:val="center"/>
              <w:rPr>
                <w:color w:val="auto"/>
                <w:highlight w:val="none"/>
              </w:rPr>
            </w:pPr>
          </w:p>
        </w:tc>
        <w:tc>
          <w:tcPr>
            <w:tcW w:w="524" w:type="dxa"/>
            <w:noWrap w:val="0"/>
            <w:vAlign w:val="center"/>
          </w:tcPr>
          <w:p w14:paraId="49D1F7FA">
            <w:pPr>
              <w:pStyle w:val="15"/>
              <w:jc w:val="center"/>
              <w:rPr>
                <w:color w:val="auto"/>
                <w:highlight w:val="none"/>
              </w:rPr>
            </w:pPr>
          </w:p>
        </w:tc>
        <w:tc>
          <w:tcPr>
            <w:tcW w:w="600" w:type="dxa"/>
            <w:noWrap w:val="0"/>
            <w:vAlign w:val="center"/>
          </w:tcPr>
          <w:p w14:paraId="64DD592E">
            <w:pPr>
              <w:pStyle w:val="15"/>
              <w:jc w:val="center"/>
              <w:rPr>
                <w:color w:val="auto"/>
                <w:highlight w:val="none"/>
              </w:rPr>
            </w:pPr>
          </w:p>
        </w:tc>
        <w:tc>
          <w:tcPr>
            <w:tcW w:w="567" w:type="dxa"/>
            <w:noWrap w:val="0"/>
            <w:vAlign w:val="center"/>
          </w:tcPr>
          <w:p w14:paraId="60975575">
            <w:pPr>
              <w:pStyle w:val="15"/>
              <w:jc w:val="center"/>
              <w:rPr>
                <w:color w:val="auto"/>
                <w:highlight w:val="none"/>
              </w:rPr>
            </w:pPr>
          </w:p>
        </w:tc>
        <w:tc>
          <w:tcPr>
            <w:tcW w:w="556" w:type="dxa"/>
            <w:noWrap w:val="0"/>
            <w:vAlign w:val="center"/>
          </w:tcPr>
          <w:p w14:paraId="5175C565">
            <w:pPr>
              <w:pStyle w:val="15"/>
              <w:jc w:val="center"/>
              <w:rPr>
                <w:color w:val="auto"/>
                <w:highlight w:val="none"/>
              </w:rPr>
            </w:pPr>
          </w:p>
        </w:tc>
        <w:tc>
          <w:tcPr>
            <w:tcW w:w="910" w:type="dxa"/>
            <w:noWrap w:val="0"/>
            <w:vAlign w:val="center"/>
          </w:tcPr>
          <w:p w14:paraId="4027A3AF">
            <w:pPr>
              <w:pStyle w:val="15"/>
              <w:jc w:val="center"/>
              <w:rPr>
                <w:color w:val="auto"/>
                <w:highlight w:val="none"/>
              </w:rPr>
            </w:pPr>
          </w:p>
        </w:tc>
        <w:tc>
          <w:tcPr>
            <w:tcW w:w="940" w:type="dxa"/>
            <w:noWrap w:val="0"/>
            <w:vAlign w:val="center"/>
          </w:tcPr>
          <w:p w14:paraId="10AE0550">
            <w:pPr>
              <w:pStyle w:val="15"/>
              <w:jc w:val="center"/>
              <w:rPr>
                <w:color w:val="auto"/>
                <w:highlight w:val="none"/>
              </w:rPr>
            </w:pPr>
          </w:p>
        </w:tc>
        <w:tc>
          <w:tcPr>
            <w:tcW w:w="1772" w:type="dxa"/>
            <w:noWrap w:val="0"/>
            <w:vAlign w:val="center"/>
          </w:tcPr>
          <w:p w14:paraId="0DC7B83F">
            <w:pPr>
              <w:pStyle w:val="15"/>
              <w:jc w:val="center"/>
              <w:rPr>
                <w:color w:val="auto"/>
                <w:highlight w:val="none"/>
              </w:rPr>
            </w:pPr>
          </w:p>
        </w:tc>
        <w:tc>
          <w:tcPr>
            <w:tcW w:w="927" w:type="dxa"/>
            <w:noWrap w:val="0"/>
            <w:vAlign w:val="center"/>
          </w:tcPr>
          <w:p w14:paraId="5993E590">
            <w:pPr>
              <w:pStyle w:val="15"/>
              <w:jc w:val="center"/>
              <w:rPr>
                <w:color w:val="auto"/>
                <w:highlight w:val="none"/>
              </w:rPr>
            </w:pPr>
          </w:p>
        </w:tc>
      </w:tr>
      <w:tr w14:paraId="3F0D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0758949">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24612919">
            <w:pPr>
              <w:pStyle w:val="15"/>
              <w:jc w:val="center"/>
              <w:rPr>
                <w:color w:val="auto"/>
                <w:highlight w:val="none"/>
              </w:rPr>
            </w:pPr>
          </w:p>
        </w:tc>
        <w:tc>
          <w:tcPr>
            <w:tcW w:w="578" w:type="dxa"/>
            <w:noWrap w:val="0"/>
            <w:vAlign w:val="center"/>
          </w:tcPr>
          <w:p w14:paraId="2C0772CD">
            <w:pPr>
              <w:pStyle w:val="15"/>
              <w:jc w:val="center"/>
              <w:rPr>
                <w:color w:val="auto"/>
                <w:highlight w:val="none"/>
              </w:rPr>
            </w:pPr>
          </w:p>
        </w:tc>
        <w:tc>
          <w:tcPr>
            <w:tcW w:w="556" w:type="dxa"/>
            <w:noWrap w:val="0"/>
            <w:vAlign w:val="center"/>
          </w:tcPr>
          <w:p w14:paraId="4952F551">
            <w:pPr>
              <w:pStyle w:val="15"/>
              <w:jc w:val="center"/>
              <w:rPr>
                <w:color w:val="auto"/>
                <w:highlight w:val="none"/>
              </w:rPr>
            </w:pPr>
          </w:p>
        </w:tc>
        <w:tc>
          <w:tcPr>
            <w:tcW w:w="502" w:type="dxa"/>
            <w:noWrap w:val="0"/>
            <w:vAlign w:val="center"/>
          </w:tcPr>
          <w:p w14:paraId="4A3AE18A">
            <w:pPr>
              <w:pStyle w:val="15"/>
              <w:jc w:val="center"/>
              <w:rPr>
                <w:color w:val="auto"/>
                <w:highlight w:val="none"/>
              </w:rPr>
            </w:pPr>
          </w:p>
        </w:tc>
        <w:tc>
          <w:tcPr>
            <w:tcW w:w="524" w:type="dxa"/>
            <w:noWrap w:val="0"/>
            <w:vAlign w:val="center"/>
          </w:tcPr>
          <w:p w14:paraId="736B613A">
            <w:pPr>
              <w:pStyle w:val="15"/>
              <w:jc w:val="center"/>
              <w:rPr>
                <w:color w:val="auto"/>
                <w:highlight w:val="none"/>
              </w:rPr>
            </w:pPr>
          </w:p>
        </w:tc>
        <w:tc>
          <w:tcPr>
            <w:tcW w:w="600" w:type="dxa"/>
            <w:noWrap w:val="0"/>
            <w:vAlign w:val="center"/>
          </w:tcPr>
          <w:p w14:paraId="4E085B02">
            <w:pPr>
              <w:pStyle w:val="15"/>
              <w:jc w:val="center"/>
              <w:rPr>
                <w:color w:val="auto"/>
                <w:highlight w:val="none"/>
              </w:rPr>
            </w:pPr>
          </w:p>
        </w:tc>
        <w:tc>
          <w:tcPr>
            <w:tcW w:w="567" w:type="dxa"/>
            <w:noWrap w:val="0"/>
            <w:vAlign w:val="center"/>
          </w:tcPr>
          <w:p w14:paraId="3BD2398C">
            <w:pPr>
              <w:pStyle w:val="15"/>
              <w:jc w:val="center"/>
              <w:rPr>
                <w:color w:val="auto"/>
                <w:highlight w:val="none"/>
              </w:rPr>
            </w:pPr>
          </w:p>
        </w:tc>
        <w:tc>
          <w:tcPr>
            <w:tcW w:w="556" w:type="dxa"/>
            <w:noWrap w:val="0"/>
            <w:vAlign w:val="center"/>
          </w:tcPr>
          <w:p w14:paraId="0C9FA7AA">
            <w:pPr>
              <w:pStyle w:val="15"/>
              <w:jc w:val="center"/>
              <w:rPr>
                <w:color w:val="auto"/>
                <w:highlight w:val="none"/>
              </w:rPr>
            </w:pPr>
          </w:p>
        </w:tc>
        <w:tc>
          <w:tcPr>
            <w:tcW w:w="910" w:type="dxa"/>
            <w:noWrap w:val="0"/>
            <w:vAlign w:val="center"/>
          </w:tcPr>
          <w:p w14:paraId="12E9AE08">
            <w:pPr>
              <w:pStyle w:val="15"/>
              <w:jc w:val="center"/>
              <w:rPr>
                <w:color w:val="auto"/>
                <w:highlight w:val="none"/>
              </w:rPr>
            </w:pPr>
          </w:p>
        </w:tc>
        <w:tc>
          <w:tcPr>
            <w:tcW w:w="940" w:type="dxa"/>
            <w:noWrap w:val="0"/>
            <w:vAlign w:val="center"/>
          </w:tcPr>
          <w:p w14:paraId="31AD7CBF">
            <w:pPr>
              <w:pStyle w:val="15"/>
              <w:jc w:val="center"/>
              <w:rPr>
                <w:color w:val="auto"/>
                <w:highlight w:val="none"/>
              </w:rPr>
            </w:pPr>
          </w:p>
        </w:tc>
        <w:tc>
          <w:tcPr>
            <w:tcW w:w="1772" w:type="dxa"/>
            <w:noWrap w:val="0"/>
            <w:vAlign w:val="center"/>
          </w:tcPr>
          <w:p w14:paraId="61C7B6EE">
            <w:pPr>
              <w:pStyle w:val="15"/>
              <w:jc w:val="center"/>
              <w:rPr>
                <w:color w:val="auto"/>
                <w:highlight w:val="none"/>
              </w:rPr>
            </w:pPr>
          </w:p>
        </w:tc>
        <w:tc>
          <w:tcPr>
            <w:tcW w:w="927" w:type="dxa"/>
            <w:noWrap w:val="0"/>
            <w:vAlign w:val="center"/>
          </w:tcPr>
          <w:p w14:paraId="000B2A79">
            <w:pPr>
              <w:pStyle w:val="15"/>
              <w:jc w:val="center"/>
              <w:rPr>
                <w:color w:val="auto"/>
                <w:highlight w:val="none"/>
              </w:rPr>
            </w:pPr>
          </w:p>
        </w:tc>
      </w:tr>
      <w:tr w14:paraId="13D1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2E7B7957">
            <w:pPr>
              <w:pStyle w:val="15"/>
              <w:jc w:val="center"/>
              <w:rPr>
                <w:color w:val="auto"/>
                <w:highlight w:val="none"/>
              </w:rPr>
            </w:pPr>
          </w:p>
        </w:tc>
        <w:tc>
          <w:tcPr>
            <w:tcW w:w="535" w:type="dxa"/>
            <w:noWrap w:val="0"/>
            <w:vAlign w:val="center"/>
          </w:tcPr>
          <w:p w14:paraId="5DFFCE72">
            <w:pPr>
              <w:pStyle w:val="15"/>
              <w:jc w:val="center"/>
              <w:rPr>
                <w:color w:val="auto"/>
                <w:highlight w:val="none"/>
              </w:rPr>
            </w:pPr>
          </w:p>
        </w:tc>
        <w:tc>
          <w:tcPr>
            <w:tcW w:w="578" w:type="dxa"/>
            <w:noWrap w:val="0"/>
            <w:vAlign w:val="center"/>
          </w:tcPr>
          <w:p w14:paraId="0F961039">
            <w:pPr>
              <w:pStyle w:val="15"/>
              <w:jc w:val="center"/>
              <w:rPr>
                <w:color w:val="auto"/>
                <w:highlight w:val="none"/>
              </w:rPr>
            </w:pPr>
          </w:p>
        </w:tc>
        <w:tc>
          <w:tcPr>
            <w:tcW w:w="556" w:type="dxa"/>
            <w:noWrap w:val="0"/>
            <w:vAlign w:val="center"/>
          </w:tcPr>
          <w:p w14:paraId="497A9AFB">
            <w:pPr>
              <w:pStyle w:val="15"/>
              <w:jc w:val="center"/>
              <w:rPr>
                <w:color w:val="auto"/>
                <w:highlight w:val="none"/>
              </w:rPr>
            </w:pPr>
          </w:p>
        </w:tc>
        <w:tc>
          <w:tcPr>
            <w:tcW w:w="502" w:type="dxa"/>
            <w:noWrap w:val="0"/>
            <w:vAlign w:val="center"/>
          </w:tcPr>
          <w:p w14:paraId="7BCA51BD">
            <w:pPr>
              <w:pStyle w:val="15"/>
              <w:jc w:val="center"/>
              <w:rPr>
                <w:color w:val="auto"/>
                <w:highlight w:val="none"/>
              </w:rPr>
            </w:pPr>
          </w:p>
        </w:tc>
        <w:tc>
          <w:tcPr>
            <w:tcW w:w="524" w:type="dxa"/>
            <w:noWrap w:val="0"/>
            <w:vAlign w:val="center"/>
          </w:tcPr>
          <w:p w14:paraId="70CEC263">
            <w:pPr>
              <w:pStyle w:val="15"/>
              <w:jc w:val="center"/>
              <w:rPr>
                <w:color w:val="auto"/>
                <w:highlight w:val="none"/>
              </w:rPr>
            </w:pPr>
          </w:p>
        </w:tc>
        <w:tc>
          <w:tcPr>
            <w:tcW w:w="600" w:type="dxa"/>
            <w:noWrap w:val="0"/>
            <w:vAlign w:val="center"/>
          </w:tcPr>
          <w:p w14:paraId="03CC78F0">
            <w:pPr>
              <w:pStyle w:val="15"/>
              <w:jc w:val="center"/>
              <w:rPr>
                <w:color w:val="auto"/>
                <w:highlight w:val="none"/>
              </w:rPr>
            </w:pPr>
          </w:p>
        </w:tc>
        <w:tc>
          <w:tcPr>
            <w:tcW w:w="567" w:type="dxa"/>
            <w:noWrap w:val="0"/>
            <w:vAlign w:val="center"/>
          </w:tcPr>
          <w:p w14:paraId="7769F0A3">
            <w:pPr>
              <w:pStyle w:val="15"/>
              <w:jc w:val="center"/>
              <w:rPr>
                <w:color w:val="auto"/>
                <w:highlight w:val="none"/>
              </w:rPr>
            </w:pPr>
          </w:p>
        </w:tc>
        <w:tc>
          <w:tcPr>
            <w:tcW w:w="556" w:type="dxa"/>
            <w:noWrap w:val="0"/>
            <w:vAlign w:val="center"/>
          </w:tcPr>
          <w:p w14:paraId="419EB6C8">
            <w:pPr>
              <w:pStyle w:val="15"/>
              <w:jc w:val="center"/>
              <w:rPr>
                <w:color w:val="auto"/>
                <w:highlight w:val="none"/>
              </w:rPr>
            </w:pPr>
          </w:p>
        </w:tc>
        <w:tc>
          <w:tcPr>
            <w:tcW w:w="910" w:type="dxa"/>
            <w:noWrap w:val="0"/>
            <w:vAlign w:val="center"/>
          </w:tcPr>
          <w:p w14:paraId="75FA4FFC">
            <w:pPr>
              <w:pStyle w:val="15"/>
              <w:jc w:val="center"/>
              <w:rPr>
                <w:color w:val="auto"/>
                <w:highlight w:val="none"/>
              </w:rPr>
            </w:pPr>
          </w:p>
        </w:tc>
        <w:tc>
          <w:tcPr>
            <w:tcW w:w="940" w:type="dxa"/>
            <w:noWrap w:val="0"/>
            <w:vAlign w:val="center"/>
          </w:tcPr>
          <w:p w14:paraId="48B9DC80">
            <w:pPr>
              <w:pStyle w:val="15"/>
              <w:jc w:val="center"/>
              <w:rPr>
                <w:color w:val="auto"/>
                <w:highlight w:val="none"/>
              </w:rPr>
            </w:pPr>
          </w:p>
        </w:tc>
        <w:tc>
          <w:tcPr>
            <w:tcW w:w="1772" w:type="dxa"/>
            <w:noWrap w:val="0"/>
            <w:vAlign w:val="center"/>
          </w:tcPr>
          <w:p w14:paraId="52B24142">
            <w:pPr>
              <w:pStyle w:val="15"/>
              <w:jc w:val="center"/>
              <w:rPr>
                <w:color w:val="auto"/>
                <w:highlight w:val="none"/>
              </w:rPr>
            </w:pPr>
          </w:p>
        </w:tc>
        <w:tc>
          <w:tcPr>
            <w:tcW w:w="927" w:type="dxa"/>
            <w:noWrap w:val="0"/>
            <w:vAlign w:val="center"/>
          </w:tcPr>
          <w:p w14:paraId="6623D435">
            <w:pPr>
              <w:pStyle w:val="15"/>
              <w:jc w:val="center"/>
              <w:rPr>
                <w:color w:val="auto"/>
                <w:highlight w:val="none"/>
              </w:rPr>
            </w:pPr>
          </w:p>
        </w:tc>
      </w:tr>
      <w:tr w14:paraId="2094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18924880">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5EB28E31">
            <w:pPr>
              <w:pStyle w:val="15"/>
              <w:jc w:val="center"/>
              <w:rPr>
                <w:color w:val="auto"/>
                <w:highlight w:val="none"/>
              </w:rPr>
            </w:pPr>
          </w:p>
        </w:tc>
        <w:tc>
          <w:tcPr>
            <w:tcW w:w="578" w:type="dxa"/>
            <w:noWrap w:val="0"/>
            <w:vAlign w:val="center"/>
          </w:tcPr>
          <w:p w14:paraId="3E7D16F8">
            <w:pPr>
              <w:pStyle w:val="15"/>
              <w:jc w:val="center"/>
              <w:rPr>
                <w:color w:val="auto"/>
                <w:highlight w:val="none"/>
              </w:rPr>
            </w:pPr>
          </w:p>
        </w:tc>
        <w:tc>
          <w:tcPr>
            <w:tcW w:w="556" w:type="dxa"/>
            <w:noWrap w:val="0"/>
            <w:vAlign w:val="center"/>
          </w:tcPr>
          <w:p w14:paraId="3F2291C6">
            <w:pPr>
              <w:pStyle w:val="15"/>
              <w:jc w:val="center"/>
              <w:rPr>
                <w:color w:val="auto"/>
                <w:highlight w:val="none"/>
              </w:rPr>
            </w:pPr>
          </w:p>
        </w:tc>
        <w:tc>
          <w:tcPr>
            <w:tcW w:w="502" w:type="dxa"/>
            <w:noWrap w:val="0"/>
            <w:vAlign w:val="center"/>
          </w:tcPr>
          <w:p w14:paraId="69433412">
            <w:pPr>
              <w:pStyle w:val="15"/>
              <w:jc w:val="center"/>
              <w:rPr>
                <w:color w:val="auto"/>
                <w:highlight w:val="none"/>
              </w:rPr>
            </w:pPr>
          </w:p>
        </w:tc>
        <w:tc>
          <w:tcPr>
            <w:tcW w:w="524" w:type="dxa"/>
            <w:noWrap w:val="0"/>
            <w:vAlign w:val="center"/>
          </w:tcPr>
          <w:p w14:paraId="5961249E">
            <w:pPr>
              <w:pStyle w:val="15"/>
              <w:jc w:val="center"/>
              <w:rPr>
                <w:color w:val="auto"/>
                <w:highlight w:val="none"/>
              </w:rPr>
            </w:pPr>
          </w:p>
        </w:tc>
        <w:tc>
          <w:tcPr>
            <w:tcW w:w="600" w:type="dxa"/>
            <w:noWrap w:val="0"/>
            <w:vAlign w:val="center"/>
          </w:tcPr>
          <w:p w14:paraId="3FD5411E">
            <w:pPr>
              <w:pStyle w:val="15"/>
              <w:jc w:val="center"/>
              <w:rPr>
                <w:color w:val="auto"/>
                <w:highlight w:val="none"/>
              </w:rPr>
            </w:pPr>
          </w:p>
        </w:tc>
        <w:tc>
          <w:tcPr>
            <w:tcW w:w="567" w:type="dxa"/>
            <w:noWrap w:val="0"/>
            <w:vAlign w:val="center"/>
          </w:tcPr>
          <w:p w14:paraId="0AB00148">
            <w:pPr>
              <w:pStyle w:val="15"/>
              <w:jc w:val="center"/>
              <w:rPr>
                <w:color w:val="auto"/>
                <w:highlight w:val="none"/>
              </w:rPr>
            </w:pPr>
          </w:p>
        </w:tc>
        <w:tc>
          <w:tcPr>
            <w:tcW w:w="556" w:type="dxa"/>
            <w:noWrap w:val="0"/>
            <w:vAlign w:val="center"/>
          </w:tcPr>
          <w:p w14:paraId="7BEFB1BF">
            <w:pPr>
              <w:pStyle w:val="15"/>
              <w:jc w:val="center"/>
              <w:rPr>
                <w:color w:val="auto"/>
                <w:highlight w:val="none"/>
              </w:rPr>
            </w:pPr>
          </w:p>
        </w:tc>
        <w:tc>
          <w:tcPr>
            <w:tcW w:w="910" w:type="dxa"/>
            <w:noWrap w:val="0"/>
            <w:vAlign w:val="center"/>
          </w:tcPr>
          <w:p w14:paraId="5FB66102">
            <w:pPr>
              <w:pStyle w:val="15"/>
              <w:jc w:val="center"/>
              <w:rPr>
                <w:color w:val="auto"/>
                <w:highlight w:val="none"/>
              </w:rPr>
            </w:pPr>
          </w:p>
        </w:tc>
        <w:tc>
          <w:tcPr>
            <w:tcW w:w="940" w:type="dxa"/>
            <w:noWrap w:val="0"/>
            <w:vAlign w:val="center"/>
          </w:tcPr>
          <w:p w14:paraId="00DFD8DA">
            <w:pPr>
              <w:pStyle w:val="15"/>
              <w:jc w:val="center"/>
              <w:rPr>
                <w:color w:val="auto"/>
                <w:highlight w:val="none"/>
              </w:rPr>
            </w:pPr>
          </w:p>
        </w:tc>
        <w:tc>
          <w:tcPr>
            <w:tcW w:w="1772" w:type="dxa"/>
            <w:noWrap w:val="0"/>
            <w:vAlign w:val="center"/>
          </w:tcPr>
          <w:p w14:paraId="14A57A4B">
            <w:pPr>
              <w:pStyle w:val="15"/>
              <w:jc w:val="center"/>
              <w:rPr>
                <w:color w:val="auto"/>
                <w:highlight w:val="none"/>
              </w:rPr>
            </w:pPr>
          </w:p>
        </w:tc>
        <w:tc>
          <w:tcPr>
            <w:tcW w:w="927" w:type="dxa"/>
            <w:noWrap w:val="0"/>
            <w:vAlign w:val="center"/>
          </w:tcPr>
          <w:p w14:paraId="265D479F">
            <w:pPr>
              <w:pStyle w:val="15"/>
              <w:jc w:val="center"/>
              <w:rPr>
                <w:color w:val="auto"/>
                <w:highlight w:val="none"/>
              </w:rPr>
            </w:pPr>
          </w:p>
        </w:tc>
      </w:tr>
    </w:tbl>
    <w:p w14:paraId="3231638D">
      <w:pPr>
        <w:pStyle w:val="5"/>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w:t>
      </w:r>
      <w:r>
        <w:rPr>
          <w:rFonts w:hint="eastAsia" w:ascii="宋体" w:hAnsi="宋体" w:eastAsia="宋体" w:cs="宋体"/>
          <w:color w:val="auto"/>
          <w:spacing w:val="3"/>
          <w:position w:val="29"/>
          <w:sz w:val="24"/>
          <w:szCs w:val="24"/>
          <w:highlight w:val="none"/>
          <w:lang w:val="en-US" w:eastAsia="zh-CN"/>
        </w:rPr>
        <w:t>货单位</w:t>
      </w:r>
      <w:r>
        <w:rPr>
          <w:rFonts w:hint="eastAsia" w:ascii="宋体" w:hAnsi="宋体" w:eastAsia="宋体" w:cs="宋体"/>
          <w:color w:val="auto"/>
          <w:spacing w:val="3"/>
          <w:position w:val="29"/>
          <w:sz w:val="24"/>
          <w:szCs w:val="24"/>
          <w:highlight w:val="none"/>
        </w:rPr>
        <w:t>根据对账需求可增加表头内容，不得删减表头内</w:t>
      </w:r>
      <w:r>
        <w:rPr>
          <w:rFonts w:hint="eastAsia" w:ascii="宋体" w:hAnsi="宋体" w:eastAsia="宋体" w:cs="宋体"/>
          <w:color w:val="auto"/>
          <w:spacing w:val="2"/>
          <w:position w:val="29"/>
          <w:sz w:val="24"/>
          <w:szCs w:val="24"/>
          <w:highlight w:val="none"/>
        </w:rPr>
        <w:t>容。</w:t>
      </w:r>
    </w:p>
    <w:p w14:paraId="55A5F362">
      <w:pPr>
        <w:pStyle w:val="2"/>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6E2EA79D">
      <w:pPr>
        <w:pStyle w:val="2"/>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3B8AB836">
      <w:pPr>
        <w:pStyle w:val="2"/>
        <w:ind w:firstLine="0" w:firstLineChars="0"/>
        <w:rPr>
          <w:rFonts w:hint="eastAsia" w:hAnsi="宋体" w:cs="宋体"/>
          <w:color w:val="auto"/>
          <w:spacing w:val="8"/>
          <w:position w:val="-1"/>
          <w:sz w:val="24"/>
          <w:szCs w:val="24"/>
          <w:highlight w:val="none"/>
          <w:lang w:val="en-US" w:eastAsia="zh-CN"/>
        </w:rPr>
      </w:pPr>
    </w:p>
    <w:p w14:paraId="5B83755F">
      <w:pPr>
        <w:pStyle w:val="2"/>
        <w:ind w:firstLine="0" w:firstLineChars="0"/>
        <w:rPr>
          <w:rFonts w:hint="eastAsia" w:hAnsi="宋体" w:cs="宋体"/>
          <w:color w:val="auto"/>
          <w:spacing w:val="8"/>
          <w:position w:val="-1"/>
          <w:sz w:val="24"/>
          <w:szCs w:val="24"/>
          <w:highlight w:val="none"/>
          <w:lang w:val="en-US" w:eastAsia="zh-CN"/>
        </w:rPr>
      </w:pPr>
    </w:p>
    <w:p w14:paraId="332D48B3">
      <w:pPr>
        <w:pStyle w:val="2"/>
        <w:ind w:firstLine="0" w:firstLineChars="0"/>
        <w:rPr>
          <w:rFonts w:hint="eastAsia" w:hAnsi="宋体" w:cs="宋体"/>
          <w:color w:val="auto"/>
          <w:spacing w:val="8"/>
          <w:position w:val="-1"/>
          <w:sz w:val="24"/>
          <w:szCs w:val="24"/>
          <w:highlight w:val="none"/>
          <w:lang w:val="en-US" w:eastAsia="zh-CN"/>
        </w:rPr>
      </w:pPr>
    </w:p>
    <w:p w14:paraId="418F7A7B">
      <w:pPr>
        <w:pStyle w:val="2"/>
        <w:ind w:firstLine="0" w:firstLineChars="0"/>
        <w:rPr>
          <w:rFonts w:hint="eastAsia" w:hAnsi="宋体" w:cs="宋体"/>
          <w:color w:val="auto"/>
          <w:spacing w:val="8"/>
          <w:position w:val="-1"/>
          <w:sz w:val="24"/>
          <w:szCs w:val="24"/>
          <w:highlight w:val="none"/>
          <w:lang w:val="en-US" w:eastAsia="zh-CN"/>
        </w:rPr>
      </w:pPr>
    </w:p>
    <w:p w14:paraId="655D2A45">
      <w:pPr>
        <w:pStyle w:val="2"/>
        <w:ind w:firstLine="0" w:firstLineChars="0"/>
        <w:rPr>
          <w:rFonts w:hint="eastAsia" w:hAnsi="宋体" w:cs="宋体"/>
          <w:color w:val="auto"/>
          <w:spacing w:val="8"/>
          <w:position w:val="-1"/>
          <w:sz w:val="24"/>
          <w:szCs w:val="24"/>
          <w:highlight w:val="none"/>
          <w:lang w:val="en-US" w:eastAsia="zh-CN"/>
        </w:rPr>
      </w:pPr>
    </w:p>
    <w:p w14:paraId="22B63A7C">
      <w:pPr>
        <w:pStyle w:val="2"/>
        <w:ind w:firstLine="0" w:firstLineChars="0"/>
        <w:rPr>
          <w:rFonts w:hint="eastAsia" w:hAnsi="宋体" w:cs="宋体"/>
          <w:color w:val="auto"/>
          <w:spacing w:val="8"/>
          <w:position w:val="-1"/>
          <w:sz w:val="24"/>
          <w:szCs w:val="24"/>
          <w:highlight w:val="none"/>
          <w:lang w:val="en-US" w:eastAsia="zh-CN"/>
        </w:rPr>
      </w:pPr>
    </w:p>
    <w:p w14:paraId="4F2B639E">
      <w:pPr>
        <w:pStyle w:val="2"/>
        <w:ind w:firstLine="0" w:firstLineChars="0"/>
        <w:rPr>
          <w:rFonts w:hint="eastAsia" w:hAnsi="宋体" w:cs="宋体"/>
          <w:color w:val="auto"/>
          <w:spacing w:val="8"/>
          <w:position w:val="-1"/>
          <w:sz w:val="24"/>
          <w:szCs w:val="24"/>
          <w:highlight w:val="none"/>
          <w:lang w:val="en-US" w:eastAsia="zh-CN"/>
        </w:rPr>
      </w:pPr>
    </w:p>
    <w:p w14:paraId="7CBB603C">
      <w:pPr>
        <w:pStyle w:val="2"/>
        <w:ind w:firstLine="0" w:firstLineChars="0"/>
        <w:rPr>
          <w:rFonts w:hint="eastAsia" w:hAnsi="宋体" w:cs="宋体"/>
          <w:color w:val="auto"/>
          <w:spacing w:val="8"/>
          <w:position w:val="-1"/>
          <w:sz w:val="24"/>
          <w:szCs w:val="24"/>
          <w:highlight w:val="none"/>
          <w:lang w:val="en-US" w:eastAsia="zh-CN"/>
        </w:rPr>
      </w:pPr>
    </w:p>
    <w:p w14:paraId="1D416106">
      <w:pPr>
        <w:pStyle w:val="2"/>
        <w:ind w:firstLine="0" w:firstLineChars="0"/>
        <w:rPr>
          <w:rFonts w:hint="eastAsia" w:hAnsi="宋体" w:cs="宋体"/>
          <w:color w:val="auto"/>
          <w:spacing w:val="8"/>
          <w:position w:val="-1"/>
          <w:sz w:val="24"/>
          <w:szCs w:val="24"/>
          <w:highlight w:val="none"/>
          <w:lang w:val="en-US" w:eastAsia="zh-CN"/>
        </w:rPr>
      </w:pPr>
    </w:p>
    <w:p w14:paraId="2158247F">
      <w:pPr>
        <w:pStyle w:val="2"/>
        <w:ind w:firstLine="0" w:firstLineChars="0"/>
        <w:rPr>
          <w:rFonts w:hint="eastAsia" w:hAnsi="宋体" w:cs="宋体"/>
          <w:color w:val="auto"/>
          <w:spacing w:val="8"/>
          <w:position w:val="-1"/>
          <w:sz w:val="24"/>
          <w:szCs w:val="24"/>
          <w:highlight w:val="none"/>
          <w:lang w:val="en-US" w:eastAsia="zh-CN"/>
        </w:rPr>
      </w:pPr>
    </w:p>
    <w:p w14:paraId="12199702">
      <w:pPr>
        <w:pStyle w:val="2"/>
        <w:ind w:firstLine="0" w:firstLineChars="0"/>
        <w:rPr>
          <w:rFonts w:hint="eastAsia" w:hAnsi="宋体" w:cs="宋体"/>
          <w:color w:val="auto"/>
          <w:spacing w:val="8"/>
          <w:position w:val="-1"/>
          <w:sz w:val="24"/>
          <w:szCs w:val="24"/>
          <w:highlight w:val="none"/>
          <w:lang w:val="en-US" w:eastAsia="zh-CN"/>
        </w:rPr>
      </w:pPr>
    </w:p>
    <w:p w14:paraId="501CF46A">
      <w:pPr>
        <w:pStyle w:val="2"/>
        <w:ind w:firstLine="0" w:firstLineChars="0"/>
        <w:rPr>
          <w:rFonts w:hint="eastAsia" w:hAnsi="宋体" w:cs="宋体"/>
          <w:color w:val="auto"/>
          <w:spacing w:val="8"/>
          <w:position w:val="-1"/>
          <w:sz w:val="24"/>
          <w:szCs w:val="24"/>
          <w:highlight w:val="none"/>
          <w:lang w:val="en-US" w:eastAsia="zh-CN"/>
        </w:rPr>
      </w:pPr>
    </w:p>
    <w:p w14:paraId="1AD7D7D1">
      <w:pPr>
        <w:pStyle w:val="2"/>
        <w:ind w:firstLine="0" w:firstLineChars="0"/>
        <w:rPr>
          <w:rFonts w:hint="eastAsia" w:hAnsi="宋体" w:cs="宋体"/>
          <w:color w:val="auto"/>
          <w:spacing w:val="8"/>
          <w:position w:val="-1"/>
          <w:sz w:val="24"/>
          <w:szCs w:val="24"/>
          <w:highlight w:val="none"/>
          <w:lang w:val="en-US" w:eastAsia="zh-CN"/>
        </w:rPr>
      </w:pPr>
    </w:p>
    <w:p w14:paraId="3004B148">
      <w:pPr>
        <w:pStyle w:val="2"/>
        <w:ind w:firstLine="0" w:firstLineChars="0"/>
        <w:rPr>
          <w:rFonts w:hint="eastAsia" w:hAnsi="宋体" w:cs="宋体"/>
          <w:color w:val="auto"/>
          <w:spacing w:val="8"/>
          <w:position w:val="-1"/>
          <w:sz w:val="24"/>
          <w:szCs w:val="24"/>
          <w:highlight w:val="none"/>
          <w:lang w:val="en-US" w:eastAsia="zh-CN"/>
        </w:rPr>
      </w:pPr>
    </w:p>
    <w:p w14:paraId="3DF3D4C3">
      <w:pPr>
        <w:pStyle w:val="2"/>
        <w:ind w:firstLine="0" w:firstLineChars="0"/>
        <w:rPr>
          <w:rFonts w:hint="eastAsia" w:hAnsi="宋体" w:cs="宋体"/>
          <w:color w:val="auto"/>
          <w:spacing w:val="8"/>
          <w:position w:val="-1"/>
          <w:sz w:val="24"/>
          <w:szCs w:val="24"/>
          <w:highlight w:val="none"/>
          <w:lang w:val="en-US" w:eastAsia="zh-CN"/>
        </w:rPr>
      </w:pPr>
    </w:p>
    <w:p w14:paraId="099AB372">
      <w:pPr>
        <w:pStyle w:val="2"/>
        <w:ind w:firstLine="0" w:firstLineChars="0"/>
        <w:rPr>
          <w:rFonts w:hint="eastAsia" w:hAnsi="宋体" w:cs="宋体"/>
          <w:color w:val="auto"/>
          <w:spacing w:val="8"/>
          <w:position w:val="-1"/>
          <w:sz w:val="20"/>
          <w:szCs w:val="20"/>
          <w:highlight w:val="none"/>
          <w:lang w:val="en-US" w:eastAsia="zh-CN"/>
        </w:rPr>
      </w:pPr>
    </w:p>
    <w:p w14:paraId="05CC293B">
      <w:pPr>
        <w:jc w:val="right"/>
        <w:rPr>
          <w:rFonts w:hint="default" w:eastAsia="宋体"/>
          <w:color w:val="auto"/>
          <w:sz w:val="36"/>
          <w:szCs w:val="36"/>
          <w:highlight w:val="none"/>
          <w:lang w:val="en-US" w:eastAsia="zh-CN"/>
        </w:rPr>
      </w:pPr>
      <w:r>
        <w:rPr>
          <w:rFonts w:hint="eastAsia" w:ascii="仿宋" w:hAnsi="仿宋" w:eastAsia="仿宋" w:cs="仿宋"/>
          <w:b/>
          <w:bCs/>
          <w:color w:val="auto"/>
          <w:sz w:val="44"/>
          <w:szCs w:val="44"/>
          <w:highlight w:val="none"/>
          <w:lang w:val="en-US" w:eastAsia="zh-CN"/>
        </w:rPr>
        <w:t>附件七</w:t>
      </w:r>
    </w:p>
    <w:p w14:paraId="590F42AC">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7F936047">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1312;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7F936047">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1206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7835CCE">
      <w:pPr>
        <w:spacing w:line="480" w:lineRule="exact"/>
        <w:jc w:val="center"/>
        <w:rPr>
          <w:color w:val="auto"/>
          <w:sz w:val="36"/>
          <w:szCs w:val="36"/>
          <w:highlight w:val="none"/>
        </w:rPr>
      </w:pPr>
      <w:r>
        <w:rPr>
          <w:rFonts w:hint="eastAsia"/>
          <w:color w:val="auto"/>
          <w:sz w:val="36"/>
          <w:szCs w:val="36"/>
          <w:highlight w:val="none"/>
        </w:rPr>
        <w:t>物 料 申 购 单</w:t>
      </w:r>
    </w:p>
    <w:p w14:paraId="7455F18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63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768492A">
            <w:pPr>
              <w:jc w:val="center"/>
              <w:rPr>
                <w:rFonts w:eastAsiaTheme="minorEastAsia"/>
                <w:color w:val="auto"/>
                <w:highlight w:val="none"/>
              </w:rPr>
            </w:pPr>
            <w:r>
              <w:rPr>
                <w:rFonts w:hint="eastAsia"/>
                <w:color w:val="auto"/>
                <w:highlight w:val="none"/>
              </w:rPr>
              <w:t>序号</w:t>
            </w:r>
          </w:p>
        </w:tc>
        <w:tc>
          <w:tcPr>
            <w:tcW w:w="2603" w:type="dxa"/>
            <w:vAlign w:val="center"/>
          </w:tcPr>
          <w:p w14:paraId="17B8E204">
            <w:pPr>
              <w:jc w:val="center"/>
              <w:rPr>
                <w:color w:val="auto"/>
                <w:highlight w:val="none"/>
              </w:rPr>
            </w:pPr>
            <w:r>
              <w:rPr>
                <w:rFonts w:hint="eastAsia"/>
                <w:color w:val="auto"/>
                <w:highlight w:val="none"/>
              </w:rPr>
              <w:t>材料名称/规格</w:t>
            </w:r>
          </w:p>
        </w:tc>
        <w:tc>
          <w:tcPr>
            <w:tcW w:w="1560" w:type="dxa"/>
            <w:vAlign w:val="center"/>
          </w:tcPr>
          <w:p w14:paraId="3447E146">
            <w:pPr>
              <w:jc w:val="center"/>
              <w:rPr>
                <w:color w:val="auto"/>
                <w:highlight w:val="none"/>
              </w:rPr>
            </w:pPr>
            <w:r>
              <w:rPr>
                <w:rFonts w:hint="eastAsia"/>
                <w:color w:val="auto"/>
                <w:highlight w:val="none"/>
              </w:rPr>
              <w:t>数量/单位</w:t>
            </w:r>
          </w:p>
        </w:tc>
        <w:tc>
          <w:tcPr>
            <w:tcW w:w="1335" w:type="dxa"/>
            <w:vAlign w:val="center"/>
          </w:tcPr>
          <w:p w14:paraId="70F1E67E">
            <w:pPr>
              <w:jc w:val="center"/>
              <w:rPr>
                <w:color w:val="auto"/>
                <w:highlight w:val="none"/>
              </w:rPr>
            </w:pPr>
            <w:r>
              <w:rPr>
                <w:rFonts w:hint="eastAsia"/>
                <w:color w:val="auto"/>
                <w:highlight w:val="none"/>
              </w:rPr>
              <w:t>到货日期</w:t>
            </w:r>
          </w:p>
        </w:tc>
        <w:tc>
          <w:tcPr>
            <w:tcW w:w="1515" w:type="dxa"/>
            <w:vAlign w:val="center"/>
          </w:tcPr>
          <w:p w14:paraId="6010095B">
            <w:pPr>
              <w:jc w:val="center"/>
              <w:rPr>
                <w:color w:val="auto"/>
                <w:highlight w:val="none"/>
              </w:rPr>
            </w:pPr>
            <w:r>
              <w:rPr>
                <w:rFonts w:hint="eastAsia"/>
                <w:color w:val="auto"/>
                <w:highlight w:val="none"/>
              </w:rPr>
              <w:t>质量要求</w:t>
            </w:r>
          </w:p>
        </w:tc>
        <w:tc>
          <w:tcPr>
            <w:tcW w:w="1632" w:type="dxa"/>
            <w:vAlign w:val="center"/>
          </w:tcPr>
          <w:p w14:paraId="5F90DD79">
            <w:pPr>
              <w:jc w:val="center"/>
              <w:rPr>
                <w:color w:val="auto"/>
                <w:highlight w:val="none"/>
              </w:rPr>
            </w:pPr>
            <w:r>
              <w:rPr>
                <w:rFonts w:hint="eastAsia"/>
                <w:color w:val="auto"/>
                <w:highlight w:val="none"/>
              </w:rPr>
              <w:t>用途等备注</w:t>
            </w:r>
          </w:p>
        </w:tc>
      </w:tr>
      <w:tr w14:paraId="470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074D86E2">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11F3EA0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D6BDC4B">
            <w:pPr>
              <w:jc w:val="center"/>
              <w:rPr>
                <w:rFonts w:hint="default" w:eastAsia="宋体"/>
                <w:color w:val="auto"/>
                <w:highlight w:val="none"/>
                <w:lang w:val="en-US" w:eastAsia="zh-CN"/>
              </w:rPr>
            </w:pPr>
          </w:p>
        </w:tc>
        <w:tc>
          <w:tcPr>
            <w:tcW w:w="1335" w:type="dxa"/>
            <w:vAlign w:val="center"/>
          </w:tcPr>
          <w:p w14:paraId="44014B9A">
            <w:pPr>
              <w:jc w:val="center"/>
              <w:rPr>
                <w:rFonts w:hint="default" w:eastAsia="宋体"/>
                <w:color w:val="auto"/>
                <w:highlight w:val="none"/>
                <w:lang w:val="en-US" w:eastAsia="zh-CN"/>
              </w:rPr>
            </w:pPr>
          </w:p>
        </w:tc>
        <w:tc>
          <w:tcPr>
            <w:tcW w:w="1515" w:type="dxa"/>
            <w:vAlign w:val="center"/>
          </w:tcPr>
          <w:p w14:paraId="2917CCBC">
            <w:pPr>
              <w:jc w:val="center"/>
              <w:rPr>
                <w:rFonts w:hint="default" w:eastAsia="宋体"/>
                <w:color w:val="auto"/>
                <w:highlight w:val="none"/>
                <w:lang w:val="en-US" w:eastAsia="zh-CN"/>
              </w:rPr>
            </w:pPr>
          </w:p>
        </w:tc>
        <w:tc>
          <w:tcPr>
            <w:tcW w:w="1632" w:type="dxa"/>
            <w:vMerge w:val="restart"/>
            <w:vAlign w:val="center"/>
          </w:tcPr>
          <w:p w14:paraId="2912317E">
            <w:pPr>
              <w:jc w:val="both"/>
              <w:rPr>
                <w:rFonts w:hint="default" w:ascii="Calibri" w:hAnsi="Calibri" w:eastAsia="宋体" w:cs="宋体"/>
                <w:color w:val="auto"/>
                <w:kern w:val="2"/>
                <w:sz w:val="21"/>
                <w:szCs w:val="24"/>
                <w:highlight w:val="none"/>
                <w:lang w:val="en-US" w:eastAsia="zh-CN" w:bidi="ar-SA"/>
              </w:rPr>
            </w:pPr>
          </w:p>
        </w:tc>
      </w:tr>
      <w:tr w14:paraId="1FB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5B2D3B1F">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4D4739F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4D25EEB">
            <w:pPr>
              <w:jc w:val="center"/>
              <w:rPr>
                <w:rFonts w:hint="default" w:eastAsia="宋体"/>
                <w:color w:val="auto"/>
                <w:highlight w:val="none"/>
                <w:lang w:val="en-US" w:eastAsia="zh-CN"/>
              </w:rPr>
            </w:pPr>
          </w:p>
        </w:tc>
        <w:tc>
          <w:tcPr>
            <w:tcW w:w="1335" w:type="dxa"/>
            <w:vAlign w:val="center"/>
          </w:tcPr>
          <w:p w14:paraId="0A57118A">
            <w:pPr>
              <w:jc w:val="center"/>
              <w:rPr>
                <w:rFonts w:hint="default" w:eastAsia="宋体"/>
                <w:color w:val="auto"/>
                <w:highlight w:val="none"/>
                <w:lang w:val="en-US" w:eastAsia="zh-CN"/>
              </w:rPr>
            </w:pPr>
          </w:p>
        </w:tc>
        <w:tc>
          <w:tcPr>
            <w:tcW w:w="1515" w:type="dxa"/>
            <w:vAlign w:val="center"/>
          </w:tcPr>
          <w:p w14:paraId="5FC1FDCB">
            <w:pPr>
              <w:jc w:val="center"/>
              <w:rPr>
                <w:rFonts w:hint="eastAsia" w:eastAsia="宋体"/>
                <w:color w:val="auto"/>
                <w:highlight w:val="none"/>
                <w:lang w:eastAsia="zh-CN"/>
              </w:rPr>
            </w:pPr>
          </w:p>
        </w:tc>
        <w:tc>
          <w:tcPr>
            <w:tcW w:w="1632" w:type="dxa"/>
            <w:vMerge w:val="continue"/>
            <w:vAlign w:val="center"/>
          </w:tcPr>
          <w:p w14:paraId="492EEADE">
            <w:pPr>
              <w:jc w:val="center"/>
              <w:rPr>
                <w:rFonts w:hint="default" w:ascii="Calibri" w:hAnsi="Calibri" w:eastAsia="宋体" w:cs="宋体"/>
                <w:color w:val="auto"/>
                <w:kern w:val="2"/>
                <w:sz w:val="21"/>
                <w:szCs w:val="24"/>
                <w:highlight w:val="none"/>
                <w:lang w:val="en-US" w:eastAsia="zh-CN" w:bidi="ar-SA"/>
              </w:rPr>
            </w:pPr>
          </w:p>
        </w:tc>
      </w:tr>
      <w:tr w14:paraId="2E8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2DDD1FD">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383610DA">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A35D196">
            <w:pPr>
              <w:jc w:val="center"/>
              <w:rPr>
                <w:rFonts w:hint="default" w:eastAsia="宋体"/>
                <w:color w:val="auto"/>
                <w:highlight w:val="none"/>
                <w:lang w:val="en-US" w:eastAsia="zh-CN"/>
              </w:rPr>
            </w:pPr>
          </w:p>
        </w:tc>
        <w:tc>
          <w:tcPr>
            <w:tcW w:w="1335" w:type="dxa"/>
            <w:vAlign w:val="center"/>
          </w:tcPr>
          <w:p w14:paraId="10F97E5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6516892">
            <w:pPr>
              <w:jc w:val="center"/>
              <w:rPr>
                <w:rFonts w:hint="eastAsia" w:eastAsia="宋体"/>
                <w:color w:val="auto"/>
                <w:highlight w:val="none"/>
                <w:lang w:val="en-US" w:eastAsia="zh-CN"/>
              </w:rPr>
            </w:pPr>
          </w:p>
        </w:tc>
        <w:tc>
          <w:tcPr>
            <w:tcW w:w="1632" w:type="dxa"/>
            <w:vMerge w:val="continue"/>
            <w:vAlign w:val="center"/>
          </w:tcPr>
          <w:p w14:paraId="5AE7E4A6">
            <w:pPr>
              <w:jc w:val="center"/>
              <w:rPr>
                <w:rFonts w:hint="default" w:ascii="Calibri" w:hAnsi="Calibri" w:eastAsia="宋体" w:cs="宋体"/>
                <w:color w:val="auto"/>
                <w:kern w:val="2"/>
                <w:sz w:val="21"/>
                <w:szCs w:val="24"/>
                <w:highlight w:val="none"/>
                <w:lang w:val="en-US" w:eastAsia="zh-CN" w:bidi="ar-SA"/>
              </w:rPr>
            </w:pPr>
          </w:p>
        </w:tc>
      </w:tr>
      <w:tr w14:paraId="001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2CCD8B27">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3C7B86A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0125C50">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27B0B44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3BB0C24">
            <w:pPr>
              <w:jc w:val="center"/>
              <w:rPr>
                <w:rFonts w:hint="eastAsia" w:eastAsia="宋体"/>
                <w:color w:val="auto"/>
                <w:highlight w:val="none"/>
                <w:lang w:eastAsia="zh-CN"/>
              </w:rPr>
            </w:pPr>
          </w:p>
        </w:tc>
        <w:tc>
          <w:tcPr>
            <w:tcW w:w="1632" w:type="dxa"/>
            <w:vMerge w:val="continue"/>
            <w:vAlign w:val="center"/>
          </w:tcPr>
          <w:p w14:paraId="533525BA">
            <w:pPr>
              <w:jc w:val="center"/>
              <w:rPr>
                <w:rFonts w:hint="default" w:ascii="Calibri" w:hAnsi="Calibri" w:eastAsia="宋体" w:cs="宋体"/>
                <w:color w:val="auto"/>
                <w:kern w:val="2"/>
                <w:sz w:val="21"/>
                <w:szCs w:val="24"/>
                <w:highlight w:val="none"/>
                <w:lang w:val="en-US" w:eastAsia="zh-CN" w:bidi="ar-SA"/>
              </w:rPr>
            </w:pPr>
          </w:p>
        </w:tc>
      </w:tr>
      <w:tr w14:paraId="3BA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41F0278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603141F3">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45FFCA90">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0C2EA8C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5883E3CC">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7A0DDB95">
            <w:pPr>
              <w:jc w:val="center"/>
              <w:rPr>
                <w:rFonts w:hint="default" w:ascii="Calibri" w:hAnsi="Calibri" w:eastAsia="宋体" w:cs="宋体"/>
                <w:color w:val="auto"/>
                <w:kern w:val="2"/>
                <w:sz w:val="21"/>
                <w:szCs w:val="24"/>
                <w:highlight w:val="none"/>
                <w:lang w:val="en-US" w:eastAsia="zh-CN" w:bidi="ar-SA"/>
              </w:rPr>
            </w:pPr>
          </w:p>
        </w:tc>
      </w:tr>
      <w:tr w14:paraId="38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44A51C1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5D53E567">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32A12AA">
            <w:pPr>
              <w:jc w:val="center"/>
              <w:rPr>
                <w:rFonts w:hint="default" w:eastAsia="宋体"/>
                <w:color w:val="auto"/>
                <w:highlight w:val="none"/>
                <w:lang w:val="en-US" w:eastAsia="zh-CN"/>
              </w:rPr>
            </w:pPr>
          </w:p>
        </w:tc>
        <w:tc>
          <w:tcPr>
            <w:tcW w:w="1335" w:type="dxa"/>
            <w:vAlign w:val="center"/>
          </w:tcPr>
          <w:p w14:paraId="6C4A9FB8">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0E47EE4">
            <w:pPr>
              <w:jc w:val="center"/>
              <w:rPr>
                <w:rFonts w:hint="eastAsia" w:eastAsia="宋体"/>
                <w:color w:val="auto"/>
                <w:highlight w:val="none"/>
                <w:lang w:eastAsia="zh-CN"/>
              </w:rPr>
            </w:pPr>
          </w:p>
        </w:tc>
        <w:tc>
          <w:tcPr>
            <w:tcW w:w="1632" w:type="dxa"/>
            <w:vMerge w:val="continue"/>
            <w:vAlign w:val="center"/>
          </w:tcPr>
          <w:p w14:paraId="61543770">
            <w:pPr>
              <w:jc w:val="center"/>
              <w:rPr>
                <w:rFonts w:hint="default" w:eastAsia="宋体"/>
                <w:color w:val="auto"/>
                <w:highlight w:val="none"/>
                <w:lang w:val="en-US" w:eastAsia="zh-CN"/>
              </w:rPr>
            </w:pPr>
          </w:p>
        </w:tc>
      </w:tr>
      <w:tr w14:paraId="764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7A0BDD6">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4AFF9CF3">
            <w:pPr>
              <w:jc w:val="center"/>
              <w:rPr>
                <w:rFonts w:hint="default" w:eastAsia="宋体"/>
                <w:color w:val="auto"/>
                <w:highlight w:val="none"/>
                <w:lang w:val="en-US" w:eastAsia="zh-CN"/>
              </w:rPr>
            </w:pPr>
          </w:p>
        </w:tc>
        <w:tc>
          <w:tcPr>
            <w:tcW w:w="1560" w:type="dxa"/>
            <w:vAlign w:val="center"/>
          </w:tcPr>
          <w:p w14:paraId="07C0C009">
            <w:pPr>
              <w:jc w:val="center"/>
              <w:rPr>
                <w:rFonts w:hint="default" w:eastAsia="宋体"/>
                <w:color w:val="auto"/>
                <w:highlight w:val="none"/>
                <w:lang w:val="en-US" w:eastAsia="zh-CN"/>
              </w:rPr>
            </w:pPr>
          </w:p>
        </w:tc>
        <w:tc>
          <w:tcPr>
            <w:tcW w:w="1335" w:type="dxa"/>
            <w:vAlign w:val="center"/>
          </w:tcPr>
          <w:p w14:paraId="12D0ABB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78D3F012">
            <w:pPr>
              <w:jc w:val="center"/>
              <w:rPr>
                <w:rFonts w:hint="default" w:eastAsia="宋体"/>
                <w:color w:val="auto"/>
                <w:highlight w:val="none"/>
                <w:lang w:val="en-US" w:eastAsia="zh-CN"/>
              </w:rPr>
            </w:pPr>
          </w:p>
        </w:tc>
        <w:tc>
          <w:tcPr>
            <w:tcW w:w="1632" w:type="dxa"/>
            <w:vMerge w:val="continue"/>
            <w:vAlign w:val="center"/>
          </w:tcPr>
          <w:p w14:paraId="4E4F89C8">
            <w:pPr>
              <w:jc w:val="center"/>
              <w:rPr>
                <w:rFonts w:hint="eastAsia" w:ascii="Calibri" w:hAnsi="Calibri" w:eastAsia="宋体" w:cs="宋体"/>
                <w:color w:val="auto"/>
                <w:kern w:val="2"/>
                <w:sz w:val="21"/>
                <w:szCs w:val="24"/>
                <w:highlight w:val="none"/>
                <w:lang w:val="en-US" w:eastAsia="zh-CN" w:bidi="ar-SA"/>
              </w:rPr>
            </w:pPr>
          </w:p>
        </w:tc>
      </w:tr>
      <w:tr w14:paraId="263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021F7746">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680A2B98">
            <w:pPr>
              <w:jc w:val="center"/>
              <w:rPr>
                <w:rFonts w:hint="eastAsia" w:eastAsia="宋体"/>
                <w:color w:val="auto"/>
                <w:highlight w:val="none"/>
                <w:lang w:val="en-US" w:eastAsia="zh-CN"/>
              </w:rPr>
            </w:pPr>
          </w:p>
        </w:tc>
        <w:tc>
          <w:tcPr>
            <w:tcW w:w="1560" w:type="dxa"/>
            <w:vAlign w:val="center"/>
          </w:tcPr>
          <w:p w14:paraId="7DA2071B">
            <w:pPr>
              <w:jc w:val="center"/>
              <w:rPr>
                <w:rFonts w:hint="default" w:eastAsia="宋体"/>
                <w:color w:val="auto"/>
                <w:highlight w:val="none"/>
                <w:lang w:val="en-US" w:eastAsia="zh-CN"/>
              </w:rPr>
            </w:pPr>
          </w:p>
        </w:tc>
        <w:tc>
          <w:tcPr>
            <w:tcW w:w="1335" w:type="dxa"/>
            <w:vAlign w:val="center"/>
          </w:tcPr>
          <w:p w14:paraId="32D92B1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5663F28">
            <w:pPr>
              <w:jc w:val="center"/>
              <w:rPr>
                <w:rFonts w:hint="default" w:eastAsia="宋体"/>
                <w:color w:val="auto"/>
                <w:highlight w:val="none"/>
                <w:lang w:val="en-US" w:eastAsia="zh-CN"/>
              </w:rPr>
            </w:pPr>
          </w:p>
        </w:tc>
        <w:tc>
          <w:tcPr>
            <w:tcW w:w="1632" w:type="dxa"/>
            <w:vMerge w:val="continue"/>
            <w:vAlign w:val="center"/>
          </w:tcPr>
          <w:p w14:paraId="2D4CE460">
            <w:pPr>
              <w:jc w:val="center"/>
              <w:rPr>
                <w:rFonts w:hint="eastAsia" w:ascii="Calibri" w:hAnsi="Calibri" w:eastAsia="宋体" w:cs="宋体"/>
                <w:color w:val="auto"/>
                <w:kern w:val="2"/>
                <w:sz w:val="21"/>
                <w:szCs w:val="24"/>
                <w:highlight w:val="none"/>
                <w:lang w:val="en-US" w:eastAsia="zh-CN" w:bidi="ar-SA"/>
              </w:rPr>
            </w:pPr>
          </w:p>
        </w:tc>
      </w:tr>
      <w:tr w14:paraId="563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92C9A3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22439C2B">
            <w:pPr>
              <w:jc w:val="center"/>
              <w:rPr>
                <w:rFonts w:hint="eastAsia" w:eastAsia="宋体"/>
                <w:color w:val="auto"/>
                <w:highlight w:val="none"/>
                <w:lang w:val="en-US" w:eastAsia="zh-CN"/>
              </w:rPr>
            </w:pPr>
          </w:p>
        </w:tc>
        <w:tc>
          <w:tcPr>
            <w:tcW w:w="1560" w:type="dxa"/>
            <w:vAlign w:val="center"/>
          </w:tcPr>
          <w:p w14:paraId="672D678F">
            <w:pPr>
              <w:jc w:val="center"/>
              <w:rPr>
                <w:rFonts w:hint="default" w:eastAsia="宋体"/>
                <w:color w:val="auto"/>
                <w:highlight w:val="none"/>
                <w:lang w:val="en-US" w:eastAsia="zh-CN"/>
              </w:rPr>
            </w:pPr>
          </w:p>
        </w:tc>
        <w:tc>
          <w:tcPr>
            <w:tcW w:w="1335" w:type="dxa"/>
            <w:vAlign w:val="center"/>
          </w:tcPr>
          <w:p w14:paraId="6B15DA3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FC8AF2">
            <w:pPr>
              <w:jc w:val="center"/>
              <w:rPr>
                <w:rFonts w:hint="default" w:eastAsia="宋体"/>
                <w:color w:val="auto"/>
                <w:highlight w:val="none"/>
                <w:lang w:val="en-US" w:eastAsia="zh-CN"/>
              </w:rPr>
            </w:pPr>
          </w:p>
        </w:tc>
        <w:tc>
          <w:tcPr>
            <w:tcW w:w="1632" w:type="dxa"/>
            <w:vMerge w:val="continue"/>
            <w:vAlign w:val="center"/>
          </w:tcPr>
          <w:p w14:paraId="23913088">
            <w:pPr>
              <w:jc w:val="center"/>
              <w:rPr>
                <w:rFonts w:hint="eastAsia" w:eastAsia="宋体"/>
                <w:color w:val="auto"/>
                <w:highlight w:val="none"/>
                <w:lang w:eastAsia="zh-CN"/>
              </w:rPr>
            </w:pPr>
          </w:p>
        </w:tc>
      </w:tr>
      <w:tr w14:paraId="4DC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61E18382">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D2D8281">
            <w:pPr>
              <w:jc w:val="center"/>
              <w:rPr>
                <w:rFonts w:hint="eastAsia" w:eastAsia="宋体"/>
                <w:color w:val="auto"/>
                <w:highlight w:val="none"/>
                <w:lang w:val="en-US" w:eastAsia="zh-CN"/>
              </w:rPr>
            </w:pPr>
          </w:p>
        </w:tc>
        <w:tc>
          <w:tcPr>
            <w:tcW w:w="1560" w:type="dxa"/>
            <w:vAlign w:val="center"/>
          </w:tcPr>
          <w:p w14:paraId="3E2F848B">
            <w:pPr>
              <w:jc w:val="center"/>
              <w:rPr>
                <w:rFonts w:hint="default" w:eastAsia="宋体"/>
                <w:color w:val="auto"/>
                <w:highlight w:val="none"/>
                <w:lang w:val="en-US" w:eastAsia="zh-CN"/>
              </w:rPr>
            </w:pPr>
          </w:p>
        </w:tc>
        <w:tc>
          <w:tcPr>
            <w:tcW w:w="1335" w:type="dxa"/>
            <w:vAlign w:val="center"/>
          </w:tcPr>
          <w:p w14:paraId="54F5B863">
            <w:pPr>
              <w:jc w:val="center"/>
              <w:rPr>
                <w:rFonts w:hint="default" w:eastAsia="宋体"/>
                <w:color w:val="auto"/>
                <w:highlight w:val="none"/>
                <w:lang w:val="en-US" w:eastAsia="zh-CN"/>
              </w:rPr>
            </w:pPr>
          </w:p>
        </w:tc>
        <w:tc>
          <w:tcPr>
            <w:tcW w:w="1515" w:type="dxa"/>
            <w:vAlign w:val="center"/>
          </w:tcPr>
          <w:p w14:paraId="0D09AB08">
            <w:pPr>
              <w:jc w:val="center"/>
              <w:rPr>
                <w:rFonts w:hint="default" w:eastAsia="宋体"/>
                <w:color w:val="auto"/>
                <w:highlight w:val="none"/>
                <w:lang w:val="en-US" w:eastAsia="zh-CN"/>
              </w:rPr>
            </w:pPr>
          </w:p>
        </w:tc>
        <w:tc>
          <w:tcPr>
            <w:tcW w:w="1632" w:type="dxa"/>
            <w:vMerge w:val="continue"/>
            <w:vAlign w:val="center"/>
          </w:tcPr>
          <w:p w14:paraId="306C6146">
            <w:pPr>
              <w:jc w:val="center"/>
              <w:rPr>
                <w:rFonts w:hint="eastAsia" w:eastAsia="宋体"/>
                <w:color w:val="auto"/>
                <w:highlight w:val="none"/>
                <w:lang w:eastAsia="zh-CN"/>
              </w:rPr>
            </w:pPr>
          </w:p>
        </w:tc>
      </w:tr>
      <w:tr w14:paraId="1C2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6B7101A2">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57ABC1F4">
            <w:pPr>
              <w:jc w:val="center"/>
              <w:rPr>
                <w:rFonts w:hint="eastAsia" w:eastAsia="宋体"/>
                <w:color w:val="auto"/>
                <w:highlight w:val="none"/>
                <w:lang w:val="en-US" w:eastAsia="zh-CN"/>
              </w:rPr>
            </w:pPr>
          </w:p>
        </w:tc>
        <w:tc>
          <w:tcPr>
            <w:tcW w:w="1560" w:type="dxa"/>
            <w:vAlign w:val="center"/>
          </w:tcPr>
          <w:p w14:paraId="7EF23E7F">
            <w:pPr>
              <w:jc w:val="center"/>
              <w:rPr>
                <w:rFonts w:hint="default"/>
                <w:color w:val="auto"/>
                <w:highlight w:val="none"/>
                <w:lang w:val="en-US" w:eastAsia="zh-CN"/>
              </w:rPr>
            </w:pPr>
          </w:p>
        </w:tc>
        <w:tc>
          <w:tcPr>
            <w:tcW w:w="1335" w:type="dxa"/>
            <w:vAlign w:val="center"/>
          </w:tcPr>
          <w:p w14:paraId="1C3AC47B">
            <w:pPr>
              <w:jc w:val="center"/>
              <w:rPr>
                <w:rFonts w:hint="default"/>
                <w:color w:val="auto"/>
                <w:highlight w:val="none"/>
                <w:lang w:val="en-US" w:eastAsia="zh-CN"/>
              </w:rPr>
            </w:pPr>
          </w:p>
        </w:tc>
        <w:tc>
          <w:tcPr>
            <w:tcW w:w="1515" w:type="dxa"/>
            <w:vAlign w:val="center"/>
          </w:tcPr>
          <w:p w14:paraId="03512538">
            <w:pPr>
              <w:jc w:val="center"/>
              <w:rPr>
                <w:rFonts w:hint="default" w:eastAsia="宋体"/>
                <w:color w:val="auto"/>
                <w:highlight w:val="none"/>
                <w:lang w:val="en-US" w:eastAsia="zh-CN"/>
              </w:rPr>
            </w:pPr>
          </w:p>
        </w:tc>
        <w:tc>
          <w:tcPr>
            <w:tcW w:w="1632" w:type="dxa"/>
            <w:vMerge w:val="continue"/>
            <w:vAlign w:val="center"/>
          </w:tcPr>
          <w:p w14:paraId="75246804">
            <w:pPr>
              <w:jc w:val="center"/>
              <w:rPr>
                <w:rFonts w:hint="eastAsia" w:eastAsia="宋体"/>
                <w:color w:val="auto"/>
                <w:highlight w:val="none"/>
                <w:lang w:eastAsia="zh-CN"/>
              </w:rPr>
            </w:pPr>
          </w:p>
        </w:tc>
      </w:tr>
      <w:tr w14:paraId="0A0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13E5B7DF">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C719D87">
            <w:pPr>
              <w:jc w:val="center"/>
              <w:rPr>
                <w:rFonts w:hint="eastAsia" w:eastAsia="宋体"/>
                <w:color w:val="auto"/>
                <w:highlight w:val="none"/>
                <w:lang w:val="en-US" w:eastAsia="zh-CN"/>
              </w:rPr>
            </w:pPr>
          </w:p>
        </w:tc>
        <w:tc>
          <w:tcPr>
            <w:tcW w:w="1560" w:type="dxa"/>
            <w:vAlign w:val="center"/>
          </w:tcPr>
          <w:p w14:paraId="32F5B6D7">
            <w:pPr>
              <w:jc w:val="center"/>
              <w:rPr>
                <w:rFonts w:hint="default"/>
                <w:color w:val="auto"/>
                <w:highlight w:val="none"/>
                <w:lang w:val="en-US" w:eastAsia="zh-CN"/>
              </w:rPr>
            </w:pPr>
          </w:p>
        </w:tc>
        <w:tc>
          <w:tcPr>
            <w:tcW w:w="1335" w:type="dxa"/>
            <w:vAlign w:val="center"/>
          </w:tcPr>
          <w:p w14:paraId="76708FEE">
            <w:pPr>
              <w:jc w:val="center"/>
              <w:rPr>
                <w:rFonts w:hint="default"/>
                <w:color w:val="auto"/>
                <w:highlight w:val="none"/>
                <w:lang w:val="en-US" w:eastAsia="zh-CN"/>
              </w:rPr>
            </w:pPr>
          </w:p>
        </w:tc>
        <w:tc>
          <w:tcPr>
            <w:tcW w:w="1515" w:type="dxa"/>
            <w:vAlign w:val="center"/>
          </w:tcPr>
          <w:p w14:paraId="133BBB1C">
            <w:pPr>
              <w:jc w:val="center"/>
              <w:rPr>
                <w:rFonts w:hint="default" w:eastAsia="宋体"/>
                <w:color w:val="auto"/>
                <w:highlight w:val="none"/>
                <w:lang w:val="en-US" w:eastAsia="zh-CN"/>
              </w:rPr>
            </w:pPr>
          </w:p>
        </w:tc>
        <w:tc>
          <w:tcPr>
            <w:tcW w:w="1632" w:type="dxa"/>
            <w:vMerge w:val="continue"/>
            <w:vAlign w:val="center"/>
          </w:tcPr>
          <w:p w14:paraId="195CEAEE">
            <w:pPr>
              <w:jc w:val="center"/>
              <w:rPr>
                <w:rFonts w:hint="eastAsia" w:eastAsia="宋体"/>
                <w:color w:val="auto"/>
                <w:highlight w:val="none"/>
                <w:lang w:eastAsia="zh-CN"/>
              </w:rPr>
            </w:pPr>
          </w:p>
        </w:tc>
      </w:tr>
      <w:tr w14:paraId="064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6597E30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2997187">
            <w:pPr>
              <w:tabs>
                <w:tab w:val="left" w:pos="631"/>
              </w:tabs>
              <w:jc w:val="left"/>
              <w:rPr>
                <w:rFonts w:hint="eastAsia" w:eastAsia="宋体"/>
                <w:color w:val="auto"/>
                <w:highlight w:val="none"/>
                <w:lang w:val="en-US" w:eastAsia="zh-CN"/>
              </w:rPr>
            </w:pPr>
          </w:p>
        </w:tc>
        <w:tc>
          <w:tcPr>
            <w:tcW w:w="1560" w:type="dxa"/>
            <w:vAlign w:val="center"/>
          </w:tcPr>
          <w:p w14:paraId="14927710">
            <w:pPr>
              <w:jc w:val="center"/>
              <w:rPr>
                <w:rFonts w:hint="default"/>
                <w:color w:val="auto"/>
                <w:highlight w:val="none"/>
                <w:lang w:val="en-US" w:eastAsia="zh-CN"/>
              </w:rPr>
            </w:pPr>
          </w:p>
        </w:tc>
        <w:tc>
          <w:tcPr>
            <w:tcW w:w="1335" w:type="dxa"/>
            <w:vAlign w:val="center"/>
          </w:tcPr>
          <w:p w14:paraId="34CA7D77">
            <w:pPr>
              <w:jc w:val="center"/>
              <w:rPr>
                <w:rFonts w:hint="default"/>
                <w:color w:val="auto"/>
                <w:highlight w:val="none"/>
                <w:lang w:val="en-US" w:eastAsia="zh-CN"/>
              </w:rPr>
            </w:pPr>
          </w:p>
        </w:tc>
        <w:tc>
          <w:tcPr>
            <w:tcW w:w="1515" w:type="dxa"/>
            <w:vAlign w:val="center"/>
          </w:tcPr>
          <w:p w14:paraId="56002389">
            <w:pPr>
              <w:jc w:val="center"/>
              <w:rPr>
                <w:rFonts w:hint="default" w:eastAsia="宋体"/>
                <w:color w:val="auto"/>
                <w:highlight w:val="none"/>
                <w:lang w:val="en-US" w:eastAsia="zh-CN"/>
              </w:rPr>
            </w:pPr>
          </w:p>
        </w:tc>
        <w:tc>
          <w:tcPr>
            <w:tcW w:w="1632" w:type="dxa"/>
            <w:vMerge w:val="continue"/>
            <w:vAlign w:val="center"/>
          </w:tcPr>
          <w:p w14:paraId="1BEDF2B4">
            <w:pPr>
              <w:jc w:val="center"/>
              <w:rPr>
                <w:rFonts w:hint="eastAsia" w:eastAsia="宋体"/>
                <w:color w:val="auto"/>
                <w:highlight w:val="none"/>
                <w:lang w:eastAsia="zh-CN"/>
              </w:rPr>
            </w:pPr>
          </w:p>
        </w:tc>
      </w:tr>
      <w:tr w14:paraId="080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AC7FFF6">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439EF7F9">
            <w:pPr>
              <w:jc w:val="center"/>
              <w:rPr>
                <w:rFonts w:hint="eastAsia" w:eastAsia="宋体"/>
                <w:color w:val="auto"/>
                <w:highlight w:val="none"/>
                <w:lang w:val="en-US" w:eastAsia="zh-CN"/>
              </w:rPr>
            </w:pPr>
          </w:p>
        </w:tc>
        <w:tc>
          <w:tcPr>
            <w:tcW w:w="1560" w:type="dxa"/>
            <w:vAlign w:val="center"/>
          </w:tcPr>
          <w:p w14:paraId="6F9DD8BF">
            <w:pPr>
              <w:jc w:val="center"/>
              <w:rPr>
                <w:rFonts w:hint="default"/>
                <w:color w:val="auto"/>
                <w:highlight w:val="none"/>
                <w:lang w:val="en-US" w:eastAsia="zh-CN"/>
              </w:rPr>
            </w:pPr>
          </w:p>
        </w:tc>
        <w:tc>
          <w:tcPr>
            <w:tcW w:w="1335" w:type="dxa"/>
            <w:vAlign w:val="center"/>
          </w:tcPr>
          <w:p w14:paraId="749D1A0E">
            <w:pPr>
              <w:jc w:val="center"/>
              <w:rPr>
                <w:rFonts w:hint="default"/>
                <w:color w:val="auto"/>
                <w:highlight w:val="none"/>
                <w:lang w:val="en-US" w:eastAsia="zh-CN"/>
              </w:rPr>
            </w:pPr>
          </w:p>
        </w:tc>
        <w:tc>
          <w:tcPr>
            <w:tcW w:w="1515" w:type="dxa"/>
            <w:vAlign w:val="center"/>
          </w:tcPr>
          <w:p w14:paraId="7430A4CD">
            <w:pPr>
              <w:jc w:val="center"/>
              <w:rPr>
                <w:rFonts w:hint="default" w:eastAsia="宋体"/>
                <w:color w:val="auto"/>
                <w:highlight w:val="none"/>
                <w:lang w:val="en-US" w:eastAsia="zh-CN"/>
              </w:rPr>
            </w:pPr>
          </w:p>
        </w:tc>
        <w:tc>
          <w:tcPr>
            <w:tcW w:w="1632" w:type="dxa"/>
            <w:vMerge w:val="continue"/>
            <w:vAlign w:val="center"/>
          </w:tcPr>
          <w:p w14:paraId="0C66FFDE">
            <w:pPr>
              <w:jc w:val="center"/>
              <w:rPr>
                <w:rFonts w:hint="default" w:eastAsia="宋体"/>
                <w:color w:val="auto"/>
                <w:highlight w:val="none"/>
                <w:lang w:val="en-US" w:eastAsia="zh-CN"/>
              </w:rPr>
            </w:pPr>
          </w:p>
        </w:tc>
      </w:tr>
      <w:tr w14:paraId="5C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09CC15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0C94977F">
            <w:pPr>
              <w:jc w:val="center"/>
              <w:rPr>
                <w:rFonts w:hint="eastAsia" w:eastAsia="宋体"/>
                <w:color w:val="auto"/>
                <w:highlight w:val="none"/>
                <w:lang w:val="en-US" w:eastAsia="zh-CN"/>
              </w:rPr>
            </w:pPr>
          </w:p>
        </w:tc>
        <w:tc>
          <w:tcPr>
            <w:tcW w:w="1560" w:type="dxa"/>
            <w:vAlign w:val="center"/>
          </w:tcPr>
          <w:p w14:paraId="6D235F2D">
            <w:pPr>
              <w:jc w:val="center"/>
              <w:rPr>
                <w:rFonts w:hint="default"/>
                <w:color w:val="auto"/>
                <w:highlight w:val="none"/>
                <w:lang w:val="en-US" w:eastAsia="zh-CN"/>
              </w:rPr>
            </w:pPr>
          </w:p>
        </w:tc>
        <w:tc>
          <w:tcPr>
            <w:tcW w:w="1335" w:type="dxa"/>
            <w:vAlign w:val="center"/>
          </w:tcPr>
          <w:p w14:paraId="7CCDD19E">
            <w:pPr>
              <w:jc w:val="center"/>
              <w:rPr>
                <w:rFonts w:hint="default"/>
                <w:color w:val="auto"/>
                <w:highlight w:val="none"/>
                <w:lang w:val="en-US" w:eastAsia="zh-CN"/>
              </w:rPr>
            </w:pPr>
          </w:p>
        </w:tc>
        <w:tc>
          <w:tcPr>
            <w:tcW w:w="1515" w:type="dxa"/>
            <w:vAlign w:val="center"/>
          </w:tcPr>
          <w:p w14:paraId="312E34E2">
            <w:pPr>
              <w:jc w:val="center"/>
              <w:rPr>
                <w:rFonts w:hint="default" w:eastAsia="宋体"/>
                <w:color w:val="auto"/>
                <w:highlight w:val="none"/>
                <w:lang w:val="en-US" w:eastAsia="zh-CN"/>
              </w:rPr>
            </w:pPr>
          </w:p>
        </w:tc>
        <w:tc>
          <w:tcPr>
            <w:tcW w:w="1632" w:type="dxa"/>
            <w:vMerge w:val="continue"/>
            <w:vAlign w:val="center"/>
          </w:tcPr>
          <w:p w14:paraId="637F7BE5">
            <w:pPr>
              <w:jc w:val="center"/>
              <w:rPr>
                <w:rFonts w:hint="eastAsia" w:eastAsia="宋体"/>
                <w:color w:val="auto"/>
                <w:highlight w:val="none"/>
                <w:lang w:val="en-US" w:eastAsia="zh-CN"/>
              </w:rPr>
            </w:pPr>
          </w:p>
        </w:tc>
      </w:tr>
      <w:tr w14:paraId="0D3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70BB885A">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0898E385">
            <w:pPr>
              <w:jc w:val="center"/>
              <w:rPr>
                <w:rFonts w:hint="eastAsia" w:eastAsia="宋体"/>
                <w:color w:val="auto"/>
                <w:highlight w:val="none"/>
                <w:lang w:val="en-US" w:eastAsia="zh-CN"/>
              </w:rPr>
            </w:pPr>
          </w:p>
        </w:tc>
        <w:tc>
          <w:tcPr>
            <w:tcW w:w="1560" w:type="dxa"/>
            <w:vAlign w:val="center"/>
          </w:tcPr>
          <w:p w14:paraId="29A26516">
            <w:pPr>
              <w:jc w:val="center"/>
              <w:rPr>
                <w:rFonts w:hint="default"/>
                <w:color w:val="auto"/>
                <w:highlight w:val="none"/>
                <w:lang w:val="en-US" w:eastAsia="zh-CN"/>
              </w:rPr>
            </w:pPr>
          </w:p>
        </w:tc>
        <w:tc>
          <w:tcPr>
            <w:tcW w:w="1335" w:type="dxa"/>
            <w:vAlign w:val="center"/>
          </w:tcPr>
          <w:p w14:paraId="6AC9545B">
            <w:pPr>
              <w:jc w:val="center"/>
              <w:rPr>
                <w:rFonts w:hint="default"/>
                <w:color w:val="auto"/>
                <w:highlight w:val="none"/>
                <w:lang w:val="en-US" w:eastAsia="zh-CN"/>
              </w:rPr>
            </w:pPr>
          </w:p>
        </w:tc>
        <w:tc>
          <w:tcPr>
            <w:tcW w:w="1515" w:type="dxa"/>
            <w:vAlign w:val="center"/>
          </w:tcPr>
          <w:p w14:paraId="5779DF7E">
            <w:pPr>
              <w:jc w:val="center"/>
              <w:rPr>
                <w:rFonts w:hint="default" w:eastAsia="宋体"/>
                <w:color w:val="auto"/>
                <w:highlight w:val="none"/>
                <w:lang w:val="en-US" w:eastAsia="zh-CN"/>
              </w:rPr>
            </w:pPr>
          </w:p>
        </w:tc>
        <w:tc>
          <w:tcPr>
            <w:tcW w:w="1632" w:type="dxa"/>
            <w:vMerge w:val="continue"/>
            <w:vAlign w:val="center"/>
          </w:tcPr>
          <w:p w14:paraId="76ACC014">
            <w:pPr>
              <w:jc w:val="center"/>
              <w:rPr>
                <w:rFonts w:hint="eastAsia" w:eastAsia="宋体"/>
                <w:color w:val="auto"/>
                <w:highlight w:val="none"/>
                <w:lang w:eastAsia="zh-CN"/>
              </w:rPr>
            </w:pPr>
          </w:p>
        </w:tc>
      </w:tr>
      <w:tr w14:paraId="5879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6A7E9ED">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35101673">
            <w:pPr>
              <w:jc w:val="center"/>
              <w:rPr>
                <w:rFonts w:hint="eastAsia" w:eastAsia="宋体"/>
                <w:color w:val="auto"/>
                <w:highlight w:val="none"/>
                <w:lang w:val="en-US" w:eastAsia="zh-CN"/>
              </w:rPr>
            </w:pPr>
          </w:p>
        </w:tc>
        <w:tc>
          <w:tcPr>
            <w:tcW w:w="1560" w:type="dxa"/>
            <w:vAlign w:val="center"/>
          </w:tcPr>
          <w:p w14:paraId="132055D2">
            <w:pPr>
              <w:jc w:val="center"/>
              <w:rPr>
                <w:rFonts w:hint="default"/>
                <w:color w:val="auto"/>
                <w:highlight w:val="none"/>
                <w:lang w:val="en-US" w:eastAsia="zh-CN"/>
              </w:rPr>
            </w:pPr>
          </w:p>
        </w:tc>
        <w:tc>
          <w:tcPr>
            <w:tcW w:w="1335" w:type="dxa"/>
            <w:vAlign w:val="center"/>
          </w:tcPr>
          <w:p w14:paraId="1A0F8DFA">
            <w:pPr>
              <w:jc w:val="center"/>
              <w:rPr>
                <w:rFonts w:hint="default"/>
                <w:color w:val="auto"/>
                <w:highlight w:val="none"/>
                <w:lang w:val="en-US" w:eastAsia="zh-CN"/>
              </w:rPr>
            </w:pPr>
          </w:p>
        </w:tc>
        <w:tc>
          <w:tcPr>
            <w:tcW w:w="1515" w:type="dxa"/>
            <w:vAlign w:val="center"/>
          </w:tcPr>
          <w:p w14:paraId="6772196E">
            <w:pPr>
              <w:jc w:val="center"/>
              <w:rPr>
                <w:rFonts w:hint="default" w:eastAsia="宋体"/>
                <w:color w:val="auto"/>
                <w:highlight w:val="none"/>
                <w:lang w:val="en-US" w:eastAsia="zh-CN"/>
              </w:rPr>
            </w:pPr>
          </w:p>
        </w:tc>
        <w:tc>
          <w:tcPr>
            <w:tcW w:w="1632" w:type="dxa"/>
            <w:vMerge w:val="continue"/>
            <w:vAlign w:val="center"/>
          </w:tcPr>
          <w:p w14:paraId="2AC31812">
            <w:pPr>
              <w:jc w:val="center"/>
              <w:rPr>
                <w:rFonts w:hint="eastAsia" w:eastAsia="宋体"/>
                <w:color w:val="auto"/>
                <w:highlight w:val="none"/>
                <w:lang w:eastAsia="zh-CN"/>
              </w:rPr>
            </w:pPr>
          </w:p>
        </w:tc>
      </w:tr>
      <w:tr w14:paraId="7026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8A27665">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69A4B83F">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38E12C35">
            <w:pPr>
              <w:jc w:val="center"/>
              <w:rPr>
                <w:rFonts w:hint="default"/>
                <w:color w:val="auto"/>
                <w:highlight w:val="none"/>
                <w:lang w:val="en-US" w:eastAsia="zh-CN"/>
              </w:rPr>
            </w:pPr>
          </w:p>
        </w:tc>
        <w:tc>
          <w:tcPr>
            <w:tcW w:w="1335" w:type="dxa"/>
            <w:vAlign w:val="center"/>
          </w:tcPr>
          <w:p w14:paraId="22249AC5">
            <w:pPr>
              <w:jc w:val="center"/>
              <w:rPr>
                <w:rFonts w:hint="default"/>
                <w:color w:val="auto"/>
                <w:highlight w:val="none"/>
                <w:lang w:val="en-US" w:eastAsia="zh-CN"/>
              </w:rPr>
            </w:pPr>
          </w:p>
        </w:tc>
        <w:tc>
          <w:tcPr>
            <w:tcW w:w="1515" w:type="dxa"/>
            <w:vAlign w:val="center"/>
          </w:tcPr>
          <w:p w14:paraId="37EC63A0">
            <w:pPr>
              <w:jc w:val="center"/>
              <w:rPr>
                <w:rFonts w:hint="default" w:eastAsia="宋体"/>
                <w:color w:val="auto"/>
                <w:highlight w:val="none"/>
                <w:lang w:val="en-US" w:eastAsia="zh-CN"/>
              </w:rPr>
            </w:pPr>
          </w:p>
        </w:tc>
        <w:tc>
          <w:tcPr>
            <w:tcW w:w="1632" w:type="dxa"/>
            <w:vMerge w:val="continue"/>
            <w:vAlign w:val="center"/>
          </w:tcPr>
          <w:p w14:paraId="5BCCC0D3">
            <w:pPr>
              <w:jc w:val="center"/>
              <w:rPr>
                <w:rFonts w:hint="eastAsia" w:eastAsia="宋体"/>
                <w:color w:val="auto"/>
                <w:highlight w:val="none"/>
                <w:lang w:eastAsia="zh-CN"/>
              </w:rPr>
            </w:pPr>
          </w:p>
        </w:tc>
      </w:tr>
    </w:tbl>
    <w:p w14:paraId="6C6BE2D0">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28FE0D9A">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0288;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28FE0D9A">
                      <w:pPr>
                        <w:jc w:val="center"/>
                        <w:rPr>
                          <w:rFonts w:eastAsiaTheme="minorEastAsia"/>
                          <w:szCs w:val="21"/>
                        </w:rPr>
                      </w:pPr>
                      <w:r>
                        <w:rPr>
                          <w:rFonts w:hint="eastAsia"/>
                          <w:szCs w:val="21"/>
                        </w:rPr>
                        <w:t>一 存根（白）二 财务（红）三 顾客（绿）</w:t>
                      </w:r>
                    </w:p>
                  </w:txbxContent>
                </v:textbox>
              </v:shape>
            </w:pict>
          </mc:Fallback>
        </mc:AlternateContent>
      </w:r>
    </w:p>
    <w:p w14:paraId="5AB1051B">
      <w:pPr>
        <w:tabs>
          <w:tab w:val="right" w:pos="15138"/>
        </w:tabs>
        <w:jc w:val="left"/>
        <w:rPr>
          <w:rFonts w:hint="default" w:hAnsi="宋体" w:cs="宋体"/>
          <w:color w:val="auto"/>
          <w:spacing w:val="8"/>
          <w:position w:val="-1"/>
          <w:sz w:val="24"/>
          <w:szCs w:val="24"/>
          <w:highlight w:val="none"/>
          <w:lang w:val="en-US" w:eastAsia="zh-CN"/>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w:t>
      </w:r>
      <w:r>
        <w:rPr>
          <w:rFonts w:hint="eastAsia" w:ascii="宋体" w:hAnsi="宋体"/>
          <w:color w:val="auto"/>
          <w:highlight w:val="none"/>
        </w:rPr>
        <w:t xml:space="preserve">） </w:t>
      </w:r>
    </w:p>
    <w:sectPr>
      <w:footerReference r:id="rId5" w:type="default"/>
      <w:pgSz w:w="11906" w:h="16838"/>
      <w:pgMar w:top="1134" w:right="1055" w:bottom="1134" w:left="1191"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14DC">
    <w:pPr>
      <w:pStyle w:val="6"/>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796">
    <w:pPr>
      <w:pStyle w:val="6"/>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25214">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QWZ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urR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V1BZl4QEAAMEDAAAOAAAA&#10;AAAAAAEAIAAAAB4BAABkcnMvZTJvRG9jLnhtbFBLBQYAAAAABgAGAFkBAABxBQAAAAA=&#10;">
              <v:fill on="f" focussize="0,0"/>
              <v:stroke on="f"/>
              <v:imagedata o:title=""/>
              <o:lock v:ext="edit" aspectratio="f"/>
              <v:textbox inset="0mm,0mm,0mm,0mm" style="mso-fit-shape-to-text:t;">
                <w:txbxContent>
                  <w:p w14:paraId="0FB25214">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7D4">
    <w:pPr>
      <w:pStyle w:val="7"/>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A8AA"/>
    <w:multiLevelType w:val="singleLevel"/>
    <w:tmpl w:val="D1A8A8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2Q5OTg4ZDQwZmUyYWViMWY0NjNlYzljNWI4MzM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E18FF"/>
    <w:rsid w:val="00863B59"/>
    <w:rsid w:val="008878D1"/>
    <w:rsid w:val="008D313A"/>
    <w:rsid w:val="00942D05"/>
    <w:rsid w:val="00A7217D"/>
    <w:rsid w:val="00A87DE8"/>
    <w:rsid w:val="00B0507A"/>
    <w:rsid w:val="00BC757B"/>
    <w:rsid w:val="00D72607"/>
    <w:rsid w:val="00DC2680"/>
    <w:rsid w:val="01037573"/>
    <w:rsid w:val="01205D5C"/>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1C365E8"/>
    <w:rsid w:val="020461C9"/>
    <w:rsid w:val="0210376E"/>
    <w:rsid w:val="02217FDE"/>
    <w:rsid w:val="02471A55"/>
    <w:rsid w:val="024E06A7"/>
    <w:rsid w:val="026C7207"/>
    <w:rsid w:val="02706B51"/>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8F1702"/>
    <w:rsid w:val="05B00870"/>
    <w:rsid w:val="05B94582"/>
    <w:rsid w:val="05CF7D50"/>
    <w:rsid w:val="05DC29A4"/>
    <w:rsid w:val="05E7046B"/>
    <w:rsid w:val="06071298"/>
    <w:rsid w:val="060A655B"/>
    <w:rsid w:val="062A142B"/>
    <w:rsid w:val="062A31D9"/>
    <w:rsid w:val="06456265"/>
    <w:rsid w:val="064C13A1"/>
    <w:rsid w:val="065F1493"/>
    <w:rsid w:val="066A43D4"/>
    <w:rsid w:val="06732DD2"/>
    <w:rsid w:val="06994288"/>
    <w:rsid w:val="069A3EBB"/>
    <w:rsid w:val="069D0714"/>
    <w:rsid w:val="06B3319E"/>
    <w:rsid w:val="06B524FE"/>
    <w:rsid w:val="06CB49BC"/>
    <w:rsid w:val="06D26124"/>
    <w:rsid w:val="06D666BC"/>
    <w:rsid w:val="06DB3895"/>
    <w:rsid w:val="06DC0977"/>
    <w:rsid w:val="070B4DB8"/>
    <w:rsid w:val="071E2D3E"/>
    <w:rsid w:val="071F6AB6"/>
    <w:rsid w:val="07222102"/>
    <w:rsid w:val="072916E2"/>
    <w:rsid w:val="072F06D6"/>
    <w:rsid w:val="07351E35"/>
    <w:rsid w:val="074D44A4"/>
    <w:rsid w:val="076444C8"/>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9F5C8C"/>
    <w:rsid w:val="09A56D66"/>
    <w:rsid w:val="09BA4874"/>
    <w:rsid w:val="09C5399F"/>
    <w:rsid w:val="09D73678"/>
    <w:rsid w:val="09DD18AD"/>
    <w:rsid w:val="09DF42DA"/>
    <w:rsid w:val="09ED4AE3"/>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8B58FD"/>
    <w:rsid w:val="0BC4514F"/>
    <w:rsid w:val="0BCB2D68"/>
    <w:rsid w:val="0BDB744F"/>
    <w:rsid w:val="0BFF07E0"/>
    <w:rsid w:val="0C0128E1"/>
    <w:rsid w:val="0C14470F"/>
    <w:rsid w:val="0C1E558E"/>
    <w:rsid w:val="0C2010AC"/>
    <w:rsid w:val="0C4A2FCD"/>
    <w:rsid w:val="0C62191E"/>
    <w:rsid w:val="0C7F569E"/>
    <w:rsid w:val="0C943AA2"/>
    <w:rsid w:val="0CB3697F"/>
    <w:rsid w:val="0CB90E13"/>
    <w:rsid w:val="0CC25F19"/>
    <w:rsid w:val="0CD2303E"/>
    <w:rsid w:val="0CF2453E"/>
    <w:rsid w:val="0D042E1A"/>
    <w:rsid w:val="0D4913C1"/>
    <w:rsid w:val="0D4F3663"/>
    <w:rsid w:val="0D660F9A"/>
    <w:rsid w:val="0D682B9B"/>
    <w:rsid w:val="0D6945E7"/>
    <w:rsid w:val="0D962F4D"/>
    <w:rsid w:val="0DBC6E0C"/>
    <w:rsid w:val="0DD35A97"/>
    <w:rsid w:val="0DED1445"/>
    <w:rsid w:val="0DF77E44"/>
    <w:rsid w:val="0E1518A1"/>
    <w:rsid w:val="0E2350DD"/>
    <w:rsid w:val="0E262ED1"/>
    <w:rsid w:val="0E2714DC"/>
    <w:rsid w:val="0E2A08EB"/>
    <w:rsid w:val="0E437100"/>
    <w:rsid w:val="0E4928DC"/>
    <w:rsid w:val="0E754C08"/>
    <w:rsid w:val="0E84109E"/>
    <w:rsid w:val="0E8B4260"/>
    <w:rsid w:val="0EBC4BEA"/>
    <w:rsid w:val="0ED85EC8"/>
    <w:rsid w:val="0EDA7072"/>
    <w:rsid w:val="0EDC11FC"/>
    <w:rsid w:val="0EE26D46"/>
    <w:rsid w:val="0EF12AE6"/>
    <w:rsid w:val="0F0C4A59"/>
    <w:rsid w:val="0F1112D6"/>
    <w:rsid w:val="0F112C3E"/>
    <w:rsid w:val="0F1862C4"/>
    <w:rsid w:val="0F225395"/>
    <w:rsid w:val="0F24110D"/>
    <w:rsid w:val="0F2B249C"/>
    <w:rsid w:val="0F2C6214"/>
    <w:rsid w:val="0F2E5AE8"/>
    <w:rsid w:val="0F502321"/>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9207D5"/>
    <w:rsid w:val="11A007F3"/>
    <w:rsid w:val="11AD0E6F"/>
    <w:rsid w:val="11AE31E0"/>
    <w:rsid w:val="11AE5258"/>
    <w:rsid w:val="11B147AE"/>
    <w:rsid w:val="11C646FD"/>
    <w:rsid w:val="11C9487C"/>
    <w:rsid w:val="11F56D91"/>
    <w:rsid w:val="1204403A"/>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C37A25"/>
    <w:rsid w:val="13E44DAF"/>
    <w:rsid w:val="13FB325E"/>
    <w:rsid w:val="1470712F"/>
    <w:rsid w:val="14932911"/>
    <w:rsid w:val="14AF76CB"/>
    <w:rsid w:val="14B22D17"/>
    <w:rsid w:val="14B7032D"/>
    <w:rsid w:val="14BC1DE8"/>
    <w:rsid w:val="14C10EE2"/>
    <w:rsid w:val="14C201BA"/>
    <w:rsid w:val="14E31122"/>
    <w:rsid w:val="152621F6"/>
    <w:rsid w:val="1529148F"/>
    <w:rsid w:val="1542409B"/>
    <w:rsid w:val="155301D7"/>
    <w:rsid w:val="1557566D"/>
    <w:rsid w:val="15610299"/>
    <w:rsid w:val="15671D54"/>
    <w:rsid w:val="15724254"/>
    <w:rsid w:val="158C3568"/>
    <w:rsid w:val="158F270C"/>
    <w:rsid w:val="15984DE1"/>
    <w:rsid w:val="15B36931"/>
    <w:rsid w:val="15CF16A7"/>
    <w:rsid w:val="16095447"/>
    <w:rsid w:val="16197E6B"/>
    <w:rsid w:val="16281F12"/>
    <w:rsid w:val="16302145"/>
    <w:rsid w:val="16351E52"/>
    <w:rsid w:val="167043DB"/>
    <w:rsid w:val="16717081"/>
    <w:rsid w:val="167209B0"/>
    <w:rsid w:val="16750D36"/>
    <w:rsid w:val="16B014D8"/>
    <w:rsid w:val="16C17241"/>
    <w:rsid w:val="16E027B8"/>
    <w:rsid w:val="16ED5EAA"/>
    <w:rsid w:val="170B3EB5"/>
    <w:rsid w:val="171952CF"/>
    <w:rsid w:val="1719707D"/>
    <w:rsid w:val="171D2EE0"/>
    <w:rsid w:val="1730504B"/>
    <w:rsid w:val="1735086C"/>
    <w:rsid w:val="17361868"/>
    <w:rsid w:val="17423139"/>
    <w:rsid w:val="17515EC2"/>
    <w:rsid w:val="17563E2E"/>
    <w:rsid w:val="175C420C"/>
    <w:rsid w:val="17740758"/>
    <w:rsid w:val="179D2E56"/>
    <w:rsid w:val="17A6044E"/>
    <w:rsid w:val="17BA0860"/>
    <w:rsid w:val="17BD20FF"/>
    <w:rsid w:val="17C01F0C"/>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8E7561"/>
    <w:rsid w:val="1A9F78F8"/>
    <w:rsid w:val="1AA66E7A"/>
    <w:rsid w:val="1ABC48F0"/>
    <w:rsid w:val="1ABD2A07"/>
    <w:rsid w:val="1AC11F06"/>
    <w:rsid w:val="1AC61965"/>
    <w:rsid w:val="1AE72AD2"/>
    <w:rsid w:val="1AF65494"/>
    <w:rsid w:val="1AF75928"/>
    <w:rsid w:val="1AFC1190"/>
    <w:rsid w:val="1B101184"/>
    <w:rsid w:val="1B16525A"/>
    <w:rsid w:val="1B1A1616"/>
    <w:rsid w:val="1B1D74DF"/>
    <w:rsid w:val="1B210BF7"/>
    <w:rsid w:val="1B2B45EC"/>
    <w:rsid w:val="1B512979"/>
    <w:rsid w:val="1B59213E"/>
    <w:rsid w:val="1B5C6497"/>
    <w:rsid w:val="1B666609"/>
    <w:rsid w:val="1B724FAE"/>
    <w:rsid w:val="1B726100"/>
    <w:rsid w:val="1B7A7441"/>
    <w:rsid w:val="1B83540D"/>
    <w:rsid w:val="1B8A78B2"/>
    <w:rsid w:val="1B9C202B"/>
    <w:rsid w:val="1BEA0FE8"/>
    <w:rsid w:val="1BEC2FB3"/>
    <w:rsid w:val="1C237506"/>
    <w:rsid w:val="1C2465A3"/>
    <w:rsid w:val="1C3B7A96"/>
    <w:rsid w:val="1C4F52EF"/>
    <w:rsid w:val="1C67088B"/>
    <w:rsid w:val="1C7D4B19"/>
    <w:rsid w:val="1C876837"/>
    <w:rsid w:val="1C8B27CB"/>
    <w:rsid w:val="1C9571A6"/>
    <w:rsid w:val="1CD66BB0"/>
    <w:rsid w:val="1CF928A3"/>
    <w:rsid w:val="1D1C78C7"/>
    <w:rsid w:val="1D385E44"/>
    <w:rsid w:val="1D5A219E"/>
    <w:rsid w:val="1D6923E1"/>
    <w:rsid w:val="1D762D4C"/>
    <w:rsid w:val="1DB01F75"/>
    <w:rsid w:val="1DC92705"/>
    <w:rsid w:val="1DD51824"/>
    <w:rsid w:val="1DDA6E3B"/>
    <w:rsid w:val="1DDF12F2"/>
    <w:rsid w:val="1DE026A3"/>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A01EB"/>
    <w:rsid w:val="1EDE6925"/>
    <w:rsid w:val="1F066139"/>
    <w:rsid w:val="1F130856"/>
    <w:rsid w:val="1F2C36C6"/>
    <w:rsid w:val="1F2E743E"/>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B838F8"/>
    <w:rsid w:val="22DE026A"/>
    <w:rsid w:val="22E177D9"/>
    <w:rsid w:val="22E42C35"/>
    <w:rsid w:val="22EF3388"/>
    <w:rsid w:val="22F05754"/>
    <w:rsid w:val="22F06F3D"/>
    <w:rsid w:val="22F46F43"/>
    <w:rsid w:val="23085188"/>
    <w:rsid w:val="23166844"/>
    <w:rsid w:val="232E1AC6"/>
    <w:rsid w:val="232F786B"/>
    <w:rsid w:val="23384D2F"/>
    <w:rsid w:val="23452FA8"/>
    <w:rsid w:val="234C768D"/>
    <w:rsid w:val="23671171"/>
    <w:rsid w:val="2369138D"/>
    <w:rsid w:val="236A568F"/>
    <w:rsid w:val="23812232"/>
    <w:rsid w:val="2382599A"/>
    <w:rsid w:val="2387457D"/>
    <w:rsid w:val="23C46955"/>
    <w:rsid w:val="23D20CE0"/>
    <w:rsid w:val="23D507D0"/>
    <w:rsid w:val="23D80963"/>
    <w:rsid w:val="23D83D9E"/>
    <w:rsid w:val="23DC56BB"/>
    <w:rsid w:val="23F5677C"/>
    <w:rsid w:val="23F63C20"/>
    <w:rsid w:val="240115C5"/>
    <w:rsid w:val="24101808"/>
    <w:rsid w:val="241C63FF"/>
    <w:rsid w:val="24226F43"/>
    <w:rsid w:val="24247062"/>
    <w:rsid w:val="2435126F"/>
    <w:rsid w:val="243A6885"/>
    <w:rsid w:val="243D776E"/>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760913"/>
    <w:rsid w:val="25826736"/>
    <w:rsid w:val="259B2F08"/>
    <w:rsid w:val="25AB2680"/>
    <w:rsid w:val="25AC3A6A"/>
    <w:rsid w:val="25CE3E81"/>
    <w:rsid w:val="25CF7F97"/>
    <w:rsid w:val="25D074A1"/>
    <w:rsid w:val="25D96C39"/>
    <w:rsid w:val="25ED0053"/>
    <w:rsid w:val="25FA451E"/>
    <w:rsid w:val="262C38E5"/>
    <w:rsid w:val="263F14EC"/>
    <w:rsid w:val="264D0AF2"/>
    <w:rsid w:val="26501CB1"/>
    <w:rsid w:val="265C5712"/>
    <w:rsid w:val="265D05FD"/>
    <w:rsid w:val="26622EB6"/>
    <w:rsid w:val="268A3AF4"/>
    <w:rsid w:val="26A10E3D"/>
    <w:rsid w:val="26A30712"/>
    <w:rsid w:val="26A51FB7"/>
    <w:rsid w:val="26A56238"/>
    <w:rsid w:val="26BA675A"/>
    <w:rsid w:val="26BE6631"/>
    <w:rsid w:val="26C03C58"/>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B343D"/>
    <w:rsid w:val="277F098D"/>
    <w:rsid w:val="278170DB"/>
    <w:rsid w:val="27930786"/>
    <w:rsid w:val="279D4D50"/>
    <w:rsid w:val="27AB3D22"/>
    <w:rsid w:val="27D05536"/>
    <w:rsid w:val="27E11AF8"/>
    <w:rsid w:val="28292E99"/>
    <w:rsid w:val="283005FE"/>
    <w:rsid w:val="28327F9F"/>
    <w:rsid w:val="28331A56"/>
    <w:rsid w:val="28434849"/>
    <w:rsid w:val="28456613"/>
    <w:rsid w:val="286D202F"/>
    <w:rsid w:val="28956780"/>
    <w:rsid w:val="28C52BC1"/>
    <w:rsid w:val="28C606E7"/>
    <w:rsid w:val="28CC69C1"/>
    <w:rsid w:val="28E27A7D"/>
    <w:rsid w:val="29085DCB"/>
    <w:rsid w:val="290D6316"/>
    <w:rsid w:val="291807B8"/>
    <w:rsid w:val="29352E3A"/>
    <w:rsid w:val="293F15D2"/>
    <w:rsid w:val="294A756A"/>
    <w:rsid w:val="295B01BA"/>
    <w:rsid w:val="295B1778"/>
    <w:rsid w:val="296E7D76"/>
    <w:rsid w:val="298C36DF"/>
    <w:rsid w:val="298F31CF"/>
    <w:rsid w:val="29B260BA"/>
    <w:rsid w:val="29C6285B"/>
    <w:rsid w:val="29D37560"/>
    <w:rsid w:val="29DD3F3B"/>
    <w:rsid w:val="29EF6C8F"/>
    <w:rsid w:val="29F97E4E"/>
    <w:rsid w:val="2A04596B"/>
    <w:rsid w:val="2A1C0F07"/>
    <w:rsid w:val="2A257690"/>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BFF6DCF"/>
    <w:rsid w:val="2C3A38C6"/>
    <w:rsid w:val="2C4C16FF"/>
    <w:rsid w:val="2C5E053E"/>
    <w:rsid w:val="2C6721E1"/>
    <w:rsid w:val="2C8608B9"/>
    <w:rsid w:val="2C9E20A7"/>
    <w:rsid w:val="2C9F63A9"/>
    <w:rsid w:val="2CBE62A5"/>
    <w:rsid w:val="2CC80A91"/>
    <w:rsid w:val="2CCE2260"/>
    <w:rsid w:val="2CDE06F5"/>
    <w:rsid w:val="2CE45CBD"/>
    <w:rsid w:val="2CE81574"/>
    <w:rsid w:val="2CF37F79"/>
    <w:rsid w:val="2D216834"/>
    <w:rsid w:val="2D2C4C07"/>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D4EF3"/>
    <w:rsid w:val="31A11CF2"/>
    <w:rsid w:val="31B55BDA"/>
    <w:rsid w:val="31C37EBA"/>
    <w:rsid w:val="31D245A1"/>
    <w:rsid w:val="31D9148B"/>
    <w:rsid w:val="31E47BCC"/>
    <w:rsid w:val="320D6B1C"/>
    <w:rsid w:val="32105E6F"/>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9561C"/>
    <w:rsid w:val="33DE722D"/>
    <w:rsid w:val="33E41C73"/>
    <w:rsid w:val="340C3D9A"/>
    <w:rsid w:val="34190265"/>
    <w:rsid w:val="342A6B27"/>
    <w:rsid w:val="34360E17"/>
    <w:rsid w:val="344D7F0F"/>
    <w:rsid w:val="3469049A"/>
    <w:rsid w:val="346E6B7F"/>
    <w:rsid w:val="34766B9C"/>
    <w:rsid w:val="348A18C3"/>
    <w:rsid w:val="3495532D"/>
    <w:rsid w:val="349F41F7"/>
    <w:rsid w:val="350022EF"/>
    <w:rsid w:val="35020CF9"/>
    <w:rsid w:val="35040F15"/>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D5013"/>
    <w:rsid w:val="366E687E"/>
    <w:rsid w:val="368049F0"/>
    <w:rsid w:val="36897924"/>
    <w:rsid w:val="369B1405"/>
    <w:rsid w:val="36C46BAE"/>
    <w:rsid w:val="36C56482"/>
    <w:rsid w:val="36F9612C"/>
    <w:rsid w:val="370A20E7"/>
    <w:rsid w:val="372C02AF"/>
    <w:rsid w:val="37427DCD"/>
    <w:rsid w:val="374D6BA3"/>
    <w:rsid w:val="376161AB"/>
    <w:rsid w:val="376E062B"/>
    <w:rsid w:val="37700298"/>
    <w:rsid w:val="377527A3"/>
    <w:rsid w:val="3793032E"/>
    <w:rsid w:val="37AB17B4"/>
    <w:rsid w:val="37BA2DCC"/>
    <w:rsid w:val="37C14E9C"/>
    <w:rsid w:val="37FA1CAE"/>
    <w:rsid w:val="38003C16"/>
    <w:rsid w:val="38037262"/>
    <w:rsid w:val="38211DDE"/>
    <w:rsid w:val="382B3A22"/>
    <w:rsid w:val="385B0E4C"/>
    <w:rsid w:val="386717C0"/>
    <w:rsid w:val="38723425"/>
    <w:rsid w:val="38974AF0"/>
    <w:rsid w:val="38C34C43"/>
    <w:rsid w:val="38C95885"/>
    <w:rsid w:val="38E23DE0"/>
    <w:rsid w:val="390019F4"/>
    <w:rsid w:val="391F5EBF"/>
    <w:rsid w:val="391F631E"/>
    <w:rsid w:val="39202096"/>
    <w:rsid w:val="3930052B"/>
    <w:rsid w:val="39422DEA"/>
    <w:rsid w:val="395D29A2"/>
    <w:rsid w:val="39CE1AF2"/>
    <w:rsid w:val="39E676B1"/>
    <w:rsid w:val="39F257E0"/>
    <w:rsid w:val="39F96B6F"/>
    <w:rsid w:val="3A030AC5"/>
    <w:rsid w:val="3A06128C"/>
    <w:rsid w:val="3A3148AB"/>
    <w:rsid w:val="3A347BA7"/>
    <w:rsid w:val="3A476A7B"/>
    <w:rsid w:val="3A542215"/>
    <w:rsid w:val="3A7301ED"/>
    <w:rsid w:val="3AA82343"/>
    <w:rsid w:val="3AB61C66"/>
    <w:rsid w:val="3ABA6326"/>
    <w:rsid w:val="3AD924FC"/>
    <w:rsid w:val="3ADF1DF8"/>
    <w:rsid w:val="3AE315CD"/>
    <w:rsid w:val="3AEF1D20"/>
    <w:rsid w:val="3B29323F"/>
    <w:rsid w:val="3B2C6AD0"/>
    <w:rsid w:val="3B424ED6"/>
    <w:rsid w:val="3B8033E1"/>
    <w:rsid w:val="3BA269FD"/>
    <w:rsid w:val="3BAB20EB"/>
    <w:rsid w:val="3BB379B1"/>
    <w:rsid w:val="3BBD3BCC"/>
    <w:rsid w:val="3BD11425"/>
    <w:rsid w:val="3BD6013A"/>
    <w:rsid w:val="3BF13876"/>
    <w:rsid w:val="3BFF2436"/>
    <w:rsid w:val="3C08753D"/>
    <w:rsid w:val="3C2C6246"/>
    <w:rsid w:val="3C2D083A"/>
    <w:rsid w:val="3C6A3D54"/>
    <w:rsid w:val="3C9E1C4F"/>
    <w:rsid w:val="3CCF40AD"/>
    <w:rsid w:val="3CE05AB2"/>
    <w:rsid w:val="3D1B504E"/>
    <w:rsid w:val="3D22018A"/>
    <w:rsid w:val="3D295E51"/>
    <w:rsid w:val="3D3B124C"/>
    <w:rsid w:val="3D3B2FFA"/>
    <w:rsid w:val="3D485717"/>
    <w:rsid w:val="3D657A24"/>
    <w:rsid w:val="3D6B7484"/>
    <w:rsid w:val="3D791D75"/>
    <w:rsid w:val="3D7D76FE"/>
    <w:rsid w:val="3D967432"/>
    <w:rsid w:val="3DA17C5A"/>
    <w:rsid w:val="3DA94408"/>
    <w:rsid w:val="3DD82F3F"/>
    <w:rsid w:val="3DE6565C"/>
    <w:rsid w:val="3DE6740A"/>
    <w:rsid w:val="3DE93FE1"/>
    <w:rsid w:val="3DEF2039"/>
    <w:rsid w:val="3E38014F"/>
    <w:rsid w:val="3E483C21"/>
    <w:rsid w:val="3E5C147A"/>
    <w:rsid w:val="3E66477A"/>
    <w:rsid w:val="3E6B5B61"/>
    <w:rsid w:val="3E7F160D"/>
    <w:rsid w:val="3E934D3D"/>
    <w:rsid w:val="3EAA6689"/>
    <w:rsid w:val="3F0E2A92"/>
    <w:rsid w:val="3F0F2990"/>
    <w:rsid w:val="3F253F62"/>
    <w:rsid w:val="3F2921E6"/>
    <w:rsid w:val="3F5356B7"/>
    <w:rsid w:val="3F5F6009"/>
    <w:rsid w:val="3F7857D1"/>
    <w:rsid w:val="3F7D5A4F"/>
    <w:rsid w:val="3F7E18C4"/>
    <w:rsid w:val="3F9A21C7"/>
    <w:rsid w:val="3FB13A48"/>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BB17B0"/>
    <w:rsid w:val="42C5498C"/>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048FB"/>
    <w:rsid w:val="43EA254E"/>
    <w:rsid w:val="43F07682"/>
    <w:rsid w:val="4416031D"/>
    <w:rsid w:val="44167F08"/>
    <w:rsid w:val="44175E76"/>
    <w:rsid w:val="44231A85"/>
    <w:rsid w:val="442A3DC9"/>
    <w:rsid w:val="443973A6"/>
    <w:rsid w:val="445E6A7B"/>
    <w:rsid w:val="44703ED1"/>
    <w:rsid w:val="447A4D50"/>
    <w:rsid w:val="448230D6"/>
    <w:rsid w:val="448636F5"/>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842281"/>
    <w:rsid w:val="458915B4"/>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FD07FD"/>
    <w:rsid w:val="48074B4D"/>
    <w:rsid w:val="48172BDB"/>
    <w:rsid w:val="48223734"/>
    <w:rsid w:val="48392615"/>
    <w:rsid w:val="483B2A48"/>
    <w:rsid w:val="485960BF"/>
    <w:rsid w:val="486C71BD"/>
    <w:rsid w:val="4873378B"/>
    <w:rsid w:val="488A12DA"/>
    <w:rsid w:val="488E2B78"/>
    <w:rsid w:val="489A151D"/>
    <w:rsid w:val="48B40105"/>
    <w:rsid w:val="48B87BF5"/>
    <w:rsid w:val="48D72771"/>
    <w:rsid w:val="48E56510"/>
    <w:rsid w:val="48FD385A"/>
    <w:rsid w:val="49181A11"/>
    <w:rsid w:val="493A4AAE"/>
    <w:rsid w:val="495C057F"/>
    <w:rsid w:val="496B4C67"/>
    <w:rsid w:val="497004D0"/>
    <w:rsid w:val="497E0E3E"/>
    <w:rsid w:val="49836455"/>
    <w:rsid w:val="498668DA"/>
    <w:rsid w:val="49A10689"/>
    <w:rsid w:val="49A85EBB"/>
    <w:rsid w:val="49AB1508"/>
    <w:rsid w:val="49EA0597"/>
    <w:rsid w:val="49EF566B"/>
    <w:rsid w:val="49F41101"/>
    <w:rsid w:val="4A0961E3"/>
    <w:rsid w:val="4A183041"/>
    <w:rsid w:val="4A205A52"/>
    <w:rsid w:val="4A5B4CDC"/>
    <w:rsid w:val="4A5E3F5D"/>
    <w:rsid w:val="4A6A1427"/>
    <w:rsid w:val="4A730277"/>
    <w:rsid w:val="4A834233"/>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053C2"/>
    <w:rsid w:val="4BB40B47"/>
    <w:rsid w:val="4BB548C0"/>
    <w:rsid w:val="4BC36D42"/>
    <w:rsid w:val="4BE40D01"/>
    <w:rsid w:val="4BEB6533"/>
    <w:rsid w:val="4BEC408D"/>
    <w:rsid w:val="4BF076A6"/>
    <w:rsid w:val="4BF6088B"/>
    <w:rsid w:val="4C0A1121"/>
    <w:rsid w:val="4C161AF1"/>
    <w:rsid w:val="4C222B32"/>
    <w:rsid w:val="4C285091"/>
    <w:rsid w:val="4C416153"/>
    <w:rsid w:val="4C417B78"/>
    <w:rsid w:val="4C4A5AF7"/>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9D7994"/>
    <w:rsid w:val="4DB210B7"/>
    <w:rsid w:val="4DC1754C"/>
    <w:rsid w:val="4DD54DA5"/>
    <w:rsid w:val="4DE30687"/>
    <w:rsid w:val="4DE33966"/>
    <w:rsid w:val="4DEB6377"/>
    <w:rsid w:val="4DF06083"/>
    <w:rsid w:val="4DF75F10"/>
    <w:rsid w:val="4DFA2A5E"/>
    <w:rsid w:val="4DFA66E6"/>
    <w:rsid w:val="4E065CB6"/>
    <w:rsid w:val="4E200716"/>
    <w:rsid w:val="4E30022D"/>
    <w:rsid w:val="4E4475CC"/>
    <w:rsid w:val="4E457C85"/>
    <w:rsid w:val="4E482208"/>
    <w:rsid w:val="4E4F2DA9"/>
    <w:rsid w:val="4E5401B4"/>
    <w:rsid w:val="4E5B57DC"/>
    <w:rsid w:val="4E6D5DEE"/>
    <w:rsid w:val="4E740A62"/>
    <w:rsid w:val="4E766588"/>
    <w:rsid w:val="4E8A45E5"/>
    <w:rsid w:val="4EA6788D"/>
    <w:rsid w:val="4EB470B0"/>
    <w:rsid w:val="4EC76DE4"/>
    <w:rsid w:val="4ED90AFF"/>
    <w:rsid w:val="4EFE6975"/>
    <w:rsid w:val="4F1815E2"/>
    <w:rsid w:val="4F183BE6"/>
    <w:rsid w:val="4F336227"/>
    <w:rsid w:val="4F4F73A1"/>
    <w:rsid w:val="4F8E7901"/>
    <w:rsid w:val="4F9B059D"/>
    <w:rsid w:val="4FB87599"/>
    <w:rsid w:val="4FCE41A2"/>
    <w:rsid w:val="4FD866CB"/>
    <w:rsid w:val="4FDC68BF"/>
    <w:rsid w:val="4FE94B38"/>
    <w:rsid w:val="4FEA5EB5"/>
    <w:rsid w:val="4FEB04D3"/>
    <w:rsid w:val="4FF9121F"/>
    <w:rsid w:val="501740DB"/>
    <w:rsid w:val="505B3C87"/>
    <w:rsid w:val="505D7058"/>
    <w:rsid w:val="507A1C34"/>
    <w:rsid w:val="509C7DFC"/>
    <w:rsid w:val="50AD77BE"/>
    <w:rsid w:val="50B43398"/>
    <w:rsid w:val="50C00528"/>
    <w:rsid w:val="50C11611"/>
    <w:rsid w:val="50C25AB5"/>
    <w:rsid w:val="50C35389"/>
    <w:rsid w:val="50D137D5"/>
    <w:rsid w:val="50F84F5E"/>
    <w:rsid w:val="51112598"/>
    <w:rsid w:val="511B732C"/>
    <w:rsid w:val="5120603F"/>
    <w:rsid w:val="51206ED5"/>
    <w:rsid w:val="512C1180"/>
    <w:rsid w:val="51302E35"/>
    <w:rsid w:val="51422684"/>
    <w:rsid w:val="514C35D0"/>
    <w:rsid w:val="51667392"/>
    <w:rsid w:val="51825244"/>
    <w:rsid w:val="51B01DB1"/>
    <w:rsid w:val="51BC4CC0"/>
    <w:rsid w:val="51DA6E2E"/>
    <w:rsid w:val="51F872B4"/>
    <w:rsid w:val="51FC0A11"/>
    <w:rsid w:val="521C7446"/>
    <w:rsid w:val="52417FCB"/>
    <w:rsid w:val="526606C2"/>
    <w:rsid w:val="528172AA"/>
    <w:rsid w:val="529C1904"/>
    <w:rsid w:val="529F12A2"/>
    <w:rsid w:val="52B753C1"/>
    <w:rsid w:val="52D209C6"/>
    <w:rsid w:val="530138E1"/>
    <w:rsid w:val="530F0D59"/>
    <w:rsid w:val="531613D5"/>
    <w:rsid w:val="532145E9"/>
    <w:rsid w:val="5324020D"/>
    <w:rsid w:val="532A5B93"/>
    <w:rsid w:val="533267F6"/>
    <w:rsid w:val="535E4700"/>
    <w:rsid w:val="536B2FE6"/>
    <w:rsid w:val="536E3CD2"/>
    <w:rsid w:val="5373753A"/>
    <w:rsid w:val="537D5CC3"/>
    <w:rsid w:val="53987A46"/>
    <w:rsid w:val="53A414A2"/>
    <w:rsid w:val="53A56FC8"/>
    <w:rsid w:val="53BB4A3D"/>
    <w:rsid w:val="53E24C4B"/>
    <w:rsid w:val="53F37C05"/>
    <w:rsid w:val="540B7EB5"/>
    <w:rsid w:val="540E1011"/>
    <w:rsid w:val="5424554F"/>
    <w:rsid w:val="54297BF9"/>
    <w:rsid w:val="5436445F"/>
    <w:rsid w:val="54365B47"/>
    <w:rsid w:val="543F7869"/>
    <w:rsid w:val="544B5DC1"/>
    <w:rsid w:val="545033D7"/>
    <w:rsid w:val="54843546"/>
    <w:rsid w:val="54D20290"/>
    <w:rsid w:val="54D67D81"/>
    <w:rsid w:val="54E2482B"/>
    <w:rsid w:val="54E56216"/>
    <w:rsid w:val="54F47B28"/>
    <w:rsid w:val="550F6DEF"/>
    <w:rsid w:val="553B73E2"/>
    <w:rsid w:val="554051FA"/>
    <w:rsid w:val="55473338"/>
    <w:rsid w:val="55833339"/>
    <w:rsid w:val="55836911"/>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471DDA"/>
    <w:rsid w:val="57541431"/>
    <w:rsid w:val="575431DF"/>
    <w:rsid w:val="576462DE"/>
    <w:rsid w:val="57737EC4"/>
    <w:rsid w:val="5785783C"/>
    <w:rsid w:val="57947A7F"/>
    <w:rsid w:val="57A86BE1"/>
    <w:rsid w:val="57CB5B25"/>
    <w:rsid w:val="57E44562"/>
    <w:rsid w:val="57EB4490"/>
    <w:rsid w:val="57EC1669"/>
    <w:rsid w:val="580449F9"/>
    <w:rsid w:val="581D0F85"/>
    <w:rsid w:val="58296419"/>
    <w:rsid w:val="582C5F09"/>
    <w:rsid w:val="58311772"/>
    <w:rsid w:val="58337298"/>
    <w:rsid w:val="58873140"/>
    <w:rsid w:val="58935F89"/>
    <w:rsid w:val="58A63441"/>
    <w:rsid w:val="58BF28DA"/>
    <w:rsid w:val="58C1144C"/>
    <w:rsid w:val="58CD3249"/>
    <w:rsid w:val="58D00AF4"/>
    <w:rsid w:val="58DE1D8C"/>
    <w:rsid w:val="58F06F37"/>
    <w:rsid w:val="58F44C79"/>
    <w:rsid w:val="5919648E"/>
    <w:rsid w:val="591A5DA5"/>
    <w:rsid w:val="59337D32"/>
    <w:rsid w:val="598A550B"/>
    <w:rsid w:val="599C09DC"/>
    <w:rsid w:val="599D70BF"/>
    <w:rsid w:val="59BA6FCD"/>
    <w:rsid w:val="59CC3500"/>
    <w:rsid w:val="59D14FBA"/>
    <w:rsid w:val="59EE3017"/>
    <w:rsid w:val="59F1323B"/>
    <w:rsid w:val="5A056A12"/>
    <w:rsid w:val="5A0D0436"/>
    <w:rsid w:val="5A2C0443"/>
    <w:rsid w:val="5A434692"/>
    <w:rsid w:val="5A470DD9"/>
    <w:rsid w:val="5A5B2AD6"/>
    <w:rsid w:val="5A7B0A82"/>
    <w:rsid w:val="5A852708"/>
    <w:rsid w:val="5A86410C"/>
    <w:rsid w:val="5A9B2ED2"/>
    <w:rsid w:val="5AAE0E58"/>
    <w:rsid w:val="5AC32B55"/>
    <w:rsid w:val="5ADF3707"/>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7719D5"/>
    <w:rsid w:val="5D912C18"/>
    <w:rsid w:val="5D9702C9"/>
    <w:rsid w:val="5DB91FED"/>
    <w:rsid w:val="5DC07B22"/>
    <w:rsid w:val="5DC2175C"/>
    <w:rsid w:val="5DF63972"/>
    <w:rsid w:val="5DFC012C"/>
    <w:rsid w:val="5E047352"/>
    <w:rsid w:val="5E080D42"/>
    <w:rsid w:val="5E0A45F7"/>
    <w:rsid w:val="5E2E0A91"/>
    <w:rsid w:val="5E345B18"/>
    <w:rsid w:val="5E36132D"/>
    <w:rsid w:val="5E451AD3"/>
    <w:rsid w:val="5E792572"/>
    <w:rsid w:val="5EB26905"/>
    <w:rsid w:val="5EB919A8"/>
    <w:rsid w:val="5ED6597D"/>
    <w:rsid w:val="5EDD61AF"/>
    <w:rsid w:val="5EFC6636"/>
    <w:rsid w:val="5F076D88"/>
    <w:rsid w:val="5F31520C"/>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516B5"/>
    <w:rsid w:val="610619ED"/>
    <w:rsid w:val="613C6465"/>
    <w:rsid w:val="613D4CE3"/>
    <w:rsid w:val="61442516"/>
    <w:rsid w:val="614D13CA"/>
    <w:rsid w:val="61776447"/>
    <w:rsid w:val="618D5C6B"/>
    <w:rsid w:val="61CD42B9"/>
    <w:rsid w:val="61F555BE"/>
    <w:rsid w:val="61F85405"/>
    <w:rsid w:val="62035F2D"/>
    <w:rsid w:val="62057D23"/>
    <w:rsid w:val="621C5BA9"/>
    <w:rsid w:val="62427522"/>
    <w:rsid w:val="624F23FA"/>
    <w:rsid w:val="62514EEA"/>
    <w:rsid w:val="62736350"/>
    <w:rsid w:val="62763D02"/>
    <w:rsid w:val="628506F0"/>
    <w:rsid w:val="62BE7C21"/>
    <w:rsid w:val="62CC2BB0"/>
    <w:rsid w:val="62EB3A25"/>
    <w:rsid w:val="63185A08"/>
    <w:rsid w:val="6320666B"/>
    <w:rsid w:val="632C5010"/>
    <w:rsid w:val="634B4821"/>
    <w:rsid w:val="63712083"/>
    <w:rsid w:val="63936E3D"/>
    <w:rsid w:val="63BA479C"/>
    <w:rsid w:val="63C139AA"/>
    <w:rsid w:val="63D00091"/>
    <w:rsid w:val="63F35B2D"/>
    <w:rsid w:val="640A5918"/>
    <w:rsid w:val="640D6BEF"/>
    <w:rsid w:val="641F3554"/>
    <w:rsid w:val="64233706"/>
    <w:rsid w:val="64265F03"/>
    <w:rsid w:val="6432550D"/>
    <w:rsid w:val="64371EBE"/>
    <w:rsid w:val="64426DE8"/>
    <w:rsid w:val="644F5459"/>
    <w:rsid w:val="64686B51"/>
    <w:rsid w:val="647C1FC7"/>
    <w:rsid w:val="647D6C6E"/>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6522DF"/>
    <w:rsid w:val="66682803"/>
    <w:rsid w:val="66956497"/>
    <w:rsid w:val="66967370"/>
    <w:rsid w:val="66B871CA"/>
    <w:rsid w:val="66C537B1"/>
    <w:rsid w:val="66E005EB"/>
    <w:rsid w:val="66E16111"/>
    <w:rsid w:val="66F37636"/>
    <w:rsid w:val="670A2DA3"/>
    <w:rsid w:val="67177D85"/>
    <w:rsid w:val="671D01C8"/>
    <w:rsid w:val="67472418"/>
    <w:rsid w:val="674F21E0"/>
    <w:rsid w:val="675B0722"/>
    <w:rsid w:val="6762124F"/>
    <w:rsid w:val="676273A8"/>
    <w:rsid w:val="677A0EB9"/>
    <w:rsid w:val="678B2407"/>
    <w:rsid w:val="678D39C1"/>
    <w:rsid w:val="67A4786A"/>
    <w:rsid w:val="67B101D9"/>
    <w:rsid w:val="67B42433"/>
    <w:rsid w:val="67B75B18"/>
    <w:rsid w:val="67B850C4"/>
    <w:rsid w:val="67C972D1"/>
    <w:rsid w:val="67CC0B6F"/>
    <w:rsid w:val="67DD2D7C"/>
    <w:rsid w:val="67E91721"/>
    <w:rsid w:val="67F65BE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9FE607E"/>
    <w:rsid w:val="6A170B7C"/>
    <w:rsid w:val="6A2151A2"/>
    <w:rsid w:val="6A2627B9"/>
    <w:rsid w:val="6A2702BC"/>
    <w:rsid w:val="6A331379"/>
    <w:rsid w:val="6A3C1FDC"/>
    <w:rsid w:val="6A424264"/>
    <w:rsid w:val="6A577A5F"/>
    <w:rsid w:val="6A647785"/>
    <w:rsid w:val="6A701C86"/>
    <w:rsid w:val="6A894DD0"/>
    <w:rsid w:val="6A8D0A8A"/>
    <w:rsid w:val="6A9E2C97"/>
    <w:rsid w:val="6AAC0510"/>
    <w:rsid w:val="6AB763D1"/>
    <w:rsid w:val="6AB83C70"/>
    <w:rsid w:val="6AC01C35"/>
    <w:rsid w:val="6AC27BFE"/>
    <w:rsid w:val="6AC93F86"/>
    <w:rsid w:val="6ADB13C7"/>
    <w:rsid w:val="6AFE7291"/>
    <w:rsid w:val="6B0D2C0B"/>
    <w:rsid w:val="6B160A7F"/>
    <w:rsid w:val="6B1747F7"/>
    <w:rsid w:val="6B19231D"/>
    <w:rsid w:val="6B2F0E55"/>
    <w:rsid w:val="6B301415"/>
    <w:rsid w:val="6B5965FE"/>
    <w:rsid w:val="6B5C6B1E"/>
    <w:rsid w:val="6B5E41D4"/>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6AB2"/>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036424"/>
    <w:rsid w:val="701D465E"/>
    <w:rsid w:val="7023779A"/>
    <w:rsid w:val="702754DC"/>
    <w:rsid w:val="70281CF1"/>
    <w:rsid w:val="702F4391"/>
    <w:rsid w:val="705B0CE2"/>
    <w:rsid w:val="706C2EEF"/>
    <w:rsid w:val="706E4EB9"/>
    <w:rsid w:val="707B1384"/>
    <w:rsid w:val="70B97A34"/>
    <w:rsid w:val="70BE3020"/>
    <w:rsid w:val="70C42D2B"/>
    <w:rsid w:val="70E178AF"/>
    <w:rsid w:val="70E21403"/>
    <w:rsid w:val="70F84783"/>
    <w:rsid w:val="70F97914"/>
    <w:rsid w:val="71125845"/>
    <w:rsid w:val="7113780F"/>
    <w:rsid w:val="712C21C3"/>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617F3F"/>
    <w:rsid w:val="727B566C"/>
    <w:rsid w:val="72CB03A1"/>
    <w:rsid w:val="72D03C09"/>
    <w:rsid w:val="72F37EB8"/>
    <w:rsid w:val="72F71196"/>
    <w:rsid w:val="73190D85"/>
    <w:rsid w:val="731F693F"/>
    <w:rsid w:val="732E6B82"/>
    <w:rsid w:val="734C3D25"/>
    <w:rsid w:val="73500C03"/>
    <w:rsid w:val="73634A7D"/>
    <w:rsid w:val="736425A4"/>
    <w:rsid w:val="73662569"/>
    <w:rsid w:val="7372081D"/>
    <w:rsid w:val="738343C3"/>
    <w:rsid w:val="73F90F3E"/>
    <w:rsid w:val="741848C6"/>
    <w:rsid w:val="7419338E"/>
    <w:rsid w:val="74341F76"/>
    <w:rsid w:val="74485A21"/>
    <w:rsid w:val="745D7A02"/>
    <w:rsid w:val="74634609"/>
    <w:rsid w:val="746E5488"/>
    <w:rsid w:val="74BE7A92"/>
    <w:rsid w:val="74D42813"/>
    <w:rsid w:val="750D2EF3"/>
    <w:rsid w:val="751F654B"/>
    <w:rsid w:val="752C3897"/>
    <w:rsid w:val="752D5343"/>
    <w:rsid w:val="75322959"/>
    <w:rsid w:val="753C5586"/>
    <w:rsid w:val="754E3DC6"/>
    <w:rsid w:val="75686BCC"/>
    <w:rsid w:val="75693EA1"/>
    <w:rsid w:val="75752846"/>
    <w:rsid w:val="75842A89"/>
    <w:rsid w:val="75932CCC"/>
    <w:rsid w:val="75955852"/>
    <w:rsid w:val="75A754F8"/>
    <w:rsid w:val="75AF45AE"/>
    <w:rsid w:val="75B275F6"/>
    <w:rsid w:val="75D237F5"/>
    <w:rsid w:val="75DE03EB"/>
    <w:rsid w:val="760D7FB3"/>
    <w:rsid w:val="762169E0"/>
    <w:rsid w:val="76391AC6"/>
    <w:rsid w:val="764346F2"/>
    <w:rsid w:val="7645046A"/>
    <w:rsid w:val="764C557E"/>
    <w:rsid w:val="765C57B4"/>
    <w:rsid w:val="767174B1"/>
    <w:rsid w:val="76780840"/>
    <w:rsid w:val="76783F68"/>
    <w:rsid w:val="76793892"/>
    <w:rsid w:val="7687068A"/>
    <w:rsid w:val="76941B1A"/>
    <w:rsid w:val="76AD7DBE"/>
    <w:rsid w:val="76BC6337"/>
    <w:rsid w:val="76DE441B"/>
    <w:rsid w:val="76E45ED5"/>
    <w:rsid w:val="770D1EB1"/>
    <w:rsid w:val="77147E3D"/>
    <w:rsid w:val="771A3ADA"/>
    <w:rsid w:val="7725204A"/>
    <w:rsid w:val="7730111A"/>
    <w:rsid w:val="77391FC6"/>
    <w:rsid w:val="773D3837"/>
    <w:rsid w:val="7746449A"/>
    <w:rsid w:val="77551879"/>
    <w:rsid w:val="776963DA"/>
    <w:rsid w:val="776D0DB5"/>
    <w:rsid w:val="77787DC7"/>
    <w:rsid w:val="779C40BA"/>
    <w:rsid w:val="779F1CDF"/>
    <w:rsid w:val="77AB69F3"/>
    <w:rsid w:val="77B07A95"/>
    <w:rsid w:val="77C6382D"/>
    <w:rsid w:val="77DF669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1B8A"/>
    <w:rsid w:val="793A6280"/>
    <w:rsid w:val="794C5FB4"/>
    <w:rsid w:val="79716072"/>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18614D"/>
    <w:rsid w:val="7B220D7A"/>
    <w:rsid w:val="7B2F3497"/>
    <w:rsid w:val="7B2F5245"/>
    <w:rsid w:val="7B430CF1"/>
    <w:rsid w:val="7B5237E2"/>
    <w:rsid w:val="7B786BEC"/>
    <w:rsid w:val="7B940C71"/>
    <w:rsid w:val="7BA7127F"/>
    <w:rsid w:val="7BBA7D61"/>
    <w:rsid w:val="7BC24845"/>
    <w:rsid w:val="7C374C0D"/>
    <w:rsid w:val="7C430CD5"/>
    <w:rsid w:val="7C4371FA"/>
    <w:rsid w:val="7C4E393E"/>
    <w:rsid w:val="7C796B83"/>
    <w:rsid w:val="7C7C270C"/>
    <w:rsid w:val="7C913580"/>
    <w:rsid w:val="7CA659DB"/>
    <w:rsid w:val="7CCB222D"/>
    <w:rsid w:val="7CD24A22"/>
    <w:rsid w:val="7CD930BA"/>
    <w:rsid w:val="7CFE0C47"/>
    <w:rsid w:val="7D006E99"/>
    <w:rsid w:val="7D0C4840"/>
    <w:rsid w:val="7D2C6D56"/>
    <w:rsid w:val="7D4F5B8A"/>
    <w:rsid w:val="7D517499"/>
    <w:rsid w:val="7D6F401F"/>
    <w:rsid w:val="7D752025"/>
    <w:rsid w:val="7D9D0B8C"/>
    <w:rsid w:val="7D9F1E09"/>
    <w:rsid w:val="7DA168CE"/>
    <w:rsid w:val="7DA56368"/>
    <w:rsid w:val="7DBB54B6"/>
    <w:rsid w:val="7DDD542C"/>
    <w:rsid w:val="7E0368D8"/>
    <w:rsid w:val="7E335125"/>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paragraph" w:styleId="3">
    <w:name w:val="Body Text Indent"/>
    <w:basedOn w:val="1"/>
    <w:qFormat/>
    <w:uiPriority w:val="99"/>
    <w:pPr>
      <w:ind w:firstLine="525"/>
      <w:jc w:val="left"/>
    </w:pPr>
    <w:rPr>
      <w:rFonts w:ascii="宋体" w:hAnsi="Times New Roman" w:cs="Times New Roman"/>
      <w:sz w:val="28"/>
      <w:szCs w:val="20"/>
    </w:rPr>
  </w:style>
  <w:style w:type="paragraph" w:styleId="4">
    <w:name w:val="annotation text"/>
    <w:basedOn w:val="1"/>
    <w:qFormat/>
    <w:uiPriority w:val="0"/>
    <w:pPr>
      <w:jc w:val="left"/>
    </w:pPr>
  </w:style>
  <w:style w:type="paragraph" w:styleId="5">
    <w:name w:val="Body Text"/>
    <w:basedOn w:val="1"/>
    <w:qFormat/>
    <w:uiPriority w:val="1"/>
    <w:rPr>
      <w:rFonts w:ascii="仿宋" w:hAnsi="仿宋" w:eastAsia="仿宋" w:cs="仿宋"/>
      <w:sz w:val="30"/>
      <w:szCs w:val="30"/>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2"/>
    <w:basedOn w:val="11"/>
    <w:qFormat/>
    <w:uiPriority w:val="0"/>
    <w:rPr>
      <w:rFonts w:hint="eastAsia" w:ascii="宋体" w:hAnsi="宋体" w:eastAsia="宋体" w:cs="宋体"/>
      <w:color w:val="000000"/>
      <w:sz w:val="22"/>
      <w:szCs w:val="22"/>
      <w:u w:val="none"/>
    </w:rPr>
  </w:style>
  <w:style w:type="character" w:customStyle="1" w:styleId="17">
    <w:name w:val="font151"/>
    <w:basedOn w:val="11"/>
    <w:qFormat/>
    <w:uiPriority w:val="0"/>
    <w:rPr>
      <w:rFonts w:hint="eastAsia" w:ascii="宋体" w:hAnsi="宋体" w:eastAsia="宋体" w:cs="宋体"/>
      <w:color w:val="000000"/>
      <w:sz w:val="22"/>
      <w:szCs w:val="22"/>
      <w:u w:val="single"/>
    </w:rPr>
  </w:style>
  <w:style w:type="character" w:customStyle="1" w:styleId="18">
    <w:name w:val="font121"/>
    <w:basedOn w:val="11"/>
    <w:qFormat/>
    <w:uiPriority w:val="0"/>
    <w:rPr>
      <w:rFonts w:hint="eastAsia" w:ascii="宋体" w:hAnsi="宋体" w:eastAsia="宋体" w:cs="宋体"/>
      <w:color w:val="FF0000"/>
      <w:sz w:val="22"/>
      <w:szCs w:val="22"/>
      <w:u w:val="none"/>
    </w:rPr>
  </w:style>
  <w:style w:type="character" w:customStyle="1" w:styleId="19">
    <w:name w:val="font161"/>
    <w:basedOn w:val="11"/>
    <w:qFormat/>
    <w:uiPriority w:val="0"/>
    <w:rPr>
      <w:rFonts w:hint="eastAsia" w:ascii="宋体" w:hAnsi="宋体" w:eastAsia="宋体" w:cs="宋体"/>
      <w:color w:val="FF0000"/>
      <w:sz w:val="22"/>
      <w:szCs w:val="22"/>
      <w:u w:val="single"/>
    </w:rPr>
  </w:style>
  <w:style w:type="character" w:customStyle="1" w:styleId="20">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13044</Words>
  <Characters>13533</Characters>
  <Lines>0</Lines>
  <Paragraphs>0</Paragraphs>
  <TotalTime>9</TotalTime>
  <ScaleCrop>false</ScaleCrop>
  <LinksUpToDate>false</LinksUpToDate>
  <CharactersWithSpaces>14513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2024-08-21T09:56:00Z</cp:lastPrinted>
  <dcterms:modified xsi:type="dcterms:W3CDTF">2024-09-04T13:24:45Z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4B1156FA055C46BA8BA974DD2D7C2CB2_13</vt:lpwstr>
  </property>
</Properties>
</file>