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0262A">
      <w:pPr>
        <w:ind w:left="0" w:leftChars="0" w:firstLine="420" w:firstLineChars="200"/>
        <w:rPr>
          <w:rFonts w:hint="eastAsia" w:ascii="仿宋" w:hAnsi="仿宋" w:eastAsia="仿宋" w:cs="仿宋"/>
          <w:highlight w:val="none"/>
          <w:lang w:val="en-US" w:eastAsia="zh-CN"/>
        </w:rPr>
      </w:pPr>
    </w:p>
    <w:p w14:paraId="3C59A530">
      <w:pPr>
        <w:ind w:left="0" w:leftChars="0"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drawing>
          <wp:anchor distT="0" distB="0" distL="114300" distR="114300" simplePos="0" relativeHeight="251660288" behindDoc="0" locked="0" layoutInCell="1" allowOverlap="1">
            <wp:simplePos x="0" y="0"/>
            <wp:positionH relativeFrom="column">
              <wp:posOffset>979170</wp:posOffset>
            </wp:positionH>
            <wp:positionV relativeFrom="paragraph">
              <wp:posOffset>-253365</wp:posOffset>
            </wp:positionV>
            <wp:extent cx="4288790" cy="535305"/>
            <wp:effectExtent l="0" t="0" r="16510" b="1714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535305"/>
                    </a:xfrm>
                    <a:prstGeom prst="rect">
                      <a:avLst/>
                    </a:prstGeom>
                    <a:noFill/>
                    <a:ln>
                      <a:noFill/>
                    </a:ln>
                  </pic:spPr>
                </pic:pic>
              </a:graphicData>
            </a:graphic>
          </wp:anchor>
        </w:drawing>
      </w:r>
      <w:r>
        <w:rPr>
          <w:rFonts w:hint="eastAsia" w:ascii="仿宋" w:hAnsi="仿宋" w:eastAsia="仿宋" w:cs="仿宋"/>
          <w:highlight w:val="none"/>
          <w:lang w:val="en-US" w:eastAsia="zh-CN"/>
        </w:rPr>
        <w:t xml:space="preserve"> </w:t>
      </w:r>
    </w:p>
    <w:p w14:paraId="7ADF9BBB">
      <w:pPr>
        <w:ind w:left="0" w:leftChars="0" w:firstLine="420" w:firstLineChars="200"/>
        <w:rPr>
          <w:rFonts w:hint="eastAsia" w:ascii="仿宋" w:hAnsi="仿宋" w:eastAsia="仿宋" w:cs="仿宋"/>
          <w:highlight w:val="none"/>
          <w:lang w:val="en-US" w:eastAsia="zh-CN"/>
        </w:rPr>
      </w:pPr>
    </w:p>
    <w:p w14:paraId="44989D75">
      <w:pPr>
        <w:ind w:left="0" w:leftChars="0" w:firstLine="420" w:firstLineChars="200"/>
        <w:rPr>
          <w:rFonts w:hint="eastAsia" w:ascii="仿宋" w:hAnsi="仿宋" w:eastAsia="仿宋" w:cs="仿宋"/>
          <w:highlight w:val="none"/>
          <w:lang w:val="en-US" w:eastAsia="zh-CN"/>
        </w:rPr>
      </w:pPr>
    </w:p>
    <w:p w14:paraId="10B3CAC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auto"/>
          <w:sz w:val="52"/>
          <w:szCs w:val="52"/>
          <w:highlight w:val="none"/>
          <w:u w:val="none"/>
          <w:lang w:val="en-US" w:eastAsia="zh-CN"/>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6BF54E6C">
      <w:pPr>
        <w:jc w:val="center"/>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A地块水电工程</w:t>
      </w:r>
    </w:p>
    <w:p w14:paraId="469C77BE">
      <w:pPr>
        <w:pStyle w:val="2"/>
        <w:rPr>
          <w:rFonts w:hint="eastAsia" w:ascii="仿宋" w:hAnsi="仿宋" w:eastAsia="仿宋" w:cs="仿宋"/>
          <w:b/>
          <w:color w:val="auto"/>
          <w:sz w:val="52"/>
          <w:szCs w:val="52"/>
          <w:highlight w:val="none"/>
          <w:lang w:val="en-US" w:eastAsia="zh-CN"/>
        </w:rPr>
      </w:pPr>
    </w:p>
    <w:p w14:paraId="251F31E5">
      <w:pPr>
        <w:pStyle w:val="2"/>
        <w:rPr>
          <w:rFonts w:hint="eastAsia" w:ascii="仿宋" w:hAnsi="仿宋" w:eastAsia="仿宋" w:cs="仿宋"/>
          <w:b/>
          <w:color w:val="auto"/>
          <w:sz w:val="52"/>
          <w:szCs w:val="52"/>
          <w:highlight w:val="none"/>
          <w:lang w:val="en-US" w:eastAsia="zh-CN"/>
        </w:rPr>
      </w:pPr>
    </w:p>
    <w:p w14:paraId="614909E5">
      <w:pPr>
        <w:jc w:val="center"/>
        <w:outlineLvl w:val="0"/>
        <w:rPr>
          <w:rFonts w:hint="eastAsia" w:ascii="仿宋" w:hAnsi="仿宋" w:eastAsia="仿宋" w:cs="仿宋"/>
          <w:b/>
          <w:bCs/>
          <w:sz w:val="52"/>
          <w:szCs w:val="52"/>
          <w:highlight w:val="none"/>
          <w:lang w:val="en-US" w:eastAsia="zh-CN"/>
        </w:rPr>
      </w:pPr>
      <w:bookmarkStart w:id="0" w:name="_Toc17283"/>
      <w:bookmarkStart w:id="1" w:name="_Toc3924"/>
      <w:r>
        <w:rPr>
          <w:rFonts w:hint="eastAsia" w:ascii="仿宋" w:hAnsi="仿宋" w:eastAsia="仿宋" w:cs="仿宋"/>
          <w:b/>
          <w:bCs/>
          <w:sz w:val="52"/>
          <w:szCs w:val="52"/>
          <w:highlight w:val="none"/>
          <w:lang w:val="en-US" w:eastAsia="zh-CN"/>
        </w:rPr>
        <w:t>施</w:t>
      </w:r>
      <w:bookmarkEnd w:id="0"/>
      <w:bookmarkEnd w:id="1"/>
    </w:p>
    <w:p w14:paraId="18D7EA23">
      <w:pPr>
        <w:jc w:val="center"/>
        <w:outlineLvl w:val="0"/>
        <w:rPr>
          <w:rFonts w:hint="eastAsia" w:ascii="仿宋" w:hAnsi="仿宋" w:eastAsia="仿宋" w:cs="仿宋"/>
          <w:b/>
          <w:bCs/>
          <w:sz w:val="52"/>
          <w:szCs w:val="52"/>
          <w:highlight w:val="none"/>
          <w:lang w:val="en-US" w:eastAsia="zh-CN"/>
        </w:rPr>
      </w:pPr>
      <w:bookmarkStart w:id="2" w:name="_Toc11136"/>
      <w:bookmarkStart w:id="3" w:name="_Toc2989"/>
      <w:r>
        <w:rPr>
          <w:rFonts w:hint="eastAsia" w:ascii="仿宋" w:hAnsi="仿宋" w:eastAsia="仿宋" w:cs="仿宋"/>
          <w:b/>
          <w:bCs/>
          <w:sz w:val="52"/>
          <w:szCs w:val="52"/>
          <w:highlight w:val="none"/>
          <w:lang w:val="en-US" w:eastAsia="zh-CN"/>
        </w:rPr>
        <w:t>工</w:t>
      </w:r>
      <w:bookmarkEnd w:id="2"/>
      <w:bookmarkEnd w:id="3"/>
    </w:p>
    <w:p w14:paraId="3DD1AEB2">
      <w:pPr>
        <w:jc w:val="center"/>
        <w:outlineLvl w:val="0"/>
        <w:rPr>
          <w:rFonts w:hint="eastAsia" w:ascii="仿宋" w:hAnsi="仿宋" w:eastAsia="仿宋" w:cs="仿宋"/>
          <w:b/>
          <w:bCs/>
          <w:sz w:val="52"/>
          <w:szCs w:val="52"/>
          <w:highlight w:val="none"/>
          <w:lang w:val="en-US" w:eastAsia="zh-CN"/>
        </w:rPr>
      </w:pPr>
      <w:bookmarkStart w:id="4" w:name="_Toc15388"/>
      <w:bookmarkStart w:id="5" w:name="_Toc30018"/>
      <w:r>
        <w:rPr>
          <w:rFonts w:hint="eastAsia" w:ascii="仿宋" w:hAnsi="仿宋" w:eastAsia="仿宋" w:cs="仿宋"/>
          <w:b/>
          <w:bCs/>
          <w:sz w:val="52"/>
          <w:szCs w:val="52"/>
          <w:highlight w:val="none"/>
          <w:lang w:val="en-US" w:eastAsia="zh-CN"/>
        </w:rPr>
        <w:t>合</w:t>
      </w:r>
      <w:bookmarkEnd w:id="4"/>
      <w:bookmarkEnd w:id="5"/>
    </w:p>
    <w:p w14:paraId="70E76CA5">
      <w:pPr>
        <w:jc w:val="center"/>
        <w:outlineLvl w:val="0"/>
        <w:rPr>
          <w:rFonts w:hint="eastAsia" w:ascii="仿宋" w:hAnsi="仿宋" w:eastAsia="仿宋" w:cs="仿宋"/>
          <w:b/>
          <w:bCs/>
          <w:sz w:val="52"/>
          <w:szCs w:val="52"/>
          <w:highlight w:val="none"/>
          <w:lang w:val="en-US" w:eastAsia="zh-CN"/>
        </w:rPr>
      </w:pPr>
      <w:bookmarkStart w:id="6" w:name="_Toc21145"/>
      <w:bookmarkStart w:id="7" w:name="_Toc28470"/>
      <w:r>
        <w:rPr>
          <w:rFonts w:hint="eastAsia" w:ascii="仿宋" w:hAnsi="仿宋" w:eastAsia="仿宋" w:cs="仿宋"/>
          <w:b/>
          <w:bCs/>
          <w:sz w:val="52"/>
          <w:szCs w:val="52"/>
          <w:highlight w:val="none"/>
          <w:lang w:val="en-US" w:eastAsia="zh-CN"/>
        </w:rPr>
        <w:t>同</w:t>
      </w:r>
      <w:bookmarkEnd w:id="6"/>
      <w:bookmarkEnd w:id="7"/>
    </w:p>
    <w:p w14:paraId="7F96B8C1">
      <w:pPr>
        <w:ind w:left="0" w:leftChars="0" w:firstLine="420" w:firstLineChars="200"/>
        <w:rPr>
          <w:rFonts w:hint="eastAsia" w:ascii="仿宋" w:hAnsi="仿宋" w:eastAsia="仿宋" w:cs="仿宋"/>
          <w:highlight w:val="none"/>
          <w:lang w:val="en-US" w:eastAsia="zh-CN"/>
        </w:rPr>
      </w:pPr>
    </w:p>
    <w:p w14:paraId="65B22522">
      <w:pPr>
        <w:ind w:left="0" w:leftChars="0" w:firstLine="420" w:firstLineChars="200"/>
        <w:rPr>
          <w:rFonts w:hint="eastAsia" w:ascii="仿宋" w:hAnsi="仿宋" w:eastAsia="仿宋" w:cs="仿宋"/>
          <w:highlight w:val="none"/>
          <w:lang w:val="en-US" w:eastAsia="zh-CN"/>
        </w:rPr>
      </w:pPr>
    </w:p>
    <w:p w14:paraId="4E521623">
      <w:pPr>
        <w:ind w:left="0" w:leftChars="0" w:firstLine="420" w:firstLineChars="200"/>
        <w:rPr>
          <w:rFonts w:hint="eastAsia" w:ascii="仿宋" w:hAnsi="仿宋" w:eastAsia="仿宋" w:cs="仿宋"/>
          <w:highlight w:val="none"/>
          <w:lang w:val="en-US" w:eastAsia="zh-CN"/>
        </w:rPr>
      </w:pPr>
    </w:p>
    <w:p w14:paraId="0C4A5D9F">
      <w:pPr>
        <w:ind w:left="0" w:leftChars="0" w:firstLine="560" w:firstLineChars="200"/>
        <w:rPr>
          <w:rFonts w:hint="eastAsia" w:ascii="仿宋" w:hAnsi="仿宋" w:eastAsia="仿宋" w:cs="仿宋"/>
          <w:sz w:val="28"/>
          <w:szCs w:val="28"/>
          <w:highlight w:val="none"/>
          <w:lang w:val="en-US" w:eastAsia="zh-CN"/>
        </w:rPr>
      </w:pPr>
    </w:p>
    <w:p w14:paraId="7332E3F1">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合同编号：</w:t>
      </w:r>
    </w:p>
    <w:p w14:paraId="375B192B">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甲方（发包方）：</w:t>
      </w:r>
      <w:r>
        <w:rPr>
          <w:rFonts w:hint="eastAsia" w:ascii="仿宋" w:hAnsi="仿宋" w:eastAsia="仿宋" w:cs="仿宋"/>
          <w:sz w:val="28"/>
          <w:szCs w:val="28"/>
          <w:highlight w:val="none"/>
          <w:u w:val="none"/>
          <w:lang w:val="en-US" w:eastAsia="zh-CN"/>
        </w:rPr>
        <w:t>东莞市中泰建安工程有限公司</w:t>
      </w:r>
    </w:p>
    <w:p w14:paraId="7CEBFA80">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乙方（承包方）：</w:t>
      </w:r>
    </w:p>
    <w:p w14:paraId="00F6D470">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签订日期：</w:t>
      </w:r>
      <w:r>
        <w:rPr>
          <w:rFonts w:hint="eastAsia" w:ascii="仿宋" w:hAnsi="仿宋" w:eastAsia="仿宋" w:cs="仿宋"/>
          <w:sz w:val="28"/>
          <w:szCs w:val="28"/>
          <w:highlight w:val="none"/>
          <w:u w:val="none"/>
          <w:lang w:val="en-US" w:eastAsia="zh-CN"/>
        </w:rPr>
        <w:t>202 年  月  日</w:t>
      </w:r>
    </w:p>
    <w:p w14:paraId="57565BA1">
      <w:pPr>
        <w:ind w:left="0" w:leftChars="0" w:firstLine="560" w:firstLineChars="200"/>
        <w:rPr>
          <w:rFonts w:hint="eastAsia" w:ascii="仿宋" w:hAnsi="仿宋" w:eastAsia="仿宋" w:cs="仿宋"/>
          <w:sz w:val="28"/>
          <w:szCs w:val="28"/>
          <w:highlight w:val="none"/>
          <w:lang w:val="en-US" w:eastAsia="zh-CN"/>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sz w:val="28"/>
          <w:szCs w:val="28"/>
          <w:highlight w:val="none"/>
          <w:lang w:val="en-US" w:eastAsia="zh-CN"/>
        </w:rPr>
        <w:t>签订地点：广东东莞。</w:t>
      </w:r>
    </w:p>
    <w:sdt>
      <w:sdtPr>
        <w:rPr>
          <w:rFonts w:ascii="宋体" w:hAnsi="宋体" w:eastAsia="宋体" w:cs="Times New Roman"/>
          <w:b/>
          <w:bCs/>
          <w:kern w:val="2"/>
          <w:sz w:val="24"/>
          <w:szCs w:val="28"/>
          <w:highlight w:val="none"/>
          <w:lang w:val="en-US" w:eastAsia="zh-CN" w:bidi="ar-SA"/>
        </w:rPr>
        <w:id w:val="147455376"/>
        <w15:color w:val="DBDBDB"/>
        <w:docPartObj>
          <w:docPartGallery w:val="Table of Contents"/>
          <w:docPartUnique/>
        </w:docPartObj>
      </w:sdtPr>
      <w:sdtEndPr>
        <w:rPr>
          <w:rFonts w:ascii="宋体" w:hAnsi="宋体" w:eastAsia="宋体" w:cs="Times New Roman"/>
          <w:b/>
          <w:bCs/>
          <w:kern w:val="2"/>
          <w:sz w:val="21"/>
          <w:szCs w:val="22"/>
          <w:highlight w:val="none"/>
          <w:lang w:val="en-US" w:eastAsia="zh-CN" w:bidi="ar-SA"/>
        </w:rPr>
      </w:sdtEndPr>
      <w:sdtContent>
        <w:p w14:paraId="35C8692E">
          <w:pPr>
            <w:spacing w:before="0" w:beforeLines="0" w:after="0" w:afterLines="0" w:line="240" w:lineRule="auto"/>
            <w:ind w:left="0" w:leftChars="0" w:right="0" w:rightChars="0" w:firstLine="0" w:firstLineChars="0"/>
            <w:jc w:val="center"/>
            <w:rPr>
              <w:b/>
              <w:bCs/>
              <w:sz w:val="32"/>
              <w:szCs w:val="36"/>
              <w:highlight w:val="none"/>
            </w:rPr>
          </w:pPr>
          <w:bookmarkStart w:id="8" w:name="_Toc2672"/>
          <w:r>
            <w:rPr>
              <w:rFonts w:ascii="宋体" w:hAnsi="宋体" w:eastAsia="宋体"/>
              <w:b/>
              <w:bCs/>
              <w:sz w:val="32"/>
              <w:szCs w:val="36"/>
              <w:highlight w:val="none"/>
            </w:rPr>
            <w:t>目录</w:t>
          </w:r>
        </w:p>
        <w:p w14:paraId="4E9319A1">
          <w:pPr>
            <w:pStyle w:val="24"/>
            <w:tabs>
              <w:tab w:val="right" w:leader="dot" w:pos="9460"/>
            </w:tabs>
            <w:rPr>
              <w:sz w:val="28"/>
              <w:szCs w:val="28"/>
              <w:highlight w:val="none"/>
            </w:rPr>
          </w:pPr>
          <w:r>
            <w:rPr>
              <w:sz w:val="18"/>
              <w:szCs w:val="18"/>
              <w:highlight w:val="none"/>
            </w:rPr>
            <w:fldChar w:fldCharType="begin"/>
          </w:r>
          <w:r>
            <w:rPr>
              <w:sz w:val="18"/>
              <w:szCs w:val="18"/>
              <w:highlight w:val="none"/>
            </w:rPr>
            <w:instrText xml:space="preserve">TOC \o "1-1" \h \u </w:instrText>
          </w:r>
          <w:r>
            <w:rPr>
              <w:sz w:val="18"/>
              <w:szCs w:val="18"/>
              <w:highlight w:val="none"/>
            </w:rPr>
            <w:fldChar w:fldCharType="separate"/>
          </w:r>
          <w:r>
            <w:rPr>
              <w:sz w:val="28"/>
              <w:szCs w:val="28"/>
              <w:highlight w:val="none"/>
            </w:rPr>
            <w:fldChar w:fldCharType="begin"/>
          </w:r>
          <w:r>
            <w:rPr>
              <w:sz w:val="28"/>
              <w:szCs w:val="28"/>
              <w:highlight w:val="none"/>
            </w:rPr>
            <w:instrText xml:space="preserve"> HYPERLINK \l _Toc20551 </w:instrText>
          </w:r>
          <w:r>
            <w:rPr>
              <w:sz w:val="28"/>
              <w:szCs w:val="28"/>
              <w:highlight w:val="none"/>
            </w:rPr>
            <w:fldChar w:fldCharType="separate"/>
          </w:r>
          <w:r>
            <w:rPr>
              <w:rFonts w:hint="eastAsia" w:ascii="仿宋" w:hAnsi="仿宋" w:eastAsia="仿宋" w:cs="仿宋"/>
              <w:bCs/>
              <w:i w:val="0"/>
              <w:iCs w:val="0"/>
              <w:sz w:val="28"/>
              <w:szCs w:val="44"/>
              <w:highlight w:val="none"/>
              <w:shd w:val="clear" w:color="auto" w:fill="auto"/>
              <w:lang w:val="en-US" w:eastAsia="zh-CN"/>
            </w:rPr>
            <w:t>第一章</w:t>
          </w:r>
          <w:r>
            <w:rPr>
              <w:rFonts w:hint="eastAsia" w:ascii="仿宋" w:hAnsi="仿宋" w:eastAsia="仿宋" w:cs="仿宋"/>
              <w:bCs/>
              <w:i w:val="0"/>
              <w:iCs w:val="0"/>
              <w:sz w:val="28"/>
              <w:szCs w:val="44"/>
              <w:highlight w:val="none"/>
              <w:shd w:val="clear" w:color="auto" w:fill="auto"/>
            </w:rPr>
            <w:t>、项目概况</w:t>
          </w:r>
          <w:r>
            <w:rPr>
              <w:sz w:val="28"/>
              <w:szCs w:val="28"/>
              <w:highlight w:val="none"/>
            </w:rPr>
            <w:tab/>
          </w:r>
          <w:r>
            <w:rPr>
              <w:sz w:val="28"/>
              <w:szCs w:val="28"/>
              <w:highlight w:val="none"/>
            </w:rPr>
            <w:fldChar w:fldCharType="begin"/>
          </w:r>
          <w:r>
            <w:rPr>
              <w:sz w:val="28"/>
              <w:szCs w:val="28"/>
              <w:highlight w:val="none"/>
            </w:rPr>
            <w:instrText xml:space="preserve"> PAGEREF _Toc20551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14:paraId="4F6FA2B6">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_Toc18483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第二章、</w:t>
          </w:r>
          <w:r>
            <w:rPr>
              <w:rFonts w:hint="eastAsia" w:ascii="仿宋" w:hAnsi="仿宋" w:eastAsia="仿宋" w:cs="仿宋"/>
              <w:bCs/>
              <w:i w:val="0"/>
              <w:iCs w:val="0"/>
              <w:sz w:val="28"/>
              <w:szCs w:val="44"/>
              <w:highlight w:val="none"/>
              <w:shd w:val="clear" w:color="auto" w:fill="auto"/>
              <w:lang w:val="en-US" w:eastAsia="zh-CN"/>
            </w:rPr>
            <w:t>承包方式</w:t>
          </w:r>
          <w:r>
            <w:rPr>
              <w:sz w:val="28"/>
              <w:szCs w:val="28"/>
              <w:highlight w:val="none"/>
            </w:rPr>
            <w:tab/>
          </w:r>
          <w:r>
            <w:rPr>
              <w:sz w:val="28"/>
              <w:szCs w:val="28"/>
              <w:highlight w:val="none"/>
            </w:rPr>
            <w:fldChar w:fldCharType="begin"/>
          </w:r>
          <w:r>
            <w:rPr>
              <w:sz w:val="28"/>
              <w:szCs w:val="28"/>
              <w:highlight w:val="none"/>
            </w:rPr>
            <w:instrText xml:space="preserve"> PAGEREF _Toc18483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14:paraId="0379D916">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_Toc24648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第三章、</w:t>
          </w:r>
          <w:r>
            <w:rPr>
              <w:rFonts w:hint="eastAsia" w:ascii="仿宋" w:hAnsi="仿宋" w:eastAsia="仿宋" w:cs="仿宋"/>
              <w:bCs/>
              <w:i w:val="0"/>
              <w:iCs w:val="0"/>
              <w:sz w:val="28"/>
              <w:szCs w:val="44"/>
              <w:highlight w:val="none"/>
              <w:shd w:val="clear" w:color="auto" w:fill="auto"/>
              <w:lang w:val="en-US" w:eastAsia="zh-CN"/>
            </w:rPr>
            <w:t>乙方承包范围及主要工程内容</w:t>
          </w:r>
          <w:r>
            <w:rPr>
              <w:sz w:val="28"/>
              <w:szCs w:val="28"/>
              <w:highlight w:val="none"/>
            </w:rPr>
            <w:tab/>
          </w:r>
          <w:r>
            <w:rPr>
              <w:sz w:val="28"/>
              <w:szCs w:val="28"/>
              <w:highlight w:val="none"/>
            </w:rPr>
            <w:fldChar w:fldCharType="begin"/>
          </w:r>
          <w:r>
            <w:rPr>
              <w:sz w:val="28"/>
              <w:szCs w:val="28"/>
              <w:highlight w:val="none"/>
            </w:rPr>
            <w:instrText xml:space="preserve"> PAGEREF _Toc24648 \h </w:instrText>
          </w:r>
          <w:r>
            <w:rPr>
              <w:sz w:val="28"/>
              <w:szCs w:val="28"/>
              <w:highlight w:val="none"/>
            </w:rPr>
            <w:fldChar w:fldCharType="separate"/>
          </w:r>
          <w:r>
            <w:rPr>
              <w:sz w:val="28"/>
              <w:szCs w:val="28"/>
              <w:highlight w:val="none"/>
            </w:rPr>
            <w:t>2</w:t>
          </w:r>
          <w:r>
            <w:rPr>
              <w:sz w:val="28"/>
              <w:szCs w:val="28"/>
              <w:highlight w:val="none"/>
            </w:rPr>
            <w:fldChar w:fldCharType="end"/>
          </w:r>
          <w:r>
            <w:rPr>
              <w:sz w:val="28"/>
              <w:szCs w:val="28"/>
              <w:highlight w:val="none"/>
            </w:rPr>
            <w:fldChar w:fldCharType="end"/>
          </w:r>
        </w:p>
        <w:p w14:paraId="43CD4E69">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_Toc6699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第四章、</w:t>
          </w:r>
          <w:r>
            <w:rPr>
              <w:rFonts w:hint="eastAsia" w:ascii="仿宋" w:hAnsi="仿宋" w:eastAsia="仿宋" w:cs="仿宋"/>
              <w:bCs/>
              <w:i w:val="0"/>
              <w:iCs w:val="0"/>
              <w:sz w:val="28"/>
              <w:szCs w:val="44"/>
              <w:highlight w:val="none"/>
              <w:shd w:val="clear" w:color="auto" w:fill="auto"/>
              <w:lang w:val="en-US" w:eastAsia="zh-CN"/>
            </w:rPr>
            <w:t>工期</w:t>
          </w:r>
          <w:r>
            <w:rPr>
              <w:sz w:val="28"/>
              <w:szCs w:val="28"/>
              <w:highlight w:val="none"/>
            </w:rPr>
            <w:tab/>
          </w:r>
          <w:r>
            <w:rPr>
              <w:sz w:val="28"/>
              <w:szCs w:val="28"/>
              <w:highlight w:val="none"/>
            </w:rPr>
            <w:fldChar w:fldCharType="begin"/>
          </w:r>
          <w:r>
            <w:rPr>
              <w:sz w:val="28"/>
              <w:szCs w:val="28"/>
              <w:highlight w:val="none"/>
            </w:rPr>
            <w:instrText xml:space="preserve"> PAGEREF _Toc6699 \h </w:instrText>
          </w:r>
          <w:r>
            <w:rPr>
              <w:sz w:val="28"/>
              <w:szCs w:val="28"/>
              <w:highlight w:val="none"/>
            </w:rPr>
            <w:fldChar w:fldCharType="separate"/>
          </w:r>
          <w:r>
            <w:rPr>
              <w:sz w:val="28"/>
              <w:szCs w:val="28"/>
              <w:highlight w:val="none"/>
            </w:rPr>
            <w:t>6</w:t>
          </w:r>
          <w:r>
            <w:rPr>
              <w:sz w:val="28"/>
              <w:szCs w:val="28"/>
              <w:highlight w:val="none"/>
            </w:rPr>
            <w:fldChar w:fldCharType="end"/>
          </w:r>
          <w:r>
            <w:rPr>
              <w:sz w:val="28"/>
              <w:szCs w:val="28"/>
              <w:highlight w:val="none"/>
            </w:rPr>
            <w:fldChar w:fldCharType="end"/>
          </w:r>
        </w:p>
        <w:p w14:paraId="6B9C9FEB">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_Toc20004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第五章、</w:t>
          </w:r>
          <w:r>
            <w:rPr>
              <w:rFonts w:hint="eastAsia" w:ascii="仿宋" w:hAnsi="仿宋" w:eastAsia="仿宋" w:cs="仿宋"/>
              <w:bCs/>
              <w:i w:val="0"/>
              <w:iCs w:val="0"/>
              <w:sz w:val="28"/>
              <w:szCs w:val="44"/>
              <w:highlight w:val="none"/>
              <w:shd w:val="clear" w:color="auto" w:fill="auto"/>
              <w:lang w:val="en-US" w:eastAsia="zh-CN"/>
            </w:rPr>
            <w:t>工程质量标准</w:t>
          </w:r>
          <w:r>
            <w:rPr>
              <w:sz w:val="28"/>
              <w:szCs w:val="28"/>
              <w:highlight w:val="none"/>
            </w:rPr>
            <w:tab/>
          </w:r>
          <w:r>
            <w:rPr>
              <w:sz w:val="28"/>
              <w:szCs w:val="28"/>
              <w:highlight w:val="none"/>
            </w:rPr>
            <w:fldChar w:fldCharType="begin"/>
          </w:r>
          <w:r>
            <w:rPr>
              <w:sz w:val="28"/>
              <w:szCs w:val="28"/>
              <w:highlight w:val="none"/>
            </w:rPr>
            <w:instrText xml:space="preserve"> PAGEREF _Toc20004 \h </w:instrText>
          </w:r>
          <w:r>
            <w:rPr>
              <w:sz w:val="28"/>
              <w:szCs w:val="28"/>
              <w:highlight w:val="none"/>
            </w:rPr>
            <w:fldChar w:fldCharType="separate"/>
          </w:r>
          <w:r>
            <w:rPr>
              <w:sz w:val="28"/>
              <w:szCs w:val="28"/>
              <w:highlight w:val="none"/>
            </w:rPr>
            <w:t>8</w:t>
          </w:r>
          <w:r>
            <w:rPr>
              <w:sz w:val="28"/>
              <w:szCs w:val="28"/>
              <w:highlight w:val="none"/>
            </w:rPr>
            <w:fldChar w:fldCharType="end"/>
          </w:r>
          <w:r>
            <w:rPr>
              <w:sz w:val="28"/>
              <w:szCs w:val="28"/>
              <w:highlight w:val="none"/>
            </w:rPr>
            <w:fldChar w:fldCharType="end"/>
          </w:r>
        </w:p>
        <w:p w14:paraId="42F685F5">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_Toc3116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第六章、</w:t>
          </w:r>
          <w:r>
            <w:rPr>
              <w:rFonts w:hint="eastAsia" w:ascii="仿宋" w:hAnsi="仿宋" w:eastAsia="仿宋" w:cs="仿宋"/>
              <w:bCs/>
              <w:i w:val="0"/>
              <w:iCs w:val="0"/>
              <w:sz w:val="28"/>
              <w:szCs w:val="44"/>
              <w:highlight w:val="none"/>
              <w:shd w:val="clear" w:color="auto" w:fill="auto"/>
              <w:lang w:val="en-US" w:eastAsia="zh-CN"/>
            </w:rPr>
            <w:t>合同价款</w:t>
          </w:r>
          <w:r>
            <w:rPr>
              <w:sz w:val="28"/>
              <w:szCs w:val="28"/>
              <w:highlight w:val="none"/>
            </w:rPr>
            <w:tab/>
          </w:r>
          <w:r>
            <w:rPr>
              <w:sz w:val="28"/>
              <w:szCs w:val="28"/>
              <w:highlight w:val="none"/>
            </w:rPr>
            <w:fldChar w:fldCharType="begin"/>
          </w:r>
          <w:r>
            <w:rPr>
              <w:sz w:val="28"/>
              <w:szCs w:val="28"/>
              <w:highlight w:val="none"/>
            </w:rPr>
            <w:instrText xml:space="preserve"> PAGEREF _Toc3116 \h </w:instrText>
          </w:r>
          <w:r>
            <w:rPr>
              <w:sz w:val="28"/>
              <w:szCs w:val="28"/>
              <w:highlight w:val="none"/>
            </w:rPr>
            <w:fldChar w:fldCharType="separate"/>
          </w:r>
          <w:r>
            <w:rPr>
              <w:sz w:val="28"/>
              <w:szCs w:val="28"/>
              <w:highlight w:val="none"/>
            </w:rPr>
            <w:t>10</w:t>
          </w:r>
          <w:r>
            <w:rPr>
              <w:sz w:val="28"/>
              <w:szCs w:val="28"/>
              <w:highlight w:val="none"/>
            </w:rPr>
            <w:fldChar w:fldCharType="end"/>
          </w:r>
          <w:r>
            <w:rPr>
              <w:sz w:val="28"/>
              <w:szCs w:val="28"/>
              <w:highlight w:val="none"/>
            </w:rPr>
            <w:fldChar w:fldCharType="end"/>
          </w:r>
        </w:p>
        <w:p w14:paraId="19F374C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_Toc8879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第七章、</w:t>
          </w:r>
          <w:r>
            <w:rPr>
              <w:rFonts w:hint="eastAsia" w:ascii="仿宋" w:hAnsi="仿宋" w:eastAsia="仿宋" w:cs="仿宋"/>
              <w:bCs/>
              <w:i w:val="0"/>
              <w:iCs w:val="0"/>
              <w:sz w:val="28"/>
              <w:szCs w:val="44"/>
              <w:highlight w:val="none"/>
              <w:shd w:val="clear" w:color="auto" w:fill="auto"/>
              <w:lang w:val="en-US" w:eastAsia="zh-CN"/>
            </w:rPr>
            <w:t>计量计价方式及结算方式</w:t>
          </w:r>
          <w:r>
            <w:rPr>
              <w:sz w:val="28"/>
              <w:szCs w:val="28"/>
              <w:highlight w:val="none"/>
            </w:rPr>
            <w:tab/>
          </w:r>
          <w:r>
            <w:rPr>
              <w:sz w:val="28"/>
              <w:szCs w:val="28"/>
              <w:highlight w:val="none"/>
            </w:rPr>
            <w:fldChar w:fldCharType="begin"/>
          </w:r>
          <w:r>
            <w:rPr>
              <w:sz w:val="28"/>
              <w:szCs w:val="28"/>
              <w:highlight w:val="none"/>
            </w:rPr>
            <w:instrText xml:space="preserve"> PAGEREF _Toc8879 \h </w:instrText>
          </w:r>
          <w:r>
            <w:rPr>
              <w:sz w:val="28"/>
              <w:szCs w:val="28"/>
              <w:highlight w:val="none"/>
            </w:rPr>
            <w:fldChar w:fldCharType="separate"/>
          </w:r>
          <w:r>
            <w:rPr>
              <w:sz w:val="28"/>
              <w:szCs w:val="28"/>
              <w:highlight w:val="none"/>
            </w:rPr>
            <w:t>11</w:t>
          </w:r>
          <w:r>
            <w:rPr>
              <w:sz w:val="28"/>
              <w:szCs w:val="28"/>
              <w:highlight w:val="none"/>
            </w:rPr>
            <w:fldChar w:fldCharType="end"/>
          </w:r>
          <w:r>
            <w:rPr>
              <w:sz w:val="28"/>
              <w:szCs w:val="28"/>
              <w:highlight w:val="none"/>
            </w:rPr>
            <w:fldChar w:fldCharType="end"/>
          </w:r>
        </w:p>
        <w:p w14:paraId="7FEBA082">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_Toc20321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第八章、</w:t>
          </w:r>
          <w:r>
            <w:rPr>
              <w:rFonts w:hint="eastAsia" w:ascii="仿宋" w:hAnsi="仿宋" w:eastAsia="仿宋" w:cs="仿宋"/>
              <w:bCs/>
              <w:i w:val="0"/>
              <w:iCs w:val="0"/>
              <w:sz w:val="28"/>
              <w:szCs w:val="44"/>
              <w:highlight w:val="none"/>
              <w:shd w:val="clear" w:color="auto" w:fill="auto"/>
              <w:lang w:val="en-US" w:eastAsia="zh-CN"/>
            </w:rPr>
            <w:t>付款方式</w:t>
          </w:r>
          <w:r>
            <w:rPr>
              <w:sz w:val="28"/>
              <w:szCs w:val="28"/>
              <w:highlight w:val="none"/>
            </w:rPr>
            <w:tab/>
          </w:r>
          <w:r>
            <w:rPr>
              <w:sz w:val="28"/>
              <w:szCs w:val="28"/>
              <w:highlight w:val="none"/>
            </w:rPr>
            <w:fldChar w:fldCharType="begin"/>
          </w:r>
          <w:r>
            <w:rPr>
              <w:sz w:val="28"/>
              <w:szCs w:val="28"/>
              <w:highlight w:val="none"/>
            </w:rPr>
            <w:instrText xml:space="preserve"> PAGEREF _Toc20321 \h </w:instrText>
          </w:r>
          <w:r>
            <w:rPr>
              <w:sz w:val="28"/>
              <w:szCs w:val="28"/>
              <w:highlight w:val="none"/>
            </w:rPr>
            <w:fldChar w:fldCharType="separate"/>
          </w:r>
          <w:r>
            <w:rPr>
              <w:sz w:val="28"/>
              <w:szCs w:val="28"/>
              <w:highlight w:val="none"/>
            </w:rPr>
            <w:t>17</w:t>
          </w:r>
          <w:r>
            <w:rPr>
              <w:sz w:val="28"/>
              <w:szCs w:val="28"/>
              <w:highlight w:val="none"/>
            </w:rPr>
            <w:fldChar w:fldCharType="end"/>
          </w:r>
          <w:r>
            <w:rPr>
              <w:sz w:val="28"/>
              <w:szCs w:val="28"/>
              <w:highlight w:val="none"/>
            </w:rPr>
            <w:fldChar w:fldCharType="end"/>
          </w:r>
        </w:p>
        <w:p w14:paraId="7737899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_Toc16870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第九章、双</w:t>
          </w:r>
          <w:r>
            <w:rPr>
              <w:rFonts w:hint="eastAsia" w:ascii="仿宋" w:hAnsi="仿宋" w:eastAsia="仿宋" w:cs="仿宋"/>
              <w:bCs/>
              <w:i w:val="0"/>
              <w:iCs w:val="0"/>
              <w:sz w:val="28"/>
              <w:szCs w:val="44"/>
              <w:highlight w:val="none"/>
              <w:shd w:val="clear" w:color="auto" w:fill="auto"/>
              <w:lang w:val="en-US" w:eastAsia="zh-CN"/>
            </w:rPr>
            <w:t>方责任和权利</w:t>
          </w:r>
          <w:r>
            <w:rPr>
              <w:sz w:val="28"/>
              <w:szCs w:val="28"/>
              <w:highlight w:val="none"/>
            </w:rPr>
            <w:tab/>
          </w:r>
          <w:r>
            <w:rPr>
              <w:sz w:val="28"/>
              <w:szCs w:val="28"/>
              <w:highlight w:val="none"/>
            </w:rPr>
            <w:fldChar w:fldCharType="begin"/>
          </w:r>
          <w:r>
            <w:rPr>
              <w:sz w:val="28"/>
              <w:szCs w:val="28"/>
              <w:highlight w:val="none"/>
            </w:rPr>
            <w:instrText xml:space="preserve"> PAGEREF _Toc16870 \h </w:instrText>
          </w:r>
          <w:r>
            <w:rPr>
              <w:sz w:val="28"/>
              <w:szCs w:val="28"/>
              <w:highlight w:val="none"/>
            </w:rPr>
            <w:fldChar w:fldCharType="separate"/>
          </w:r>
          <w:r>
            <w:rPr>
              <w:sz w:val="28"/>
              <w:szCs w:val="28"/>
              <w:highlight w:val="none"/>
            </w:rPr>
            <w:t>21</w:t>
          </w:r>
          <w:r>
            <w:rPr>
              <w:sz w:val="28"/>
              <w:szCs w:val="28"/>
              <w:highlight w:val="none"/>
            </w:rPr>
            <w:fldChar w:fldCharType="end"/>
          </w:r>
          <w:r>
            <w:rPr>
              <w:sz w:val="28"/>
              <w:szCs w:val="28"/>
              <w:highlight w:val="none"/>
            </w:rPr>
            <w:fldChar w:fldCharType="end"/>
          </w:r>
        </w:p>
        <w:p w14:paraId="59BFD16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_Toc17512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第十章、</w:t>
          </w:r>
          <w:r>
            <w:rPr>
              <w:rFonts w:hint="eastAsia" w:ascii="仿宋" w:hAnsi="仿宋" w:eastAsia="仿宋" w:cs="仿宋"/>
              <w:bCs/>
              <w:i w:val="0"/>
              <w:iCs w:val="0"/>
              <w:sz w:val="28"/>
              <w:szCs w:val="44"/>
              <w:highlight w:val="none"/>
              <w:shd w:val="clear" w:color="auto" w:fill="auto"/>
              <w:lang w:val="en-US" w:eastAsia="zh-CN"/>
            </w:rPr>
            <w:t>安全生产、文明施工要求</w:t>
          </w:r>
          <w:r>
            <w:rPr>
              <w:sz w:val="28"/>
              <w:szCs w:val="28"/>
              <w:highlight w:val="none"/>
            </w:rPr>
            <w:tab/>
          </w:r>
          <w:r>
            <w:rPr>
              <w:sz w:val="28"/>
              <w:szCs w:val="28"/>
              <w:highlight w:val="none"/>
            </w:rPr>
            <w:fldChar w:fldCharType="begin"/>
          </w:r>
          <w:r>
            <w:rPr>
              <w:sz w:val="28"/>
              <w:szCs w:val="28"/>
              <w:highlight w:val="none"/>
            </w:rPr>
            <w:instrText xml:space="preserve"> PAGEREF _Toc17512 \h </w:instrText>
          </w:r>
          <w:r>
            <w:rPr>
              <w:sz w:val="28"/>
              <w:szCs w:val="28"/>
              <w:highlight w:val="none"/>
            </w:rPr>
            <w:fldChar w:fldCharType="separate"/>
          </w:r>
          <w:r>
            <w:rPr>
              <w:sz w:val="28"/>
              <w:szCs w:val="28"/>
              <w:highlight w:val="none"/>
            </w:rPr>
            <w:t>27</w:t>
          </w:r>
          <w:r>
            <w:rPr>
              <w:sz w:val="28"/>
              <w:szCs w:val="28"/>
              <w:highlight w:val="none"/>
            </w:rPr>
            <w:fldChar w:fldCharType="end"/>
          </w:r>
          <w:r>
            <w:rPr>
              <w:sz w:val="28"/>
              <w:szCs w:val="28"/>
              <w:highlight w:val="none"/>
            </w:rPr>
            <w:fldChar w:fldCharType="end"/>
          </w:r>
        </w:p>
        <w:p w14:paraId="389566A3">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_Toc27679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第十一章、</w:t>
          </w:r>
          <w:r>
            <w:rPr>
              <w:rFonts w:hint="eastAsia" w:ascii="仿宋" w:hAnsi="仿宋" w:eastAsia="仿宋" w:cs="仿宋"/>
              <w:bCs/>
              <w:i w:val="0"/>
              <w:iCs w:val="0"/>
              <w:sz w:val="28"/>
              <w:szCs w:val="44"/>
              <w:highlight w:val="none"/>
              <w:shd w:val="clear" w:color="auto" w:fill="auto"/>
              <w:lang w:val="en-US" w:eastAsia="zh-CN"/>
            </w:rPr>
            <w:t>甲供材料设备</w:t>
          </w:r>
          <w:r>
            <w:rPr>
              <w:sz w:val="28"/>
              <w:szCs w:val="28"/>
              <w:highlight w:val="none"/>
            </w:rPr>
            <w:tab/>
          </w:r>
          <w:r>
            <w:rPr>
              <w:sz w:val="28"/>
              <w:szCs w:val="28"/>
              <w:highlight w:val="none"/>
            </w:rPr>
            <w:fldChar w:fldCharType="begin"/>
          </w:r>
          <w:r>
            <w:rPr>
              <w:sz w:val="28"/>
              <w:szCs w:val="28"/>
              <w:highlight w:val="none"/>
            </w:rPr>
            <w:instrText xml:space="preserve"> PAGEREF _Toc27679 \h </w:instrText>
          </w:r>
          <w:r>
            <w:rPr>
              <w:sz w:val="28"/>
              <w:szCs w:val="28"/>
              <w:highlight w:val="none"/>
            </w:rPr>
            <w:fldChar w:fldCharType="separate"/>
          </w:r>
          <w:r>
            <w:rPr>
              <w:sz w:val="28"/>
              <w:szCs w:val="28"/>
              <w:highlight w:val="none"/>
            </w:rPr>
            <w:t>28</w:t>
          </w:r>
          <w:r>
            <w:rPr>
              <w:sz w:val="28"/>
              <w:szCs w:val="28"/>
              <w:highlight w:val="none"/>
            </w:rPr>
            <w:fldChar w:fldCharType="end"/>
          </w:r>
          <w:r>
            <w:rPr>
              <w:sz w:val="28"/>
              <w:szCs w:val="28"/>
              <w:highlight w:val="none"/>
            </w:rPr>
            <w:fldChar w:fldCharType="end"/>
          </w:r>
        </w:p>
        <w:p w14:paraId="5076E5A4">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_Toc8588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第十二章、</w:t>
          </w:r>
          <w:r>
            <w:rPr>
              <w:rFonts w:hint="eastAsia" w:ascii="仿宋" w:hAnsi="仿宋" w:eastAsia="仿宋" w:cs="仿宋"/>
              <w:bCs/>
              <w:i w:val="0"/>
              <w:iCs w:val="0"/>
              <w:sz w:val="28"/>
              <w:szCs w:val="44"/>
              <w:highlight w:val="none"/>
              <w:shd w:val="clear" w:color="auto" w:fill="auto"/>
              <w:lang w:val="en-US" w:eastAsia="zh-CN"/>
            </w:rPr>
            <w:t>验收及保修</w:t>
          </w:r>
          <w:r>
            <w:rPr>
              <w:sz w:val="28"/>
              <w:szCs w:val="28"/>
              <w:highlight w:val="none"/>
            </w:rPr>
            <w:tab/>
          </w:r>
          <w:r>
            <w:rPr>
              <w:sz w:val="28"/>
              <w:szCs w:val="28"/>
              <w:highlight w:val="none"/>
            </w:rPr>
            <w:fldChar w:fldCharType="begin"/>
          </w:r>
          <w:r>
            <w:rPr>
              <w:sz w:val="28"/>
              <w:szCs w:val="28"/>
              <w:highlight w:val="none"/>
            </w:rPr>
            <w:instrText xml:space="preserve"> PAGEREF _Toc8588 \h </w:instrText>
          </w:r>
          <w:r>
            <w:rPr>
              <w:sz w:val="28"/>
              <w:szCs w:val="28"/>
              <w:highlight w:val="none"/>
            </w:rPr>
            <w:fldChar w:fldCharType="separate"/>
          </w:r>
          <w:r>
            <w:rPr>
              <w:sz w:val="28"/>
              <w:szCs w:val="28"/>
              <w:highlight w:val="none"/>
            </w:rPr>
            <w:t>30</w:t>
          </w:r>
          <w:r>
            <w:rPr>
              <w:sz w:val="28"/>
              <w:szCs w:val="28"/>
              <w:highlight w:val="none"/>
            </w:rPr>
            <w:fldChar w:fldCharType="end"/>
          </w:r>
          <w:r>
            <w:rPr>
              <w:sz w:val="28"/>
              <w:szCs w:val="28"/>
              <w:highlight w:val="none"/>
            </w:rPr>
            <w:fldChar w:fldCharType="end"/>
          </w:r>
        </w:p>
        <w:p w14:paraId="7862DA7D">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_Toc7612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第十三章、</w:t>
          </w:r>
          <w:r>
            <w:rPr>
              <w:rFonts w:hint="eastAsia" w:ascii="仿宋" w:hAnsi="仿宋" w:eastAsia="仿宋" w:cs="仿宋"/>
              <w:bCs/>
              <w:i w:val="0"/>
              <w:iCs w:val="0"/>
              <w:sz w:val="28"/>
              <w:szCs w:val="44"/>
              <w:highlight w:val="none"/>
              <w:shd w:val="clear" w:color="auto" w:fill="auto"/>
              <w:lang w:val="en-US" w:eastAsia="zh-CN"/>
            </w:rPr>
            <w:t>保险</w:t>
          </w:r>
          <w:r>
            <w:rPr>
              <w:sz w:val="28"/>
              <w:szCs w:val="28"/>
              <w:highlight w:val="none"/>
            </w:rPr>
            <w:tab/>
          </w:r>
          <w:r>
            <w:rPr>
              <w:sz w:val="28"/>
              <w:szCs w:val="28"/>
              <w:highlight w:val="none"/>
            </w:rPr>
            <w:fldChar w:fldCharType="begin"/>
          </w:r>
          <w:r>
            <w:rPr>
              <w:sz w:val="28"/>
              <w:szCs w:val="28"/>
              <w:highlight w:val="none"/>
            </w:rPr>
            <w:instrText xml:space="preserve"> PAGEREF _Toc7612 \h </w:instrText>
          </w:r>
          <w:r>
            <w:rPr>
              <w:sz w:val="28"/>
              <w:szCs w:val="28"/>
              <w:highlight w:val="none"/>
            </w:rPr>
            <w:fldChar w:fldCharType="separate"/>
          </w:r>
          <w:r>
            <w:rPr>
              <w:sz w:val="28"/>
              <w:szCs w:val="28"/>
              <w:highlight w:val="none"/>
            </w:rPr>
            <w:t>31</w:t>
          </w:r>
          <w:r>
            <w:rPr>
              <w:sz w:val="28"/>
              <w:szCs w:val="28"/>
              <w:highlight w:val="none"/>
            </w:rPr>
            <w:fldChar w:fldCharType="end"/>
          </w:r>
          <w:r>
            <w:rPr>
              <w:sz w:val="28"/>
              <w:szCs w:val="28"/>
              <w:highlight w:val="none"/>
            </w:rPr>
            <w:fldChar w:fldCharType="end"/>
          </w:r>
        </w:p>
        <w:p w14:paraId="14381B35">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_Toc23959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第十四章、</w:t>
          </w:r>
          <w:r>
            <w:rPr>
              <w:rFonts w:hint="eastAsia" w:ascii="仿宋" w:hAnsi="仿宋" w:eastAsia="仿宋" w:cs="仿宋"/>
              <w:bCs/>
              <w:i w:val="0"/>
              <w:iCs w:val="0"/>
              <w:sz w:val="28"/>
              <w:szCs w:val="44"/>
              <w:highlight w:val="none"/>
              <w:shd w:val="clear" w:color="auto" w:fill="auto"/>
              <w:lang w:val="en-US" w:eastAsia="zh-CN"/>
            </w:rPr>
            <w:t>奖罚条款</w:t>
          </w:r>
          <w:r>
            <w:rPr>
              <w:sz w:val="28"/>
              <w:szCs w:val="28"/>
              <w:highlight w:val="none"/>
            </w:rPr>
            <w:tab/>
          </w:r>
          <w:r>
            <w:rPr>
              <w:sz w:val="28"/>
              <w:szCs w:val="28"/>
              <w:highlight w:val="none"/>
            </w:rPr>
            <w:fldChar w:fldCharType="begin"/>
          </w:r>
          <w:r>
            <w:rPr>
              <w:sz w:val="28"/>
              <w:szCs w:val="28"/>
              <w:highlight w:val="none"/>
            </w:rPr>
            <w:instrText xml:space="preserve"> PAGEREF _Toc23959 \h </w:instrText>
          </w:r>
          <w:r>
            <w:rPr>
              <w:sz w:val="28"/>
              <w:szCs w:val="28"/>
              <w:highlight w:val="none"/>
            </w:rPr>
            <w:fldChar w:fldCharType="separate"/>
          </w:r>
          <w:r>
            <w:rPr>
              <w:sz w:val="28"/>
              <w:szCs w:val="28"/>
              <w:highlight w:val="none"/>
            </w:rPr>
            <w:t>32</w:t>
          </w:r>
          <w:r>
            <w:rPr>
              <w:sz w:val="28"/>
              <w:szCs w:val="28"/>
              <w:highlight w:val="none"/>
            </w:rPr>
            <w:fldChar w:fldCharType="end"/>
          </w:r>
          <w:r>
            <w:rPr>
              <w:sz w:val="28"/>
              <w:szCs w:val="28"/>
              <w:highlight w:val="none"/>
            </w:rPr>
            <w:fldChar w:fldCharType="end"/>
          </w:r>
        </w:p>
        <w:p w14:paraId="6F7A6F52">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_Toc28531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第十五章、</w:t>
          </w:r>
          <w:r>
            <w:rPr>
              <w:rFonts w:hint="eastAsia" w:ascii="仿宋" w:hAnsi="仿宋" w:eastAsia="仿宋" w:cs="仿宋"/>
              <w:bCs/>
              <w:i w:val="0"/>
              <w:iCs w:val="0"/>
              <w:sz w:val="28"/>
              <w:szCs w:val="44"/>
              <w:highlight w:val="none"/>
              <w:shd w:val="clear" w:color="auto" w:fill="auto"/>
              <w:lang w:val="en-US" w:eastAsia="zh-CN"/>
            </w:rPr>
            <w:t>违约条款</w:t>
          </w:r>
          <w:r>
            <w:rPr>
              <w:sz w:val="28"/>
              <w:szCs w:val="28"/>
              <w:highlight w:val="none"/>
            </w:rPr>
            <w:tab/>
          </w:r>
          <w:r>
            <w:rPr>
              <w:sz w:val="28"/>
              <w:szCs w:val="28"/>
              <w:highlight w:val="none"/>
            </w:rPr>
            <w:fldChar w:fldCharType="begin"/>
          </w:r>
          <w:r>
            <w:rPr>
              <w:sz w:val="28"/>
              <w:szCs w:val="28"/>
              <w:highlight w:val="none"/>
            </w:rPr>
            <w:instrText xml:space="preserve"> PAGEREF _Toc28531 \h </w:instrText>
          </w:r>
          <w:r>
            <w:rPr>
              <w:sz w:val="28"/>
              <w:szCs w:val="28"/>
              <w:highlight w:val="none"/>
            </w:rPr>
            <w:fldChar w:fldCharType="separate"/>
          </w:r>
          <w:r>
            <w:rPr>
              <w:sz w:val="28"/>
              <w:szCs w:val="28"/>
              <w:highlight w:val="none"/>
            </w:rPr>
            <w:t>34</w:t>
          </w:r>
          <w:r>
            <w:rPr>
              <w:sz w:val="28"/>
              <w:szCs w:val="28"/>
              <w:highlight w:val="none"/>
            </w:rPr>
            <w:fldChar w:fldCharType="end"/>
          </w:r>
          <w:r>
            <w:rPr>
              <w:sz w:val="28"/>
              <w:szCs w:val="28"/>
              <w:highlight w:val="none"/>
            </w:rPr>
            <w:fldChar w:fldCharType="end"/>
          </w:r>
        </w:p>
        <w:p w14:paraId="1FCEFC2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_Toc14729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第十六章、</w:t>
          </w:r>
          <w:r>
            <w:rPr>
              <w:rFonts w:hint="eastAsia" w:ascii="仿宋" w:hAnsi="仿宋" w:eastAsia="仿宋" w:cs="仿宋"/>
              <w:bCs/>
              <w:i w:val="0"/>
              <w:iCs w:val="0"/>
              <w:sz w:val="28"/>
              <w:szCs w:val="44"/>
              <w:highlight w:val="none"/>
              <w:shd w:val="clear" w:color="auto" w:fill="auto"/>
              <w:lang w:val="en-US" w:eastAsia="zh-CN"/>
            </w:rPr>
            <w:t>廉洁条款</w:t>
          </w:r>
          <w:r>
            <w:rPr>
              <w:sz w:val="28"/>
              <w:szCs w:val="28"/>
              <w:highlight w:val="none"/>
            </w:rPr>
            <w:tab/>
          </w:r>
          <w:r>
            <w:rPr>
              <w:sz w:val="28"/>
              <w:szCs w:val="28"/>
              <w:highlight w:val="none"/>
            </w:rPr>
            <w:fldChar w:fldCharType="begin"/>
          </w:r>
          <w:r>
            <w:rPr>
              <w:sz w:val="28"/>
              <w:szCs w:val="28"/>
              <w:highlight w:val="none"/>
            </w:rPr>
            <w:instrText xml:space="preserve"> PAGEREF _Toc14729 \h </w:instrText>
          </w:r>
          <w:r>
            <w:rPr>
              <w:sz w:val="28"/>
              <w:szCs w:val="28"/>
              <w:highlight w:val="none"/>
            </w:rPr>
            <w:fldChar w:fldCharType="separate"/>
          </w:r>
          <w:r>
            <w:rPr>
              <w:sz w:val="28"/>
              <w:szCs w:val="28"/>
              <w:highlight w:val="none"/>
            </w:rPr>
            <w:t>37</w:t>
          </w:r>
          <w:r>
            <w:rPr>
              <w:sz w:val="28"/>
              <w:szCs w:val="28"/>
              <w:highlight w:val="none"/>
            </w:rPr>
            <w:fldChar w:fldCharType="end"/>
          </w:r>
          <w:r>
            <w:rPr>
              <w:sz w:val="28"/>
              <w:szCs w:val="28"/>
              <w:highlight w:val="none"/>
            </w:rPr>
            <w:fldChar w:fldCharType="end"/>
          </w:r>
        </w:p>
        <w:p w14:paraId="6944FAE4">
          <w:pPr>
            <w:pStyle w:val="24"/>
            <w:tabs>
              <w:tab w:val="right" w:leader="dot" w:pos="9460"/>
            </w:tabs>
            <w:rPr>
              <w:sz w:val="18"/>
              <w:szCs w:val="18"/>
              <w:highlight w:val="none"/>
            </w:rPr>
          </w:pPr>
          <w:r>
            <w:rPr>
              <w:sz w:val="28"/>
              <w:szCs w:val="28"/>
              <w:highlight w:val="none"/>
            </w:rPr>
            <w:fldChar w:fldCharType="begin"/>
          </w:r>
          <w:r>
            <w:rPr>
              <w:sz w:val="28"/>
              <w:szCs w:val="28"/>
              <w:highlight w:val="none"/>
            </w:rPr>
            <w:instrText xml:space="preserve"> HYPERLINK \l _Toc16501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第十七章、</w:t>
          </w:r>
          <w:r>
            <w:rPr>
              <w:rFonts w:hint="eastAsia" w:ascii="仿宋" w:hAnsi="仿宋" w:eastAsia="仿宋" w:cs="仿宋"/>
              <w:bCs/>
              <w:i w:val="0"/>
              <w:iCs w:val="0"/>
              <w:sz w:val="28"/>
              <w:szCs w:val="44"/>
              <w:highlight w:val="none"/>
              <w:shd w:val="clear" w:color="auto" w:fill="auto"/>
              <w:lang w:val="en-US" w:eastAsia="zh-CN"/>
            </w:rPr>
            <w:t>其他</w:t>
          </w:r>
          <w:r>
            <w:rPr>
              <w:sz w:val="28"/>
              <w:szCs w:val="28"/>
              <w:highlight w:val="none"/>
            </w:rPr>
            <w:tab/>
          </w:r>
          <w:r>
            <w:rPr>
              <w:sz w:val="28"/>
              <w:szCs w:val="28"/>
              <w:highlight w:val="none"/>
            </w:rPr>
            <w:fldChar w:fldCharType="begin"/>
          </w:r>
          <w:r>
            <w:rPr>
              <w:sz w:val="28"/>
              <w:szCs w:val="28"/>
              <w:highlight w:val="none"/>
            </w:rPr>
            <w:instrText xml:space="preserve"> PAGEREF _Toc16501 \h </w:instrText>
          </w:r>
          <w:r>
            <w:rPr>
              <w:sz w:val="28"/>
              <w:szCs w:val="28"/>
              <w:highlight w:val="none"/>
            </w:rPr>
            <w:fldChar w:fldCharType="separate"/>
          </w:r>
          <w:r>
            <w:rPr>
              <w:sz w:val="28"/>
              <w:szCs w:val="28"/>
              <w:highlight w:val="none"/>
            </w:rPr>
            <w:t>37</w:t>
          </w:r>
          <w:r>
            <w:rPr>
              <w:sz w:val="28"/>
              <w:szCs w:val="28"/>
              <w:highlight w:val="none"/>
            </w:rPr>
            <w:fldChar w:fldCharType="end"/>
          </w:r>
          <w:r>
            <w:rPr>
              <w:sz w:val="28"/>
              <w:szCs w:val="28"/>
              <w:highlight w:val="none"/>
            </w:rPr>
            <w:fldChar w:fldCharType="end"/>
          </w:r>
        </w:p>
        <w:p w14:paraId="513C2ECE">
          <w:pPr>
            <w:rPr>
              <w:highlight w:val="none"/>
            </w:rPr>
          </w:pPr>
          <w:r>
            <w:rPr>
              <w:sz w:val="20"/>
              <w:szCs w:val="21"/>
              <w:highlight w:val="none"/>
            </w:rPr>
            <w:fldChar w:fldCharType="end"/>
          </w:r>
        </w:p>
      </w:sdtContent>
    </w:sdt>
    <w:p w14:paraId="48EAA654">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9" w:name="_Toc11048"/>
    </w:p>
    <w:p w14:paraId="70772AFE">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13A06978">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6272F7C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30F7044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40612B7E">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16CF9DB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1859212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ectPr>
          <w:footerReference r:id="rId5"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5D7D94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根据《中华人民共和国民法典》《中华人民共和国建筑法》《建设工程质量管理条例》及有关法律、法规，甲乙双方在平等、自愿、公平和诚实信用的基础上，就乙方承包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南京现代表面处理科技产业中心项目A地块建设项目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水电工程</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（以下简称“本工程”）</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的有关事项协商一致，特签订本合同以共同遵守。（本合同范围内，对以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A3"/>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或</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52"/>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开头的内容，以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52"/>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开头的内容为准。）</w:t>
      </w:r>
      <w:bookmarkEnd w:id="8"/>
      <w:bookmarkEnd w:id="9"/>
    </w:p>
    <w:p w14:paraId="7FFFD790">
      <w:pPr>
        <w:keepNext w:val="0"/>
        <w:keepLines w:val="0"/>
        <w:pageBreakBefore w:val="0"/>
        <w:widowControl w:val="0"/>
        <w:kinsoku/>
        <w:wordWrap w:val="0"/>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10" w:name="_Toc20551"/>
      <w:bookmarkStart w:id="11" w:name="_Toc13113"/>
      <w:bookmarkStart w:id="12" w:name="_Toc2533"/>
      <w:bookmarkStart w:id="13" w:name="_Toc3335"/>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10"/>
      <w:bookmarkEnd w:id="11"/>
      <w:bookmarkEnd w:id="12"/>
      <w:bookmarkEnd w:id="13"/>
    </w:p>
    <w:p w14:paraId="43F327A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14" w:name="_Toc16340"/>
      <w:bookmarkStart w:id="15" w:name="_Toc3067"/>
      <w:r>
        <w:rPr>
          <w:rFonts w:hint="eastAsia" w:ascii="仿宋" w:hAnsi="仿宋" w:eastAsia="仿宋" w:cs="仿宋"/>
          <w:color w:val="auto"/>
          <w:sz w:val="28"/>
          <w:szCs w:val="28"/>
          <w:highlight w:val="none"/>
          <w:lang w:val="en-US" w:eastAsia="zh-CN"/>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南京现代表面处理科技产业中心项目A地块建设工程项目</w:t>
      </w:r>
      <w:r>
        <w:rPr>
          <w:rFonts w:hint="eastAsia" w:ascii="仿宋" w:hAnsi="仿宋" w:eastAsia="仿宋" w:cs="仿宋"/>
          <w:color w:val="auto"/>
          <w:sz w:val="28"/>
          <w:szCs w:val="28"/>
          <w:highlight w:val="none"/>
          <w:u w:val="single"/>
          <w:lang w:val="en-US" w:eastAsia="zh-CN"/>
        </w:rPr>
        <w:t>（以下简称“本项目”）</w:t>
      </w:r>
      <w:bookmarkEnd w:id="14"/>
      <w:bookmarkEnd w:id="15"/>
    </w:p>
    <w:p w14:paraId="70EF48F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16" w:name="_Toc30169"/>
      <w:bookmarkStart w:id="17" w:name="_Toc19036"/>
      <w:r>
        <w:rPr>
          <w:rFonts w:hint="eastAsia" w:ascii="仿宋" w:hAnsi="仿宋" w:eastAsia="仿宋" w:cs="仿宋"/>
          <w:color w:val="auto"/>
          <w:sz w:val="28"/>
          <w:szCs w:val="28"/>
          <w:highlight w:val="none"/>
          <w:lang w:val="en-US" w:eastAsia="zh-CN"/>
        </w:rPr>
        <w:t>1.2项目地址</w:t>
      </w:r>
      <w:r>
        <w:rPr>
          <w:rFonts w:hint="eastAsia" w:ascii="仿宋" w:hAnsi="仿宋" w:eastAsia="仿宋" w:cs="仿宋"/>
          <w:color w:val="auto"/>
          <w:sz w:val="28"/>
          <w:szCs w:val="28"/>
          <w:highlight w:val="none"/>
          <w:u w:val="none"/>
          <w:lang w:val="en-US" w:eastAsia="zh-CN"/>
        </w:rPr>
        <w:t>：</w:t>
      </w:r>
      <w:bookmarkEnd w:id="16"/>
      <w:bookmarkEnd w:id="17"/>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663490CF">
      <w:pPr>
        <w:pStyle w:val="5"/>
        <w:keepNext w:val="0"/>
        <w:keepLines w:val="0"/>
        <w:pageBreakBefore w:val="0"/>
        <w:widowControl w:val="0"/>
        <w:kinsoku/>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color w:val="auto"/>
          <w:sz w:val="28"/>
          <w:szCs w:val="28"/>
          <w:highlight w:val="none"/>
          <w:u w:val="single"/>
          <w:lang w:val="en-US" w:eastAsia="zh-CN"/>
        </w:rPr>
      </w:pPr>
      <w:bookmarkStart w:id="18" w:name="_Toc18112"/>
      <w:bookmarkStart w:id="19" w:name="_Toc2552"/>
      <w:r>
        <w:rPr>
          <w:rFonts w:hint="eastAsia" w:ascii="仿宋" w:hAnsi="仿宋" w:eastAsia="仿宋" w:cs="仿宋"/>
          <w:color w:val="auto"/>
          <w:sz w:val="28"/>
          <w:szCs w:val="28"/>
          <w:highlight w:val="none"/>
          <w:lang w:val="en-US" w:eastAsia="zh-CN"/>
        </w:rPr>
        <w:t>1.3本工程的甲供材料：</w:t>
      </w:r>
      <w:r>
        <w:rPr>
          <w:rFonts w:hint="eastAsia" w:ascii="仿宋" w:hAnsi="仿宋" w:eastAsia="仿宋" w:cs="仿宋"/>
          <w:color w:val="auto"/>
          <w:sz w:val="28"/>
          <w:szCs w:val="28"/>
          <w:highlight w:val="none"/>
          <w:u w:val="single"/>
          <w:lang w:val="en-US" w:eastAsia="zh-CN"/>
        </w:rPr>
        <w:t>电缆、强/弱配电箱、阀门、水表、玻璃钢化粪池、镀锌钢管主</w:t>
      </w:r>
      <w:r>
        <w:rPr>
          <w:rFonts w:hint="eastAsia" w:ascii="仿宋" w:hAnsi="仿宋" w:eastAsia="仿宋" w:cs="仿宋"/>
          <w:color w:val="auto"/>
          <w:kern w:val="2"/>
          <w:sz w:val="28"/>
          <w:szCs w:val="28"/>
          <w:highlight w:val="none"/>
          <w:u w:val="single"/>
          <w:lang w:val="en-US" w:eastAsia="zh-CN" w:bidi="ar-SA"/>
        </w:rPr>
        <w:t>管（临时消防使用）、止回阀、Y型过滤器、</w:t>
      </w:r>
      <w:r>
        <w:rPr>
          <w:rFonts w:hint="eastAsia" w:ascii="仿宋" w:hAnsi="仿宋" w:eastAsia="仿宋" w:cs="仿宋"/>
          <w:color w:val="auto"/>
          <w:sz w:val="28"/>
          <w:szCs w:val="28"/>
          <w:highlight w:val="none"/>
          <w:u w:val="single"/>
          <w:lang w:val="en-US" w:eastAsia="zh-CN"/>
        </w:rPr>
        <w:t>排水沟盖板、水箱、石粉、砖、砂、水泥、垫层砼</w:t>
      </w:r>
      <w:bookmarkEnd w:id="18"/>
      <w:bookmarkEnd w:id="19"/>
      <w:r>
        <w:rPr>
          <w:rFonts w:hint="eastAsia" w:ascii="仿宋" w:hAnsi="仿宋" w:eastAsia="仿宋" w:cs="仿宋"/>
          <w:color w:val="auto"/>
          <w:sz w:val="28"/>
          <w:szCs w:val="28"/>
          <w:highlight w:val="none"/>
          <w:u w:val="single"/>
          <w:lang w:val="en-US" w:eastAsia="zh-CN"/>
        </w:rPr>
        <w:t>。</w:t>
      </w:r>
    </w:p>
    <w:p w14:paraId="7AE45BE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20" w:name="_Toc14716"/>
      <w:bookmarkStart w:id="21" w:name="_Toc14392"/>
      <w:r>
        <w:rPr>
          <w:rFonts w:hint="eastAsia" w:ascii="仿宋" w:hAnsi="仿宋" w:eastAsia="仿宋" w:cs="仿宋"/>
          <w:color w:val="auto"/>
          <w:sz w:val="28"/>
          <w:szCs w:val="28"/>
          <w:highlight w:val="none"/>
          <w:lang w:val="en-US" w:eastAsia="zh-CN"/>
        </w:rPr>
        <w:t>1.4甲方提供的施工基础条件及主要设施：</w:t>
      </w:r>
      <w:bookmarkEnd w:id="20"/>
      <w:bookmarkEnd w:id="21"/>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61F4A108">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2" w:name="_Toc15434"/>
      <w:bookmarkStart w:id="23" w:name="_Toc18483"/>
      <w:bookmarkStart w:id="24" w:name="_Toc13885"/>
      <w:bookmarkStart w:id="25" w:name="_Toc15142"/>
      <w:r>
        <w:rPr>
          <w:rFonts w:hint="eastAsia" w:ascii="仿宋" w:hAnsi="仿宋" w:eastAsia="仿宋" w:cs="仿宋"/>
          <w:b/>
          <w:bCs/>
          <w:i w:val="0"/>
          <w:iCs w:val="0"/>
          <w:color w:val="auto"/>
          <w:sz w:val="28"/>
          <w:szCs w:val="28"/>
          <w:highlight w:val="none"/>
          <w:shd w:val="clear" w:color="auto" w:fill="auto"/>
          <w:lang w:val="en-US" w:eastAsia="zh-CN"/>
        </w:rPr>
        <w:t>承包方式</w:t>
      </w:r>
      <w:bookmarkEnd w:id="22"/>
      <w:bookmarkEnd w:id="23"/>
      <w:bookmarkEnd w:id="24"/>
      <w:bookmarkEnd w:id="25"/>
    </w:p>
    <w:p w14:paraId="044887A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26" w:name="_Toc30799"/>
      <w:bookmarkStart w:id="27" w:name="_Toc1134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2.1</w:t>
      </w:r>
      <w:r>
        <w:rPr>
          <w:rFonts w:hint="eastAsia" w:ascii="仿宋" w:hAnsi="仿宋" w:eastAsia="仿宋" w:cs="仿宋"/>
          <w:color w:val="auto"/>
          <w:sz w:val="28"/>
          <w:szCs w:val="28"/>
          <w:highlight w:val="none"/>
          <w:lang w:val="en-US" w:eastAsia="zh-CN"/>
        </w:rPr>
        <w:t>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 w:hAnsi="仿宋" w:eastAsia="仿宋" w:cs="仿宋"/>
          <w:color w:val="auto"/>
          <w:sz w:val="28"/>
          <w:szCs w:val="28"/>
          <w:highlight w:val="none"/>
          <w:lang w:val="en-US" w:eastAsia="zh-CN"/>
        </w:rPr>
        <w:t>、包所有机械设备（含进退场）、包安全文明施工，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、包本工程检测、包工期、包一切措施、包质量、包各种风险、包保险、包竣工资料（含竣工图）编制、包资料（包各种形式的资料编写、收集、归档、提供电子版</w:t>
      </w:r>
      <w:r>
        <w:rPr>
          <w:rFonts w:hint="eastAsia" w:ascii="仿宋" w:hAnsi="仿宋" w:eastAsia="仿宋" w:cs="仿宋"/>
          <w:color w:val="auto"/>
          <w:sz w:val="28"/>
          <w:szCs w:val="28"/>
          <w:highlight w:val="none"/>
          <w:lang w:val="en-US" w:eastAsia="zh-CN"/>
        </w:rPr>
        <w:t>，并满足竣工验收要求及甲方与建设单位结算要求）、包成品保护、包场地清理、包各种情形所要求的赶工措施及产生的费用、包因乙方原因引起的所有返工的人工、材料及机械费、包安全、包验收合格、包保修、包乙方人员生活水电、包管理、包利润、包税金、包物价上涨、包其他工种配合可能产生的降效及产生的费用及本工程施工过程中所涉及的一切风险因素及全部内容及费用。</w:t>
      </w:r>
      <w:bookmarkEnd w:id="26"/>
      <w:bookmarkEnd w:id="27"/>
    </w:p>
    <w:p w14:paraId="110897B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8" w:name="_Toc24648"/>
      <w:bookmarkStart w:id="29" w:name="_Toc24650"/>
      <w:bookmarkStart w:id="30" w:name="_Toc31503"/>
      <w:bookmarkStart w:id="31" w:name="_Toc15330"/>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28"/>
      <w:bookmarkEnd w:id="29"/>
      <w:bookmarkEnd w:id="30"/>
      <w:bookmarkEnd w:id="31"/>
    </w:p>
    <w:p w14:paraId="28A161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2" w:name="_Toc13857"/>
      <w:bookmarkStart w:id="33" w:name="_Toc10370"/>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3.1本项目及所辖的包括</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用地红线范围内的全部水电作业</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工作均</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由乙方承包（具体施工范围按甲方要求），过程中产生的全部人员报酬、材料（本合同约定的甲供材除外）、机具（本合同约定的甲供机具除外）、施工管理等由乙方解决。</w:t>
      </w:r>
      <w:bookmarkEnd w:id="32"/>
      <w:bookmarkEnd w:id="33"/>
    </w:p>
    <w:p w14:paraId="44ACED1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4" w:name="_Toc7129"/>
      <w:bookmarkStart w:id="35" w:name="_Toc2642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3.2</w:t>
      </w:r>
      <w:bookmarkEnd w:id="34"/>
      <w:bookmarkEnd w:id="35"/>
      <w:r>
        <w:rPr>
          <w:rFonts w:hint="eastAsia" w:ascii="仿宋" w:hAnsi="仿宋" w:eastAsia="仿宋" w:cs="仿宋"/>
          <w:i w:val="0"/>
          <w:iCs w:val="0"/>
          <w:color w:val="auto"/>
          <w:sz w:val="28"/>
          <w:szCs w:val="28"/>
          <w:highlight w:val="none"/>
          <w:lang w:val="en-US" w:eastAsia="zh-CN"/>
        </w:rPr>
        <w:t>甲方提供的、经甲方权限流程审批的本工程</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0B87C8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6" w:name="_Toc13502"/>
      <w:bookmarkStart w:id="37" w:name="_Toc2670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3.3乙方施工前，须在甲方施工员组织下对甲方（或其他单位）交付的施工界面进行检查，并签订好《完工场清交接单》后方可进场施工；如乙方未签订《完工场清交接单》即施工的，视乙方认为适于施工并作为己方施工前提，因该界面导致乙方施工内容不符合合同要求的，乙方自费返工至符合合同要求且不向甲方（或其他施工单位）索赔。</w:t>
      </w:r>
      <w:bookmarkEnd w:id="36"/>
      <w:bookmarkEnd w:id="37"/>
    </w:p>
    <w:p w14:paraId="6EB6BE7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8" w:name="_Toc22020"/>
      <w:bookmarkStart w:id="39" w:name="_Toc2544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3.4乙方负责施工的主要内容包括但不限于：</w:t>
      </w:r>
      <w:bookmarkEnd w:id="38"/>
      <w:bookmarkEnd w:id="39"/>
    </w:p>
    <w:p w14:paraId="5DEBE6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0" w:name="_Toc1195"/>
      <w:bookmarkStart w:id="41" w:name="_Toc826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 电气工程：</w:t>
      </w:r>
      <w:bookmarkEnd w:id="40"/>
      <w:bookmarkEnd w:id="41"/>
    </w:p>
    <w:p w14:paraId="5138F64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2" w:name="_Toc85"/>
      <w:bookmarkStart w:id="43" w:name="_Toc8560"/>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3.4.1.1从配电房低压柜（建设单位分包）出线——电表箱（如有）——配电箱的电线电缆敷设（电缆≥50ｍ㎡甲方提供）及配电箱（甲方提供）安装由乙方完成（建设单位分包的电梯安装：电源箱至控制箱的电缆安装，控制箱之后的控制电缆安装均由电梯单位施工）；</w:t>
      </w:r>
      <w:bookmarkEnd w:id="42"/>
      <w:bookmarkEnd w:id="43"/>
    </w:p>
    <w:p w14:paraId="69F232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4" w:name="_Toc32655"/>
      <w:bookmarkStart w:id="45" w:name="_Toc27129"/>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3.4.1.2电缆桥架：除高/低压配电房内部的 10kv 桥架由建设单位分包完成外，其余桥架均由乙方完成，包括强电桥架、弱电桥架（不含消防桥架）；</w:t>
      </w:r>
      <w:bookmarkEnd w:id="44"/>
      <w:bookmarkEnd w:id="45"/>
    </w:p>
    <w:p w14:paraId="4E11D0E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6" w:name="_Toc31761"/>
      <w:bookmarkStart w:id="47" w:name="_Toc26010"/>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3.4.1.3室外强/弱电电缆保护管、室外电缆井、土方开挖、回填等均由乙方完成；</w:t>
      </w:r>
      <w:bookmarkEnd w:id="46"/>
      <w:bookmarkEnd w:id="47"/>
    </w:p>
    <w:p w14:paraId="3F0751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8" w:name="_Toc20191"/>
      <w:bookmarkStart w:id="49" w:name="_Toc7614"/>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3.4.1.4 照明部分，包括：灯具安装、开关插座底盒安装、配管、配线、凿槽及修补等施工图纸范围内由乙方完成（不含消防应急照明、电梯井道照明及检修插座）；</w:t>
      </w:r>
      <w:bookmarkEnd w:id="48"/>
      <w:bookmarkEnd w:id="49"/>
    </w:p>
    <w:p w14:paraId="0773A6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0" w:name="_Toc5798"/>
      <w:bookmarkStart w:id="51" w:name="_Toc13867"/>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3.4.1.5 防雷及接地装置，包括：桩承台接地线焊接、接地母线敷设、接地跨接线安装、接地极安装、栏杆接地、屋面爬梯接地</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、避雷针(带)安装、避雷引下线安装等施工图纸范围内由乙方完成；</w:t>
      </w:r>
      <w:bookmarkEnd w:id="50"/>
      <w:bookmarkEnd w:id="51"/>
    </w:p>
    <w:p w14:paraId="786E72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2" w:name="_Toc29481"/>
      <w:bookmarkStart w:id="53" w:name="_Toc935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3.4.1.6 其他说明：除电梯机房和消防用风机外的其他风机，电源控制线及线管、线盒安装敷设由乙方完成，风机、电源接驳及调试由消防单位负责（仅配电箱直接控制风机部分）。</w:t>
      </w:r>
      <w:bookmarkEnd w:id="52"/>
      <w:bookmarkEnd w:id="53"/>
    </w:p>
    <w:p w14:paraId="3F0794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4" w:name="_Toc9414"/>
      <w:bookmarkStart w:id="55" w:name="_Toc1005"/>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 给排水工程：</w:t>
      </w:r>
      <w:bookmarkEnd w:id="54"/>
      <w:bookmarkEnd w:id="55"/>
    </w:p>
    <w:p w14:paraId="4F5D4C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6" w:name="_Toc12788"/>
      <w:bookmarkStart w:id="57" w:name="_Toc2110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3.4.2.1给水工程(水表、阀门、止回阀、Y型过滤器</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甲方提供),包括：室内外给水管网、中水管网、绿化给水管网、套管预埋、阀门、支架、附件安装及砌阀门井、留补管洞等施工图纸范围内由乙方完成（卫生间给水管道施工至总阀即可（含总阀），室外给水管网上的室外消火栓，由消防单位施工）；</w:t>
      </w:r>
      <w:bookmarkEnd w:id="56"/>
      <w:bookmarkEnd w:id="57"/>
    </w:p>
    <w:p w14:paraId="784C4760">
      <w:pPr>
        <w:pStyle w:val="5"/>
        <w:keepNext w:val="0"/>
        <w:keepLines w:val="0"/>
        <w:pageBreakBefore w:val="0"/>
        <w:widowControl w:val="0"/>
        <w:kinsoku/>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8" w:name="_Toc31268"/>
      <w:bookmarkStart w:id="59" w:name="_Toc8249"/>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3.4.2.2排水工</w:t>
      </w:r>
      <w:r>
        <w:rPr>
          <w:rFonts w:hint="eastAsia" w:ascii="仿宋_GB2312" w:hAnsi="仿宋_GB2312" w:eastAsia="仿宋_GB2312" w:cs="仿宋_GB2312"/>
          <w:b w:val="0"/>
          <w:bCs w:val="0"/>
          <w:i w:val="0"/>
          <w:iCs w:val="0"/>
          <w:color w:val="auto"/>
          <w:kern w:val="2"/>
          <w:sz w:val="28"/>
          <w:szCs w:val="28"/>
          <w:highlight w:val="none"/>
          <w:shd w:val="clear" w:color="auto" w:fill="auto"/>
          <w:lang w:val="en-US" w:eastAsia="zh-CN" w:bidi="ar-SA"/>
        </w:rPr>
        <w:t>程（玻璃钢化粪池甲供）</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括：室内外雨水、污水、废水、压力废水管网、地漏、透气帽、支架、套管预埋、附件安装、留补管洞及砌管井等施工图纸范围内由乙方完成（卫生间排水管道只预留到排水接口即可，即支管预留0.5m或其他部位以建设单位及甲方交楼标准为准）；</w:t>
      </w:r>
      <w:bookmarkEnd w:id="58"/>
      <w:bookmarkEnd w:id="59"/>
    </w:p>
    <w:p w14:paraId="5D37059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0" w:name="_Toc5518"/>
      <w:bookmarkStart w:id="61" w:name="_Toc1853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3.4.2.3卫生间内的器具及给排水管由建设单位二次装修安装，不在本工程范围内；</w:t>
      </w:r>
      <w:bookmarkEnd w:id="60"/>
      <w:bookmarkEnd w:id="61"/>
    </w:p>
    <w:p w14:paraId="5AEB79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2" w:name="_Toc18211"/>
      <w:bookmarkStart w:id="63" w:name="_Toc1473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3.4.2.4</w:t>
      </w:r>
      <w:bookmarkEnd w:id="62"/>
      <w:bookmarkEnd w:id="6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生活水泵房二次加压：阀门至水箱、水泵及水泵相关配件、水泵进水管与水箱预留口接驳，水泵出水管与给水主干管接驳（水箱甲方提供，水箱不在本工程范围内）；</w:t>
      </w:r>
    </w:p>
    <w:p w14:paraId="5A75B4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4" w:name="_Toc13389"/>
      <w:bookmarkStart w:id="65" w:name="_Toc852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3.4.2.5 其它项目(石粉、砖、砌块、砂、水泥为甲方提供，备注：以工程移交建设单位为节点，移交之前由甲方负责采购；移交之后改/扩建、维修、升级、改造、精装修等工程，按当次招采文件要求执行),包括：土方开挖、回填及与本工程有关联的工作项目均在乙方承包范围内。</w:t>
      </w:r>
      <w:bookmarkEnd w:id="64"/>
      <w:bookmarkEnd w:id="65"/>
    </w:p>
    <w:p w14:paraId="4D2880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6" w:name="_Toc5883"/>
      <w:bookmarkStart w:id="67" w:name="_Toc3067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3.4.3其它分项工程：</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无。</w:t>
      </w:r>
      <w:bookmarkEnd w:id="66"/>
      <w:bookmarkEnd w:id="67"/>
    </w:p>
    <w:p w14:paraId="7EF44E9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3.5甲方提供的机具（详见附件《施工总平面布置图》）：</w:t>
      </w:r>
      <w:r>
        <w:rPr>
          <w:rFonts w:hint="eastAsia" w:ascii="仿宋" w:hAnsi="仿宋" w:eastAsia="仿宋" w:cs="仿宋"/>
          <w:color w:val="auto"/>
          <w:sz w:val="28"/>
          <w:szCs w:val="28"/>
          <w:highlight w:val="none"/>
          <w:lang w:val="en-US" w:eastAsia="zh-CN"/>
        </w:rPr>
        <w:t>每两栋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台塔吊（该塔吊可能与其他楼栋共用）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施工</w:t>
      </w:r>
      <w:r>
        <w:rPr>
          <w:rFonts w:hint="eastAsia" w:ascii="仿宋" w:hAnsi="仿宋" w:eastAsia="仿宋" w:cs="仿宋"/>
          <w:color w:val="auto"/>
          <w:sz w:val="28"/>
          <w:szCs w:val="28"/>
          <w:highlight w:val="none"/>
        </w:rPr>
        <w:t>电梯每栋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甲供机具未</w:t>
      </w:r>
      <w:r>
        <w:rPr>
          <w:rFonts w:hint="eastAsia" w:ascii="仿宋" w:hAnsi="仿宋" w:eastAsia="仿宋" w:cs="仿宋"/>
          <w:color w:val="auto"/>
          <w:sz w:val="28"/>
          <w:szCs w:val="28"/>
          <w:highlight w:val="none"/>
          <w:lang w:eastAsia="zh-CN"/>
        </w:rPr>
        <w:t>覆盖</w:t>
      </w:r>
      <w:r>
        <w:rPr>
          <w:rFonts w:hint="eastAsia" w:ascii="仿宋" w:hAnsi="仿宋" w:eastAsia="仿宋" w:cs="仿宋"/>
          <w:color w:val="auto"/>
          <w:sz w:val="28"/>
          <w:szCs w:val="28"/>
          <w:highlight w:val="none"/>
          <w:lang w:val="en-US" w:eastAsia="zh-CN"/>
        </w:rPr>
        <w:t>范围所产生的费用已包含在□合同总价</w:t>
      </w:r>
      <w:r>
        <w:rPr>
          <w:rFonts w:hint="eastAsia" w:ascii="仿宋" w:hAnsi="仿宋" w:eastAsia="仿宋" w:cs="仿宋"/>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合同单价内</w:t>
      </w:r>
      <w:r>
        <w:rPr>
          <w:rFonts w:hint="eastAsia" w:ascii="仿宋" w:hAnsi="仿宋" w:eastAsia="仿宋" w:cs="仿宋"/>
          <w:color w:val="auto"/>
          <w:sz w:val="28"/>
          <w:szCs w:val="28"/>
          <w:highlight w:val="none"/>
          <w:lang w:eastAsia="zh-CN"/>
        </w:rPr>
        <w:t>，甲方不再另行付费给乙方】，</w:t>
      </w:r>
      <w:r>
        <w:rPr>
          <w:rFonts w:hint="eastAsia" w:ascii="仿宋" w:hAnsi="仿宋" w:eastAsia="仿宋" w:cs="仿宋"/>
          <w:i w:val="0"/>
          <w:iCs w:val="0"/>
          <w:color w:val="auto"/>
          <w:kern w:val="0"/>
          <w:sz w:val="28"/>
          <w:szCs w:val="28"/>
          <w:highlight w:val="none"/>
          <w:shd w:val="clear" w:color="auto" w:fill="auto"/>
          <w:lang w:val="en-US" w:eastAsia="zh-CN"/>
        </w:rPr>
        <w:t>当土建总包工程进度达到甲供机具拆除条件而乙方仍需使用该机具时，由乙方自行解决，若甲方同意延迟拆除，则乙方必须支付因机具延期拆除所产生的全部费用给甲方</w:t>
      </w:r>
      <w:r>
        <w:rPr>
          <w:rFonts w:hint="eastAsia" w:ascii="仿宋" w:hAnsi="仿宋" w:eastAsia="仿宋" w:cs="仿宋"/>
          <w:color w:val="auto"/>
          <w:sz w:val="28"/>
          <w:szCs w:val="28"/>
          <w:highlight w:val="none"/>
        </w:rPr>
        <w:t>。</w:t>
      </w:r>
    </w:p>
    <w:p w14:paraId="2383738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3.6</w:t>
      </w:r>
      <w:r>
        <w:rPr>
          <w:rFonts w:hint="eastAsia" w:ascii="仿宋" w:hAnsi="仿宋" w:eastAsia="仿宋" w:cs="仿宋"/>
          <w:i w:val="0"/>
          <w:iCs w:val="0"/>
          <w:color w:val="auto"/>
          <w:kern w:val="0"/>
          <w:sz w:val="28"/>
          <w:szCs w:val="28"/>
          <w:highlight w:val="none"/>
          <w:shd w:val="clear" w:color="auto" w:fill="auto"/>
          <w:lang w:val="en-US" w:eastAsia="zh-CN"/>
        </w:rPr>
        <w:t>乙方自备的施工材料如下：</w:t>
      </w:r>
      <w:r>
        <w:rPr>
          <w:rFonts w:hint="eastAsia" w:ascii="仿宋" w:hAnsi="仿宋" w:eastAsia="仿宋" w:cs="仿宋"/>
          <w:i w:val="0"/>
          <w:iCs w:val="0"/>
          <w:color w:val="auto"/>
          <w:kern w:val="0"/>
          <w:sz w:val="28"/>
          <w:szCs w:val="28"/>
          <w:highlight w:val="none"/>
          <w:u w:val="single"/>
          <w:shd w:val="clear" w:color="auto" w:fill="auto"/>
          <w:lang w:val="en-US" w:eastAsia="zh-CN"/>
        </w:rPr>
        <w:t>本工程整改或返工所用材料以及完成本工程所涉材料（本合同约定的甲供材除外）</w:t>
      </w:r>
      <w:r>
        <w:rPr>
          <w:rFonts w:hint="eastAsia" w:ascii="仿宋" w:hAnsi="仿宋" w:eastAsia="仿宋" w:cs="仿宋"/>
          <w:i w:val="0"/>
          <w:iCs w:val="0"/>
          <w:color w:val="auto"/>
          <w:kern w:val="0"/>
          <w:sz w:val="28"/>
          <w:szCs w:val="28"/>
          <w:highlight w:val="none"/>
          <w:shd w:val="clear" w:color="auto" w:fill="auto"/>
          <w:lang w:val="en-US" w:eastAsia="zh-CN"/>
        </w:rPr>
        <w:t>。</w:t>
      </w:r>
    </w:p>
    <w:p w14:paraId="62BED0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3.7乙方自备的施工机具如下：</w:t>
      </w:r>
      <w:r>
        <w:rPr>
          <w:rFonts w:hint="eastAsia" w:ascii="仿宋" w:hAnsi="仿宋" w:eastAsia="仿宋" w:cs="仿宋"/>
          <w:color w:val="auto"/>
          <w:sz w:val="28"/>
          <w:szCs w:val="28"/>
          <w:highlight w:val="none"/>
          <w:u w:val="single"/>
          <w:lang w:val="en-US" w:eastAsia="zh-CN"/>
        </w:rPr>
        <w:t>套丝机、弯管器、电焊机、热熔器、</w:t>
      </w:r>
      <w:r>
        <w:rPr>
          <w:rFonts w:hint="eastAsia" w:ascii="仿宋" w:hAnsi="仿宋" w:eastAsia="仿宋" w:cs="仿宋"/>
          <w:i w:val="0"/>
          <w:iCs w:val="0"/>
          <w:color w:val="auto"/>
          <w:kern w:val="0"/>
          <w:sz w:val="28"/>
          <w:szCs w:val="28"/>
          <w:highlight w:val="none"/>
          <w:u w:val="single"/>
          <w:shd w:val="clear" w:color="auto" w:fill="auto"/>
          <w:lang w:val="en-US" w:eastAsia="zh-CN"/>
        </w:rPr>
        <w:t>切断机、弯曲机、调直机、电焊机、剪铁机、小型切割机、施工照明灯具和灯具电源线（约25米），配置一机一闸一漏开关箱等机具（开关箱、漏电保护器参数必须符合《国家电气设备安全技术规范标准》GB19517-2009等规范的要求），本工程整改或返工所用机具以及完成本工程所涉机具（本合同约定的甲供机具除外）</w:t>
      </w:r>
      <w:r>
        <w:rPr>
          <w:rFonts w:hint="eastAsia" w:ascii="仿宋" w:hAnsi="仿宋" w:eastAsia="仿宋" w:cs="仿宋"/>
          <w:i w:val="0"/>
          <w:iCs w:val="0"/>
          <w:color w:val="auto"/>
          <w:kern w:val="0"/>
          <w:sz w:val="28"/>
          <w:szCs w:val="28"/>
          <w:highlight w:val="none"/>
          <w:shd w:val="clear" w:color="auto" w:fill="auto"/>
          <w:lang w:val="en-US" w:eastAsia="zh-CN"/>
        </w:rPr>
        <w:t>。</w:t>
      </w:r>
    </w:p>
    <w:p w14:paraId="5CF5A0B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合同单价□合同总价内，不属于增加工程，除非双方额外签证，否则结算时工程价款不作调整。</w:t>
      </w:r>
    </w:p>
    <w:p w14:paraId="192D04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 xml:space="preserve">3.9 </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268DBD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lang w:val="en-US" w:eastAsia="zh-CN"/>
        </w:rPr>
        <w:t xml:space="preserve">3.10 </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第六章约定的合同价格中，甲方无需另行支付费用给乙方。</w:t>
      </w:r>
    </w:p>
    <w:p w14:paraId="53F34D2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3.</w:t>
      </w:r>
      <w:r>
        <w:rPr>
          <w:rFonts w:hint="eastAsia" w:ascii="仿宋" w:hAnsi="仿宋" w:eastAsia="仿宋" w:cs="仿宋"/>
          <w:i w:val="0"/>
          <w:iCs w:val="0"/>
          <w:color w:val="auto"/>
          <w:sz w:val="28"/>
          <w:szCs w:val="28"/>
          <w:highlight w:val="none"/>
          <w:shd w:val="clear" w:color="auto" w:fill="auto"/>
          <w:lang w:val="en-US" w:eastAsia="zh-CN"/>
        </w:rPr>
        <w:t>11</w:t>
      </w:r>
      <w:r>
        <w:rPr>
          <w:rFonts w:hint="eastAsia" w:ascii="仿宋_GB2312" w:hAnsi="仿宋_GB2312" w:eastAsia="仿宋_GB2312" w:cs="仿宋_GB2312"/>
          <w:i w:val="0"/>
          <w:iCs w:val="0"/>
          <w:color w:val="auto"/>
          <w:sz w:val="28"/>
          <w:szCs w:val="28"/>
          <w:highlight w:val="none"/>
          <w:u w:val="none"/>
          <w:shd w:val="clear" w:color="auto" w:fill="auto"/>
          <w:lang w:eastAsia="zh-CN"/>
        </w:rPr>
        <w:t>本项目</w:t>
      </w:r>
      <w:r>
        <w:rPr>
          <w:rFonts w:hint="eastAsia" w:ascii="仿宋_GB2312" w:hAnsi="仿宋_GB2312" w:eastAsia="仿宋_GB2312" w:cs="仿宋_GB2312"/>
          <w:i w:val="0"/>
          <w:iCs w:val="0"/>
          <w:color w:val="auto"/>
          <w:sz w:val="28"/>
          <w:szCs w:val="28"/>
          <w:highlight w:val="none"/>
          <w:u w:val="none"/>
          <w:shd w:val="clear" w:color="auto" w:fill="auto"/>
        </w:rPr>
        <w:t>设计变更引起的增加工程，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无论工程量大小及施工难度系数高低，如甲方要求</w:t>
      </w:r>
      <w:r>
        <w:rPr>
          <w:rFonts w:hint="eastAsia" w:ascii="仿宋_GB2312" w:hAnsi="仿宋_GB2312" w:eastAsia="仿宋_GB2312" w:cs="仿宋_GB2312"/>
          <w:i w:val="0"/>
          <w:iCs w:val="0"/>
          <w:color w:val="auto"/>
          <w:sz w:val="28"/>
          <w:szCs w:val="28"/>
          <w:highlight w:val="none"/>
          <w:u w:val="none"/>
          <w:shd w:val="clear" w:color="auto" w:fill="auto"/>
        </w:rPr>
        <w:t>乙方</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施工，乙方须按甲方要求施工</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相关费用</w:t>
      </w:r>
      <w:r>
        <w:rPr>
          <w:rFonts w:hint="eastAsia" w:ascii="仿宋_GB2312" w:hAnsi="仿宋_GB2312" w:eastAsia="仿宋_GB2312" w:cs="仿宋_GB2312"/>
          <w:i w:val="0"/>
          <w:iCs w:val="0"/>
          <w:color w:val="auto"/>
          <w:sz w:val="28"/>
          <w:szCs w:val="28"/>
          <w:highlight w:val="none"/>
          <w:u w:val="none"/>
          <w:shd w:val="clear" w:color="auto" w:fill="auto"/>
        </w:rPr>
        <w:t>按本合同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约定办理</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002A66D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向甲方承担违约金人民币两千元），并在甲方通知施工之日起三个工作日内书面向甲方申报工程单价（申报格式以甲方确定的为准），逾期不申报则视为乙方给与甲方的优惠，乙方自愿放弃主张该事项的权利和相关费用。</w:t>
      </w:r>
    </w:p>
    <w:p w14:paraId="43E912D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 乙方已清楚了解甲方提供的基层情况，结算时不因本工程基层清理困难而要求甲方增补费用。</w:t>
      </w:r>
    </w:p>
    <w:p w14:paraId="4E9DB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3.13乙方负责本项目水电所用机械及其它所需机械的维护。</w:t>
      </w:r>
    </w:p>
    <w:p w14:paraId="42E663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3.14乙方负责本工程施工现场内所需材料、机具的运输。</w:t>
      </w:r>
    </w:p>
    <w:p w14:paraId="2C76110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3.15乙方负责本工程工作面范围内的文明施工工作。</w:t>
      </w:r>
    </w:p>
    <w:p w14:paraId="537348E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3.16施工现场内本工程所需材料、机具的运输不另计费。材料进、出场时，派工人上、下车，上下车费用包含在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合同总价内（甲供材的卸车由乙方负责且费用已包含在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合同总价中）。</w:t>
      </w:r>
    </w:p>
    <w:p w14:paraId="6C01F94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3.17地下室、剪力墙楼梯间模板拆除完成后，依据施工总平面布置图及电气安装专业图纸的要求，对甲方指定的临时照明线路的电线、灯具等进行安装，电线材质需满足施工阶段的照明及永久照明施工图纸、材质的要求，并做好成品保护，费用已包含在合同造价中，其作为临时用电使用则不另计费。</w:t>
      </w:r>
    </w:p>
    <w:p w14:paraId="09AB9C0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3.18对管线封堵-水电预埋补槽，乙方必须安排专业泥工施工并确保封堵质量符合甲方要求，否则甲方有权单方安排其他专业泥水单位完成，相关费用由乙方承担且甲方可从本合同的款项中直接扣除。</w:t>
      </w:r>
    </w:p>
    <w:p w14:paraId="587530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3.19</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63AE23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3.20乙方必须按本工程施工图纸及甲方签发的《施工交楼标准》准确预留、预埋或开凿槽施工【包括不限于：楼地面、屋面找平层、墙体、柱子天棚抹灰等施工前完成(甲方另行签证除外）】。本工程的施工内容禁止在泥水找平或抹灰工程完成后再开凿槽、开洞，进行影响工程质量及观感的工作。因乙方原因造成上述情况发生的，属乙方违约，找平层、抹灰层、面层等工程恢复由甲方指定专业泥水分包单位完成，按所产生全部费用的200%（包含不限于工期延误、材料、劳务等费用）由乙方承担，相关费用已包含在合同单价中，不另计价，同时乙方就此违约行为每次按合同暂定总价的30%向甲方支付违约金，并按1000元/处接受甲方对乙方处罚。相关违约金及扣款甲方有权在应付乙方的任意款项中扣除。</w:t>
      </w:r>
    </w:p>
    <w:p w14:paraId="0E8D407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color w:val="auto"/>
          <w:sz w:val="28"/>
          <w:szCs w:val="28"/>
          <w:highlight w:val="none"/>
          <w:lang w:eastAsia="zh-CN"/>
        </w:rPr>
      </w:pPr>
      <w:r>
        <w:rPr>
          <w:rFonts w:hint="eastAsia" w:ascii="仿宋" w:hAnsi="仿宋" w:eastAsia="仿宋" w:cs="仿宋"/>
          <w:i w:val="0"/>
          <w:iCs w:val="0"/>
          <w:color w:val="auto"/>
          <w:sz w:val="28"/>
          <w:szCs w:val="28"/>
          <w:highlight w:val="none"/>
          <w:lang w:val="en-US" w:eastAsia="zh-CN"/>
        </w:rPr>
        <w:t>3.21其他：</w:t>
      </w:r>
      <w:r>
        <w:rPr>
          <w:rFonts w:hint="eastAsia" w:ascii="仿宋" w:hAnsi="仿宋" w:eastAsia="仿宋" w:cs="仿宋"/>
          <w:color w:val="auto"/>
          <w:sz w:val="28"/>
          <w:szCs w:val="28"/>
          <w:highlight w:val="none"/>
          <w:u w:val="single"/>
          <w:lang w:val="en-US" w:eastAsia="zh-CN"/>
        </w:rPr>
        <w:t>无。</w:t>
      </w:r>
    </w:p>
    <w:p w14:paraId="3940B06F">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68" w:name="_Toc15468"/>
      <w:bookmarkStart w:id="69" w:name="_Toc244"/>
      <w:bookmarkStart w:id="70" w:name="_Toc15548"/>
      <w:bookmarkStart w:id="71" w:name="_Toc6699"/>
      <w:r>
        <w:rPr>
          <w:rFonts w:hint="eastAsia" w:ascii="仿宋" w:hAnsi="仿宋" w:eastAsia="仿宋" w:cs="仿宋"/>
          <w:b/>
          <w:bCs/>
          <w:i w:val="0"/>
          <w:iCs w:val="0"/>
          <w:color w:val="auto"/>
          <w:sz w:val="28"/>
          <w:szCs w:val="28"/>
          <w:highlight w:val="none"/>
          <w:shd w:val="clear" w:color="auto" w:fill="auto"/>
          <w:lang w:val="en-US" w:eastAsia="zh-CN"/>
        </w:rPr>
        <w:t>工期</w:t>
      </w:r>
      <w:bookmarkEnd w:id="68"/>
      <w:bookmarkEnd w:id="69"/>
      <w:bookmarkEnd w:id="70"/>
      <w:bookmarkEnd w:id="71"/>
    </w:p>
    <w:p w14:paraId="642C25B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4"/>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2985"/>
        <w:gridCol w:w="1083"/>
        <w:gridCol w:w="2088"/>
        <w:gridCol w:w="2260"/>
        <w:gridCol w:w="974"/>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81"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37"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3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21"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81"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37"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422天</w:t>
            </w:r>
          </w:p>
        </w:tc>
        <w:tc>
          <w:tcPr>
            <w:tcW w:w="103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2024年8月15日</w:t>
            </w:r>
          </w:p>
        </w:tc>
        <w:tc>
          <w:tcPr>
            <w:tcW w:w="1121"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2025年10月10日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81"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37"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3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21"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81"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37"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3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21"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2F9A5050">
      <w:pPr>
        <w:keepNext w:val="0"/>
        <w:keepLines w:val="0"/>
        <w:pageBreakBefore w:val="0"/>
        <w:widowControl w:val="0"/>
        <w:kinsoku/>
        <w:wordWrap w:val="0"/>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color w:val="auto"/>
          <w:sz w:val="28"/>
          <w:szCs w:val="28"/>
          <w:highlight w:val="none"/>
          <w:u w:val="none"/>
        </w:rPr>
      </w:pPr>
      <w:r>
        <w:rPr>
          <w:rFonts w:hint="eastAsia" w:ascii="仿宋" w:hAnsi="仿宋" w:eastAsia="仿宋" w:cs="仿宋"/>
          <w:i w:val="0"/>
          <w:iCs w:val="0"/>
          <w:color w:val="auto"/>
          <w:sz w:val="28"/>
          <w:szCs w:val="28"/>
          <w:highlight w:val="none"/>
          <w:u w:val="none"/>
          <w:shd w:val="clear" w:color="auto" w:fill="auto"/>
          <w:lang w:val="en-US" w:eastAsia="zh-CN"/>
        </w:rPr>
        <w:t>工期以全面满足甲方要求为准。甲方通知后24小时内，乙方项目现场负责人及主要工作人员须进场开始工作，具体按甲方要求为准，必须满足甲方项目工期要求</w:t>
      </w:r>
      <w:r>
        <w:rPr>
          <w:rFonts w:hint="eastAsia" w:ascii="仿宋" w:hAnsi="仿宋" w:eastAsia="仿宋" w:cs="仿宋"/>
          <w:i w:val="0"/>
          <w:iCs w:val="0"/>
          <w:color w:val="auto"/>
          <w:sz w:val="28"/>
          <w:szCs w:val="28"/>
          <w:highlight w:val="none"/>
          <w:u w:val="none"/>
          <w:lang w:val="en-US" w:eastAsia="zh-CN"/>
        </w:rPr>
        <w:t>。</w:t>
      </w:r>
    </w:p>
    <w:p w14:paraId="127692B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72" w:name="_Toc17524"/>
      <w:bookmarkStart w:id="73" w:name="_Toc19252"/>
      <w:bookmarkStart w:id="74" w:name="_Toc2060"/>
      <w:r>
        <w:rPr>
          <w:rFonts w:hint="eastAsia" w:ascii="仿宋_GB2312" w:hAnsi="仿宋_GB2312" w:eastAsia="仿宋_GB2312" w:cs="仿宋_GB2312"/>
          <w:i w:val="0"/>
          <w:iCs w:val="0"/>
          <w:color w:val="auto"/>
          <w:sz w:val="28"/>
          <w:szCs w:val="28"/>
          <w:highlight w:val="none"/>
          <w:shd w:val="clear" w:color="auto" w:fill="auto"/>
          <w:lang w:val="en-US" w:eastAsia="zh-CN"/>
        </w:rPr>
        <w:t>4.2本合同工期为计划工期，实际应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568418E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4.3乙方须严格遵照甲方制订的施工进度计划施工及完成相关工作，接受甲方项目部施工任务安排，否则甲方可按合同对乙方予以处罚。</w:t>
      </w:r>
    </w:p>
    <w:p w14:paraId="1EB2FDE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4.4乙方已充分考虑天气因素、除不可抗力（如：地震、海啸、瘟疫、骚乱、戒严、暴动、战争等法定情形）外其他原因可能对工期的影响，乙方同意不因任何原因要求延长工期。</w:t>
      </w:r>
    </w:p>
    <w:p w14:paraId="255E89D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4.5乙方必须满足甲方工期要求，配备本工程熟练技术工人不少于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50</w:t>
      </w:r>
      <w:r>
        <w:rPr>
          <w:rFonts w:hint="eastAsia" w:ascii="仿宋_GB2312" w:hAnsi="仿宋_GB2312" w:eastAsia="仿宋_GB2312" w:cs="仿宋_GB2312"/>
          <w:i w:val="0"/>
          <w:iCs w:val="0"/>
          <w:color w:val="auto"/>
          <w:sz w:val="28"/>
          <w:szCs w:val="28"/>
          <w:highlight w:val="none"/>
          <w:shd w:val="clear" w:color="auto" w:fill="auto"/>
          <w:lang w:val="en-US" w:eastAsia="zh-CN"/>
        </w:rPr>
        <w:t>人，随时增加或减少乙方人员以满足本工程施工要求。</w:t>
      </w:r>
    </w:p>
    <w:p w14:paraId="4FD9E0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4.6本工程施工过程出现赶工、交叉作业、停工（包括本项目建设单位原因造成的停工）及工人工资、材料费、机具费上涨等导致乙方成本、费用发生增加已包含在本合同约定的□合同总价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合同单价内，甲方无需另行付费给乙方。</w:t>
      </w:r>
    </w:p>
    <w:p w14:paraId="53AFFA2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4.7春节、元旦、五一、十一、周末等法定节假日及技术要求或进度计划要求进行赶工、加班等费用已包含在本合同约定的□合同总价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合同单价内，甲方无需另行付费给乙方。</w:t>
      </w:r>
    </w:p>
    <w:p w14:paraId="2025CE5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4.8乙方在本合同签订前已勘察本项目现场场地，对本工程特性全部清楚，因甲方原因导致施工计划调整的，乙方免费积极配合。</w:t>
      </w:r>
    </w:p>
    <w:p w14:paraId="451DA5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4.9乙方认为甲方或其他单位未配合提供所需工作面、机具及材料而影响施工进度时，须书面告知甲方并按甲方要求办理相关事宜，否则视为不影响乙方施工，乙方不得因此要求延长工期。</w:t>
      </w:r>
    </w:p>
    <w:p w14:paraId="3B1A754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4.10乙方须严格遵照甲方制订的施工进度计划开展具体施工工作，每周必须到甲方项目部在《施工任务表》上签认施工任务并保证完成，违者主动接受相应的扣款处罚。</w:t>
      </w:r>
    </w:p>
    <w:p w14:paraId="055162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4.11本项目竣工验收移交甲方后、保修期结束前，如甲方在本项目内有新增工程且要求乙方进行报价施工时，乙方须予配合。</w:t>
      </w:r>
    </w:p>
    <w:p w14:paraId="6663021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4.12乙方提交的开工资料须满足甲方要求。在甲方项目经理签发加盖甲方项目章的开工令后，乙方按开工令要求进场。</w:t>
      </w:r>
    </w:p>
    <w:p w14:paraId="0859425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75" w:name="_Toc1012"/>
      <w:bookmarkStart w:id="76" w:name="_Toc5085"/>
      <w:r>
        <w:rPr>
          <w:rFonts w:hint="eastAsia" w:ascii="仿宋_GB2312" w:hAnsi="仿宋_GB2312" w:eastAsia="仿宋_GB2312" w:cs="仿宋_GB2312"/>
          <w:i w:val="0"/>
          <w:iCs w:val="0"/>
          <w:color w:val="auto"/>
          <w:sz w:val="28"/>
          <w:szCs w:val="28"/>
          <w:highlight w:val="none"/>
          <w:shd w:val="clear" w:color="auto" w:fill="auto"/>
          <w:lang w:val="en-US" w:eastAsia="zh-CN"/>
        </w:rPr>
        <w:t>4.13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bookmarkEnd w:id="75"/>
      <w:bookmarkEnd w:id="76"/>
    </w:p>
    <w:p w14:paraId="796E61E9">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7" w:name="_Toc20004"/>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77"/>
    </w:p>
    <w:p w14:paraId="04242E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质量标准</w:t>
      </w:r>
      <w:r>
        <w:rPr>
          <w:rFonts w:hint="eastAsia" w:ascii="仿宋_GB2312" w:hAnsi="仿宋_GB2312" w:eastAsia="仿宋_GB2312" w:cs="仿宋_GB2312"/>
          <w:i w:val="0"/>
          <w:iCs w:val="0"/>
          <w:color w:val="auto"/>
          <w:sz w:val="28"/>
          <w:szCs w:val="28"/>
          <w:highlight w:val="none"/>
          <w:shd w:val="clear" w:color="auto" w:fill="auto"/>
        </w:rPr>
        <w:t>：达到</w:t>
      </w:r>
      <w:r>
        <w:rPr>
          <w:rFonts w:hint="eastAsia" w:ascii="仿宋_GB2312" w:hAnsi="仿宋_GB2312" w:eastAsia="仿宋_GB2312" w:cs="仿宋_GB2312"/>
          <w:i w:val="0"/>
          <w:iCs w:val="0"/>
          <w:color w:val="auto"/>
          <w:sz w:val="28"/>
          <w:szCs w:val="28"/>
          <w:highlight w:val="none"/>
          <w:shd w:val="clear" w:color="auto" w:fill="auto"/>
          <w:lang w:val="en-US" w:eastAsia="zh-CN"/>
        </w:rPr>
        <w:t>现行的</w:t>
      </w:r>
      <w:r>
        <w:rPr>
          <w:rFonts w:hint="eastAsia" w:ascii="仿宋_GB2312" w:hAnsi="仿宋_GB2312" w:eastAsia="仿宋_GB2312" w:cs="仿宋_GB2312"/>
          <w:i w:val="0"/>
          <w:iCs w:val="0"/>
          <w:color w:val="auto"/>
          <w:sz w:val="28"/>
          <w:szCs w:val="28"/>
          <w:highlight w:val="none"/>
          <w:shd w:val="clear" w:color="auto" w:fill="auto"/>
        </w:rPr>
        <w:t>国家</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行业</w:t>
      </w:r>
      <w:r>
        <w:rPr>
          <w:rFonts w:hint="eastAsia" w:ascii="仿宋_GB2312" w:hAnsi="仿宋_GB2312" w:eastAsia="仿宋_GB2312" w:cs="仿宋_GB2312"/>
          <w:i w:val="0"/>
          <w:iCs w:val="0"/>
          <w:color w:val="auto"/>
          <w:sz w:val="28"/>
          <w:szCs w:val="28"/>
          <w:highlight w:val="none"/>
          <w:shd w:val="clear" w:color="auto" w:fill="auto"/>
          <w:lang w:val="en-US" w:eastAsia="zh-CN"/>
        </w:rPr>
        <w:t>相关</w:t>
      </w:r>
      <w:r>
        <w:rPr>
          <w:rFonts w:hint="eastAsia" w:ascii="仿宋_GB2312" w:hAnsi="仿宋_GB2312" w:eastAsia="仿宋_GB2312" w:cs="仿宋_GB2312"/>
          <w:i w:val="0"/>
          <w:iCs w:val="0"/>
          <w:color w:val="auto"/>
          <w:sz w:val="28"/>
          <w:szCs w:val="28"/>
          <w:highlight w:val="none"/>
          <w:shd w:val="clear" w:color="auto" w:fill="auto"/>
        </w:rPr>
        <w:t>施工质量验收规范的</w:t>
      </w:r>
      <w:r>
        <w:rPr>
          <w:rFonts w:hint="eastAsia" w:ascii="仿宋_GB2312" w:hAnsi="仿宋_GB2312" w:eastAsia="仿宋_GB2312" w:cs="仿宋_GB2312"/>
          <w:i w:val="0"/>
          <w:iCs w:val="0"/>
          <w:color w:val="auto"/>
          <w:sz w:val="28"/>
          <w:szCs w:val="28"/>
          <w:highlight w:val="none"/>
          <w:u w:val="single"/>
          <w:shd w:val="clear" w:color="auto" w:fill="auto"/>
        </w:rPr>
        <w:t>优良</w:t>
      </w:r>
      <w:r>
        <w:rPr>
          <w:rFonts w:hint="eastAsia" w:ascii="仿宋_GB2312" w:hAnsi="仿宋_GB2312" w:eastAsia="仿宋_GB2312" w:cs="仿宋_GB2312"/>
          <w:i w:val="0"/>
          <w:iCs w:val="0"/>
          <w:color w:val="auto"/>
          <w:sz w:val="28"/>
          <w:szCs w:val="28"/>
          <w:highlight w:val="none"/>
          <w:shd w:val="clear" w:color="auto" w:fill="auto"/>
        </w:rPr>
        <w:t>标准</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本合同另有约定的亦须同时符合该约定</w:t>
      </w:r>
      <w:r>
        <w:rPr>
          <w:rFonts w:hint="eastAsia" w:ascii="仿宋_GB2312" w:hAnsi="仿宋_GB2312" w:eastAsia="仿宋_GB2312" w:cs="仿宋_GB2312"/>
          <w:b w:val="0"/>
          <w:bCs w:val="0"/>
          <w:i w:val="0"/>
          <w:iCs w:val="0"/>
          <w:color w:val="auto"/>
          <w:sz w:val="28"/>
          <w:szCs w:val="28"/>
          <w:highlight w:val="none"/>
          <w:shd w:val="clear" w:color="auto" w:fill="auto"/>
        </w:rPr>
        <w:t>。</w:t>
      </w:r>
    </w:p>
    <w:p w14:paraId="5FD6E9C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5.2乙方采购材料前，须提前十天提供样板一式两份（注明品牌、规格、型号等,品牌须符合合同约定)给甲方选择、确认并留底，若样板不合格则重新提供至合格为止（工期不因此顺延），否则甲方有权拒绝材料进场且由此导致的一切责任和后果由乙方承担。</w:t>
      </w:r>
    </w:p>
    <w:p w14:paraId="1AEAEC6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乙方供应的本工程材料、设备须为全新的、未曾使用的原厂产品(质量不得低于国标及合同要求)，由乙方负责供应至工程现场。材料设备进场前，乙方须将拟进场品牌报经甲方书面同意，否则须向甲方支付违约金贰仟元/次，且按甲方要求更换品牌。乙供材料、设备的生产日期距离进场日期不得超过三个月。</w:t>
      </w:r>
    </w:p>
    <w:p w14:paraId="07AB85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甲方发现乙方使用不符合设计或合同要求的材料或设备时，可要求乙方重新供应符合合同要求的材料（设备）并承担费用（含重新施工费用），同时乙方须向甲方支付壹万元/次的违约金，由此延误的工期不予顺延。若乙方不更换材料或设备，甲方有权单方解除合同且不支付未付合同款并将未完工工程另行发包，乙方须退回已收款项及赔偿甲方损失。</w:t>
      </w:r>
    </w:p>
    <w:p w14:paraId="1B185AB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5.5乙方采用适当的方式将本工程所涉材料、设备、工具运达工地现场，并承担保管的费用及责任，直至本工程移交给甲方为止。</w:t>
      </w:r>
    </w:p>
    <w:p w14:paraId="652200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5.6乙方对进场货物进行妥善的包装、围蔽、保护等。除产品质量不符合要求外，非经甲方书面同意，所有已进场的材料设备不能运出工地。</w:t>
      </w:r>
    </w:p>
    <w:p w14:paraId="2D2830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5.7材料、设备在使用前，按政府主管部门的规定及甲方要求进行必要的现场抽样送检（尤其设计压力管材），相关费用由乙方承担。见证取样送检人员须由甲方、监理单位及乙方人员组成，按政府相关规定取得检测合格证明后方可投入使用。送检结果不合格的材料、设备不得使用。未经现场见证取样送检的材料（尤其设计压力管材），无论是否取得检测合格证明皆不得用于本工程，如有使用，甲方有权不予验收和结算，乙方每次须向甲方支付违约金壹万元并承担因此导致的所有后果。</w:t>
      </w:r>
    </w:p>
    <w:p w14:paraId="2846FA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5.8用于本工程的主要材料、设备，乙方须提供产品说明书、操作说明、生产证明、合格证明、厂家保修资料、二维码（如有）、政府主管部门及厂家认可的防伪标签等资料给甲方。</w:t>
      </w:r>
    </w:p>
    <w:p w14:paraId="789B35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5.9由于乙方原因导致工程任一部位质量达不到约定的质量标准或不符合施工规范的，该部位按相应的合同单价下调10％结算且乙方无条件完成整改，所发生一切费用由乙方自行承担。</w:t>
      </w:r>
    </w:p>
    <w:p w14:paraId="1FB44BF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5.10乙供材料收货验收流程及标准</w:t>
      </w:r>
    </w:p>
    <w:p w14:paraId="6F015EE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5.10.1乙方中标后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做为各阶段进度计划的附页及退场时的核查依据。</w:t>
      </w:r>
    </w:p>
    <w:p w14:paraId="2915049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乙方在选择运输材料机具时，须提前向甲方项目部安全员报备，选择适合的路线准时抵达，避免现场车辆拥堵，运输车辆总重不得超过现场道路限载并服从甲方指挥，装卸时注意施工安全。</w:t>
      </w:r>
    </w:p>
    <w:p w14:paraId="500EF5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施工周转材料和小型机具，进场前应报甲方项目部检查，并做好特殊标记，由备案人员进行清点后方可使用，无特殊标记的周转材料不得进场，私自进场的不得外运。</w:t>
      </w:r>
    </w:p>
    <w:p w14:paraId="40533F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5.10.2甲方项目施工员在乙供材料、设备进场时对品牌、规格、型号、质量等进行抽检并拍照留存。</w:t>
      </w:r>
    </w:p>
    <w:p w14:paraId="2009FE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5.10.3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0CCFF83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不低于壹万元/次），甲方有权在应付乙方的任何合同款中自行扣取违约金。</w:t>
      </w:r>
    </w:p>
    <w:p w14:paraId="701DFE1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 xml:space="preserve">5.10.5乙方用于本工程的所有材料及机械设备必须符合现行国家及项目当地的相关规定，同时按甲方《分包单位材料管理制度》执行。 </w:t>
      </w:r>
    </w:p>
    <w:p w14:paraId="023A2D2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5.11乙方必须以甲方验收合格为标准，无条件的接受返工、整改，工期不得顺延。</w:t>
      </w:r>
    </w:p>
    <w:p w14:paraId="6F5D2FB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5.12</w:t>
      </w:r>
      <w:r>
        <w:rPr>
          <w:rFonts w:hint="eastAsia" w:ascii="仿宋" w:hAnsi="仿宋" w:eastAsia="仿宋" w:cs="仿宋"/>
          <w:i w:val="0"/>
          <w:iCs w:val="0"/>
          <w:color w:val="auto"/>
          <w:sz w:val="28"/>
          <w:szCs w:val="28"/>
          <w:highlight w:val="none"/>
          <w:shd w:val="clear" w:color="auto" w:fill="auto"/>
          <w:lang w:val="en-US" w:eastAsia="zh-CN"/>
        </w:rPr>
        <w:t>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r>
        <w:rPr>
          <w:rFonts w:hint="eastAsia" w:ascii="仿宋" w:hAnsi="仿宋" w:eastAsia="仿宋" w:cs="仿宋"/>
          <w:color w:val="auto"/>
          <w:sz w:val="28"/>
          <w:szCs w:val="28"/>
          <w:highlight w:val="none"/>
        </w:rPr>
        <w:t xml:space="preserve">          </w:t>
      </w:r>
    </w:p>
    <w:p w14:paraId="38445B8E">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8" w:name="_Toc3116"/>
      <w:r>
        <w:rPr>
          <w:rFonts w:hint="eastAsia" w:ascii="仿宋" w:hAnsi="仿宋" w:eastAsia="仿宋" w:cs="仿宋"/>
          <w:b/>
          <w:bCs/>
          <w:i w:val="0"/>
          <w:iCs w:val="0"/>
          <w:color w:val="auto"/>
          <w:sz w:val="28"/>
          <w:szCs w:val="28"/>
          <w:highlight w:val="none"/>
          <w:shd w:val="clear" w:color="auto" w:fill="auto"/>
          <w:lang w:val="en-US" w:eastAsia="zh-CN"/>
        </w:rPr>
        <w:t>合同价款</w:t>
      </w:r>
      <w:bookmarkEnd w:id="72"/>
      <w:bookmarkEnd w:id="73"/>
      <w:bookmarkEnd w:id="74"/>
      <w:bookmarkEnd w:id="78"/>
    </w:p>
    <w:p w14:paraId="4BA28F7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乙方完成本合同第三章承包范围内所述工作、实现第四章工期要求、第五章质量要求及承担合同义务、责任、风险的费用已包括在下列合同价（以打</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 w:hAnsi="仿宋" w:eastAsia="仿宋" w:cs="仿宋"/>
          <w:i w:val="0"/>
          <w:iCs w:val="0"/>
          <w:color w:val="auto"/>
          <w:sz w:val="28"/>
          <w:szCs w:val="28"/>
          <w:highlight w:val="none"/>
        </w:rPr>
        <w:t>为准）中。</w:t>
      </w:r>
    </w:p>
    <w:p w14:paraId="5EEF5FB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w:char="00FE"/>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b/>
          <w:bCs/>
          <w:i w:val="0"/>
          <w:iCs w:val="0"/>
          <w:color w:val="auto"/>
          <w:kern w:val="0"/>
          <w:sz w:val="28"/>
          <w:szCs w:val="28"/>
          <w:highlight w:val="none"/>
          <w:shd w:val="clear" w:color="auto" w:fill="auto"/>
          <w:lang w:val="en-US" w:eastAsia="zh-CN"/>
        </w:rPr>
        <w:t>工程量按合同约定计量规则计算。</w:t>
      </w:r>
      <w:r>
        <w:rPr>
          <w:rFonts w:hint="eastAsia" w:ascii="仿宋" w:hAnsi="仿宋" w:eastAsia="仿宋" w:cs="仿宋"/>
          <w:b/>
          <w:bCs/>
          <w:i w:val="0"/>
          <w:iCs w:val="0"/>
          <w:color w:val="auto"/>
          <w:sz w:val="28"/>
          <w:szCs w:val="28"/>
          <w:highlight w:val="none"/>
          <w:shd w:val="clear" w:color="auto" w:fill="auto"/>
          <w:lang w:val="en-US" w:eastAsia="zh-CN"/>
        </w:rPr>
        <w:t>合同单价（详见附件一）为全费用固定综合单价，乙方开具税率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%的增值税专用发票（税率按国家政策执行，如税率调整，合同单价随之调整），除合同另有约定外，合同单价不作任何调整。合同单价包含乙方完成合同附件所述内容的费用。本合同暂定总价为人民币：¥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元整 </w:t>
      </w:r>
      <w:r>
        <w:rPr>
          <w:rFonts w:hint="eastAsia" w:ascii="仿宋" w:hAnsi="仿宋" w:eastAsia="仿宋" w:cs="仿宋"/>
          <w:b/>
          <w:bCs/>
          <w:i w:val="0"/>
          <w:iCs w:val="0"/>
          <w:color w:val="auto"/>
          <w:sz w:val="28"/>
          <w:szCs w:val="28"/>
          <w:highlight w:val="none"/>
          <w:shd w:val="clear" w:color="auto" w:fill="auto"/>
          <w:lang w:val="en-US" w:eastAsia="zh-CN"/>
        </w:rPr>
        <w:t>，此价仅供参考，不作结算用途。</w:t>
      </w:r>
    </w:p>
    <w:p w14:paraId="4D38E50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bCs/>
          <w:i w:val="0"/>
          <w:iCs w:val="0"/>
          <w:color w:val="auto"/>
          <w:sz w:val="28"/>
          <w:szCs w:val="28"/>
          <w:highlight w:val="none"/>
          <w:shd w:val="clear" w:color="auto" w:fill="auto"/>
          <w:lang w:val="en-US" w:eastAsia="zh-CN"/>
        </w:rPr>
        <w:t>本合同为固定总价合同，合同总价为人民币：¥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元整，</w:t>
      </w:r>
      <w:r>
        <w:rPr>
          <w:rFonts w:hint="eastAsia" w:ascii="仿宋" w:hAnsi="仿宋" w:eastAsia="仿宋" w:cs="仿宋"/>
          <w:b/>
          <w:bCs/>
          <w:i w:val="0"/>
          <w:iCs w:val="0"/>
          <w:color w:val="auto"/>
          <w:sz w:val="28"/>
          <w:szCs w:val="28"/>
          <w:highlight w:val="none"/>
          <w:u w:val="none"/>
          <w:shd w:val="clear" w:color="auto" w:fill="auto"/>
          <w:lang w:val="en-US" w:eastAsia="zh-CN"/>
        </w:rPr>
        <w:t>详见附件一），</w:t>
      </w:r>
      <w:r>
        <w:rPr>
          <w:rFonts w:hint="eastAsia" w:ascii="仿宋" w:hAnsi="仿宋" w:eastAsia="仿宋" w:cs="仿宋"/>
          <w:b/>
          <w:bCs/>
          <w:i w:val="0"/>
          <w:iCs w:val="0"/>
          <w:color w:val="auto"/>
          <w:sz w:val="28"/>
          <w:szCs w:val="28"/>
          <w:highlight w:val="none"/>
          <w:shd w:val="clear" w:color="auto" w:fill="auto"/>
          <w:lang w:val="en-US" w:eastAsia="zh-CN"/>
        </w:rPr>
        <w:t>此价含税，乙方开具税率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 w:hAnsi="仿宋" w:eastAsia="仿宋" w:cs="仿宋"/>
          <w:b/>
          <w:bCs/>
          <w:i w:val="0"/>
          <w:iCs w:val="0"/>
          <w:color w:val="auto"/>
          <w:sz w:val="28"/>
          <w:szCs w:val="28"/>
          <w:highlight w:val="none"/>
          <w:u w:val="non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p>
    <w:p w14:paraId="78EE637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bookmarkStart w:id="79" w:name="_Toc19006"/>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条所述价格已考虑“COVID-19”疫情等流行疾病影响，乙方不以疫情等疾病防控为由要求甲方对该价格、合同结算办法及工期等合同条款进行调整，疾病防疫措施的一切费用已包含在合同价内，不另计费。</w:t>
      </w:r>
      <w:bookmarkStart w:id="80" w:name="_Toc5821"/>
      <w:bookmarkStart w:id="81" w:name="_Toc32757"/>
      <w:bookmarkStart w:id="82" w:name="_Toc9761"/>
    </w:p>
    <w:p w14:paraId="2D33C0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6.3合同单价适用于本项目用地红线范围内的全部本工程工作内容，已有价格的子目双方无需另行确定单价，均按已确定价格执行。</w:t>
      </w:r>
    </w:p>
    <w:p w14:paraId="5D2AFB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6.4对于增加或变更工程，须凭甲方项目经理签认的签证单及相关资料办理结算。甲方签证单须有本合同授权的甲方项目经理亲自签字确认并加盖公章的书面文件方为有效签证。甲方项目经理委托/授权他人代签的均为无效签证，</w:t>
      </w:r>
      <w:r>
        <w:rPr>
          <w:rFonts w:hint="eastAsia" w:ascii="仿宋" w:hAnsi="仿宋" w:eastAsia="仿宋" w:cs="仿宋"/>
          <w:i w:val="0"/>
          <w:iCs w:val="0"/>
          <w:color w:val="auto"/>
          <w:sz w:val="28"/>
          <w:szCs w:val="28"/>
          <w:highlight w:val="none"/>
        </w:rPr>
        <w:t>甲方不予办理</w:t>
      </w:r>
      <w:r>
        <w:rPr>
          <w:rFonts w:hint="eastAsia" w:ascii="仿宋" w:hAnsi="仿宋" w:eastAsia="仿宋" w:cs="仿宋"/>
          <w:i w:val="0"/>
          <w:iCs w:val="0"/>
          <w:color w:val="auto"/>
          <w:sz w:val="28"/>
          <w:szCs w:val="28"/>
          <w:highlight w:val="none"/>
          <w:lang w:val="en-US" w:eastAsia="zh-CN"/>
        </w:rPr>
        <w:t>付款及结算。</w:t>
      </w:r>
      <w:r>
        <w:rPr>
          <w:rFonts w:hint="eastAsia" w:ascii="仿宋" w:hAnsi="仿宋" w:eastAsia="仿宋" w:cs="仿宋"/>
          <w:b w:val="0"/>
          <w:bCs w:val="0"/>
          <w:i w:val="0"/>
          <w:iCs w:val="0"/>
          <w:color w:val="auto"/>
          <w:sz w:val="28"/>
          <w:szCs w:val="28"/>
          <w:highlight w:val="none"/>
          <w:lang w:val="en-US" w:eastAsia="zh-CN"/>
        </w:rPr>
        <w:t>任何人口头指示、通知不作为结算依据。未经甲方盖章书面签证确认或乙方超出图纸、合同清单范围施工的工程量，不属于增加工程，结算时不纳入结算范围。</w:t>
      </w:r>
    </w:p>
    <w:p w14:paraId="11A16B3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6.5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bookmarkEnd w:id="80"/>
      <w:bookmarkEnd w:id="81"/>
      <w:bookmarkEnd w:id="82"/>
    </w:p>
    <w:bookmarkEnd w:id="79"/>
    <w:p w14:paraId="0578388A">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3" w:name="_Toc8879"/>
      <w:bookmarkStart w:id="84" w:name="_Toc1849"/>
      <w:r>
        <w:rPr>
          <w:rFonts w:hint="eastAsia" w:ascii="仿宋" w:hAnsi="仿宋" w:eastAsia="仿宋" w:cs="仿宋"/>
          <w:b/>
          <w:bCs/>
          <w:i w:val="0"/>
          <w:iCs w:val="0"/>
          <w:color w:val="auto"/>
          <w:sz w:val="28"/>
          <w:szCs w:val="28"/>
          <w:highlight w:val="none"/>
          <w:shd w:val="clear" w:color="auto" w:fill="auto"/>
          <w:lang w:val="en-US" w:eastAsia="zh-CN"/>
        </w:rPr>
        <w:t>计量计价方式及结算方式</w:t>
      </w:r>
      <w:bookmarkEnd w:id="83"/>
      <w:bookmarkEnd w:id="84"/>
    </w:p>
    <w:p w14:paraId="015F60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1428AD8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482FC3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固定单价合同结算方式：结算总价=完成并达到合同标准的工程量</w:t>
      </w:r>
      <w:r>
        <w:rPr>
          <w:rFonts w:hint="eastAsia" w:ascii="仿宋" w:hAnsi="仿宋" w:eastAsia="仿宋" w:cs="仿宋"/>
          <w:b w:val="0"/>
          <w:bCs w:val="0"/>
          <w:i w:val="0"/>
          <w:iCs w:val="0"/>
          <w:color w:val="auto"/>
          <w:sz w:val="28"/>
          <w:szCs w:val="28"/>
          <w:highlight w:val="none"/>
          <w:shd w:val="clear" w:color="auto" w:fill="auto"/>
          <w:lang w:val="en-US" w:eastAsia="zh-CN"/>
        </w:rPr>
        <w:t>×合同单价-合同约定扣除费用。</w:t>
      </w:r>
    </w:p>
    <w:p w14:paraId="629C2F6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7.2工程量计算原则</w:t>
      </w:r>
    </w:p>
    <w:p w14:paraId="318307A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7.2.1固定总价合同:合同范围内的按合同约定的计算原则执行，合同无约定或合同范围外的签证、变更工程计量方式按7.3~7.4条规则执行。</w:t>
      </w:r>
    </w:p>
    <w:p w14:paraId="1B17C9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7.2.2固定单价合同：合同范围内、合同无约定或合同范围外的签证、变更工程计量方式按7.3~7.4条规则执行。</w:t>
      </w:r>
    </w:p>
    <w:p w14:paraId="6C4F59D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7.3工程量计量规则：</w:t>
      </w:r>
      <w:r>
        <w:rPr>
          <w:rFonts w:hint="eastAsia" w:ascii="仿宋" w:hAnsi="仿宋" w:eastAsia="仿宋" w:cs="仿宋"/>
          <w:b w:val="0"/>
          <w:bCs w:val="0"/>
          <w:i w:val="0"/>
          <w:iCs w:val="0"/>
          <w:color w:val="auto"/>
          <w:sz w:val="28"/>
          <w:szCs w:val="28"/>
          <w:highlight w:val="none"/>
          <w:lang w:val="en-US" w:eastAsia="zh-CN"/>
        </w:rPr>
        <w:t>执行《江苏省建筑与装饰工程计价定额(2014)》工程量计算规则、《江苏省安装工程计价定额(2014)》工程量计算规则、《江苏省市政工程计价定额(2014)》工程量计算规则、《江苏省城市园林绿化养护管理计价定额(2017)》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4E4B9DF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7.4计量依据（须完成施工并验收合格的方可作为计量依据）</w:t>
      </w:r>
    </w:p>
    <w:p w14:paraId="08D9B2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7.4.1甲方招标报价版施工图纸或甲方签认下发的施工图；</w:t>
      </w:r>
    </w:p>
    <w:p w14:paraId="33F399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7.4.2设计变更、甲方与建设单位签认的交楼标准、联系单及签证单；</w:t>
      </w:r>
    </w:p>
    <w:p w14:paraId="25B1086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7.4.3甲方、建设单位、监理签认的竣工图；</w:t>
      </w:r>
    </w:p>
    <w:p w14:paraId="16771B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7.4.4图纸会审纪要；</w:t>
      </w:r>
    </w:p>
    <w:p w14:paraId="4314688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7.4.5质监站要求而图纸中没有的报建设方同意施工的内容；</w:t>
      </w:r>
    </w:p>
    <w:p w14:paraId="4103FA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7.4.6甲方书面另行安排要求施工的内容。</w:t>
      </w:r>
    </w:p>
    <w:p w14:paraId="41A13DF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7.5签证工程管理制度</w:t>
      </w:r>
    </w:p>
    <w:p w14:paraId="4132518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 xml:space="preserve">7.5.1签证必须包括的内容资料及要求（格式详见合同附件）   </w:t>
      </w:r>
    </w:p>
    <w:p w14:paraId="59CFE9D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7.5.1.1签证单签发时间及编号；</w:t>
      </w:r>
    </w:p>
    <w:p w14:paraId="75F6C26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7.5.1.2签证事实发生的原因、工作内容、完成的工程量；</w:t>
      </w:r>
    </w:p>
    <w:p w14:paraId="338D0B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7.5.1.3签证单（含附件：①草签单，②通知单/联系单/设计变更文件，③影像资料）由乙方按甲方规定的格式填写。</w:t>
      </w:r>
    </w:p>
    <w:p w14:paraId="567B5DE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7.5.1.4执行签证事实的依据：例如</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val="en-US" w:eastAsia="zh-CN"/>
        </w:rPr>
        <w:t>签发的建设单位通知、联系函、设计变更等文件。</w:t>
      </w:r>
    </w:p>
    <w:p w14:paraId="61B8520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7.5.1.5对于无法按图计算的工程内容或者比较重要的签证，须附现场彩色相片，特别是临时增补工程，比如：园林苗木的更换、基础换填、零星工程、隐蔽工程、水电迁移、拆改过程等；</w:t>
      </w:r>
    </w:p>
    <w:p w14:paraId="6A2594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5D72225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7.5.1.7签证执行“一事一签证”的原则，分别列明，不能混编，当出现零星维修、抢修、改造工程，工程量少，过程中间接工序多，无法实际、准确反映乙方实际成本的，必须清楚记录具体部位和实际用工记录。</w:t>
      </w:r>
    </w:p>
    <w:p w14:paraId="3AF4C0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7.5.1.8乙方现场执行人签名及印章内容不清楚、不齐全的签证单或工程量计算单，甲方项目部有权拒收。</w:t>
      </w:r>
    </w:p>
    <w:p w14:paraId="03ECDE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7.5.1.9甲方与乙方的签证和建设单位与甲方的签证，以小的量、价对乙方签证确认。</w:t>
      </w:r>
    </w:p>
    <w:p w14:paraId="35809A6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7.5.1.10甲方与建设单位办理了签证单，而该签证单内容甲方又分给了多家施工单位完成的，则乙方须提供甲乙双方确认的《签证单分包说明》作为乙方结算依据，乙方方可结算。</w:t>
      </w:r>
    </w:p>
    <w:p w14:paraId="405238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7.5.1.11甲方与建设单位未办理签证单，属于绿色文明施工范围内或因其它原因，如临时设施等，甲方确需与乙方办理签证的情况，则用《分包签证确认单》方可作为结算依据。</w:t>
      </w:r>
    </w:p>
    <w:p w14:paraId="7C4F65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7.5.1.12分包单位签证确认单必须为经过该表格所有岗位人员按照流程签名确认的方为有效签证，</w:t>
      </w:r>
      <w:r>
        <w:rPr>
          <w:rFonts w:hint="eastAsia" w:ascii="仿宋" w:hAnsi="仿宋" w:eastAsia="仿宋" w:cs="仿宋"/>
          <w:b w:val="0"/>
          <w:bCs w:val="0"/>
          <w:i w:val="0"/>
          <w:iCs w:val="0"/>
          <w:color w:val="auto"/>
          <w:sz w:val="28"/>
          <w:szCs w:val="28"/>
          <w:highlight w:val="none"/>
          <w:shd w:val="clear" w:color="auto" w:fill="auto"/>
          <w:lang w:val="en-US" w:eastAsia="zh-CN"/>
        </w:rPr>
        <w:t>否则甲方不予办理结算。</w:t>
      </w:r>
    </w:p>
    <w:p w14:paraId="4DA6BC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7.5.2乙方申报签证程序</w:t>
      </w:r>
    </w:p>
    <w:p w14:paraId="4C4CF03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181292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7.5.2.2草签单由甲方的施工员、成本管理员、副经理共同现场收方、见证完成并签名，乙方则由合同约定的现场执行人签认。</w:t>
      </w:r>
    </w:p>
    <w:p w14:paraId="48D1BE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7.5.2.3草签单须提供施工前、施工中、施工后的照片、签证预算书作为乙方向甲方办理“分包签证确认单”的必备附件。</w:t>
      </w:r>
    </w:p>
    <w:p w14:paraId="204016C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7.5.3零星工时计价及相关规定</w:t>
      </w:r>
    </w:p>
    <w:p w14:paraId="6915C7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7.5.3.1零星用工以分包签证确认单的方式结算，工程量以该签证单确认工程量计算。</w:t>
      </w:r>
    </w:p>
    <w:p w14:paraId="1FC0713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7.5.3.2甲方范围内的零星用工单价：按230元/工日（含税）计取。</w:t>
      </w:r>
    </w:p>
    <w:p w14:paraId="38198FF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262C00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7.5.3.4零星时工签证要求及申报程序按照签证管理制度第7.5.1~7.5.2条款执行。</w:t>
      </w:r>
    </w:p>
    <w:p w14:paraId="5E71D45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7.6计价依据</w:t>
      </w:r>
    </w:p>
    <w:p w14:paraId="66E7B9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7.6.1合同范围内的工程，按合同价格执行；</w:t>
      </w:r>
    </w:p>
    <w:p w14:paraId="3D7593D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7.6.2合同范围外的签证变更价款的调整方法，</w:t>
      </w:r>
      <w:r>
        <w:rPr>
          <w:rFonts w:hint="eastAsia" w:ascii="仿宋" w:hAnsi="仿宋" w:eastAsia="仿宋" w:cs="仿宋"/>
          <w:b w:val="0"/>
          <w:bCs w:val="0"/>
          <w:i w:val="0"/>
          <w:iCs w:val="0"/>
          <w:color w:val="auto"/>
          <w:sz w:val="28"/>
          <w:szCs w:val="28"/>
          <w:highlight w:val="none"/>
          <w:shd w:val="clear" w:color="auto" w:fill="auto"/>
          <w:lang w:val="en-US" w:eastAsia="zh-CN"/>
        </w:rPr>
        <w:t>按下述办法执行：</w:t>
      </w:r>
    </w:p>
    <w:p w14:paraId="6B5F74F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7.6.2.1合同中已有适用于变更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工程的价格时，按合同已有的价格执行；</w:t>
      </w:r>
    </w:p>
    <w:p w14:paraId="6D49FA8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7.6.2.2合同中只有类似于变更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工程的价格时，可在合理范围内参照类似价格执行；</w:t>
      </w:r>
    </w:p>
    <w:p w14:paraId="699E841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7.6.2.3合同中没有适用或类似于变更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工程的价格时，按下述第7.7条规则执行。</w:t>
      </w:r>
    </w:p>
    <w:p w14:paraId="1635FA7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7.7计价规则</w:t>
      </w:r>
    </w:p>
    <w:p w14:paraId="705A1F8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7.7.1</w:t>
      </w:r>
      <w:r>
        <w:rPr>
          <w:rFonts w:hint="eastAsia" w:ascii="仿宋" w:hAnsi="仿宋" w:eastAsia="仿宋" w:cs="仿宋"/>
          <w:b w:val="0"/>
          <w:bCs w:val="0"/>
          <w:i w:val="0"/>
          <w:iCs w:val="0"/>
          <w:color w:val="auto"/>
          <w:sz w:val="28"/>
          <w:szCs w:val="28"/>
          <w:highlight w:val="none"/>
          <w:lang w:val="en-US" w:eastAsia="zh-CN"/>
        </w:rPr>
        <w:t>本工程执行《江苏省建筑与装饰工程计价定额(2014)》、《江苏省安装工程计价定额(2014)》清单计价程序取费，绿化部分执行《江苏省城市园林绿化养护管理计价定额(2017)》清单计价程序取费。采用清单计价，执行《建设工程工程量清单计价规范》（GB50500—2013）；同时执行《江苏省建设工程计价依据》：《江苏省建筑与装饰工程计价定额(2014)》、《江苏省安装工程计价定额(2014)》、《江苏省市政工程计价定额(2014)》、《江苏省城市园林绿化养护管理计价定额(2017)》、《江苏省工程量清单计价指引（2013)》等以及国家行政主管部门颁布的相关规定文件；若无合适的定额子目可参考或套用定额子目单价明显偏高的，由乙方按照市场价格合理报价给甲方作认质认价办理，经甲方确认综合单价后作为独立费计入总价（计取税金），不参与任何取费及上下浮。</w:t>
      </w:r>
    </w:p>
    <w:p w14:paraId="7AA339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5CD2A68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7.7.3计价中除仅计取人工费、材料费、机具费作为直接工程费外，其余按系数计取的各类取费均不计取，另外其他所有措施费均不单独计取费用。</w:t>
      </w:r>
    </w:p>
    <w:p w14:paraId="23D62C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7.7.4税率：按国家建设行政主管部门及国家税务部门的最新规定执行。</w:t>
      </w:r>
    </w:p>
    <w:p w14:paraId="73D77BB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7.7.5按上述计费方式得出价款后（甲方直接确认的综合单价不参与上下浮的除外）：包工不包料合同按以上计价方式（仅计取人工费和分包提供的辅材和机械费）税前下浮</w:t>
      </w:r>
      <w:r>
        <w:rPr>
          <w:rFonts w:hint="eastAsia" w:ascii="仿宋" w:hAnsi="仿宋" w:eastAsia="仿宋" w:cs="仿宋"/>
          <w:b w:val="0"/>
          <w:bCs w:val="0"/>
          <w:i w:val="0"/>
          <w:iCs w:val="0"/>
          <w:color w:val="auto"/>
          <w:sz w:val="28"/>
          <w:szCs w:val="28"/>
          <w:highlight w:val="none"/>
          <w:u w:val="single"/>
          <w:shd w:val="clear" w:color="auto" w:fill="auto"/>
          <w:lang w:val="en-US" w:eastAsia="zh-CN"/>
        </w:rPr>
        <w:t>15%</w:t>
      </w:r>
      <w:r>
        <w:rPr>
          <w:rFonts w:hint="eastAsia" w:ascii="仿宋" w:hAnsi="仿宋" w:eastAsia="仿宋" w:cs="仿宋"/>
          <w:b w:val="0"/>
          <w:bCs w:val="0"/>
          <w:i w:val="0"/>
          <w:iCs w:val="0"/>
          <w:color w:val="auto"/>
          <w:sz w:val="28"/>
          <w:szCs w:val="28"/>
          <w:highlight w:val="none"/>
          <w:shd w:val="clear" w:color="auto" w:fill="auto"/>
          <w:lang w:val="en-US" w:eastAsia="zh-CN"/>
        </w:rPr>
        <w:t>后计取税金；包工包料的工程按以上计价方式</w:t>
      </w:r>
      <w:r>
        <w:rPr>
          <w:rFonts w:hint="eastAsia" w:ascii="仿宋" w:hAnsi="仿宋" w:eastAsia="仿宋" w:cs="仿宋"/>
          <w:b w:val="0"/>
          <w:bCs w:val="0"/>
          <w:i w:val="0"/>
          <w:iCs w:val="0"/>
          <w:color w:val="auto"/>
          <w:sz w:val="28"/>
          <w:szCs w:val="28"/>
          <w:highlight w:val="none"/>
          <w:lang w:val="en-US" w:eastAsia="zh-CN"/>
        </w:rPr>
        <w:t>（仅计取人工费、材料费和机械费）税前</w:t>
      </w:r>
      <w:r>
        <w:rPr>
          <w:rFonts w:hint="eastAsia" w:ascii="仿宋" w:hAnsi="仿宋" w:eastAsia="仿宋" w:cs="仿宋"/>
          <w:b w:val="0"/>
          <w:bCs w:val="0"/>
          <w:i w:val="0"/>
          <w:iCs w:val="0"/>
          <w:strike w:val="0"/>
          <w:dstrike w:val="0"/>
          <w:color w:val="auto"/>
          <w:sz w:val="28"/>
          <w:szCs w:val="28"/>
          <w:highlight w:val="none"/>
          <w:shd w:val="clear" w:color="auto" w:fill="auto"/>
          <w:lang w:val="en-US" w:eastAsia="zh-CN"/>
        </w:rPr>
        <w:t>下浮</w:t>
      </w:r>
      <w:r>
        <w:rPr>
          <w:rFonts w:hint="eastAsia" w:ascii="仿宋" w:hAnsi="仿宋" w:eastAsia="仿宋" w:cs="仿宋"/>
          <w:b w:val="0"/>
          <w:bCs w:val="0"/>
          <w:i w:val="0"/>
          <w:iCs w:val="0"/>
          <w:color w:val="auto"/>
          <w:sz w:val="28"/>
          <w:szCs w:val="28"/>
          <w:highlight w:val="none"/>
          <w:u w:val="single"/>
          <w:shd w:val="clear" w:color="auto" w:fill="auto"/>
          <w:lang w:val="en-US" w:eastAsia="zh-CN"/>
        </w:rPr>
        <w:t>35%</w:t>
      </w:r>
      <w:r>
        <w:rPr>
          <w:rFonts w:hint="eastAsia" w:ascii="仿宋" w:hAnsi="仿宋" w:eastAsia="仿宋" w:cs="仿宋"/>
          <w:b w:val="0"/>
          <w:bCs w:val="0"/>
          <w:i w:val="0"/>
          <w:iCs w:val="0"/>
          <w:color w:val="auto"/>
          <w:sz w:val="28"/>
          <w:szCs w:val="28"/>
          <w:highlight w:val="none"/>
          <w:shd w:val="clear" w:color="auto" w:fill="auto"/>
          <w:lang w:val="en-US" w:eastAsia="zh-CN"/>
        </w:rPr>
        <w:t>后计取税金。结算时，如乙方已请款部分开具的发票税率与合同约定不同时，须提供已请款金额及相应税率，且须甲方财务签字确认。</w:t>
      </w:r>
    </w:p>
    <w:p w14:paraId="4457B27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7.8甲方巡检发现存在质量问题或验收不合格的工程，工程量不予结算。</w:t>
      </w:r>
    </w:p>
    <w:p w14:paraId="2E8002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7.9乙方未按甲方要求完成自身工作的，甲方有权安排他人完成并500元/工日/人计价且从应付给乙方的款项中直接扣款，如实际费用超出500元/工日/人，甲方按实际发生的费用从应付给乙方的款项中直接扣款。</w:t>
      </w:r>
    </w:p>
    <w:p w14:paraId="3E521B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7.10</w:t>
      </w:r>
      <w:r>
        <w:rPr>
          <w:rFonts w:hint="eastAsia" w:ascii="仿宋" w:hAnsi="仿宋" w:eastAsia="仿宋" w:cs="仿宋"/>
          <w:b w:val="0"/>
          <w:bCs w:val="0"/>
          <w:i w:val="0"/>
          <w:iCs w:val="0"/>
          <w:color w:val="auto"/>
          <w:sz w:val="28"/>
          <w:szCs w:val="28"/>
          <w:highlight w:val="none"/>
          <w:lang w:val="en-US" w:eastAsia="zh-CN"/>
        </w:rPr>
        <w:t>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3903F8D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7.11乙方办理结算时必须按甲方要求对合同范围内每个组团或每个地块或每栋楼单独结算，否则甲方有权不予结算且不承担任何违约责任。</w:t>
      </w:r>
    </w:p>
    <w:p w14:paraId="4E459B6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7.12乙方办理工程进度款申请书、结算书时必须提供甲方主管施工员和项目经理签名的“工完场清交接单”（详见附件），否则甲方有权不予办理付款及结算。</w:t>
      </w:r>
    </w:p>
    <w:p w14:paraId="0CD6D4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7.13乙方须本着实事求是的精神对工程做出结算，不得虚报工程结算。</w:t>
      </w:r>
    </w:p>
    <w:p w14:paraId="2837857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7.14</w:t>
      </w:r>
      <w:r>
        <w:rPr>
          <w:rFonts w:hint="eastAsia" w:ascii="仿宋" w:hAnsi="仿宋" w:eastAsia="仿宋" w:cs="仿宋"/>
          <w:b w:val="0"/>
          <w:bCs w:val="0"/>
          <w:i w:val="0"/>
          <w:iCs w:val="0"/>
          <w:color w:val="auto"/>
          <w:sz w:val="28"/>
          <w:szCs w:val="28"/>
          <w:highlight w:val="none"/>
          <w:lang w:val="en-US" w:eastAsia="zh-CN"/>
        </w:rPr>
        <w:t>合同内未施工的清单分项、图纸内容，乙方在申报结算书中未扣减其相应费用而向甲方申报结算的，乙方按上述其未施工项目申报的结算金额的200%向甲方支付违约金，违约金可在乙方任一合同款额中扣除。</w:t>
      </w:r>
    </w:p>
    <w:p w14:paraId="7C20506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若乙方申报的结算价经甲方审核后，审减额(审减额=报送总金额-审定金额)与报送总金额之比超过 10% 以上时，核减超过10% 以外的金额乘以20% 作为罚款在结算中一次性扣除。同一事件或所有同样性质的违约或承诺均按本条款及《结算竣工图承诺书》叠加扣罚。</w:t>
      </w:r>
    </w:p>
    <w:p w14:paraId="3D1608B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7.16本工程甲供材损耗率按本合同第十一章对应条款执行。</w:t>
      </w:r>
    </w:p>
    <w:p w14:paraId="669B0EE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7.17乙方提交的结算资料须符合本合同其他条款的要求（格式详见附件《工程结算资料目录》），否则甲方有权不予办理结算且不违约。</w:t>
      </w:r>
    </w:p>
    <w:p w14:paraId="263A64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85" w:name="_Toc27207"/>
      <w:bookmarkStart w:id="86" w:name="_Toc26563"/>
      <w:r>
        <w:rPr>
          <w:rFonts w:hint="eastAsia" w:ascii="仿宋_GB2312" w:hAnsi="仿宋_GB2312" w:eastAsia="仿宋_GB2312" w:cs="仿宋_GB2312"/>
          <w:i w:val="0"/>
          <w:iCs w:val="0"/>
          <w:color w:val="auto"/>
          <w:sz w:val="28"/>
          <w:szCs w:val="28"/>
          <w:highlight w:val="none"/>
          <w:shd w:val="clear" w:color="auto" w:fill="auto"/>
          <w:lang w:val="en-US" w:eastAsia="zh-CN"/>
        </w:rPr>
        <w:t>7.18乙方承诺按甲方要求编汇竣工图并按甲方要求提报甲方，承诺竣工图内容与现场实际完全相符（详见附件《结算竣工图承诺书》格式），如合同内未施工的清单分项、图纸内容或竣工图内容或工程量大于现场实际的情形或虚报甲方等有弄虚作假行为的，结算处罚办法按本合同第7.15条执行。</w:t>
      </w:r>
      <w:bookmarkEnd w:id="85"/>
      <w:bookmarkEnd w:id="86"/>
    </w:p>
    <w:p w14:paraId="5F9C957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7" w:name="_Toc20321"/>
      <w:r>
        <w:rPr>
          <w:rFonts w:hint="eastAsia" w:ascii="仿宋" w:hAnsi="仿宋" w:eastAsia="仿宋" w:cs="仿宋"/>
          <w:b/>
          <w:bCs/>
          <w:i w:val="0"/>
          <w:iCs w:val="0"/>
          <w:color w:val="auto"/>
          <w:sz w:val="28"/>
          <w:szCs w:val="28"/>
          <w:highlight w:val="none"/>
          <w:shd w:val="clear" w:color="auto" w:fill="auto"/>
          <w:lang w:val="en-US" w:eastAsia="zh-CN"/>
        </w:rPr>
        <w:t>付款方式</w:t>
      </w:r>
      <w:bookmarkEnd w:id="87"/>
    </w:p>
    <w:p w14:paraId="1A49BD1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sym w:font="Wingdings" w:char="00FE"/>
      </w:r>
      <w:r>
        <w:rPr>
          <w:rFonts w:hint="eastAsia" w:ascii="仿宋" w:hAnsi="仿宋" w:eastAsia="仿宋" w:cs="仿宋"/>
          <w:b/>
          <w:bCs/>
          <w:color w:val="auto"/>
          <w:sz w:val="28"/>
          <w:szCs w:val="28"/>
          <w:highlight w:val="none"/>
          <w:lang w:val="en-US" w:eastAsia="zh-CN"/>
        </w:rPr>
        <w:t>8.1付款方式一</w:t>
      </w:r>
    </w:p>
    <w:p w14:paraId="6738E8E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8.1.1主体结构：以单栋厂房（塔楼）的建筑物、构筑物的基础结构至二层顶板（三层板面）及塔楼附属的地下管廊水电线管预埋完成并浇筑完成为节点，按单栋厂房合同暂定价的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lang w:val="en-US" w:eastAsia="zh-CN"/>
        </w:rPr>
        <w:t>支付（含甲方工人工资专用账号支付给乙方工人工资款额），并且不超合同暂定总价的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11C592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8.1.2</w:t>
      </w:r>
      <w:r>
        <w:rPr>
          <w:rFonts w:hint="eastAsia" w:ascii="仿宋" w:hAnsi="仿宋" w:eastAsia="仿宋" w:cs="仿宋"/>
          <w:i w:val="0"/>
          <w:iCs w:val="0"/>
          <w:caps w:val="0"/>
          <w:color w:val="auto"/>
          <w:spacing w:val="0"/>
          <w:sz w:val="28"/>
          <w:szCs w:val="28"/>
          <w:highlight w:val="none"/>
          <w:lang w:val="en-US" w:eastAsia="zh-CN"/>
        </w:rPr>
        <w:t>主</w:t>
      </w:r>
      <w:r>
        <w:rPr>
          <w:rFonts w:hint="eastAsia" w:ascii="仿宋_GB2312" w:hAnsi="仿宋_GB2312" w:eastAsia="仿宋_GB2312" w:cs="仿宋_GB2312"/>
          <w:i w:val="0"/>
          <w:iCs w:val="0"/>
          <w:color w:val="auto"/>
          <w:sz w:val="28"/>
          <w:szCs w:val="28"/>
          <w:highlight w:val="none"/>
          <w:shd w:val="clear" w:color="auto" w:fill="auto"/>
          <w:lang w:val="en-US" w:eastAsia="zh-CN"/>
        </w:rPr>
        <w:t>体结构：以单栋厂房（塔楼）的建筑物、构筑物的三层墙柱至上人屋面，楼梯间及电梯间不上人屋面水电线管预埋完成并浇筑完成为节点，按单栋厂房合同暂定价的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5%</w:t>
      </w:r>
      <w:r>
        <w:rPr>
          <w:rFonts w:hint="eastAsia" w:ascii="仿宋_GB2312" w:hAnsi="仿宋_GB2312" w:eastAsia="仿宋_GB2312" w:cs="仿宋_GB2312"/>
          <w:i w:val="0"/>
          <w:iCs w:val="0"/>
          <w:color w:val="auto"/>
          <w:sz w:val="28"/>
          <w:szCs w:val="28"/>
          <w:highlight w:val="none"/>
          <w:shd w:val="clear" w:color="auto" w:fill="auto"/>
          <w:lang w:val="en-US" w:eastAsia="zh-CN"/>
        </w:rPr>
        <w:t>支付（含甲方工人工资专用账号支付给乙方工人工资款额），并且不超合同暂定总价的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0BE7386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8.1.3砌体及二次结构：以单栋厂房（塔楼）的建筑物、构筑物的基础结构及塔楼附属的地下管廊至上人屋面，楼梯间及电梯间不上人屋面电线穿线完成且给水管试压完成为节点，按单栋厂房合同暂定价的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w:t>
      </w:r>
      <w:r>
        <w:rPr>
          <w:rFonts w:hint="eastAsia" w:ascii="仿宋_GB2312" w:hAnsi="仿宋_GB2312" w:eastAsia="仿宋_GB2312" w:cs="仿宋_GB2312"/>
          <w:i w:val="0"/>
          <w:iCs w:val="0"/>
          <w:color w:val="auto"/>
          <w:sz w:val="28"/>
          <w:szCs w:val="28"/>
          <w:highlight w:val="none"/>
          <w:shd w:val="clear" w:color="auto" w:fill="auto"/>
          <w:lang w:val="en-US" w:eastAsia="zh-CN"/>
        </w:rPr>
        <w:t>支付（含甲方工人工资专用账号支付给乙方工人工资款额），并且不超合同总暂定价的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24%</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942F5B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8.1.4塔楼内部水电工程：以单栋厂房（塔楼）的灯具及面板、排水管道完成且以本栋外架拆除完毕为节点，外架拆除后，外墙清洗完毕，且甲方验收合格，按单栋厂房合同暂定价的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36%</w:t>
      </w:r>
      <w:r>
        <w:rPr>
          <w:rFonts w:hint="eastAsia" w:ascii="仿宋_GB2312" w:hAnsi="仿宋_GB2312" w:eastAsia="仿宋_GB2312" w:cs="仿宋_GB2312"/>
          <w:i w:val="0"/>
          <w:iCs w:val="0"/>
          <w:color w:val="auto"/>
          <w:sz w:val="28"/>
          <w:szCs w:val="28"/>
          <w:highlight w:val="none"/>
          <w:shd w:val="clear" w:color="auto" w:fill="auto"/>
          <w:lang w:val="en-US" w:eastAsia="zh-CN"/>
        </w:rPr>
        <w:t>支付（含甲方工人工资专用账号支付给乙方工人工资款额），并且不超合同总暂定价的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60%</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278BAE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aps w:val="0"/>
          <w:color w:val="auto"/>
          <w:spacing w:val="0"/>
          <w:sz w:val="28"/>
          <w:szCs w:val="28"/>
          <w:highlight w:val="none"/>
          <w:lang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8.1.5</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（含管沟、管廊及本组团</w:t>
      </w:r>
      <w:r>
        <w:rPr>
          <w:rFonts w:hint="eastAsia" w:ascii="仿宋" w:hAnsi="仿宋" w:eastAsia="仿宋" w:cs="仿宋"/>
          <w:i w:val="0"/>
          <w:iCs w:val="0"/>
          <w:caps w:val="0"/>
          <w:color w:val="auto"/>
          <w:spacing w:val="0"/>
          <w:sz w:val="28"/>
          <w:szCs w:val="28"/>
          <w:highlight w:val="none"/>
          <w:u w:val="none"/>
          <w:lang w:eastAsia="zh-CN"/>
        </w:rPr>
        <w:t>所有附属工程）及本项目任一组团工程所有给排水完成</w:t>
      </w:r>
      <w:r>
        <w:rPr>
          <w:rFonts w:hint="eastAsia" w:ascii="仿宋" w:hAnsi="仿宋" w:eastAsia="仿宋" w:cs="仿宋"/>
          <w:i w:val="0"/>
          <w:iCs w:val="0"/>
          <w:caps w:val="0"/>
          <w:color w:val="auto"/>
          <w:spacing w:val="0"/>
          <w:sz w:val="28"/>
          <w:szCs w:val="28"/>
          <w:highlight w:val="none"/>
          <w:u w:val="none"/>
          <w:lang w:val="en-US" w:eastAsia="zh-CN"/>
        </w:rPr>
        <w:t>闭</w:t>
      </w:r>
      <w:r>
        <w:rPr>
          <w:rFonts w:hint="eastAsia" w:ascii="仿宋" w:hAnsi="仿宋" w:eastAsia="仿宋" w:cs="仿宋"/>
          <w:i w:val="0"/>
          <w:iCs w:val="0"/>
          <w:caps w:val="0"/>
          <w:color w:val="auto"/>
          <w:spacing w:val="0"/>
          <w:sz w:val="28"/>
          <w:szCs w:val="28"/>
          <w:highlight w:val="none"/>
          <w:u w:val="none"/>
          <w:lang w:eastAsia="zh-CN"/>
        </w:rPr>
        <w:t>水或通球试验合格，且电气工程调试完成可正常运行，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3D0F1C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8.1.6本项目任一组团工程乙方承包范围内全部工作内容施工完成，并经政府住建相关行政主管部门竣工综合验收通过，</w:t>
      </w:r>
      <w:r>
        <w:rPr>
          <w:rFonts w:hint="eastAsia" w:ascii="仿宋_GB2312" w:hAnsi="仿宋_GB2312" w:eastAsia="仿宋_GB2312" w:cs="仿宋_GB2312"/>
          <w:i w:val="0"/>
          <w:iCs w:val="0"/>
          <w:color w:val="auto"/>
          <w:sz w:val="28"/>
          <w:szCs w:val="28"/>
          <w:highlight w:val="none"/>
          <w:shd w:val="clear" w:color="auto" w:fill="auto"/>
          <w:lang w:val="en-US" w:eastAsia="zh-CN"/>
        </w:rPr>
        <w:t>乙方将验收通过的政府主管部门文件、报告原件、所有本组团工程资料、报告等详细列完整资料清单目录，移交甲方签收后</w:t>
      </w:r>
      <w:r>
        <w:rPr>
          <w:rFonts w:hint="default" w:ascii="仿宋_GB2312" w:hAnsi="仿宋_GB2312" w:eastAsia="仿宋_GB2312" w:cs="仿宋_GB2312"/>
          <w:i w:val="0"/>
          <w:iCs w:val="0"/>
          <w:color w:val="auto"/>
          <w:sz w:val="28"/>
          <w:szCs w:val="28"/>
          <w:highlight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val="en-US" w:eastAsia="zh-CN"/>
        </w:rPr>
        <w:t>且</w:t>
      </w:r>
      <w:r>
        <w:rPr>
          <w:rFonts w:hint="eastAsia" w:ascii="仿宋" w:hAnsi="仿宋" w:eastAsia="仿宋" w:cs="仿宋"/>
          <w:b w:val="0"/>
          <w:bCs w:val="0"/>
          <w:i w:val="0"/>
          <w:iCs w:val="0"/>
          <w:color w:val="auto"/>
          <w:sz w:val="28"/>
          <w:szCs w:val="28"/>
          <w:highlight w:val="none"/>
          <w:u w:val="none"/>
          <w:shd w:val="clear" w:color="auto" w:fill="auto"/>
          <w:lang w:val="en-US" w:eastAsia="zh-CN"/>
        </w:rPr>
        <w:t>经建设单位、监理、甲方、物业等验收通过并移交建设单位或物业公司后，支付至</w:t>
      </w:r>
      <w:r>
        <w:rPr>
          <w:rFonts w:hint="eastAsia" w:ascii="仿宋" w:hAnsi="仿宋" w:eastAsia="仿宋" w:cs="仿宋"/>
          <w:b w:val="0"/>
          <w:bCs w:val="0"/>
          <w:i w:val="0"/>
          <w:iCs w:val="0"/>
          <w:color w:val="auto"/>
          <w:sz w:val="28"/>
          <w:szCs w:val="28"/>
          <w:highlight w:val="none"/>
          <w:u w:val="none"/>
          <w:shd w:val="clear" w:color="auto" w:fill="auto"/>
          <w:lang w:val="en-US" w:eastAsia="zh-CN"/>
        </w:rPr>
        <w:t>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254FEE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 w:hAnsi="仿宋" w:eastAsia="仿宋" w:cs="仿宋"/>
          <w:i w:val="0"/>
          <w:iCs w:val="0"/>
          <w:caps w:val="0"/>
          <w:color w:val="auto"/>
          <w:spacing w:val="0"/>
          <w:sz w:val="28"/>
          <w:szCs w:val="28"/>
          <w:highlight w:val="none"/>
          <w:lang w:val="en-US" w:eastAsia="zh-CN"/>
        </w:rPr>
        <w:t>8.1.7本项目的所有增加工程、变更工程、签证工程等均统一纳入本合同结算范围，并在结算完毕后，同本合结算款一并支付。</w:t>
      </w:r>
    </w:p>
    <w:p w14:paraId="22B0AF4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8.1.8</w:t>
      </w:r>
      <w:r>
        <w:rPr>
          <w:rFonts w:hint="default" w:ascii="仿宋" w:hAnsi="仿宋" w:eastAsia="仿宋" w:cs="仿宋"/>
          <w:color w:val="auto"/>
          <w:sz w:val="28"/>
          <w:szCs w:val="28"/>
          <w:highlight w:val="none"/>
          <w:u w:val="none"/>
          <w:lang w:eastAsia="zh-CN"/>
        </w:rPr>
        <w:t>乙方完成合同8.1.</w:t>
      </w:r>
      <w:r>
        <w:rPr>
          <w:rFonts w:hint="eastAsia" w:ascii="仿宋" w:hAnsi="仿宋" w:eastAsia="仿宋" w:cs="仿宋"/>
          <w:color w:val="auto"/>
          <w:sz w:val="28"/>
          <w:szCs w:val="28"/>
          <w:highlight w:val="none"/>
          <w:u w:val="none"/>
          <w:lang w:val="en-US" w:eastAsia="zh-CN"/>
        </w:rPr>
        <w:t>6</w:t>
      </w:r>
      <w:r>
        <w:rPr>
          <w:rFonts w:hint="default" w:ascii="仿宋" w:hAnsi="仿宋" w:eastAsia="仿宋" w:cs="仿宋"/>
          <w:color w:val="auto"/>
          <w:sz w:val="28"/>
          <w:szCs w:val="28"/>
          <w:highlight w:val="none"/>
          <w:u w:val="none"/>
          <w:lang w:eastAsia="zh-CN"/>
        </w:rPr>
        <w:t>条款所有工作内容后，</w:t>
      </w:r>
      <w:r>
        <w:rPr>
          <w:rFonts w:hint="eastAsia" w:ascii="仿宋" w:hAnsi="仿宋" w:eastAsia="仿宋" w:cs="仿宋"/>
          <w:b w:val="0"/>
          <w:bCs w:val="0"/>
          <w:i w:val="0"/>
          <w:iCs w:val="0"/>
          <w:color w:val="auto"/>
          <w:sz w:val="28"/>
          <w:szCs w:val="28"/>
          <w:highlight w:val="none"/>
          <w:u w:val="none"/>
          <w:shd w:val="clear" w:color="auto" w:fill="auto"/>
          <w:lang w:val="en-US" w:eastAsia="zh-CN"/>
        </w:rPr>
        <w:t>甲乙双方办理本工程结算，</w:t>
      </w:r>
      <w:r>
        <w:rPr>
          <w:rFonts w:hint="eastAsia" w:ascii="仿宋_GB2312" w:hAnsi="仿宋_GB2312" w:eastAsia="仿宋_GB2312" w:cs="仿宋_GB2312"/>
          <w:i w:val="0"/>
          <w:iCs w:val="0"/>
          <w:color w:val="auto"/>
          <w:sz w:val="28"/>
          <w:szCs w:val="28"/>
          <w:highlight w:val="none"/>
          <w:shd w:val="clear" w:color="auto" w:fill="auto"/>
          <w:lang w:val="en-US" w:eastAsia="zh-CN"/>
        </w:rPr>
        <w:t>甲乙双方办理本工程结算，双方就结算金额达成书面一致且乙方开具金额等于结算总价100%的发票给甲方后，甲方付至结算总价的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97％</w:t>
      </w:r>
      <w:r>
        <w:rPr>
          <w:rFonts w:hint="eastAsia" w:ascii="仿宋_GB2312" w:hAnsi="仿宋_GB2312" w:eastAsia="仿宋_GB2312" w:cs="仿宋_GB2312"/>
          <w:i w:val="0"/>
          <w:iCs w:val="0"/>
          <w:color w:val="auto"/>
          <w:sz w:val="28"/>
          <w:szCs w:val="28"/>
          <w:highlight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C0F5B0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8.1.9本工程结算总价的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3％</w:t>
      </w:r>
      <w:r>
        <w:rPr>
          <w:rFonts w:hint="eastAsia" w:ascii="仿宋_GB2312" w:hAnsi="仿宋_GB2312" w:eastAsia="仿宋_GB2312" w:cs="仿宋_GB2312"/>
          <w:i w:val="0"/>
          <w:iCs w:val="0"/>
          <w:color w:val="auto"/>
          <w:sz w:val="28"/>
          <w:szCs w:val="28"/>
          <w:highlight w:val="none"/>
          <w:shd w:val="clear" w:color="auto" w:fill="auto"/>
          <w:lang w:val="en-US" w:eastAsia="zh-CN"/>
        </w:rPr>
        <w:t>作为保修金（</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_GB2312" w:hAnsi="仿宋_GB2312" w:eastAsia="仿宋_GB2312" w:cs="仿宋_GB2312"/>
          <w:i w:val="0"/>
          <w:iCs w:val="0"/>
          <w:color w:val="auto"/>
          <w:sz w:val="28"/>
          <w:szCs w:val="28"/>
          <w:highlight w:val="none"/>
          <w:shd w:val="clear" w:color="auto" w:fill="auto"/>
          <w:lang w:val="en-US" w:eastAsia="zh-CN"/>
        </w:rPr>
        <w:t>），保修期满且乙方如实履行保修义务、责任后无息结清。本合同项下存在两个或两个以上保修期期限约定的，以最长保修期限为准。</w:t>
      </w:r>
    </w:p>
    <w:p w14:paraId="211DAB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8.1.10乙方每月的工人工资款项从甲方工人工资专用账户直接发放至工人本人的银行帐户上，甲方每月代发的乙方工人工资总额从本工程进度款中相应扣除。</w:t>
      </w:r>
      <w:r>
        <w:rPr>
          <w:rFonts w:hint="default" w:ascii="仿宋_GB2312" w:hAnsi="仿宋_GB2312" w:eastAsia="仿宋_GB2312" w:cs="仿宋_GB2312"/>
          <w:i w:val="0"/>
          <w:iCs w:val="0"/>
          <w:color w:val="auto"/>
          <w:sz w:val="28"/>
          <w:szCs w:val="28"/>
          <w:highlight w:val="none"/>
          <w:shd w:val="clear" w:color="auto" w:fill="auto"/>
          <w:lang w:val="en-US" w:eastAsia="zh-CN"/>
        </w:rPr>
        <w:t>用于支付工</w:t>
      </w:r>
      <w:r>
        <w:rPr>
          <w:rFonts w:hint="eastAsia" w:ascii="仿宋_GB2312" w:hAnsi="仿宋_GB2312" w:eastAsia="仿宋_GB2312" w:cs="仿宋_GB2312"/>
          <w:i w:val="0"/>
          <w:iCs w:val="0"/>
          <w:color w:val="auto"/>
          <w:sz w:val="28"/>
          <w:szCs w:val="28"/>
          <w:highlight w:val="none"/>
          <w:shd w:val="clear" w:color="auto" w:fill="auto"/>
          <w:lang w:val="en-US" w:eastAsia="zh-CN"/>
        </w:rPr>
        <w:t>人</w:t>
      </w:r>
      <w:r>
        <w:rPr>
          <w:rFonts w:hint="default" w:ascii="仿宋_GB2312" w:hAnsi="仿宋_GB2312" w:eastAsia="仿宋_GB2312" w:cs="仿宋_GB2312"/>
          <w:i w:val="0"/>
          <w:iCs w:val="0"/>
          <w:color w:val="auto"/>
          <w:sz w:val="28"/>
          <w:szCs w:val="28"/>
          <w:highlight w:val="none"/>
          <w:shd w:val="clear" w:color="auto" w:fill="auto"/>
          <w:lang w:val="en-US" w:eastAsia="zh-CN"/>
        </w:rPr>
        <w:t>工资的银行账户所绑定的</w:t>
      </w:r>
      <w:r>
        <w:rPr>
          <w:rFonts w:hint="eastAsia" w:ascii="仿宋_GB2312" w:hAnsi="仿宋_GB2312" w:eastAsia="仿宋_GB2312" w:cs="仿宋_GB2312"/>
          <w:i w:val="0"/>
          <w:iCs w:val="0"/>
          <w:color w:val="auto"/>
          <w:sz w:val="28"/>
          <w:szCs w:val="28"/>
          <w:highlight w:val="none"/>
          <w:shd w:val="clear" w:color="auto" w:fill="auto"/>
          <w:lang w:val="en-US" w:eastAsia="zh-CN"/>
        </w:rPr>
        <w:t>乙方</w:t>
      </w:r>
      <w:r>
        <w:rPr>
          <w:rFonts w:hint="default" w:ascii="仿宋_GB2312" w:hAnsi="仿宋_GB2312" w:eastAsia="仿宋_GB2312" w:cs="仿宋_GB2312"/>
          <w:i w:val="0"/>
          <w:iCs w:val="0"/>
          <w:color w:val="auto"/>
          <w:sz w:val="28"/>
          <w:szCs w:val="28"/>
          <w:highlight w:val="none"/>
          <w:shd w:val="clear" w:color="auto" w:fill="auto"/>
          <w:lang w:val="en-US" w:eastAsia="zh-CN"/>
        </w:rPr>
        <w:t>工</w:t>
      </w:r>
      <w:r>
        <w:rPr>
          <w:rFonts w:hint="eastAsia" w:ascii="仿宋_GB2312" w:hAnsi="仿宋_GB2312" w:eastAsia="仿宋_GB2312" w:cs="仿宋_GB2312"/>
          <w:i w:val="0"/>
          <w:iCs w:val="0"/>
          <w:color w:val="auto"/>
          <w:sz w:val="28"/>
          <w:szCs w:val="28"/>
          <w:highlight w:val="none"/>
          <w:shd w:val="clear" w:color="auto" w:fill="auto"/>
          <w:lang w:val="en-US" w:eastAsia="zh-CN"/>
        </w:rPr>
        <w:t>人</w:t>
      </w:r>
      <w:r>
        <w:rPr>
          <w:rFonts w:hint="default" w:ascii="仿宋_GB2312" w:hAnsi="仿宋_GB2312" w:eastAsia="仿宋_GB2312" w:cs="仿宋_GB2312"/>
          <w:i w:val="0"/>
          <w:iCs w:val="0"/>
          <w:color w:val="auto"/>
          <w:sz w:val="28"/>
          <w:szCs w:val="28"/>
          <w:highlight w:val="none"/>
          <w:shd w:val="clear" w:color="auto" w:fill="auto"/>
          <w:lang w:val="en-US" w:eastAsia="zh-CN"/>
        </w:rPr>
        <w:t>本人银行卡，</w:t>
      </w:r>
      <w:r>
        <w:rPr>
          <w:rFonts w:hint="eastAsia" w:ascii="仿宋_GB2312" w:hAnsi="仿宋_GB2312" w:eastAsia="仿宋_GB2312" w:cs="仿宋_GB2312"/>
          <w:i w:val="0"/>
          <w:iCs w:val="0"/>
          <w:color w:val="auto"/>
          <w:sz w:val="28"/>
          <w:szCs w:val="28"/>
          <w:highlight w:val="none"/>
          <w:shd w:val="clear" w:color="auto" w:fill="auto"/>
          <w:lang w:val="en-US" w:eastAsia="zh-CN"/>
        </w:rPr>
        <w:t>乙方</w:t>
      </w:r>
      <w:r>
        <w:rPr>
          <w:rFonts w:hint="default" w:ascii="仿宋_GB2312" w:hAnsi="仿宋_GB2312" w:eastAsia="仿宋_GB2312" w:cs="仿宋_GB2312"/>
          <w:i w:val="0"/>
          <w:iCs w:val="0"/>
          <w:color w:val="auto"/>
          <w:sz w:val="28"/>
          <w:szCs w:val="28"/>
          <w:highlight w:val="none"/>
          <w:shd w:val="clear" w:color="auto" w:fill="auto"/>
          <w:lang w:val="en-US" w:eastAsia="zh-CN"/>
        </w:rPr>
        <w:t>或者其他人员不得以任何理由扣押或者变相扣押。</w:t>
      </w:r>
      <w:r>
        <w:rPr>
          <w:rFonts w:hint="eastAsia" w:ascii="仿宋_GB2312" w:hAnsi="仿宋_GB2312" w:eastAsia="仿宋_GB2312" w:cs="仿宋_GB2312"/>
          <w:i w:val="0"/>
          <w:iCs w:val="0"/>
          <w:color w:val="auto"/>
          <w:sz w:val="28"/>
          <w:szCs w:val="28"/>
          <w:highlight w:val="none"/>
          <w:shd w:val="clear" w:color="auto" w:fill="auto"/>
          <w:lang w:val="en-US" w:eastAsia="zh-CN"/>
        </w:rPr>
        <w:t>乙方申请进度款时须按甲方要求提交工人工资表等资料，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详见附件《项目实名制及劳资管理制度》。</w:t>
      </w:r>
    </w:p>
    <w:p w14:paraId="6A3B6A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8.1.11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637C85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sym w:font="Wingdings 2" w:char="00A3"/>
      </w:r>
      <w:r>
        <w:rPr>
          <w:rFonts w:hint="eastAsia" w:ascii="仿宋" w:hAnsi="仿宋" w:eastAsia="仿宋" w:cs="仿宋"/>
          <w:b/>
          <w:bCs/>
          <w:color w:val="auto"/>
          <w:sz w:val="28"/>
          <w:szCs w:val="28"/>
          <w:highlight w:val="none"/>
          <w:lang w:val="en-US" w:eastAsia="zh-CN"/>
        </w:rPr>
        <w:t>8.1付款方式二</w:t>
      </w:r>
    </w:p>
    <w:p w14:paraId="5273EB3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color w:val="auto"/>
          <w:sz w:val="28"/>
          <w:szCs w:val="28"/>
          <w:highlight w:val="none"/>
          <w:u w:val="single"/>
          <w:lang w:val="en-US" w:eastAsia="zh-CN"/>
        </w:rPr>
      </w:pPr>
      <w:r>
        <w:rPr>
          <w:rFonts w:hint="eastAsia" w:ascii="仿宋" w:hAnsi="仿宋" w:eastAsia="仿宋" w:cs="仿宋"/>
          <w:b/>
          <w:bCs/>
          <w:color w:val="auto"/>
          <w:sz w:val="28"/>
          <w:szCs w:val="28"/>
          <w:highlight w:val="none"/>
          <w:u w:val="single"/>
          <w:lang w:val="en-US" w:eastAsia="zh-CN"/>
        </w:rPr>
        <w:t>（如定标结果的付款方式与上述“8.1条付款方式一”不一致，则将定标结果的付款方式填写在此处作为合同付款方式。）</w:t>
      </w:r>
    </w:p>
    <w:p w14:paraId="427E360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88" w:name="_Toc3052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8.2</w:t>
      </w:r>
      <w:r>
        <w:rPr>
          <w:rFonts w:hint="eastAsia" w:ascii="仿宋" w:hAnsi="仿宋" w:eastAsia="仿宋" w:cs="仿宋"/>
          <w:color w:val="auto"/>
          <w:sz w:val="28"/>
          <w:szCs w:val="28"/>
          <w:highlight w:val="none"/>
          <w:lang w:val="en-US" w:eastAsia="zh-CN"/>
        </w:rPr>
        <w:t>乙方须在每次收款前向甲方支付所有赔偿及违约金，否则甲方有权从应付款中直接扣除，工程款不足以支付违约金的，由乙方在甲方规定期限内另行支付给甲方。</w:t>
      </w:r>
      <w:r>
        <w:rPr>
          <w:rFonts w:hint="eastAsia" w:ascii="仿宋" w:hAnsi="仿宋" w:eastAsia="仿宋" w:cs="仿宋"/>
          <w:color w:val="auto"/>
          <w:sz w:val="28"/>
          <w:szCs w:val="28"/>
          <w:highlight w:val="none"/>
          <w:lang w:val="en-US" w:eastAsia="zh-CN"/>
        </w:rPr>
        <w:t>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04F22CE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8.3</w:t>
      </w:r>
      <w:r>
        <w:rPr>
          <w:rFonts w:hint="eastAsia" w:ascii="仿宋" w:hAnsi="仿宋" w:eastAsia="仿宋" w:cs="仿宋"/>
          <w:color w:val="auto"/>
          <w:sz w:val="28"/>
          <w:szCs w:val="28"/>
          <w:highlight w:val="none"/>
          <w:lang w:val="en-US" w:eastAsia="zh-CN"/>
        </w:rPr>
        <w:t>付款形式：优先使用网银、银行承兑汇票等，支票、电汇视情况而定。甲方选择其中任意一种支付形式给乙方合同款，均视为乙方收到该合同款。</w:t>
      </w:r>
    </w:p>
    <w:p w14:paraId="419985D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8.4乙方每次收款前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248B50E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8.5乙方每次向甲方请款时，应按甲方要求注明该次请款所含的每个组团、每个地块、每栋楼具体金额，否则甲方有权不付款且不违约。</w:t>
      </w:r>
    </w:p>
    <w:p w14:paraId="3F69D5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8.6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7A53FF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8.7如甲乙双方对应付款金额、结算金额产生争议，甲方有权暂缓付款且不违约，甲方无需向乙方支付违约金或利息，直至双方达成一致意见后方可按甲方相应流程办理付款手续。</w:t>
      </w:r>
    </w:p>
    <w:p w14:paraId="57768A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8.8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3BFDD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8.8乙方必须按税法规定的四流合一执行合同，即合同流、货物流、发票流、资金流一致，否则视为乙方违约，且由乙方承担所有责任及损失，直至满足四流合一，甲方方才付款。</w:t>
      </w:r>
    </w:p>
    <w:p w14:paraId="1D3575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b w:val="0"/>
          <w:bCs w:val="0"/>
          <w:i w:val="0"/>
          <w:iCs w:val="0"/>
          <w:color w:val="auto"/>
          <w:sz w:val="28"/>
          <w:szCs w:val="28"/>
          <w:highlight w:val="none"/>
          <w:shd w:val="clear" w:color="auto" w:fill="auto"/>
          <w:lang w:val="en-US" w:eastAsia="zh-CN"/>
        </w:rPr>
      </w:pPr>
      <w:r>
        <w:rPr>
          <w:rFonts w:hint="default" w:ascii="仿宋_GB2312" w:hAnsi="仿宋_GB2312" w:eastAsia="仿宋_GB2312" w:cs="仿宋_GB2312"/>
          <w:b w:val="0"/>
          <w:bCs w:val="0"/>
          <w:i w:val="0"/>
          <w:iCs w:val="0"/>
          <w:color w:val="auto"/>
          <w:sz w:val="28"/>
          <w:szCs w:val="28"/>
          <w:highlight w:val="none"/>
          <w:shd w:val="clear" w:color="auto" w:fill="auto"/>
          <w:lang w:val="en-US" w:eastAsia="zh-CN"/>
        </w:rPr>
        <w:t>8.</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10</w:t>
      </w:r>
      <w:r>
        <w:rPr>
          <w:rFonts w:hint="eastAsia" w:ascii="仿宋" w:hAnsi="仿宋" w:eastAsia="仿宋" w:cs="仿宋"/>
          <w:i w:val="0"/>
          <w:iCs w:val="0"/>
          <w:color w:val="auto"/>
          <w:sz w:val="28"/>
          <w:szCs w:val="28"/>
          <w:highlight w:val="none"/>
          <w:u w:val="none"/>
          <w:shd w:val="clear" w:color="auto" w:fill="auto"/>
          <w:lang w:val="en-US" w:eastAsia="zh-CN"/>
        </w:rPr>
        <w:t>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744362E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8.11</w:t>
      </w:r>
      <w:r>
        <w:rPr>
          <w:rFonts w:hint="eastAsia" w:ascii="仿宋" w:hAnsi="仿宋" w:eastAsia="仿宋" w:cs="仿宋"/>
          <w:i w:val="0"/>
          <w:iCs w:val="0"/>
          <w:color w:val="auto"/>
          <w:sz w:val="28"/>
          <w:szCs w:val="28"/>
          <w:highlight w:val="none"/>
          <w:u w:val="none"/>
          <w:shd w:val="clear" w:color="auto" w:fill="auto"/>
          <w:lang w:val="en-US" w:eastAsia="zh-CN"/>
        </w:rPr>
        <w:t>如乙方申报了乙方不在本项目工作人员的工人工资，属乙方违约，由此所导致的一切后果和全部责任均由乙方承担，同时甲方对乙方上述违约行为按1000元/人/次收取违约金。</w:t>
      </w:r>
    </w:p>
    <w:p w14:paraId="5036292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w:t>
      </w:r>
      <w:r>
        <w:rPr>
          <w:rFonts w:hint="eastAsia" w:ascii="仿宋" w:hAnsi="仿宋" w:eastAsia="仿宋" w:cs="仿宋"/>
          <w:color w:val="auto"/>
          <w:sz w:val="28"/>
          <w:szCs w:val="28"/>
          <w:highlight w:val="none"/>
          <w:u w:val="none"/>
          <w:lang w:val="en-US" w:eastAsia="zh-CN"/>
        </w:rPr>
        <w:t>（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如乙方在合同履行期间无违约行为且</w:t>
      </w:r>
      <w:r>
        <w:rPr>
          <w:rFonts w:hint="eastAsia" w:ascii="仿宋" w:hAnsi="仿宋" w:eastAsia="仿宋" w:cs="仿宋"/>
          <w:color w:val="auto"/>
          <w:sz w:val="28"/>
          <w:szCs w:val="28"/>
          <w:highlight w:val="none"/>
          <w:u w:val="none"/>
          <w:lang w:val="en-US" w:eastAsia="zh-CN"/>
        </w:rPr>
        <w:t>按甲方要求完成</w:t>
      </w:r>
      <w:r>
        <w:rPr>
          <w:rFonts w:hint="eastAsia" w:ascii="仿宋" w:hAnsi="仿宋" w:eastAsia="仿宋" w:cs="仿宋"/>
          <w:i w:val="0"/>
          <w:iCs w:val="0"/>
          <w:color w:val="auto"/>
          <w:kern w:val="0"/>
          <w:sz w:val="28"/>
          <w:szCs w:val="28"/>
          <w:highlight w:val="none"/>
          <w:u w:val="none"/>
          <w:shd w:val="clear" w:color="auto" w:fill="auto"/>
          <w:lang w:val="en-US" w:eastAsia="zh-CN"/>
        </w:rPr>
        <w:t>材料/设备、人员撤场后，甲</w:t>
      </w:r>
      <w:r>
        <w:rPr>
          <w:rFonts w:hint="eastAsia" w:ascii="仿宋" w:hAnsi="仿宋" w:eastAsia="仿宋" w:cs="仿宋"/>
          <w:color w:val="auto"/>
          <w:sz w:val="28"/>
          <w:szCs w:val="28"/>
          <w:highlight w:val="none"/>
          <w:u w:val="none"/>
          <w:lang w:val="en-US" w:eastAsia="zh-CN"/>
        </w:rPr>
        <w:t>方无息原路退回履约保证金。</w:t>
      </w:r>
    </w:p>
    <w:bookmarkEnd w:id="88"/>
    <w:p w14:paraId="180BE11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9" w:name="_Toc15048"/>
      <w:bookmarkStart w:id="90" w:name="_Toc16870"/>
      <w:bookmarkStart w:id="91" w:name="_Toc17816"/>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89"/>
      <w:bookmarkEnd w:id="90"/>
    </w:p>
    <w:p w14:paraId="2730D40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rPr>
      </w:pPr>
      <w:bookmarkStart w:id="92" w:name="_Toc12374"/>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109EA2C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1.1提供给乙方施工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套（含图纸变更通知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p>
    <w:p w14:paraId="4FDF5C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9.1.2按国家工程质量标准对乙方施工成品进行内部核验，并办理过程验收手续和完工后总体验收手续。在验收合格情况下按照合同约定及时办理结算和付款。</w:t>
      </w:r>
    </w:p>
    <w:p w14:paraId="7FC242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9.1.3提供乙方施工工人在本项目现场住宿的设施，并向乙方收取费用。</w:t>
      </w:r>
    </w:p>
    <w:p w14:paraId="37833D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9.1.4提供给乙方工作面及本合同约定的甲供材、机具，提供乙方作业所需的施工场所。</w:t>
      </w:r>
    </w:p>
    <w:p w14:paraId="2BA0A04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9.1.5为乙方员工办理人脸识别进场资料。</w:t>
      </w:r>
    </w:p>
    <w:p w14:paraId="6D5717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9.1.6督促乙方及其工人遵章守纪、按章操作，强化现场安全防护工作。</w:t>
      </w:r>
    </w:p>
    <w:p w14:paraId="197E1BD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9.1.7根据本项目总体情况安排、调整本工程工期，规定乙方先做某部位后做某部位，何时增加工人何时减少工人，乙方必须服从调动及安排。</w:t>
      </w:r>
    </w:p>
    <w:p w14:paraId="3E5E25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9.1.8对乙方在施工中出现的不符合设计图纸、违反施工规范和安全操作规程、材料浪费等违规行为强行制止，并要求乙方在规定时间内按要求整改，同时根据具体情况对乙方计取违约金。</w:t>
      </w:r>
    </w:p>
    <w:p w14:paraId="1E104E1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9.1.9对乙方及其人员进行技术考核，考核不合格人员禁止上岗，且乙方按甲方要求调换合格人员接替上岗。</w:t>
      </w:r>
    </w:p>
    <w:p w14:paraId="2EE732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9.1.10</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相关约定执行。</w:t>
      </w:r>
    </w:p>
    <w:p w14:paraId="66E8A7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9.1.11对乙方进行管理，有权要求乙方管理人员必须坚守岗位，在施工现场组织指导工人作业。</w:t>
      </w:r>
    </w:p>
    <w:p w14:paraId="775EB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9.1.12</w:t>
      </w:r>
      <w:r>
        <w:rPr>
          <w:rFonts w:hint="eastAsia" w:ascii="仿宋_GB2312" w:hAnsi="仿宋_GB2312" w:eastAsia="仿宋_GB2312" w:cs="仿宋_GB2312"/>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6D0E97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244F23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9.1.14甲方因参与本合同履行而发出、或与乙方达成合意所形成的一切相关文件，均须同时加盖甲方公章及经法定代表人（或授权代表人）签名，否则均不对甲方产生约束力，除非事后获得甲方另行追认。</w:t>
      </w:r>
    </w:p>
    <w:p w14:paraId="673ED90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9.1.15</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00B7C0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9.1.16因乙方原因导致其工人工资不能及时发放，工人发生停工或静坐、闹事等不良行为的，甲方有权按本合同相关条款（如第十五章等）向乙方收取违约金。</w:t>
      </w:r>
    </w:p>
    <w:p w14:paraId="1CE8AB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9.1.17工程若有变更，甲方必须以书面形式通知乙方，若因工程变更导致增加工程量，甲方需给予乙方合理的备料期（具体时间双方协商）并办理签证确认。</w:t>
      </w:r>
    </w:p>
    <w:p w14:paraId="0675EBA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9.1.18按合同约定向乙方支付工程款。</w:t>
      </w:r>
    </w:p>
    <w:p w14:paraId="20542AB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9.1.19协调与建设单位、监理单位的关系。</w:t>
      </w:r>
    </w:p>
    <w:p w14:paraId="2A33588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9.2乙方责任和权利</w:t>
      </w:r>
    </w:p>
    <w:p w14:paraId="2C4AAC3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9.2.1按设计图纸和施工规范施工，在每一道分项工序开始时，乙方先做出样板部位报甲方项目部确认后方可进入一下步施工，保证施工成品质量满足合同要求。因乙方原因导致的质量事故，由乙方赔偿甲方损失。</w:t>
      </w:r>
    </w:p>
    <w:p w14:paraId="7CB532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9.2.2按时完成本工程阶段性施工任务，保证符合甲方工期要求，因乙方原因导致的工期延误及甲方遭受的损失均由乙方赔偿甲方。</w:t>
      </w:r>
    </w:p>
    <w:p w14:paraId="460E94C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9.2.3遵守安全生产、文明施工法规。乙方违规操作发生的安全或质量事故所造成的甲方损失均由乙方赔偿甲方。</w:t>
      </w:r>
    </w:p>
    <w:p w14:paraId="5A0FFE8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9.2.4在施工过程中乙方指定专人认真做好施工记录，工程竣工后须及时将资料整理完整，移交甲方资料员。</w:t>
      </w:r>
    </w:p>
    <w:p w14:paraId="5405B1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9.2.5乙方须保护好自身施工的材料、机械等设备，如有被偷盗、损坏等现象发生，由乙方自行负责。</w:t>
      </w:r>
    </w:p>
    <w:p w14:paraId="70B664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9.2.6遵守甲方管理制度，服从甲方管理。</w:t>
      </w:r>
    </w:p>
    <w:p w14:paraId="47B37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9.2.7乙方对完成的每一道工序及时、认真进行自检，自检合格后提请甲方验收。对甲方提出的问题按甲方要求彻底整改，每延误一天完成整改，向甲方承担违约金壹仟元。</w:t>
      </w:r>
    </w:p>
    <w:p w14:paraId="1CB880D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9.2.8加强自身团队建设。乙方管理人员须经常对下属工人进行技术交底、安全教育，作业人员必须持证上岗。乙方管理人员必须坚守岗位，特殊情况需离开工地时，经甲方项目部批准后方能离开。</w:t>
      </w:r>
    </w:p>
    <w:p w14:paraId="011DED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7490FD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9.2.10在甲方的监督下办理工人工资发放专户，由银行代发乙方工人工资。</w:t>
      </w:r>
    </w:p>
    <w:p w14:paraId="44752A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9.2.11</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7050B9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9.2.12</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0F0F265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9.2.13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0685BB3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9.2.14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76F79C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负责本工程工作面上所用材料、机具、垃圾的清理，乙方每天施工过程中须做到工完场清，并自行负责有机物垃圾的处置，隐蔽工程验收前把工作面有关材料、机具、垃圾清理到甲方指定位置，相关费用已含于第六章约定的合同价中，甲方无需另行计费给乙方。</w:t>
      </w:r>
    </w:p>
    <w:p w14:paraId="485F39E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9.2.15乙方进入穿插施工工作面前必须按甲方项目部要求办理“工完场清交接单”，如乙方对穿插工作面不能接收，须对进场施工产生的增加费用及工程量在“工完场清交接单”中填报并报甲方项目部确认。乙方不得因穿插工作面达不到接收要求而拒绝进场施工，否则视作延迟开工。</w:t>
      </w:r>
    </w:p>
    <w:p w14:paraId="4B170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9.2.16合同履行过程中，如乙方中途自行退场，甲方不支付任何款项，因此造成甲方损失的由乙方赔偿。</w:t>
      </w:r>
    </w:p>
    <w:p w14:paraId="22E3829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9.2.17乙方须合理使用甲供材，在保证质量的情况下，按合同约定及相应规范控制使用。</w:t>
      </w:r>
    </w:p>
    <w:p w14:paraId="48A211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9.2.18乙方施工中须与其他分包单位积极配合，保护所有成品，保护费用及责任由乙方承担。非经甲方书面同意，所有已进场材料设备不能运出工地。</w:t>
      </w:r>
    </w:p>
    <w:p w14:paraId="65D2029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9.2.19</w:t>
      </w:r>
      <w:r>
        <w:rPr>
          <w:rFonts w:hint="eastAsia" w:ascii="仿宋" w:hAnsi="仿宋" w:eastAsia="仿宋" w:cs="仿宋"/>
          <w:b w:val="0"/>
          <w:bCs w:val="0"/>
          <w:i w:val="0"/>
          <w:iCs w:val="0"/>
          <w:color w:val="auto"/>
          <w:sz w:val="28"/>
          <w:szCs w:val="28"/>
          <w:highlight w:val="none"/>
          <w:lang w:val="en-US" w:eastAsia="zh-CN"/>
        </w:rPr>
        <w:t>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05BC64E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9.2.20对违章指挥，乙方有权拒绝服从。</w:t>
      </w:r>
    </w:p>
    <w:p w14:paraId="60FD077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9.2.21因乙方材料或施工质量问题引起的返工、维修、更换、损失及工期延误等造成的一切费用由乙方承担。</w:t>
      </w:r>
    </w:p>
    <w:p w14:paraId="057BABC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9.2.22乙方供应的每批材料必须经甲方现场管理人员（或甲方施工员）确认是否符合合同要求及本工程所需，如不符合，一律不准进场并按甲方要求更换且不得因此延长工期，同时乙方每次向甲方承担违约金壹万元。 </w:t>
      </w:r>
    </w:p>
    <w:p w14:paraId="6EA50C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9.2.23乙方确保本工程的质量和进度一次性达到合同要求，否则造成的一切损失由乙方承担且每次向甲方承担违约金壹万元。</w:t>
      </w:r>
    </w:p>
    <w:p w14:paraId="665BDA1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9.2.24乙方充分了解本工程现场实际情况，确定</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合同单价/□合同总价已包含处理现场各种因素导致的多次进退场、怠工、误工等不能正常开工情形的费用，甲方无需另行计费给乙方。</w:t>
      </w:r>
    </w:p>
    <w:p w14:paraId="7857E02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7FD3954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9.2.26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396367E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9.2.27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77D82C2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9.2.28乙方原因导致的一切安全事故，属乙方责任，所有损失及费用由乙方承担。</w:t>
      </w:r>
    </w:p>
    <w:p w14:paraId="45419A3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9.2.29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27D15A0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9.2.30乙方人员（包括乙方家属、朋友等人员）在本项目地点发生的所有安全事故均与甲方无关，甲方不承担任何责任和费用，一切责任和费用均由乙方承担。</w:t>
      </w:r>
    </w:p>
    <w:p w14:paraId="004E44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9.2.31乙方与第三人签订的劳动、租赁、买卖等一切合同，与甲方无关。乙方在施工期间发生的与第三方一切合同债务，由乙方负全责处理并承担责任。</w:t>
      </w:r>
    </w:p>
    <w:p w14:paraId="0C8A9F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9.2.32乙方与第三方发生的任何经济往来、债务纠纷均与甲方无关。乙方须保证所供应材料无权属上的瑕疵或无知识产权的争议，若因此对甲方造成损失，则由乙方负全责赔偿。</w:t>
      </w:r>
    </w:p>
    <w:p w14:paraId="2135CE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9.2.33</w:t>
      </w:r>
      <w:r>
        <w:rPr>
          <w:rFonts w:hint="eastAsia" w:ascii="仿宋" w:hAnsi="仿宋" w:eastAsia="仿宋" w:cs="仿宋"/>
          <w:color w:val="auto"/>
          <w:sz w:val="27"/>
          <w:szCs w:val="27"/>
          <w:highlight w:val="none"/>
          <w:lang w:val="en-US" w:eastAsia="zh-CN"/>
        </w:rPr>
        <w:t>乙方组织施工人员进场时，须</w:t>
      </w:r>
      <w:r>
        <w:rPr>
          <w:rFonts w:hint="eastAsia" w:ascii="仿宋" w:hAnsi="仿宋" w:eastAsia="仿宋" w:cs="仿宋"/>
          <w:color w:val="auto"/>
          <w:sz w:val="27"/>
          <w:szCs w:val="27"/>
          <w:highlight w:val="none"/>
          <w:u w:val="none"/>
          <w:lang w:val="en-US" w:eastAsia="zh-CN"/>
        </w:rPr>
        <w:t>提供《技术工人素质承诺书》（</w:t>
      </w:r>
      <w:r>
        <w:rPr>
          <w:rFonts w:hint="eastAsia" w:ascii="仿宋" w:hAnsi="仿宋" w:eastAsia="仿宋" w:cs="仿宋"/>
          <w:color w:val="auto"/>
          <w:sz w:val="27"/>
          <w:szCs w:val="27"/>
          <w:highlight w:val="none"/>
          <w:lang w:val="en-US" w:eastAsia="zh-CN"/>
        </w:rPr>
        <w:t>格式</w:t>
      </w:r>
      <w:r>
        <w:rPr>
          <w:rFonts w:hint="eastAsia" w:ascii="仿宋" w:hAnsi="仿宋" w:eastAsia="仿宋" w:cs="仿宋"/>
          <w:color w:val="auto"/>
          <w:sz w:val="27"/>
          <w:szCs w:val="27"/>
          <w:highlight w:val="none"/>
          <w:u w:val="none"/>
          <w:lang w:val="en-US" w:eastAsia="zh-CN"/>
        </w:rPr>
        <w:t>详见</w:t>
      </w:r>
      <w:r>
        <w:rPr>
          <w:rFonts w:hint="eastAsia" w:ascii="仿宋" w:hAnsi="仿宋" w:eastAsia="仿宋" w:cs="仿宋"/>
          <w:color w:val="auto"/>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6F354D6D">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3" w:name="_Toc17512"/>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92"/>
      <w:bookmarkEnd w:id="93"/>
    </w:p>
    <w:p w14:paraId="7C60111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甲方应对乙方进场的施工人员进行安全教育。</w:t>
      </w:r>
    </w:p>
    <w:p w14:paraId="68735B4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甲方不得违反《建设工程安全生产管理条例》（有更新版本则按最新版本执行）的规定要求乙方违章施工。因甲方指挥失误导致的安全事故由甲方承担相应责任和费用。</w:t>
      </w:r>
    </w:p>
    <w:p w14:paraId="51A1D6A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否则甲方的全部损失由乙方赔偿。</w:t>
      </w:r>
    </w:p>
    <w:p w14:paraId="40BC7F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5ED091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10.5其它事项：</w:t>
      </w:r>
    </w:p>
    <w:p w14:paraId="0BA568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10.5.1拆除时不得高空抛弃材料，必须通过机械或人工传递至地面；</w:t>
      </w:r>
    </w:p>
    <w:p w14:paraId="1299227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10.5.2必须正确佩戴安全帽及安全带；</w:t>
      </w:r>
    </w:p>
    <w:p w14:paraId="07D8686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10.5.3不许酒后上班；</w:t>
      </w:r>
    </w:p>
    <w:p w14:paraId="1008010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10.5.4不许穿拖鞋、硬底鞋上班。</w:t>
      </w:r>
    </w:p>
    <w:p w14:paraId="1E33DC4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4" w:name="_Toc27679"/>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91"/>
      <w:bookmarkEnd w:id="94"/>
    </w:p>
    <w:p w14:paraId="2067A3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bookmarkStart w:id="95" w:name="_Toc4124"/>
      <w:r>
        <w:rPr>
          <w:rFonts w:hint="eastAsia" w:ascii="仿宋" w:hAnsi="仿宋" w:eastAsia="仿宋" w:cs="仿宋"/>
          <w:i w:val="0"/>
          <w:iCs w:val="0"/>
          <w:color w:val="auto"/>
          <w:sz w:val="28"/>
          <w:szCs w:val="28"/>
          <w:highlight w:val="none"/>
          <w:lang w:eastAsia="zh-CN"/>
        </w:rPr>
        <w:t>11.1乙方领用甲供材、甲供机具都必须按甲方规定办理租用、借用、领用手续。</w:t>
      </w:r>
    </w:p>
    <w:p w14:paraId="4E0108D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11.2乙方对周转材料、建筑材料和施工机具应做到限额合理使用、工完场清，对机具负责正常保养维护。因违反操作规程造成损坏或因保管不严造成丢失的，乙方须负赔偿责任。</w:t>
      </w:r>
    </w:p>
    <w:p w14:paraId="4A4977C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11.3本工程竣工之日起10个日历天内，乙方前往甲方仓库办理机具退还手续，每延迟一日，向甲方支付违约金人民币伍佰元，且甲方有权不办理结算。</w:t>
      </w:r>
    </w:p>
    <w:p w14:paraId="6AD14C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703D25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11.5</w:t>
      </w:r>
      <w:r>
        <w:rPr>
          <w:rFonts w:hint="eastAsia" w:ascii="仿宋" w:hAnsi="仿宋" w:eastAsia="仿宋" w:cs="仿宋"/>
          <w:color w:val="auto"/>
          <w:sz w:val="28"/>
          <w:szCs w:val="28"/>
          <w:highlight w:val="none"/>
          <w:lang w:eastAsia="zh-CN"/>
        </w:rPr>
        <w:t>乙方指定其现场负责人办理甲供材领料手续，由该负责人办理甲供材领料手续，领料流程按甲方相关管理规定执行，乙方现场负责人签署的该流程所有手续在本工程完工后作为乙方材料损耗计量和结算依据。</w:t>
      </w:r>
    </w:p>
    <w:p w14:paraId="2456C8C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535A66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11.7甲供材损耗率</w:t>
      </w:r>
    </w:p>
    <w:p w14:paraId="0A9473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lang w:val="en-US" w:eastAsia="zh-CN"/>
        </w:rPr>
        <w:t>7.1</w:t>
      </w:r>
      <w:r>
        <w:rPr>
          <w:rFonts w:hint="eastAsia" w:ascii="仿宋" w:hAnsi="仿宋" w:eastAsia="仿宋" w:cs="仿宋"/>
          <w:i w:val="0"/>
          <w:iCs w:val="0"/>
          <w:color w:val="auto"/>
          <w:sz w:val="28"/>
          <w:szCs w:val="28"/>
          <w:highlight w:val="none"/>
          <w:shd w:val="clear" w:color="auto" w:fill="auto"/>
          <w:lang w:val="en-US" w:eastAsia="zh-CN"/>
        </w:rPr>
        <w:t>乙方使用的甲供材料以甲方出入库单为准，乙方参加验收和签收与出库，甲供材损耗率不得超过</w:t>
      </w:r>
      <w:r>
        <w:rPr>
          <w:rFonts w:hint="eastAsia" w:ascii="仿宋" w:hAnsi="仿宋" w:eastAsia="仿宋" w:cs="仿宋"/>
          <w:i w:val="0"/>
          <w:iCs w:val="0"/>
          <w:color w:val="auto"/>
          <w:sz w:val="28"/>
          <w:szCs w:val="28"/>
          <w:highlight w:val="none"/>
          <w:u w:val="singl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lang w:val="en-US" w:eastAsia="zh-CN"/>
        </w:rPr>
        <w:t>，如超过，乙方对超出部分按施工当期同品牌、同品种、同级别、同规格材料市场价格的200％赔偿甲方，甲方有权在本工程结算时直接扣款。</w:t>
      </w:r>
    </w:p>
    <w:p w14:paraId="35D64B2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color w:val="auto"/>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11.7.2甲供材损耗率计算公式：（实际使用量-竣工图计算量）/竣工图计算量。</w:t>
      </w:r>
    </w:p>
    <w:p w14:paraId="0C27F3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olor w:val="auto"/>
          <w:sz w:val="28"/>
          <w:szCs w:val="28"/>
          <w:highlight w:val="none"/>
          <w:shd w:val="clear" w:color="auto" w:fill="auto"/>
          <w:lang w:val="en-US" w:eastAsia="zh-CN"/>
        </w:rPr>
      </w:pPr>
      <w:bookmarkStart w:id="96" w:name="_Toc28401"/>
      <w:bookmarkStart w:id="97" w:name="_Toc16837"/>
      <w:r>
        <w:rPr>
          <w:rFonts w:hint="eastAsia" w:ascii="仿宋" w:hAnsi="仿宋" w:eastAsia="仿宋" w:cs="仿宋"/>
          <w:color w:val="auto"/>
          <w:sz w:val="28"/>
          <w:szCs w:val="28"/>
          <w:highlight w:val="none"/>
          <w:u w:val="none"/>
          <w:lang w:val="en-US" w:eastAsia="zh-CN"/>
        </w:rPr>
        <w:t>11.8</w:t>
      </w:r>
      <w:r>
        <w:rPr>
          <w:rFonts w:hint="eastAsia" w:ascii="仿宋" w:hAnsi="仿宋" w:eastAsia="仿宋" w:cs="仿宋"/>
          <w:i w:val="0"/>
          <w:iCs w:val="0"/>
          <w:color w:val="auto"/>
          <w:sz w:val="28"/>
          <w:szCs w:val="28"/>
          <w:highlight w:val="none"/>
          <w:shd w:val="clear" w:color="auto" w:fill="auto"/>
          <w:lang w:val="en-US" w:eastAsia="zh-CN"/>
        </w:rPr>
        <w:t>乙方在甲方领料，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bookmarkEnd w:id="96"/>
      <w:bookmarkEnd w:id="97"/>
    </w:p>
    <w:p w14:paraId="62A061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11.9劳保用品配置标准具体实施及费用收取标准、办法：</w:t>
      </w:r>
    </w:p>
    <w:p w14:paraId="4A2D8F0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11.9.1本工程配置黄色的安全帽、荧光黄色的反光背心，款式按甲方颁布的《劳保用品配置标准及司旗款式》（V2022）制度执行。</w:t>
      </w:r>
    </w:p>
    <w:p w14:paraId="558CBD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11.9.2甲方提供安全帽按“20*（1+15%）=23元”计取、反光背心按“15*（1+15%）=17.25元”计取（15%为管理费），以乙方实际领取数量的对应金额在结算时进行扣除。</w:t>
      </w:r>
    </w:p>
    <w:p w14:paraId="650B757C">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8" w:name="_Toc8588"/>
      <w:r>
        <w:rPr>
          <w:rFonts w:hint="eastAsia" w:ascii="仿宋" w:hAnsi="仿宋" w:eastAsia="仿宋" w:cs="仿宋"/>
          <w:b/>
          <w:bCs/>
          <w:i w:val="0"/>
          <w:iCs w:val="0"/>
          <w:color w:val="auto"/>
          <w:sz w:val="28"/>
          <w:szCs w:val="28"/>
          <w:highlight w:val="none"/>
          <w:shd w:val="clear" w:color="auto" w:fill="auto"/>
          <w:lang w:val="en-US" w:eastAsia="zh-CN"/>
        </w:rPr>
        <w:t>验收及保修</w:t>
      </w:r>
      <w:bookmarkEnd w:id="95"/>
      <w:bookmarkEnd w:id="98"/>
    </w:p>
    <w:p w14:paraId="3F4C28A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7A8306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，保修期内，本工程该组团如出现较大质量缺陷，乙方履行保修义务至验收合格后，工程质保期自此时间开始顺延。</w:t>
      </w:r>
    </w:p>
    <w:p w14:paraId="73C01F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sym w:font="Wingdings" w:char="00FE"/>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w:t>
      </w:r>
      <w:r>
        <w:rPr>
          <w:rFonts w:hint="eastAsia" w:ascii="仿宋" w:hAnsi="仿宋" w:eastAsia="仿宋" w:cs="仿宋"/>
          <w:i w:val="0"/>
          <w:iCs w:val="0"/>
          <w:color w:val="auto"/>
          <w:sz w:val="28"/>
          <w:szCs w:val="28"/>
          <w:highlight w:val="none"/>
          <w:shd w:val="clear" w:color="auto" w:fill="auto"/>
        </w:rPr>
        <w:t>，乙方自检符合质量要求后提请甲方及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日，保修期内，乙方出现较大质量缺陷，乙方履行保修义务至验收合格后，工程质保期自此时间开始顺延</w:t>
      </w:r>
      <w:r>
        <w:rPr>
          <w:rFonts w:hint="eastAsia" w:ascii="仿宋" w:hAnsi="仿宋" w:eastAsia="仿宋" w:cs="仿宋"/>
          <w:i w:val="0"/>
          <w:iCs w:val="0"/>
          <w:color w:val="auto"/>
          <w:sz w:val="28"/>
          <w:szCs w:val="28"/>
          <w:highlight w:val="none"/>
          <w:shd w:val="clear" w:color="auto" w:fill="auto"/>
          <w:lang w:eastAsia="zh-CN"/>
        </w:rPr>
        <w:t>。</w:t>
      </w:r>
    </w:p>
    <w:p w14:paraId="65C02E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b w:val="0"/>
          <w:bCs w:val="0"/>
          <w:i w:val="0"/>
          <w:iCs w:val="0"/>
          <w:color w:val="auto"/>
          <w:sz w:val="28"/>
          <w:szCs w:val="28"/>
          <w:highlight w:val="none"/>
          <w:shd w:val="clear" w:color="auto" w:fill="auto"/>
        </w:rPr>
        <w:t>的</w:t>
      </w:r>
      <w:r>
        <w:rPr>
          <w:rFonts w:hint="eastAsia" w:ascii="仿宋" w:hAnsi="仿宋" w:eastAsia="仿宋" w:cs="仿宋"/>
          <w:b/>
          <w:bCs/>
          <w:color w:val="auto"/>
          <w:sz w:val="28"/>
          <w:szCs w:val="28"/>
          <w:highlight w:val="none"/>
          <w:u w:val="single"/>
        </w:rPr>
        <w:t>防水、防渗漏部位保修五年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rPr>
        <w:t>其他部位保修二年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lang w:val="en-US" w:eastAsia="zh-CN"/>
        </w:rPr>
        <w:t>国家或甲方与本项目建设单位另有更长质保期限规定的</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52"/>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p>
    <w:p w14:paraId="391EEEC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12.</w:t>
      </w:r>
      <w:r>
        <w:rPr>
          <w:rFonts w:hint="eastAsia" w:ascii="仿宋" w:hAnsi="仿宋" w:eastAsia="仿宋" w:cs="仿宋"/>
          <w:b w:val="0"/>
          <w:bCs w:val="0"/>
          <w:i w:val="0"/>
          <w:iCs w:val="0"/>
          <w:color w:val="auto"/>
          <w:sz w:val="28"/>
          <w:szCs w:val="28"/>
          <w:highlight w:val="none"/>
          <w:shd w:val="clear" w:color="auto" w:fill="auto"/>
        </w:rPr>
        <w:t>3保修期内，</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如因</w:t>
      </w:r>
      <w:r>
        <w:rPr>
          <w:rFonts w:hint="eastAsia" w:ascii="仿宋" w:hAnsi="仿宋" w:eastAsia="仿宋" w:cs="仿宋"/>
          <w:i w:val="0"/>
          <w:iCs w:val="0"/>
          <w:color w:val="auto"/>
          <w:sz w:val="28"/>
          <w:szCs w:val="28"/>
          <w:highlight w:val="none"/>
          <w:shd w:val="clear" w:color="auto" w:fill="auto"/>
        </w:rPr>
        <w:t>乙方原因出现质量问题，乙方须在接到甲方通知</w:t>
      </w:r>
      <w:r>
        <w:rPr>
          <w:rFonts w:hint="eastAsia" w:ascii="仿宋" w:hAnsi="仿宋" w:eastAsia="仿宋" w:cs="仿宋"/>
          <w:i w:val="0"/>
          <w:iCs w:val="0"/>
          <w:color w:val="auto"/>
          <w:sz w:val="28"/>
          <w:szCs w:val="28"/>
          <w:highlight w:val="none"/>
          <w:shd w:val="clear" w:color="auto" w:fill="auto"/>
          <w:lang w:eastAsia="zh-CN"/>
        </w:rPr>
        <w:t>起</w:t>
      </w:r>
      <w:r>
        <w:rPr>
          <w:rFonts w:hint="eastAsia" w:ascii="仿宋" w:hAnsi="仿宋" w:eastAsia="仿宋" w:cs="仿宋"/>
          <w:i w:val="0"/>
          <w:iCs w:val="0"/>
          <w:color w:val="auto"/>
          <w:sz w:val="28"/>
          <w:szCs w:val="28"/>
          <w:highlight w:val="none"/>
          <w:shd w:val="clear" w:color="auto" w:fill="auto"/>
        </w:rPr>
        <w:t>24小时内派人到达现场处理解决，否则甲方有权自行或委托第三方处理，乙方承担相关费用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责任</w:t>
      </w:r>
      <w:r>
        <w:rPr>
          <w:rFonts w:hint="eastAsia" w:ascii="仿宋" w:hAnsi="仿宋" w:eastAsia="仿宋" w:cs="仿宋"/>
          <w:i w:val="0"/>
          <w:iCs w:val="0"/>
          <w:color w:val="auto"/>
          <w:sz w:val="28"/>
          <w:szCs w:val="28"/>
          <w:highlight w:val="none"/>
          <w:shd w:val="clear" w:color="auto" w:fill="auto"/>
          <w:lang w:val="en-US" w:eastAsia="zh-CN"/>
        </w:rPr>
        <w:t>并向甲方支付</w:t>
      </w:r>
      <w:r>
        <w:rPr>
          <w:rFonts w:hint="eastAsia" w:ascii="仿宋" w:hAnsi="仿宋" w:eastAsia="仿宋" w:cs="仿宋"/>
          <w:i w:val="0"/>
          <w:iCs w:val="0"/>
          <w:color w:val="auto"/>
          <w:sz w:val="28"/>
          <w:szCs w:val="28"/>
          <w:highlight w:val="none"/>
          <w:shd w:val="clear" w:color="auto" w:fill="auto"/>
        </w:rPr>
        <w:t>违约金一万元/次</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如发生的问题或事故系乙方导致或属于乙方保修内容，甲方所耗费用有权从乙方的质保金中扣除，不足部分由乙方在甲方发出书面通知之日起10个日历天内支付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如非乙方原因所致，乙方仍应提供维修服务，但费用经双方商定后由责任方承担。</w:t>
      </w:r>
    </w:p>
    <w:p w14:paraId="2CD668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 保修期内若发生乙方原因导致的质量问题，乙方须赔偿甲方因此造成的一切损失；出现较大质量缺陷，乙方履行保修义务至验收合格后，工程质保期自此时间开始顺延。</w:t>
      </w:r>
    </w:p>
    <w:p w14:paraId="5C810C4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5 工程保修期满前，若出现质量问题需要进行鉴定的，相关费用由乙方负责。</w:t>
      </w:r>
    </w:p>
    <w:p w14:paraId="647E139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12.6 工程保修期满前，由甲方工程部组织主导乙方、物业、建设单位等相关单位人员验收，验收合格后由甲方工程部出具《保修验收合格报告》，若验收不通过，由乙方整改后另行验收，相关费用由乙方负责。本工程两次通过验收的，则质保期按乙方整改天数顺延，三次及以上验收合格的，质保期自验收合格之日起顺延一年。</w:t>
      </w:r>
    </w:p>
    <w:p w14:paraId="3350DAC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rPr>
      </w:pPr>
      <w:r>
        <w:rPr>
          <w:rFonts w:hint="eastAsia" w:ascii="仿宋" w:hAnsi="仿宋" w:eastAsia="仿宋" w:cs="仿宋"/>
          <w:i w:val="0"/>
          <w:iCs w:val="0"/>
          <w:color w:val="auto"/>
          <w:sz w:val="28"/>
          <w:szCs w:val="28"/>
          <w:highlight w:val="none"/>
          <w:shd w:val="clear" w:color="auto" w:fill="auto"/>
          <w:lang w:val="en-US" w:eastAsia="zh-CN"/>
        </w:rPr>
        <w:t>12.7</w:t>
      </w:r>
      <w:r>
        <w:rPr>
          <w:rFonts w:hint="eastAsia" w:ascii="仿宋" w:hAnsi="仿宋" w:eastAsia="仿宋" w:cs="仿宋"/>
          <w:color w:val="auto"/>
          <w:sz w:val="28"/>
          <w:szCs w:val="28"/>
          <w:highlight w:val="none"/>
          <w:lang w:val="en-US" w:eastAsia="zh-CN"/>
        </w:rPr>
        <w:t xml:space="preserve">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29D7A915">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9" w:name="_Toc5680"/>
      <w:bookmarkStart w:id="100" w:name="_Toc454"/>
      <w:bookmarkStart w:id="101" w:name="_Toc1279"/>
      <w:bookmarkStart w:id="102" w:name="_Toc9944"/>
      <w:bookmarkStart w:id="103" w:name="_Toc7612"/>
      <w:bookmarkStart w:id="104" w:name="_Toc14371"/>
      <w:r>
        <w:rPr>
          <w:rFonts w:hint="eastAsia" w:ascii="仿宋" w:hAnsi="仿宋" w:eastAsia="仿宋" w:cs="仿宋"/>
          <w:b/>
          <w:bCs/>
          <w:i w:val="0"/>
          <w:iCs w:val="0"/>
          <w:color w:val="auto"/>
          <w:sz w:val="28"/>
          <w:szCs w:val="28"/>
          <w:highlight w:val="none"/>
          <w:shd w:val="clear" w:color="auto" w:fill="auto"/>
          <w:lang w:val="en-US" w:eastAsia="zh-CN"/>
        </w:rPr>
        <w:t>保险</w:t>
      </w:r>
      <w:bookmarkEnd w:id="99"/>
      <w:bookmarkEnd w:id="100"/>
      <w:bookmarkEnd w:id="101"/>
      <w:bookmarkEnd w:id="102"/>
      <w:bookmarkEnd w:id="103"/>
      <w:bookmarkEnd w:id="104"/>
    </w:p>
    <w:p w14:paraId="341EFC5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7D3702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13.2乙方须为其属下人员、财产、现场各种施工设施、设备、材料购买保险，相关费用已含在本合同约定的合同价格中无需甲方另行支付给乙方。因各种原因导致乙方需要延长保险期所需增加的保险费由乙方自行承担，其费用已包含在本合同约定价格内，乙方人员或因乙方原因造成任何事故(包括第三方人员在内)导致的损失、赔偿、补偿等责任和费用由乙方承担。</w:t>
      </w:r>
    </w:p>
    <w:p w14:paraId="16CAF52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13.3甲乙双方在签订各自的保险合同时，其第三方责任险应将对方互相视为第三方。</w:t>
      </w:r>
    </w:p>
    <w:p w14:paraId="33D80C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13.4乙方须对本工程涉及的乙方人员购买人身意外伤害险等保险，保额不低于死亡赔偿人民币1</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0万元/人及伤害赔偿人民币15万元/人，相关费用已含于本合同约定的合同价中甲方无需另行支付给乙方。乙方须自保险合同生效之日起5个日历天内将保险合同复印件（加盖乙方公章）提交甲方项目部留存。</w:t>
      </w:r>
    </w:p>
    <w:p w14:paraId="679761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13.5无论甲乙任何一方有无按照本合同约定办理相关保险事宜，乙方人员或因乙方原因导致在本项目范围内发生的伤亡事故，均由乙方承担责任和费用。</w:t>
      </w:r>
    </w:p>
    <w:p w14:paraId="7E6E786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05" w:name="_Toc14575"/>
      <w:bookmarkStart w:id="106" w:name="_Toc20713"/>
      <w:bookmarkStart w:id="107" w:name="_Toc12559"/>
      <w:bookmarkStart w:id="108" w:name="_Toc23959"/>
      <w:bookmarkStart w:id="109" w:name="_Toc30819"/>
      <w:bookmarkStart w:id="110" w:name="_Toc13670"/>
      <w:bookmarkStart w:id="111" w:name="_Toc7926"/>
      <w:bookmarkStart w:id="112" w:name="_Toc15560"/>
      <w:bookmarkStart w:id="113" w:name="_Toc5967"/>
      <w:r>
        <w:rPr>
          <w:rFonts w:hint="eastAsia" w:ascii="仿宋" w:hAnsi="仿宋" w:eastAsia="仿宋" w:cs="仿宋"/>
          <w:b/>
          <w:bCs/>
          <w:i w:val="0"/>
          <w:iCs w:val="0"/>
          <w:color w:val="auto"/>
          <w:sz w:val="28"/>
          <w:szCs w:val="28"/>
          <w:highlight w:val="none"/>
          <w:shd w:val="clear" w:color="auto" w:fill="auto"/>
          <w:lang w:val="en-US" w:eastAsia="zh-CN"/>
        </w:rPr>
        <w:t>奖罚条款</w:t>
      </w:r>
      <w:bookmarkEnd w:id="105"/>
      <w:bookmarkEnd w:id="106"/>
      <w:bookmarkEnd w:id="107"/>
      <w:bookmarkEnd w:id="108"/>
      <w:bookmarkEnd w:id="109"/>
      <w:bookmarkEnd w:id="110"/>
      <w:bookmarkEnd w:id="111"/>
      <w:bookmarkEnd w:id="112"/>
      <w:bookmarkEnd w:id="113"/>
    </w:p>
    <w:p w14:paraId="1576F24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.1奖励</w:t>
      </w:r>
    </w:p>
    <w:p w14:paraId="5B014A7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w:t>
      </w:r>
      <w:r>
        <w:rPr>
          <w:rFonts w:hint="eastAsia" w:ascii="仿宋" w:hAnsi="仿宋" w:eastAsia="仿宋" w:cs="仿宋"/>
          <w:b w:val="0"/>
          <w:bCs w:val="0"/>
          <w:i w:val="0"/>
          <w:iCs w:val="0"/>
          <w:color w:val="auto"/>
          <w:sz w:val="28"/>
          <w:szCs w:val="28"/>
          <w:highlight w:val="none"/>
          <w:shd w:val="clear" w:color="auto" w:fill="auto"/>
          <w:lang w:eastAsia="zh-CN"/>
        </w:rPr>
        <w:t>.1.1如乙方施工的产品质量优质，施工进度快，安全生产、文明施工达标，作业队</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整体形象受各方好评</w:t>
      </w:r>
      <w:r>
        <w:rPr>
          <w:rFonts w:hint="eastAsia" w:ascii="仿宋" w:hAnsi="仿宋" w:eastAsia="仿宋" w:cs="仿宋"/>
          <w:b w:val="0"/>
          <w:bCs w:val="0"/>
          <w:i w:val="0"/>
          <w:iCs w:val="0"/>
          <w:color w:val="auto"/>
          <w:sz w:val="28"/>
          <w:szCs w:val="28"/>
          <w:highlight w:val="none"/>
          <w:shd w:val="clear" w:color="auto" w:fill="auto"/>
          <w:lang w:val="en-US" w:eastAsia="zh-CN"/>
        </w:rPr>
        <w:t>且</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，甲方给</w:t>
      </w:r>
      <w:r>
        <w:rPr>
          <w:rFonts w:hint="eastAsia" w:ascii="仿宋" w:hAnsi="仿宋" w:eastAsia="仿宋" w:cs="仿宋"/>
          <w:b w:val="0"/>
          <w:bCs w:val="0"/>
          <w:i w:val="0"/>
          <w:iCs w:val="0"/>
          <w:color w:val="auto"/>
          <w:sz w:val="28"/>
          <w:szCs w:val="28"/>
          <w:highlight w:val="none"/>
          <w:shd w:val="clear" w:color="auto" w:fill="auto"/>
          <w:lang w:val="en-US" w:eastAsia="zh-CN"/>
        </w:rPr>
        <w:t>予</w:t>
      </w:r>
      <w:r>
        <w:rPr>
          <w:rFonts w:hint="eastAsia" w:ascii="仿宋" w:hAnsi="仿宋" w:eastAsia="仿宋" w:cs="仿宋"/>
          <w:b w:val="0"/>
          <w:bCs w:val="0"/>
          <w:i w:val="0"/>
          <w:iCs w:val="0"/>
          <w:color w:val="auto"/>
          <w:sz w:val="28"/>
          <w:szCs w:val="28"/>
          <w:highlight w:val="none"/>
          <w:shd w:val="clear" w:color="auto" w:fill="auto"/>
          <w:lang w:eastAsia="zh-CN"/>
        </w:rPr>
        <w:t>乙方一定</w:t>
      </w:r>
      <w:r>
        <w:rPr>
          <w:rFonts w:hint="eastAsia" w:ascii="仿宋" w:hAnsi="仿宋" w:eastAsia="仿宋" w:cs="仿宋"/>
          <w:b w:val="0"/>
          <w:bCs w:val="0"/>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b w:val="0"/>
          <w:bCs w:val="0"/>
          <w:i w:val="0"/>
          <w:iCs w:val="0"/>
          <w:color w:val="auto"/>
          <w:sz w:val="28"/>
          <w:szCs w:val="28"/>
          <w:highlight w:val="none"/>
          <w:shd w:val="clear" w:color="auto" w:fill="auto"/>
          <w:lang w:eastAsia="zh-CN"/>
        </w:rPr>
        <w:t>）：</w:t>
      </w:r>
    </w:p>
    <w:p w14:paraId="576B6D2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14.1.1.1甲方组织的各类检查验收中，乙方组建的施工队伍被评为优质作业队。</w:t>
      </w:r>
    </w:p>
    <w:p w14:paraId="556DD8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14.1.1.2乙方负责施工的成品受到省、市有关部门表彰。</w:t>
      </w:r>
    </w:p>
    <w:p w14:paraId="029787D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14.1.1.3乙方负责施工的成品受到</w:t>
      </w:r>
      <w:r>
        <w:rPr>
          <w:rFonts w:hint="eastAsia" w:ascii="仿宋" w:hAnsi="仿宋" w:eastAsia="仿宋" w:cs="仿宋"/>
          <w:b w:val="0"/>
          <w:bCs w:val="0"/>
          <w:i w:val="0"/>
          <w:iCs w:val="0"/>
          <w:color w:val="auto"/>
          <w:sz w:val="28"/>
          <w:szCs w:val="28"/>
          <w:highlight w:val="none"/>
          <w:shd w:val="clear" w:color="auto" w:fill="auto"/>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eastAsia="zh-CN"/>
        </w:rPr>
        <w:t>、监理好评。</w:t>
      </w:r>
    </w:p>
    <w:p w14:paraId="42382A0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14.1.1.4特定情况下，由于乙方的主观努力使甲方避免遭受巨大损失。</w:t>
      </w:r>
    </w:p>
    <w:p w14:paraId="56BB2F3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14.1.1.5乙方工人安全生产、文明施工、节约用料、质量优、进度快。</w:t>
      </w:r>
    </w:p>
    <w:p w14:paraId="62DBDC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14.2惩罚</w:t>
      </w:r>
    </w:p>
    <w:p w14:paraId="6D90FF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14.2.1如乙方出现下列任一情况，甲方有权单方解除本合同，同时乙方赔偿甲方损失（包括但不限于因工期延误而使得甲方对建设单位承担的违约责任、损失赔偿责任等）：</w:t>
      </w:r>
    </w:p>
    <w:p w14:paraId="2A61B9F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14.2.1.1乙方在质量、进度、安全、管理等方面经甲方二次警告或处罚后仍不能明显改善；</w:t>
      </w:r>
    </w:p>
    <w:p w14:paraId="05CDC5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14.2.1.2乙方将本工程以各种形式转包、分包给他人；</w:t>
      </w:r>
    </w:p>
    <w:p w14:paraId="59AD84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14.2.1.3乙方发生偷工减料、以次充好、弄虚作假等情形。</w:t>
      </w:r>
    </w:p>
    <w:p w14:paraId="6E1E491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14.2.2因下列情况导致的甲方损失均由乙方赔偿（包括但不限于因逾期完工而使得甲方对建设单位承担的违约责任、损失赔偿责任等）：</w:t>
      </w:r>
    </w:p>
    <w:p w14:paraId="45065AD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①因乙方施工质量事故造成的损失；</w:t>
      </w:r>
    </w:p>
    <w:p w14:paraId="131D07D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②因乙方中途退场造成的损失；</w:t>
      </w:r>
    </w:p>
    <w:p w14:paraId="48245BA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③乙方发生偷工减料、以次充好、弄虚作假等情形。</w:t>
      </w:r>
    </w:p>
    <w:p w14:paraId="21870A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14.2.3</w:t>
      </w:r>
      <w:r>
        <w:rPr>
          <w:rFonts w:hint="eastAsia" w:ascii="仿宋" w:hAnsi="仿宋" w:eastAsia="仿宋" w:cs="仿宋"/>
          <w:b w:val="0"/>
          <w:bCs w:val="0"/>
          <w:i w:val="0"/>
          <w:iCs w:val="0"/>
          <w:color w:val="auto"/>
          <w:sz w:val="28"/>
          <w:szCs w:val="28"/>
          <w:highlight w:val="none"/>
          <w:shd w:val="clear" w:color="auto" w:fill="auto"/>
          <w:lang w:eastAsia="zh-CN"/>
        </w:rPr>
        <w:t>因乙方导致工程质量或工期达不到合同要求或使用</w:t>
      </w:r>
      <w:r>
        <w:rPr>
          <w:rFonts w:hint="eastAsia" w:ascii="仿宋" w:hAnsi="仿宋" w:eastAsia="仿宋" w:cs="仿宋"/>
          <w:b w:val="0"/>
          <w:bCs w:val="0"/>
          <w:i w:val="0"/>
          <w:iCs w:val="0"/>
          <w:color w:val="auto"/>
          <w:sz w:val="28"/>
          <w:szCs w:val="28"/>
          <w:highlight w:val="none"/>
          <w:shd w:val="clear" w:color="auto" w:fill="auto"/>
          <w:lang w:val="en-US" w:eastAsia="zh-CN"/>
        </w:rPr>
        <w:t>甲供</w:t>
      </w:r>
      <w:r>
        <w:rPr>
          <w:rFonts w:hint="eastAsia" w:ascii="仿宋" w:hAnsi="仿宋" w:eastAsia="仿宋" w:cs="仿宋"/>
          <w:b w:val="0"/>
          <w:bCs w:val="0"/>
          <w:i w:val="0"/>
          <w:iCs w:val="0"/>
          <w:color w:val="auto"/>
          <w:sz w:val="28"/>
          <w:szCs w:val="28"/>
          <w:highlight w:val="none"/>
          <w:shd w:val="clear" w:color="auto" w:fill="auto"/>
          <w:lang w:eastAsia="zh-CN"/>
        </w:rPr>
        <w:t>材料用量超标</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，均属乙方违约，甲方有权单方解除合同且不</w:t>
      </w:r>
      <w:r>
        <w:rPr>
          <w:rFonts w:hint="eastAsia" w:ascii="仿宋" w:hAnsi="仿宋" w:eastAsia="仿宋" w:cs="仿宋"/>
          <w:b w:val="0"/>
          <w:bCs w:val="0"/>
          <w:i w:val="0"/>
          <w:iCs w:val="0"/>
          <w:color w:val="auto"/>
          <w:sz w:val="28"/>
          <w:szCs w:val="28"/>
          <w:highlight w:val="none"/>
          <w:shd w:val="clear" w:color="auto" w:fill="auto"/>
          <w:lang w:val="en-US" w:eastAsia="zh-CN"/>
        </w:rPr>
        <w:t>付款</w:t>
      </w:r>
      <w:r>
        <w:rPr>
          <w:rFonts w:hint="eastAsia" w:ascii="仿宋" w:hAnsi="仿宋" w:eastAsia="仿宋" w:cs="仿宋"/>
          <w:b w:val="0"/>
          <w:bCs w:val="0"/>
          <w:i w:val="0"/>
          <w:iCs w:val="0"/>
          <w:color w:val="auto"/>
          <w:sz w:val="28"/>
          <w:szCs w:val="28"/>
          <w:highlight w:val="none"/>
          <w:shd w:val="clear" w:color="auto" w:fill="auto"/>
          <w:lang w:eastAsia="zh-CN"/>
        </w:rPr>
        <w:t>，同时乙方</w:t>
      </w:r>
      <w:r>
        <w:rPr>
          <w:rFonts w:hint="eastAsia" w:ascii="仿宋" w:hAnsi="仿宋" w:eastAsia="仿宋" w:cs="仿宋"/>
          <w:b w:val="0"/>
          <w:bCs w:val="0"/>
          <w:i w:val="0"/>
          <w:iCs w:val="0"/>
          <w:color w:val="auto"/>
          <w:sz w:val="28"/>
          <w:szCs w:val="28"/>
          <w:highlight w:val="none"/>
          <w:shd w:val="clear" w:color="auto" w:fill="auto"/>
          <w:lang w:val="en-US" w:eastAsia="zh-CN"/>
        </w:rPr>
        <w:t>赔偿甲方</w:t>
      </w:r>
      <w:r>
        <w:rPr>
          <w:rFonts w:hint="eastAsia" w:ascii="仿宋" w:hAnsi="仿宋" w:eastAsia="仿宋" w:cs="仿宋"/>
          <w:b w:val="0"/>
          <w:bCs w:val="0"/>
          <w:i w:val="0"/>
          <w:iCs w:val="0"/>
          <w:color w:val="auto"/>
          <w:sz w:val="28"/>
          <w:szCs w:val="28"/>
          <w:highlight w:val="none"/>
          <w:shd w:val="clear" w:color="auto" w:fill="auto"/>
          <w:lang w:eastAsia="zh-CN"/>
        </w:rPr>
        <w:t>由此造成的损失及费用。</w:t>
      </w:r>
    </w:p>
    <w:p w14:paraId="45AE5E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或其</w:t>
      </w:r>
      <w:r>
        <w:rPr>
          <w:rFonts w:hint="eastAsia" w:ascii="仿宋" w:hAnsi="仿宋" w:eastAsia="仿宋" w:cs="仿宋"/>
          <w:b w:val="0"/>
          <w:bCs w:val="0"/>
          <w:i w:val="0"/>
          <w:iCs w:val="0"/>
          <w:color w:val="auto"/>
          <w:sz w:val="28"/>
          <w:szCs w:val="28"/>
          <w:highlight w:val="none"/>
          <w:shd w:val="clear" w:color="auto" w:fill="auto"/>
          <w:lang w:eastAsia="zh-CN"/>
        </w:rPr>
        <w:t>人</w:t>
      </w:r>
      <w:r>
        <w:rPr>
          <w:rFonts w:hint="eastAsia" w:ascii="仿宋" w:hAnsi="仿宋" w:eastAsia="仿宋" w:cs="仿宋"/>
          <w:b w:val="0"/>
          <w:bCs w:val="0"/>
          <w:i w:val="0"/>
          <w:iCs w:val="0"/>
          <w:color w:val="auto"/>
          <w:sz w:val="28"/>
          <w:szCs w:val="28"/>
          <w:highlight w:val="none"/>
          <w:shd w:val="clear" w:color="auto" w:fill="auto"/>
          <w:lang w:val="en-US" w:eastAsia="zh-CN"/>
        </w:rPr>
        <w:t>员</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元的措施：</w:t>
      </w:r>
    </w:p>
    <w:p w14:paraId="410904C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14.2.4.1隐蔽工程一次验收不合格；</w:t>
      </w:r>
    </w:p>
    <w:p w14:paraId="5607C7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14.2.4.2不能按甲方</w:t>
      </w:r>
      <w:r>
        <w:rPr>
          <w:rFonts w:hint="eastAsia" w:ascii="仿宋" w:hAnsi="仿宋" w:eastAsia="仿宋" w:cs="仿宋"/>
          <w:b w:val="0"/>
          <w:bCs w:val="0"/>
          <w:i w:val="0"/>
          <w:iCs w:val="0"/>
          <w:color w:val="auto"/>
          <w:sz w:val="28"/>
          <w:szCs w:val="28"/>
          <w:highlight w:val="none"/>
          <w:shd w:val="clear" w:color="auto" w:fill="auto"/>
          <w:lang w:val="en-US" w:eastAsia="zh-CN"/>
        </w:rPr>
        <w:t>确定的</w:t>
      </w:r>
      <w:r>
        <w:rPr>
          <w:rFonts w:hint="eastAsia" w:ascii="仿宋" w:hAnsi="仿宋" w:eastAsia="仿宋" w:cs="仿宋"/>
          <w:b w:val="0"/>
          <w:bCs w:val="0"/>
          <w:i w:val="0"/>
          <w:iCs w:val="0"/>
          <w:color w:val="auto"/>
          <w:sz w:val="28"/>
          <w:szCs w:val="28"/>
          <w:highlight w:val="none"/>
          <w:shd w:val="clear" w:color="auto" w:fill="auto"/>
          <w:lang w:eastAsia="zh-CN"/>
        </w:rPr>
        <w:t>周进度计划完成施工作业延误工期一天；</w:t>
      </w:r>
    </w:p>
    <w:p w14:paraId="1BE4AE4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14.2.4.3出现因质量、安全</w:t>
      </w:r>
      <w:r>
        <w:rPr>
          <w:rFonts w:hint="eastAsia" w:ascii="仿宋" w:hAnsi="仿宋" w:eastAsia="仿宋" w:cs="仿宋"/>
          <w:b w:val="0"/>
          <w:bCs w:val="0"/>
          <w:i w:val="0"/>
          <w:iCs w:val="0"/>
          <w:color w:val="auto"/>
          <w:sz w:val="28"/>
          <w:szCs w:val="28"/>
          <w:highlight w:val="none"/>
          <w:shd w:val="clear" w:color="auto" w:fill="auto"/>
          <w:lang w:val="en-US" w:eastAsia="zh-CN"/>
        </w:rPr>
        <w:t>不满足本合同约定需</w:t>
      </w:r>
      <w:r>
        <w:rPr>
          <w:rFonts w:hint="eastAsia" w:ascii="仿宋" w:hAnsi="仿宋" w:eastAsia="仿宋" w:cs="仿宋"/>
          <w:b w:val="0"/>
          <w:bCs w:val="0"/>
          <w:i w:val="0"/>
          <w:iCs w:val="0"/>
          <w:color w:val="auto"/>
          <w:sz w:val="28"/>
          <w:szCs w:val="28"/>
          <w:highlight w:val="none"/>
          <w:shd w:val="clear" w:color="auto" w:fill="auto"/>
          <w:lang w:eastAsia="zh-CN"/>
        </w:rPr>
        <w:t>整改；</w:t>
      </w:r>
    </w:p>
    <w:p w14:paraId="10AC965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14.2.4.4聚众赌博，影响他人休息；</w:t>
      </w:r>
    </w:p>
    <w:p w14:paraId="2CAC81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14.2.4.5聚众闹事、打人、打架、偷抢行为；</w:t>
      </w:r>
    </w:p>
    <w:p w14:paraId="607F92B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14.2.4.6容留非</w:t>
      </w:r>
      <w:r>
        <w:rPr>
          <w:rFonts w:hint="eastAsia" w:ascii="仿宋" w:hAnsi="仿宋" w:eastAsia="仿宋" w:cs="仿宋"/>
          <w:b w:val="0"/>
          <w:bCs w:val="0"/>
          <w:i w:val="0"/>
          <w:iCs w:val="0"/>
          <w:color w:val="auto"/>
          <w:sz w:val="28"/>
          <w:szCs w:val="28"/>
          <w:highlight w:val="none"/>
          <w:shd w:val="clear" w:color="auto" w:fill="auto"/>
          <w:lang w:val="en-US" w:eastAsia="zh-CN"/>
        </w:rPr>
        <w:t>本工程现场</w:t>
      </w:r>
      <w:r>
        <w:rPr>
          <w:rFonts w:hint="eastAsia" w:ascii="仿宋" w:hAnsi="仿宋" w:eastAsia="仿宋" w:cs="仿宋"/>
          <w:b w:val="0"/>
          <w:bCs w:val="0"/>
          <w:i w:val="0"/>
          <w:iCs w:val="0"/>
          <w:color w:val="auto"/>
          <w:sz w:val="28"/>
          <w:szCs w:val="28"/>
          <w:highlight w:val="none"/>
          <w:shd w:val="clear" w:color="auto" w:fill="auto"/>
          <w:lang w:eastAsia="zh-CN"/>
        </w:rPr>
        <w:t>人员在</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宿舍住宿；</w:t>
      </w:r>
    </w:p>
    <w:p w14:paraId="22DBE94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14.2.4.7不按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要求加班或人员不足</w:t>
      </w:r>
      <w:r>
        <w:rPr>
          <w:rFonts w:hint="eastAsia" w:ascii="仿宋" w:hAnsi="仿宋" w:eastAsia="仿宋" w:cs="仿宋"/>
          <w:b w:val="0"/>
          <w:bCs w:val="0"/>
          <w:i w:val="0"/>
          <w:iCs w:val="0"/>
          <w:color w:val="auto"/>
          <w:sz w:val="28"/>
          <w:szCs w:val="28"/>
          <w:highlight w:val="none"/>
          <w:shd w:val="clear" w:color="auto" w:fill="auto"/>
          <w:lang w:val="en-US" w:eastAsia="zh-CN"/>
        </w:rPr>
        <w:t>导致</w:t>
      </w:r>
      <w:r>
        <w:rPr>
          <w:rFonts w:hint="eastAsia" w:ascii="仿宋" w:hAnsi="仿宋" w:eastAsia="仿宋" w:cs="仿宋"/>
          <w:b w:val="0"/>
          <w:bCs w:val="0"/>
          <w:i w:val="0"/>
          <w:iCs w:val="0"/>
          <w:color w:val="auto"/>
          <w:sz w:val="28"/>
          <w:szCs w:val="28"/>
          <w:highlight w:val="none"/>
          <w:shd w:val="clear" w:color="auto" w:fill="auto"/>
          <w:lang w:eastAsia="zh-CN"/>
        </w:rPr>
        <w:t>延误工期一天；</w:t>
      </w:r>
    </w:p>
    <w:p w14:paraId="7213EA1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14.2.4.8浪费材料、损坏机具或破坏其它设施</w:t>
      </w:r>
      <w:r>
        <w:rPr>
          <w:rFonts w:hint="eastAsia" w:ascii="仿宋" w:hAnsi="仿宋" w:eastAsia="仿宋" w:cs="仿宋"/>
          <w:b w:val="0"/>
          <w:bCs w:val="0"/>
          <w:i w:val="0"/>
          <w:iCs w:val="0"/>
          <w:color w:val="auto"/>
          <w:sz w:val="28"/>
          <w:szCs w:val="28"/>
          <w:highlight w:val="none"/>
          <w:shd w:val="clear" w:color="auto" w:fill="auto"/>
          <w:lang w:val="en-US" w:eastAsia="zh-CN"/>
        </w:rPr>
        <w:t>及成品</w:t>
      </w:r>
      <w:r>
        <w:rPr>
          <w:rFonts w:hint="eastAsia" w:ascii="仿宋" w:hAnsi="仿宋" w:eastAsia="仿宋" w:cs="仿宋"/>
          <w:b w:val="0"/>
          <w:bCs w:val="0"/>
          <w:i w:val="0"/>
          <w:iCs w:val="0"/>
          <w:color w:val="auto"/>
          <w:sz w:val="28"/>
          <w:szCs w:val="28"/>
          <w:highlight w:val="none"/>
          <w:shd w:val="clear" w:color="auto" w:fill="auto"/>
          <w:lang w:eastAsia="zh-CN"/>
        </w:rPr>
        <w:t>；</w:t>
      </w:r>
    </w:p>
    <w:p w14:paraId="2AA4A8E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14.2.4.9在</w:t>
      </w:r>
      <w:r>
        <w:rPr>
          <w:rFonts w:hint="eastAsia" w:ascii="仿宋" w:hAnsi="仿宋" w:eastAsia="仿宋" w:cs="仿宋"/>
          <w:b w:val="0"/>
          <w:bCs w:val="0"/>
          <w:i w:val="0"/>
          <w:iCs w:val="0"/>
          <w:color w:val="auto"/>
          <w:sz w:val="28"/>
          <w:szCs w:val="28"/>
          <w:highlight w:val="none"/>
          <w:shd w:val="clear" w:color="auto" w:fill="auto"/>
          <w:lang w:val="en-US" w:eastAsia="zh-CN"/>
        </w:rPr>
        <w:t>生活区</w:t>
      </w:r>
      <w:r>
        <w:rPr>
          <w:rFonts w:hint="eastAsia" w:ascii="仿宋" w:hAnsi="仿宋" w:eastAsia="仿宋" w:cs="仿宋"/>
          <w:b w:val="0"/>
          <w:bCs w:val="0"/>
          <w:i w:val="0"/>
          <w:iCs w:val="0"/>
          <w:color w:val="auto"/>
          <w:sz w:val="28"/>
          <w:szCs w:val="28"/>
          <w:highlight w:val="none"/>
          <w:shd w:val="clear" w:color="auto" w:fill="auto"/>
          <w:lang w:eastAsia="zh-CN"/>
        </w:rPr>
        <w:t>存放易燃易爆物品或其它危险品；</w:t>
      </w:r>
    </w:p>
    <w:p w14:paraId="49CEC6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14.2.4.10收留、聘用未成年人；（罚款</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同时驱逐</w:t>
      </w:r>
      <w:r>
        <w:rPr>
          <w:rFonts w:hint="eastAsia" w:ascii="仿宋" w:hAnsi="仿宋" w:eastAsia="仿宋" w:cs="仿宋"/>
          <w:b w:val="0"/>
          <w:bCs w:val="0"/>
          <w:i w:val="0"/>
          <w:iCs w:val="0"/>
          <w:color w:val="auto"/>
          <w:sz w:val="28"/>
          <w:szCs w:val="28"/>
          <w:highlight w:val="none"/>
          <w:shd w:val="clear" w:color="auto" w:fill="auto"/>
          <w:lang w:val="en-US" w:eastAsia="zh-CN"/>
        </w:rPr>
        <w:t>未成年人</w:t>
      </w:r>
      <w:r>
        <w:rPr>
          <w:rFonts w:hint="eastAsia" w:ascii="仿宋" w:hAnsi="仿宋" w:eastAsia="仿宋" w:cs="仿宋"/>
          <w:b w:val="0"/>
          <w:bCs w:val="0"/>
          <w:i w:val="0"/>
          <w:iCs w:val="0"/>
          <w:color w:val="auto"/>
          <w:sz w:val="28"/>
          <w:szCs w:val="28"/>
          <w:highlight w:val="none"/>
          <w:shd w:val="clear" w:color="auto" w:fill="auto"/>
          <w:lang w:eastAsia="zh-CN"/>
        </w:rPr>
        <w:t>离开</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w:t>
      </w:r>
    </w:p>
    <w:p w14:paraId="6EEC77C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14.2.4.11在宿舍内做饭、使用大功率电器设备，如电磁炉、电饭煲、电热棒等。</w:t>
      </w:r>
    </w:p>
    <w:p w14:paraId="00FDE3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w:t>
      </w:r>
      <w:r>
        <w:rPr>
          <w:rFonts w:hint="eastAsia" w:ascii="仿宋" w:hAnsi="仿宋" w:eastAsia="仿宋" w:cs="仿宋"/>
          <w:b w:val="0"/>
          <w:bCs w:val="0"/>
          <w:i w:val="0"/>
          <w:iCs w:val="0"/>
          <w:color w:val="auto"/>
          <w:sz w:val="28"/>
          <w:szCs w:val="28"/>
          <w:highlight w:val="none"/>
          <w:shd w:val="clear" w:color="auto" w:fill="auto"/>
          <w:lang w:eastAsia="zh-CN"/>
        </w:rPr>
        <w:t>其人员有下列情况之一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w:t>
      </w:r>
    </w:p>
    <w:p w14:paraId="265BF1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w:t>
      </w:r>
      <w:r>
        <w:rPr>
          <w:rFonts w:hint="eastAsia" w:ascii="仿宋" w:hAnsi="仿宋" w:eastAsia="仿宋" w:cs="仿宋"/>
          <w:b w:val="0"/>
          <w:bCs w:val="0"/>
          <w:i w:val="0"/>
          <w:iCs w:val="0"/>
          <w:color w:val="auto"/>
          <w:sz w:val="28"/>
          <w:szCs w:val="28"/>
          <w:highlight w:val="none"/>
          <w:shd w:val="clear" w:color="auto" w:fill="auto"/>
          <w:lang w:eastAsia="zh-CN"/>
        </w:rPr>
        <w:t>4.2.5.1管理人员未经</w:t>
      </w:r>
      <w:r>
        <w:rPr>
          <w:rFonts w:hint="eastAsia" w:ascii="仿宋" w:hAnsi="仿宋" w:eastAsia="仿宋" w:cs="仿宋"/>
          <w:b w:val="0"/>
          <w:bCs w:val="0"/>
          <w:i w:val="0"/>
          <w:iCs w:val="0"/>
          <w:color w:val="auto"/>
          <w:sz w:val="28"/>
          <w:szCs w:val="28"/>
          <w:highlight w:val="none"/>
          <w:shd w:val="clear" w:color="auto" w:fill="auto"/>
          <w:lang w:val="en-US" w:eastAsia="zh-CN"/>
        </w:rPr>
        <w:t>甲方同意</w:t>
      </w:r>
      <w:r>
        <w:rPr>
          <w:rFonts w:hint="eastAsia" w:ascii="仿宋" w:hAnsi="仿宋" w:eastAsia="仿宋" w:cs="仿宋"/>
          <w:b w:val="0"/>
          <w:bCs w:val="0"/>
          <w:i w:val="0"/>
          <w:iCs w:val="0"/>
          <w:color w:val="auto"/>
          <w:sz w:val="28"/>
          <w:szCs w:val="28"/>
          <w:highlight w:val="none"/>
          <w:shd w:val="clear" w:color="auto" w:fill="auto"/>
          <w:lang w:eastAsia="zh-CN"/>
        </w:rPr>
        <w:t>离开工地两天以内；</w:t>
      </w:r>
    </w:p>
    <w:p w14:paraId="4629C7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14.2.5.2未戴好安全帽、穿拖鞋或赤脚、赤膊进入作业区；</w:t>
      </w:r>
    </w:p>
    <w:p w14:paraId="097CCA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14.2.5.3不戴工卡上岗；</w:t>
      </w:r>
    </w:p>
    <w:p w14:paraId="77806D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14.2.5.4施工人员进场三天内不办理工作卡；</w:t>
      </w:r>
    </w:p>
    <w:p w14:paraId="3DB0A32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14.2.5.5未经</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批准擅带家属及小孩进入施工现场或在宿舍居住；</w:t>
      </w:r>
    </w:p>
    <w:p w14:paraId="476ECF3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14.2.5.6工棚内乱拉乱接电线，违反生活区管理制度；</w:t>
      </w:r>
    </w:p>
    <w:p w14:paraId="3008BD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14.2.5.7宿舍卫生不合格；</w:t>
      </w:r>
    </w:p>
    <w:p w14:paraId="3FBDC9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14.2.5.8材料、机具未按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要求堆放，建筑垃圾未按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要求处理，随地大小便，随意吸烟，在墙上乱涂乱画。</w:t>
      </w:r>
      <w:bookmarkStart w:id="114" w:name="_Toc16635"/>
      <w:bookmarkStart w:id="115" w:name="_Toc28593"/>
      <w:bookmarkStart w:id="116" w:name="_Toc6486"/>
    </w:p>
    <w:p w14:paraId="3B6B306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14.2.5.9乙方人员、车辆不接受甲方门岗保卫检查。</w:t>
      </w:r>
    </w:p>
    <w:p w14:paraId="170F1CEA">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7" w:name="_Toc31258"/>
      <w:bookmarkStart w:id="118" w:name="_Toc8716"/>
      <w:bookmarkStart w:id="119" w:name="_Toc30520"/>
      <w:bookmarkStart w:id="120" w:name="_Toc23182"/>
      <w:bookmarkStart w:id="121" w:name="_Toc28531"/>
      <w:bookmarkStart w:id="122" w:name="_Toc10913"/>
      <w:r>
        <w:rPr>
          <w:rFonts w:hint="eastAsia" w:ascii="仿宋" w:hAnsi="仿宋" w:eastAsia="仿宋" w:cs="仿宋"/>
          <w:b/>
          <w:bCs/>
          <w:i w:val="0"/>
          <w:iCs w:val="0"/>
          <w:color w:val="auto"/>
          <w:sz w:val="28"/>
          <w:szCs w:val="28"/>
          <w:highlight w:val="none"/>
          <w:shd w:val="clear" w:color="auto" w:fill="auto"/>
          <w:lang w:val="en-US" w:eastAsia="zh-CN"/>
        </w:rPr>
        <w:t>违约条款</w:t>
      </w:r>
      <w:bookmarkEnd w:id="114"/>
      <w:bookmarkEnd w:id="115"/>
      <w:bookmarkEnd w:id="116"/>
      <w:bookmarkEnd w:id="117"/>
      <w:bookmarkEnd w:id="118"/>
      <w:bookmarkEnd w:id="119"/>
      <w:bookmarkEnd w:id="120"/>
      <w:bookmarkEnd w:id="121"/>
      <w:bookmarkEnd w:id="122"/>
    </w:p>
    <w:p w14:paraId="15BFDB5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bookmarkStart w:id="123" w:name="_Toc21824"/>
      <w:bookmarkStart w:id="124" w:name="_Toc10430"/>
      <w:bookmarkStart w:id="125" w:name="_Toc2734"/>
      <w:r>
        <w:rPr>
          <w:rFonts w:hint="eastAsia" w:ascii="仿宋" w:hAnsi="仿宋" w:eastAsia="仿宋" w:cs="仿宋"/>
          <w:b w:val="0"/>
          <w:bCs w:val="0"/>
          <w:i w:val="0"/>
          <w:iCs w:val="0"/>
          <w:color w:val="auto"/>
          <w:sz w:val="28"/>
          <w:szCs w:val="28"/>
          <w:highlight w:val="none"/>
          <w:shd w:val="clear" w:color="auto" w:fill="auto"/>
          <w:lang w:eastAsia="zh-CN"/>
        </w:rPr>
        <w:t>15.1乙方延迟开工或不能按合同约定的工期完成本工程任一节点内容的，每延迟一个日历天，乙方向甲方支付违约金人民币</w:t>
      </w:r>
      <w:r>
        <w:rPr>
          <w:rFonts w:hint="eastAsia" w:ascii="仿宋" w:hAnsi="仿宋" w:eastAsia="仿宋" w:cs="仿宋"/>
          <w:b w:val="0"/>
          <w:bCs w:val="0"/>
          <w:i w:val="0"/>
          <w:iCs w:val="0"/>
          <w:color w:val="auto"/>
          <w:sz w:val="28"/>
          <w:szCs w:val="28"/>
          <w:highlight w:val="none"/>
          <w:shd w:val="clear" w:color="auto" w:fill="auto"/>
          <w:lang w:val="en-US" w:eastAsia="zh-CN"/>
        </w:rPr>
        <w:t>壹万</w:t>
      </w:r>
      <w:r>
        <w:rPr>
          <w:rFonts w:hint="eastAsia" w:ascii="仿宋" w:hAnsi="仿宋" w:eastAsia="仿宋" w:cs="仿宋"/>
          <w:b w:val="0"/>
          <w:bCs w:val="0"/>
          <w:i w:val="0"/>
          <w:iCs w:val="0"/>
          <w:color w:val="auto"/>
          <w:sz w:val="28"/>
          <w:szCs w:val="28"/>
          <w:highlight w:val="none"/>
          <w:shd w:val="clear" w:color="auto" w:fill="auto"/>
          <w:lang w:eastAsia="zh-CN"/>
        </w:rPr>
        <w:t>元整，延迟超过三个日历天的，甲方有权单方解除合同，已完工工程无偿归甲方，甲方无需支付工程款并有权委托其他单位继续完成本工程；乙方还需按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合同总价的20%支付违约金并按甲方要求准时退场，每延迟一个日历天退场，乙方向甲方另行支付违约金人民币伍</w:t>
      </w:r>
      <w:r>
        <w:rPr>
          <w:rFonts w:hint="eastAsia" w:ascii="仿宋" w:hAnsi="仿宋" w:eastAsia="仿宋" w:cs="仿宋"/>
          <w:b w:val="0"/>
          <w:bCs w:val="0"/>
          <w:i w:val="0"/>
          <w:iCs w:val="0"/>
          <w:color w:val="auto"/>
          <w:sz w:val="28"/>
          <w:szCs w:val="28"/>
          <w:highlight w:val="none"/>
          <w:shd w:val="clear" w:color="auto" w:fill="auto"/>
          <w:lang w:val="en-US" w:eastAsia="zh-CN"/>
        </w:rPr>
        <w:t>万</w:t>
      </w:r>
      <w:r>
        <w:rPr>
          <w:rFonts w:hint="eastAsia" w:ascii="仿宋" w:hAnsi="仿宋" w:eastAsia="仿宋" w:cs="仿宋"/>
          <w:b w:val="0"/>
          <w:bCs w:val="0"/>
          <w:i w:val="0"/>
          <w:iCs w:val="0"/>
          <w:color w:val="auto"/>
          <w:sz w:val="28"/>
          <w:szCs w:val="28"/>
          <w:highlight w:val="none"/>
          <w:shd w:val="clear" w:color="auto" w:fill="auto"/>
          <w:lang w:eastAsia="zh-CN"/>
        </w:rPr>
        <w:t>元整，甲方的损失（包括但不限于因逾期而使得甲方需对建设单位承担的违约责任、损失赔偿责任等）由乙方赔偿。</w:t>
      </w:r>
    </w:p>
    <w:p w14:paraId="6B8E55A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15.2乙方原因造成本工程质量达不到约定的质量标准的，乙方无条件返工至合格为止。甲方要求之日起3个日历天内，乙方仍未采取有效返工措施或未在甲方要求的期限内完成整改并通过甲方验收的，每延迟一个日历天，乙方向甲方支付违约金人民币伍仟元整并赔偿甲方损失（包括但不限于因逾期完工而使得甲方需对建设单位承担的违约责任、损失赔偿责任等），同时甲方有权：①单方解除合同并要求乙方期限内无条件撤场，乙方向甲方支付金额等于</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合同总价20%的违约金和赔偿甲方全部损失，已完工工程无偿归甲方，甲方无需支付工程款；②另行委托其他单位对本工程进行返修，乙方须无条件接受并配合，由此产生的一切费用乙方承担。</w:t>
      </w:r>
    </w:p>
    <w:p w14:paraId="3A90CDF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15.3经甲方验核达不到约定质量标准的检验批（分项或分部），甲方有权对乙方按相应检验批的工程量处以相当于</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合同总价5%的违约金处理，如果甲方被政府部门或建设单位处罚而需承担违约、赔偿责任或费用的，则由乙方全部承担，同时甲方保留对乙方追偿的权利。</w:t>
      </w:r>
    </w:p>
    <w:p w14:paraId="2378BF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15.4合同履行期间，因乙方原因造成甲方或本工程或本项目被政府部门停工、整改导致扣分的，按贰万元/分由乙方支付给甲方（甲方亦可从任意合同款中扣款）。</w:t>
      </w:r>
    </w:p>
    <w:p w14:paraId="1C536F8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15.5乙方及其人员、供应商不得以任何理由去政府部门上访、投诉，不得去建设单位投诉、静坐，否则视情节轻重向甲方支付违约金壹万至壹拾万元/次。</w:t>
      </w:r>
    </w:p>
    <w:p w14:paraId="107CFA9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15.6</w:t>
      </w:r>
      <w:r>
        <w:rPr>
          <w:rFonts w:hint="eastAsia" w:ascii="仿宋" w:hAnsi="仿宋" w:eastAsia="仿宋" w:cs="仿宋"/>
          <w:color w:val="auto"/>
          <w:sz w:val="28"/>
          <w:szCs w:val="28"/>
          <w:highlight w:val="none"/>
        </w:rPr>
        <w:t>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6AB073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64CA7D8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15.8凡乙方发生偷工减料行为，甲方视情节轻重计收乙方贰万至壹拾万元/次的违约金。</w:t>
      </w:r>
    </w:p>
    <w:p w14:paraId="676C793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15.9合同履行期间，因乙方原因导致建设单位、</w:t>
      </w:r>
      <w:r>
        <w:rPr>
          <w:rFonts w:hint="eastAsia" w:ascii="仿宋" w:hAnsi="仿宋" w:eastAsia="仿宋" w:cs="仿宋"/>
          <w:b w:val="0"/>
          <w:bCs w:val="0"/>
          <w:i w:val="0"/>
          <w:iCs w:val="0"/>
          <w:color w:val="auto"/>
          <w:sz w:val="28"/>
          <w:szCs w:val="28"/>
          <w:highlight w:val="none"/>
          <w:shd w:val="clear" w:color="auto" w:fill="auto"/>
          <w:lang w:val="en-US" w:eastAsia="zh-CN"/>
        </w:rPr>
        <w:t>政府主管</w:t>
      </w:r>
      <w:r>
        <w:rPr>
          <w:rFonts w:hint="eastAsia" w:ascii="仿宋" w:hAnsi="仿宋" w:eastAsia="仿宋" w:cs="仿宋"/>
          <w:b w:val="0"/>
          <w:bCs w:val="0"/>
          <w:i w:val="0"/>
          <w:iCs w:val="0"/>
          <w:color w:val="auto"/>
          <w:sz w:val="28"/>
          <w:szCs w:val="28"/>
          <w:highlight w:val="none"/>
          <w:shd w:val="clear" w:color="auto" w:fill="auto"/>
          <w:lang w:eastAsia="zh-CN"/>
        </w:rPr>
        <w:t>部门对甲方进行处罚扣款的，甲方</w:t>
      </w:r>
      <w:r>
        <w:rPr>
          <w:rFonts w:hint="eastAsia" w:ascii="仿宋" w:hAnsi="仿宋" w:eastAsia="仿宋" w:cs="仿宋"/>
          <w:b w:val="0"/>
          <w:bCs w:val="0"/>
          <w:i w:val="0"/>
          <w:iCs w:val="0"/>
          <w:color w:val="auto"/>
          <w:sz w:val="28"/>
          <w:szCs w:val="28"/>
          <w:highlight w:val="none"/>
          <w:shd w:val="clear" w:color="auto" w:fill="auto"/>
          <w:lang w:val="en-US" w:eastAsia="zh-CN"/>
        </w:rPr>
        <w:t>按</w:t>
      </w:r>
      <w:r>
        <w:rPr>
          <w:rFonts w:hint="eastAsia" w:ascii="仿宋" w:hAnsi="仿宋" w:eastAsia="仿宋" w:cs="仿宋"/>
          <w:b w:val="0"/>
          <w:bCs w:val="0"/>
          <w:i w:val="0"/>
          <w:iCs w:val="0"/>
          <w:color w:val="auto"/>
          <w:sz w:val="28"/>
          <w:szCs w:val="28"/>
          <w:highlight w:val="none"/>
          <w:shd w:val="clear" w:color="auto" w:fill="auto"/>
          <w:lang w:eastAsia="zh-CN"/>
        </w:rPr>
        <w:t>该处罚金额</w:t>
      </w:r>
      <w:r>
        <w:rPr>
          <w:rFonts w:hint="eastAsia" w:ascii="仿宋" w:hAnsi="仿宋" w:eastAsia="仿宋" w:cs="仿宋"/>
          <w:b w:val="0"/>
          <w:bCs w:val="0"/>
          <w:i w:val="0"/>
          <w:iCs w:val="0"/>
          <w:color w:val="auto"/>
          <w:sz w:val="28"/>
          <w:szCs w:val="28"/>
          <w:highlight w:val="none"/>
          <w:shd w:val="clear" w:color="auto" w:fill="auto"/>
          <w:lang w:val="en-US" w:eastAsia="zh-CN"/>
        </w:rPr>
        <w:t>的2倍以上向</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p>
    <w:p w14:paraId="2981FC2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15.10因乙方原因导致甲方被起诉或被处分的，乙方除赔偿甲方损失外，甲方每被起诉或处分一次，乙方还向甲方支付五万元的违约金；若因此导致甲方账号被冻结，乙方按冻结资金总额的日千分之一向甲方支付利息。因出现此情形属乙方自身管理不当，乙方自愿承担甲方遭受的所有损失，并根据账号被冻结次数，每次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万元违约金。</w:t>
      </w:r>
    </w:p>
    <w:p w14:paraId="16DB9C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15.11乙方出现上述第15.1条~第15.10条所述任一行为或未履行合同任一义务的，均属乙方严重违约，乙方除按上述条款承担包括但不限于以上所述的违约责任外，甲方可随时单方解除本合同，所产生的损失由乙方赔偿甲方。</w:t>
      </w:r>
    </w:p>
    <w:p w14:paraId="7CDCD81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15.12因建设单位、设计变更或非甲方原因导致本合同不能履行的，甲、乙双方互不追究违约责任，按照乙方已完成且经甲方验收合格的工程量进行结算，同时双方各自承担自身损失。</w:t>
      </w:r>
    </w:p>
    <w:p w14:paraId="62EE2F4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15.13乙方不得因停工损失向甲方索赔，同意不追究甲方在本合同履行过程中因付款延迟、停工而产生的违约责任。</w:t>
      </w:r>
    </w:p>
    <w:p w14:paraId="1CED0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15.14合同有效期内，乙方须确保自身持续具备履行合同义务的合法资质资格（尤其须符合政府主管部门的要求），否则甲方有权：①自乙方不具备合法资质、资格之日起，乙方每日向甲方支付违约金人民币伍</w:t>
      </w:r>
      <w:r>
        <w:rPr>
          <w:rFonts w:hint="eastAsia" w:ascii="仿宋" w:hAnsi="仿宋" w:eastAsia="仿宋" w:cs="仿宋"/>
          <w:b w:val="0"/>
          <w:bCs w:val="0"/>
          <w:i w:val="0"/>
          <w:iCs w:val="0"/>
          <w:color w:val="auto"/>
          <w:sz w:val="28"/>
          <w:szCs w:val="28"/>
          <w:highlight w:val="none"/>
          <w:shd w:val="clear" w:color="auto" w:fill="auto"/>
          <w:lang w:val="en-US" w:eastAsia="zh-CN"/>
        </w:rPr>
        <w:t>仟</w:t>
      </w:r>
      <w:r>
        <w:rPr>
          <w:rFonts w:hint="eastAsia" w:ascii="仿宋" w:hAnsi="仿宋" w:eastAsia="仿宋" w:cs="仿宋"/>
          <w:b w:val="0"/>
          <w:bCs w:val="0"/>
          <w:i w:val="0"/>
          <w:iCs w:val="0"/>
          <w:color w:val="auto"/>
          <w:sz w:val="28"/>
          <w:szCs w:val="28"/>
          <w:highlight w:val="none"/>
          <w:shd w:val="clear" w:color="auto" w:fill="auto"/>
          <w:lang w:eastAsia="zh-CN"/>
        </w:rPr>
        <w:t>元，直至乙方恢复相关资质、资格；②甲方单方解除合同并收回所有已付款项。</w:t>
      </w:r>
    </w:p>
    <w:p w14:paraId="4B0EF1E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15.15在本合同履行过程中，可能因乙方原因造成</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lang w:eastAsia="zh-CN"/>
        </w:rPr>
        <w:t>质量、安全文明等无法满足甲方及规范要求的，乙方须提供不属于其责任的证明并得到甲方的书面认可，否则视为乙方违约，全部责任及费用和损失由乙方承担。</w:t>
      </w:r>
    </w:p>
    <w:p w14:paraId="20DBFB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15.16</w:t>
      </w:r>
      <w:r>
        <w:rPr>
          <w:rFonts w:hint="eastAsia" w:ascii="仿宋" w:hAnsi="仿宋" w:eastAsia="仿宋" w:cs="仿宋"/>
          <w:i w:val="0"/>
          <w:iCs w:val="0"/>
          <w:color w:val="auto"/>
          <w:sz w:val="28"/>
          <w:szCs w:val="28"/>
          <w:highlight w:val="none"/>
          <w:shd w:val="clear" w:color="auto" w:fill="auto"/>
          <w:lang w:val="en-US" w:eastAsia="zh-CN"/>
        </w:rPr>
        <w:t>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承担不合格部位造价20%以上的违约金，同时处以5000元以上的罚款。</w:t>
      </w:r>
    </w:p>
    <w:p w14:paraId="4599AC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15.17基于</w:t>
      </w:r>
      <w:r>
        <w:rPr>
          <w:rFonts w:hint="eastAsia" w:ascii="仿宋" w:hAnsi="仿宋" w:eastAsia="仿宋" w:cs="仿宋"/>
          <w:b w:val="0"/>
          <w:bCs w:val="0"/>
          <w:i w:val="0"/>
          <w:iCs w:val="0"/>
          <w:color w:val="auto"/>
          <w:sz w:val="28"/>
          <w:szCs w:val="28"/>
          <w:highlight w:val="none"/>
          <w:shd w:val="clear" w:color="auto" w:fill="auto"/>
          <w:lang w:val="en-US" w:eastAsia="zh-CN"/>
        </w:rPr>
        <w:t>本</w:t>
      </w:r>
      <w:r>
        <w:rPr>
          <w:rFonts w:hint="eastAsia" w:ascii="仿宋" w:hAnsi="仿宋" w:eastAsia="仿宋" w:cs="仿宋"/>
          <w:b w:val="0"/>
          <w:bCs w:val="0"/>
          <w:i w:val="0"/>
          <w:iCs w:val="0"/>
          <w:color w:val="auto"/>
          <w:sz w:val="28"/>
          <w:szCs w:val="28"/>
          <w:highlight w:val="none"/>
          <w:shd w:val="clear" w:color="auto" w:fill="auto"/>
          <w:lang w:eastAsia="zh-CN"/>
        </w:rPr>
        <w:t>项目特殊性，乙方已充分了解其责任并自愿承担相应风险，合同所约定的违约金标准经双方友好协商确定，乙方同意不</w:t>
      </w:r>
      <w:r>
        <w:rPr>
          <w:rFonts w:hint="eastAsia" w:ascii="仿宋" w:hAnsi="仿宋" w:eastAsia="仿宋" w:cs="仿宋"/>
          <w:b w:val="0"/>
          <w:bCs w:val="0"/>
          <w:i w:val="0"/>
          <w:iCs w:val="0"/>
          <w:color w:val="auto"/>
          <w:sz w:val="28"/>
          <w:szCs w:val="28"/>
          <w:highlight w:val="none"/>
          <w:shd w:val="clear" w:color="auto" w:fill="auto"/>
          <w:lang w:val="en-US" w:eastAsia="zh-CN"/>
        </w:rPr>
        <w:t>得</w:t>
      </w:r>
      <w:r>
        <w:rPr>
          <w:rFonts w:hint="eastAsia" w:ascii="仿宋" w:hAnsi="仿宋" w:eastAsia="仿宋" w:cs="仿宋"/>
          <w:b w:val="0"/>
          <w:bCs w:val="0"/>
          <w:i w:val="0"/>
          <w:iCs w:val="0"/>
          <w:color w:val="auto"/>
          <w:sz w:val="28"/>
          <w:szCs w:val="28"/>
          <w:highlight w:val="none"/>
          <w:shd w:val="clear" w:color="auto" w:fill="auto"/>
          <w:lang w:eastAsia="zh-CN"/>
        </w:rPr>
        <w:t>对违约金标准提出任何主张或抗辩。</w:t>
      </w:r>
    </w:p>
    <w:p w14:paraId="61B766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1627817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17E5D14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26" w:name="_Toc14780"/>
      <w:bookmarkStart w:id="127" w:name="_Toc14983"/>
      <w:bookmarkStart w:id="128" w:name="_Toc20210"/>
      <w:bookmarkStart w:id="129" w:name="_Toc31950"/>
      <w:bookmarkStart w:id="130" w:name="_Toc14729"/>
      <w:bookmarkStart w:id="131" w:name="_Toc31952"/>
      <w:r>
        <w:rPr>
          <w:rFonts w:hint="eastAsia" w:ascii="仿宋" w:hAnsi="仿宋" w:eastAsia="仿宋" w:cs="仿宋"/>
          <w:b/>
          <w:bCs/>
          <w:i w:val="0"/>
          <w:iCs w:val="0"/>
          <w:color w:val="auto"/>
          <w:sz w:val="28"/>
          <w:szCs w:val="28"/>
          <w:highlight w:val="none"/>
          <w:shd w:val="clear" w:color="auto" w:fill="auto"/>
          <w:lang w:val="en-US" w:eastAsia="zh-CN"/>
        </w:rPr>
        <w:t>廉洁条款</w:t>
      </w:r>
      <w:bookmarkEnd w:id="123"/>
      <w:bookmarkEnd w:id="124"/>
      <w:bookmarkEnd w:id="125"/>
      <w:bookmarkEnd w:id="126"/>
      <w:bookmarkEnd w:id="127"/>
      <w:bookmarkEnd w:id="128"/>
      <w:bookmarkEnd w:id="129"/>
      <w:bookmarkEnd w:id="130"/>
      <w:bookmarkEnd w:id="131"/>
    </w:p>
    <w:p w14:paraId="6623D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.1乙方在与甲方合作期间（包括本</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招标、签订、履行期间），不得向甲方职员提供请吃、送礼、旅游、色情服务、行贿、回扣或其他好处，如有违反，乙方每次向甲方支付</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合同暂定总价/</w:t>
      </w:r>
      <w:r>
        <w:rPr>
          <w:rFonts w:hint="eastAsia" w:ascii="仿宋" w:hAnsi="仿宋" w:eastAsia="仿宋" w:cs="仿宋"/>
          <w:b w:val="0"/>
          <w:bCs w:val="0"/>
          <w:i w:val="0"/>
          <w:iCs w:val="0"/>
          <w:color w:val="auto"/>
          <w:sz w:val="28"/>
          <w:szCs w:val="28"/>
          <w:highlight w:val="none"/>
          <w:shd w:val="clear" w:color="auto" w:fill="auto"/>
          <w:lang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合同总价</w:t>
      </w:r>
      <w:r>
        <w:rPr>
          <w:rFonts w:hint="eastAsia" w:ascii="仿宋" w:hAnsi="仿宋" w:eastAsia="仿宋" w:cs="仿宋"/>
          <w:b w:val="0"/>
          <w:bCs w:val="0"/>
          <w:i w:val="0"/>
          <w:iCs w:val="0"/>
          <w:color w:val="auto"/>
          <w:sz w:val="28"/>
          <w:szCs w:val="28"/>
          <w:highlight w:val="none"/>
          <w:shd w:val="clear" w:color="auto" w:fill="auto"/>
          <w:lang w:eastAsia="zh-CN"/>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w:t>
      </w:r>
    </w:p>
    <w:p w14:paraId="73B3C35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CE9501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.3 如甲方发现乙方可能存在违反廉洁条款的行为时，甲方有权暂扣违约金/争议工程款/处罚款等对应等额的工程款，直至调查完毕后根据调查结果再作处理，甲方暂不付款的行为不视为甲方违约。</w:t>
      </w:r>
    </w:p>
    <w:p w14:paraId="1E4342C1">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2" w:name="_Toc3557"/>
      <w:bookmarkStart w:id="133" w:name="_Toc15001"/>
      <w:bookmarkStart w:id="134" w:name="_Toc16501"/>
      <w:bookmarkStart w:id="135" w:name="_Toc10092"/>
      <w:bookmarkStart w:id="136" w:name="_Toc7932"/>
      <w:bookmarkStart w:id="137" w:name="_Toc2484"/>
      <w:bookmarkStart w:id="138" w:name="_Toc5211"/>
      <w:bookmarkStart w:id="139" w:name="_Toc24202"/>
      <w:r>
        <w:rPr>
          <w:rFonts w:hint="eastAsia" w:ascii="仿宋" w:hAnsi="仿宋" w:eastAsia="仿宋" w:cs="仿宋"/>
          <w:b/>
          <w:bCs/>
          <w:i w:val="0"/>
          <w:iCs w:val="0"/>
          <w:color w:val="auto"/>
          <w:sz w:val="28"/>
          <w:szCs w:val="28"/>
          <w:highlight w:val="none"/>
          <w:shd w:val="clear" w:color="auto" w:fill="auto"/>
          <w:lang w:val="en-US" w:eastAsia="zh-CN"/>
        </w:rPr>
        <w:t>其他</w:t>
      </w:r>
      <w:bookmarkEnd w:id="132"/>
      <w:bookmarkEnd w:id="133"/>
      <w:bookmarkEnd w:id="134"/>
      <w:bookmarkEnd w:id="135"/>
      <w:bookmarkEnd w:id="136"/>
      <w:bookmarkEnd w:id="137"/>
      <w:bookmarkEnd w:id="138"/>
      <w:bookmarkEnd w:id="139"/>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122EA5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.1甲乙双方联系人</w:t>
      </w:r>
    </w:p>
    <w:p w14:paraId="1ED532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工程甲方</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 w:hAnsi="仿宋" w:eastAsia="仿宋" w:cs="仿宋"/>
          <w:b w:val="0"/>
          <w:bCs w:val="0"/>
          <w:i w:val="0"/>
          <w:iCs w:val="0"/>
          <w:color w:val="auto"/>
          <w:sz w:val="28"/>
          <w:szCs w:val="28"/>
          <w:highlight w:val="none"/>
          <w:shd w:val="clear" w:color="auto" w:fill="auto"/>
          <w:lang w:eastAsia="zh-CN"/>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 w:hAnsi="仿宋" w:eastAsia="仿宋" w:cs="仿宋"/>
          <w:b w:val="0"/>
          <w:bCs w:val="0"/>
          <w:i w:val="0"/>
          <w:iCs w:val="0"/>
          <w:color w:val="auto"/>
          <w:sz w:val="28"/>
          <w:szCs w:val="28"/>
          <w:highlight w:val="none"/>
          <w:shd w:val="clear" w:color="auto" w:fill="auto"/>
          <w:lang w:eastAsia="zh-CN"/>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执行联系人签名并加盖</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项目章（样式详见合同附件）方为有效，否则为无效文件，仅盖章或者仅签名的文件亦无效。甲方项目负责人、</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执行联系人变更的，甲方将以书面形式通知乙方。</w:t>
      </w:r>
    </w:p>
    <w:p w14:paraId="578D9B5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双方确认，甲方项目章仅供</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项目部与乙方联系工作和确认施工技术、资料之用。乙方知悉并同意，该项目章用于以下情形时无效：</w:t>
      </w:r>
    </w:p>
    <w:p w14:paraId="4477C4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w:t>
      </w:r>
      <w:r>
        <w:rPr>
          <w:rFonts w:hint="eastAsia" w:ascii="仿宋" w:hAnsi="仿宋" w:eastAsia="仿宋" w:cs="仿宋"/>
          <w:b w:val="0"/>
          <w:bCs w:val="0"/>
          <w:i w:val="0"/>
          <w:iCs w:val="0"/>
          <w:color w:val="auto"/>
          <w:sz w:val="28"/>
          <w:szCs w:val="28"/>
          <w:highlight w:val="none"/>
          <w:shd w:val="clear" w:color="auto" w:fill="auto"/>
          <w:lang w:eastAsia="zh-CN"/>
        </w:rPr>
        <w:t>签订工程合同或工程分包合同及机械设备、周材租赁及材料采购类等合同；</w:t>
      </w:r>
    </w:p>
    <w:p w14:paraId="6439F0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w:t>
      </w:r>
      <w:r>
        <w:rPr>
          <w:rFonts w:hint="eastAsia" w:ascii="仿宋" w:hAnsi="仿宋" w:eastAsia="仿宋" w:cs="仿宋"/>
          <w:b w:val="0"/>
          <w:bCs w:val="0"/>
          <w:i w:val="0"/>
          <w:iCs w:val="0"/>
          <w:color w:val="auto"/>
          <w:sz w:val="28"/>
          <w:szCs w:val="28"/>
          <w:highlight w:val="none"/>
          <w:shd w:val="clear" w:color="auto" w:fill="auto"/>
          <w:lang w:eastAsia="zh-CN"/>
        </w:rPr>
        <w:t>任何类型的欠条或收据；</w:t>
      </w:r>
    </w:p>
    <w:p w14:paraId="53F3F35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w:t>
      </w:r>
      <w:r>
        <w:rPr>
          <w:rFonts w:hint="eastAsia" w:ascii="仿宋" w:hAnsi="仿宋" w:eastAsia="仿宋" w:cs="仿宋"/>
          <w:b w:val="0"/>
          <w:bCs w:val="0"/>
          <w:i w:val="0"/>
          <w:iCs w:val="0"/>
          <w:color w:val="auto"/>
          <w:sz w:val="28"/>
          <w:szCs w:val="28"/>
          <w:highlight w:val="none"/>
          <w:shd w:val="clear" w:color="auto" w:fill="auto"/>
          <w:lang w:eastAsia="zh-CN"/>
        </w:rPr>
        <w:t>任何形式的经济结算凭证；</w:t>
      </w:r>
    </w:p>
    <w:p w14:paraId="19F438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w:t>
      </w:r>
      <w:r>
        <w:rPr>
          <w:rFonts w:hint="eastAsia" w:ascii="仿宋" w:hAnsi="仿宋" w:eastAsia="仿宋" w:cs="仿宋"/>
          <w:b w:val="0"/>
          <w:bCs w:val="0"/>
          <w:i w:val="0"/>
          <w:iCs w:val="0"/>
          <w:color w:val="auto"/>
          <w:sz w:val="28"/>
          <w:szCs w:val="28"/>
          <w:highlight w:val="none"/>
          <w:shd w:val="clear" w:color="auto" w:fill="auto"/>
          <w:lang w:eastAsia="zh-CN"/>
        </w:rPr>
        <w:t>为他人或他单位提供任何形式的担保；</w:t>
      </w:r>
    </w:p>
    <w:p w14:paraId="72E1273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w:t>
      </w:r>
      <w:r>
        <w:rPr>
          <w:rFonts w:hint="eastAsia" w:ascii="仿宋" w:hAnsi="仿宋" w:eastAsia="仿宋" w:cs="仿宋"/>
          <w:b w:val="0"/>
          <w:bCs w:val="0"/>
          <w:i w:val="0"/>
          <w:iCs w:val="0"/>
          <w:color w:val="auto"/>
          <w:sz w:val="28"/>
          <w:szCs w:val="28"/>
          <w:highlight w:val="none"/>
          <w:shd w:val="clear" w:color="auto" w:fill="auto"/>
          <w:lang w:eastAsia="zh-CN"/>
        </w:rPr>
        <w:t>确认任何形式的包含权利义务及责任承担的文件。</w:t>
      </w:r>
    </w:p>
    <w:p w14:paraId="4036A3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w:t>
      </w:r>
      <w:r>
        <w:rPr>
          <w:rFonts w:hint="eastAsia" w:ascii="仿宋" w:hAnsi="仿宋" w:eastAsia="仿宋" w:cs="仿宋"/>
          <w:b w:val="0"/>
          <w:bCs w:val="0"/>
          <w:i w:val="0"/>
          <w:iCs w:val="0"/>
          <w:color w:val="auto"/>
          <w:sz w:val="28"/>
          <w:szCs w:val="28"/>
          <w:highlight w:val="none"/>
          <w:shd w:val="clear" w:color="auto" w:fill="auto"/>
          <w:lang w:eastAsia="zh-CN"/>
        </w:rPr>
        <w:t>授权代表，本合同有效期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为乙方</w:t>
      </w:r>
      <w:r>
        <w:rPr>
          <w:rFonts w:hint="eastAsia" w:ascii="仿宋" w:hAnsi="仿宋" w:eastAsia="仿宋" w:cs="仿宋"/>
          <w:b w:val="0"/>
          <w:bCs w:val="0"/>
          <w:i w:val="0"/>
          <w:iCs w:val="0"/>
          <w:color w:val="auto"/>
          <w:sz w:val="28"/>
          <w:szCs w:val="28"/>
          <w:highlight w:val="none"/>
          <w:shd w:val="clear" w:color="auto" w:fill="auto"/>
          <w:lang w:val="en-US" w:eastAsia="zh-CN"/>
        </w:rPr>
        <w:t>授权</w:t>
      </w:r>
      <w:r>
        <w:rPr>
          <w:rFonts w:hint="eastAsia" w:ascii="仿宋" w:hAnsi="仿宋" w:eastAsia="仿宋" w:cs="仿宋"/>
          <w:b w:val="0"/>
          <w:bCs w:val="0"/>
          <w:i w:val="0"/>
          <w:iCs w:val="0"/>
          <w:color w:val="auto"/>
          <w:sz w:val="28"/>
          <w:szCs w:val="28"/>
          <w:highlight w:val="none"/>
          <w:shd w:val="clear" w:color="auto" w:fill="auto"/>
          <w:lang w:eastAsia="zh-CN"/>
        </w:rPr>
        <w:t>处理与本合同</w:t>
      </w:r>
      <w:r>
        <w:rPr>
          <w:rFonts w:hint="eastAsia" w:ascii="仿宋" w:hAnsi="仿宋" w:eastAsia="仿宋" w:cs="仿宋"/>
          <w:b w:val="0"/>
          <w:bCs w:val="0"/>
          <w:i w:val="0"/>
          <w:iCs w:val="0"/>
          <w:color w:val="auto"/>
          <w:sz w:val="28"/>
          <w:szCs w:val="28"/>
          <w:highlight w:val="none"/>
          <w:shd w:val="clear" w:color="auto" w:fill="auto"/>
          <w:lang w:val="en-US" w:eastAsia="zh-CN"/>
        </w:rPr>
        <w:t>相关</w:t>
      </w:r>
      <w:r>
        <w:rPr>
          <w:rFonts w:hint="eastAsia" w:ascii="仿宋" w:hAnsi="仿宋" w:eastAsia="仿宋" w:cs="仿宋"/>
          <w:b w:val="0"/>
          <w:bCs w:val="0"/>
          <w:i w:val="0"/>
          <w:iCs w:val="0"/>
          <w:color w:val="auto"/>
          <w:sz w:val="28"/>
          <w:szCs w:val="28"/>
          <w:highlight w:val="none"/>
          <w:shd w:val="clear" w:color="auto" w:fill="auto"/>
          <w:lang w:eastAsia="zh-CN"/>
        </w:rPr>
        <w:t>事项</w:t>
      </w:r>
      <w:r>
        <w:rPr>
          <w:rFonts w:hint="eastAsia" w:ascii="仿宋" w:hAnsi="仿宋" w:eastAsia="仿宋" w:cs="仿宋"/>
          <w:b w:val="0"/>
          <w:bCs w:val="0"/>
          <w:i w:val="0"/>
          <w:iCs w:val="0"/>
          <w:color w:val="auto"/>
          <w:sz w:val="28"/>
          <w:szCs w:val="28"/>
          <w:highlight w:val="none"/>
          <w:shd w:val="clear" w:color="auto" w:fill="auto"/>
          <w:lang w:val="en-US" w:eastAsia="zh-CN"/>
        </w:rPr>
        <w:t>的执行人，负责与甲方公司总部办理</w:t>
      </w:r>
      <w:r>
        <w:rPr>
          <w:rFonts w:hint="eastAsia" w:ascii="仿宋" w:hAnsi="仿宋" w:eastAsia="仿宋" w:cs="仿宋"/>
          <w:b w:val="0"/>
          <w:bCs w:val="0"/>
          <w:i w:val="0"/>
          <w:iCs w:val="0"/>
          <w:color w:val="auto"/>
          <w:sz w:val="28"/>
          <w:szCs w:val="28"/>
          <w:highlight w:val="none"/>
          <w:shd w:val="clear" w:color="auto" w:fill="auto"/>
          <w:lang w:eastAsia="zh-CN"/>
        </w:rPr>
        <w:t>相关事务（如负责双方来往</w:t>
      </w:r>
      <w:r>
        <w:rPr>
          <w:rFonts w:hint="eastAsia" w:ascii="仿宋" w:hAnsi="仿宋" w:eastAsia="仿宋" w:cs="仿宋"/>
          <w:b w:val="0"/>
          <w:bCs w:val="0"/>
          <w:i w:val="0"/>
          <w:iCs w:val="0"/>
          <w:color w:val="auto"/>
          <w:sz w:val="28"/>
          <w:szCs w:val="28"/>
          <w:highlight w:val="none"/>
          <w:shd w:val="clear" w:color="auto" w:fill="auto"/>
          <w:lang w:val="en-US" w:eastAsia="zh-CN"/>
        </w:rPr>
        <w:t>函件</w:t>
      </w:r>
      <w:r>
        <w:rPr>
          <w:rFonts w:hint="eastAsia" w:ascii="仿宋" w:hAnsi="仿宋" w:eastAsia="仿宋" w:cs="仿宋"/>
          <w:b w:val="0"/>
          <w:bCs w:val="0"/>
          <w:i w:val="0"/>
          <w:iCs w:val="0"/>
          <w:color w:val="auto"/>
          <w:sz w:val="28"/>
          <w:szCs w:val="28"/>
          <w:highlight w:val="none"/>
          <w:shd w:val="clear" w:color="auto" w:fill="auto"/>
          <w:lang w:eastAsia="zh-CN"/>
        </w:rPr>
        <w:t>签收、签字、验收、确定增减</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款、确定结算金额、领款、签收并签认甲方对乙方违约行为作出的处理通知等行为）。</w:t>
      </w:r>
    </w:p>
    <w:p w14:paraId="6FE4D63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17.1.3</w:t>
      </w:r>
      <w:r>
        <w:rPr>
          <w:rFonts w:hint="eastAsia" w:ascii="仿宋" w:hAnsi="仿宋" w:eastAsia="仿宋" w:cs="仿宋"/>
          <w:b w:val="0"/>
          <w:bCs w:val="0"/>
          <w:i w:val="0"/>
          <w:iCs w:val="0"/>
          <w:color w:val="auto"/>
          <w:sz w:val="28"/>
          <w:szCs w:val="28"/>
          <w:highlight w:val="none"/>
          <w:shd w:val="clear" w:color="auto" w:fill="auto"/>
          <w:lang w:eastAsia="zh-CN"/>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本合同的乙方现场负责人，</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 w:hAnsi="仿宋" w:eastAsia="仿宋" w:cs="仿宋"/>
          <w:b w:val="0"/>
          <w:bCs w:val="0"/>
          <w:i w:val="0"/>
          <w:iCs w:val="0"/>
          <w:color w:val="auto"/>
          <w:sz w:val="28"/>
          <w:szCs w:val="28"/>
          <w:highlight w:val="none"/>
          <w:shd w:val="clear" w:color="auto" w:fill="auto"/>
          <w:lang w:eastAsia="zh-CN"/>
        </w:rPr>
        <w:t>须常</w:t>
      </w:r>
      <w:r>
        <w:rPr>
          <w:rFonts w:hint="eastAsia" w:ascii="仿宋" w:hAnsi="仿宋" w:eastAsia="仿宋" w:cs="仿宋"/>
          <w:b w:val="0"/>
          <w:bCs w:val="0"/>
          <w:i w:val="0"/>
          <w:iCs w:val="0"/>
          <w:color w:val="auto"/>
          <w:sz w:val="28"/>
          <w:szCs w:val="28"/>
          <w:highlight w:val="none"/>
          <w:shd w:val="clear" w:color="auto" w:fill="auto"/>
          <w:lang w:val="en-US" w:eastAsia="zh-CN"/>
        </w:rPr>
        <w:t>驻本项目</w:t>
      </w:r>
      <w:r>
        <w:rPr>
          <w:rFonts w:hint="eastAsia" w:ascii="仿宋" w:hAnsi="仿宋" w:eastAsia="仿宋" w:cs="仿宋"/>
          <w:b w:val="0"/>
          <w:bCs w:val="0"/>
          <w:i w:val="0"/>
          <w:iCs w:val="0"/>
          <w:color w:val="auto"/>
          <w:sz w:val="28"/>
          <w:szCs w:val="28"/>
          <w:highlight w:val="none"/>
          <w:shd w:val="clear" w:color="auto" w:fill="auto"/>
          <w:lang w:eastAsia="zh-CN"/>
        </w:rPr>
        <w:t>施工现场。</w:t>
      </w:r>
    </w:p>
    <w:p w14:paraId="32B8BC3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eastAsia="zh-CN"/>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lang w:eastAsia="zh-CN"/>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lang w:eastAsia="zh-CN"/>
        </w:rPr>
        <w:t>，须提前三个工作日书面报经甲方同意，否则不得更换。</w:t>
      </w:r>
    </w:p>
    <w:p w14:paraId="5702B2F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甲方编制的《施工交楼标准》、《常见建筑工程质量通病的标准化施工细则》、《隐蔽工程管理制度》、《分包单位施工现场签证管理制度》、《工程类单价认质认价管理制度》、《分包单位材料管理制度》、《竣工图管理制度》等公司现行制度、规定为本合同不可分割的组成部分，与合同正文具有同等效力，乙方须照章施工。</w:t>
      </w:r>
    </w:p>
    <w:p w14:paraId="10C5AC0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17.3本合同执行期间，甲方制度文件</w:t>
      </w:r>
      <w:r>
        <w:rPr>
          <w:rFonts w:hint="eastAsia" w:ascii="仿宋" w:hAnsi="仿宋" w:eastAsia="仿宋" w:cs="仿宋"/>
          <w:b w:val="0"/>
          <w:bCs w:val="0"/>
          <w:i w:val="0"/>
          <w:iCs w:val="0"/>
          <w:color w:val="auto"/>
          <w:sz w:val="28"/>
          <w:szCs w:val="28"/>
          <w:highlight w:val="none"/>
          <w:shd w:val="clear" w:color="auto" w:fill="auto"/>
          <w:lang w:val="en-US" w:eastAsia="zh-CN"/>
        </w:rPr>
        <w:t>及合同附件表格格式</w:t>
      </w:r>
      <w:r>
        <w:rPr>
          <w:rFonts w:hint="eastAsia" w:ascii="仿宋" w:hAnsi="仿宋" w:eastAsia="仿宋" w:cs="仿宋"/>
          <w:b w:val="0"/>
          <w:bCs w:val="0"/>
          <w:i w:val="0"/>
          <w:iCs w:val="0"/>
          <w:color w:val="auto"/>
          <w:sz w:val="28"/>
          <w:szCs w:val="28"/>
          <w:highlight w:val="none"/>
          <w:shd w:val="clear" w:color="auto" w:fill="auto"/>
          <w:lang w:eastAsia="zh-CN"/>
        </w:rPr>
        <w:t>如有更新，按甲方最新版要求执行，甲方拥有最终解释权。</w:t>
      </w:r>
    </w:p>
    <w:p w14:paraId="7D7C61A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17.</w:t>
      </w:r>
      <w:r>
        <w:rPr>
          <w:rFonts w:hint="eastAsia" w:ascii="仿宋" w:hAnsi="仿宋" w:eastAsia="仿宋" w:cs="仿宋"/>
          <w:i w:val="0"/>
          <w:iCs w:val="0"/>
          <w:color w:val="auto"/>
          <w:sz w:val="28"/>
          <w:szCs w:val="28"/>
          <w:highlight w:val="none"/>
          <w:lang w:val="en-US" w:eastAsia="zh-CN"/>
        </w:rPr>
        <w:t>4本合同除《工完场清交接单》、《甲方项目章样式》、《签证单分包说明》、《施工图纸》外，其余合同附件在办理相关手续时，乙方须加盖公章且法人代表签章。</w:t>
      </w:r>
    </w:p>
    <w:p w14:paraId="5F1690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本合同条款</w:t>
      </w:r>
      <w:r>
        <w:rPr>
          <w:rFonts w:hint="eastAsia" w:ascii="仿宋" w:hAnsi="仿宋" w:eastAsia="仿宋" w:cs="仿宋"/>
          <w:b w:val="0"/>
          <w:bCs w:val="0"/>
          <w:i w:val="0"/>
          <w:iCs w:val="0"/>
          <w:color w:val="auto"/>
          <w:sz w:val="28"/>
          <w:szCs w:val="28"/>
          <w:highlight w:val="none"/>
          <w:shd w:val="clear" w:color="auto" w:fill="auto"/>
          <w:lang w:val="en-US" w:eastAsia="zh-CN"/>
        </w:rPr>
        <w:t>互为矛盾</w:t>
      </w:r>
      <w:r>
        <w:rPr>
          <w:rFonts w:hint="eastAsia" w:ascii="仿宋" w:hAnsi="仿宋" w:eastAsia="仿宋" w:cs="仿宋"/>
          <w:b w:val="0"/>
          <w:bCs w:val="0"/>
          <w:i w:val="0"/>
          <w:iCs w:val="0"/>
          <w:color w:val="auto"/>
          <w:sz w:val="28"/>
          <w:szCs w:val="28"/>
          <w:highlight w:val="none"/>
          <w:shd w:val="clear" w:color="auto" w:fill="auto"/>
          <w:lang w:eastAsia="zh-CN"/>
        </w:rPr>
        <w:t>的，</w:t>
      </w:r>
      <w:r>
        <w:rPr>
          <w:rFonts w:hint="eastAsia" w:ascii="仿宋" w:hAnsi="仿宋" w:eastAsia="仿宋" w:cs="仿宋"/>
          <w:b w:val="0"/>
          <w:bCs w:val="0"/>
          <w:i w:val="0"/>
          <w:iCs w:val="0"/>
          <w:color w:val="auto"/>
          <w:sz w:val="28"/>
          <w:szCs w:val="28"/>
          <w:highlight w:val="none"/>
          <w:shd w:val="clear" w:color="auto" w:fill="auto"/>
          <w:lang w:val="en-US" w:eastAsia="zh-CN"/>
        </w:rPr>
        <w:t>按</w:t>
      </w:r>
      <w:r>
        <w:rPr>
          <w:rFonts w:hint="eastAsia" w:ascii="仿宋" w:hAnsi="仿宋" w:eastAsia="仿宋" w:cs="仿宋"/>
          <w:b w:val="0"/>
          <w:bCs w:val="0"/>
          <w:i w:val="0"/>
          <w:iCs w:val="0"/>
          <w:color w:val="auto"/>
          <w:sz w:val="28"/>
          <w:szCs w:val="28"/>
          <w:highlight w:val="none"/>
          <w:shd w:val="clear" w:color="auto" w:fill="auto"/>
          <w:lang w:eastAsia="zh-CN"/>
        </w:rPr>
        <w:t>最有利于甲方的条款执行。</w:t>
      </w:r>
    </w:p>
    <w:p w14:paraId="5614C2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本合同未尽事宜，须经</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双方协商</w:t>
      </w:r>
      <w:r>
        <w:rPr>
          <w:rFonts w:hint="eastAsia" w:ascii="仿宋" w:hAnsi="仿宋" w:eastAsia="仿宋" w:cs="仿宋"/>
          <w:b w:val="0"/>
          <w:bCs w:val="0"/>
          <w:i w:val="0"/>
          <w:iCs w:val="0"/>
          <w:color w:val="auto"/>
          <w:sz w:val="28"/>
          <w:szCs w:val="28"/>
          <w:highlight w:val="none"/>
          <w:shd w:val="clear" w:color="auto" w:fill="auto"/>
          <w:lang w:val="en-US" w:eastAsia="zh-CN"/>
        </w:rPr>
        <w:t>一致后</w:t>
      </w:r>
      <w:r>
        <w:rPr>
          <w:rFonts w:hint="eastAsia" w:ascii="仿宋" w:hAnsi="仿宋" w:eastAsia="仿宋" w:cs="仿宋"/>
          <w:b w:val="0"/>
          <w:bCs w:val="0"/>
          <w:i w:val="0"/>
          <w:iCs w:val="0"/>
          <w:color w:val="auto"/>
          <w:sz w:val="28"/>
          <w:szCs w:val="28"/>
          <w:highlight w:val="none"/>
          <w:shd w:val="clear" w:color="auto" w:fill="auto"/>
          <w:lang w:eastAsia="zh-CN"/>
        </w:rPr>
        <w:t>签订补充协议</w:t>
      </w:r>
      <w:r>
        <w:rPr>
          <w:rFonts w:hint="eastAsia" w:ascii="仿宋" w:hAnsi="仿宋" w:eastAsia="仿宋" w:cs="仿宋"/>
          <w:b w:val="0"/>
          <w:bCs w:val="0"/>
          <w:i w:val="0"/>
          <w:iCs w:val="0"/>
          <w:color w:val="auto"/>
          <w:sz w:val="28"/>
          <w:szCs w:val="28"/>
          <w:highlight w:val="none"/>
          <w:shd w:val="clear" w:color="auto" w:fill="auto"/>
          <w:lang w:val="en-US" w:eastAsia="zh-CN"/>
        </w:rPr>
        <w:t>进行明确。</w:t>
      </w:r>
      <w:r>
        <w:rPr>
          <w:rFonts w:hint="eastAsia" w:ascii="仿宋" w:hAnsi="仿宋" w:eastAsia="仿宋" w:cs="仿宋"/>
          <w:b w:val="0"/>
          <w:bCs w:val="0"/>
          <w:i w:val="0"/>
          <w:iCs w:val="0"/>
          <w:color w:val="auto"/>
          <w:sz w:val="28"/>
          <w:szCs w:val="28"/>
          <w:highlight w:val="none"/>
          <w:shd w:val="clear" w:color="auto" w:fill="auto"/>
          <w:lang w:eastAsia="zh-CN"/>
        </w:rPr>
        <w:t>补充协议与本合同具有同等法律效力。</w:t>
      </w:r>
    </w:p>
    <w:p w14:paraId="77A668E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7与</w:t>
      </w:r>
      <w:r>
        <w:rPr>
          <w:rFonts w:hint="eastAsia" w:ascii="仿宋" w:hAnsi="仿宋" w:eastAsia="仿宋" w:cs="仿宋"/>
          <w:b w:val="0"/>
          <w:bCs w:val="0"/>
          <w:i w:val="0"/>
          <w:iCs w:val="0"/>
          <w:color w:val="auto"/>
          <w:sz w:val="28"/>
          <w:szCs w:val="28"/>
          <w:highlight w:val="none"/>
          <w:shd w:val="clear" w:color="auto" w:fill="auto"/>
          <w:lang w:eastAsia="zh-CN"/>
        </w:rPr>
        <w:t>本合同</w:t>
      </w:r>
      <w:r>
        <w:rPr>
          <w:rFonts w:hint="eastAsia" w:ascii="仿宋" w:hAnsi="仿宋" w:eastAsia="仿宋" w:cs="仿宋"/>
          <w:b w:val="0"/>
          <w:bCs w:val="0"/>
          <w:i w:val="0"/>
          <w:iCs w:val="0"/>
          <w:color w:val="auto"/>
          <w:sz w:val="28"/>
          <w:szCs w:val="28"/>
          <w:highlight w:val="none"/>
          <w:shd w:val="clear" w:color="auto" w:fill="auto"/>
          <w:lang w:val="en-US" w:eastAsia="zh-CN"/>
        </w:rPr>
        <w:t>相关的</w:t>
      </w:r>
      <w:r>
        <w:rPr>
          <w:rFonts w:hint="eastAsia" w:ascii="仿宋" w:hAnsi="仿宋" w:eastAsia="仿宋" w:cs="仿宋"/>
          <w:b w:val="0"/>
          <w:bCs w:val="0"/>
          <w:i w:val="0"/>
          <w:iCs w:val="0"/>
          <w:color w:val="auto"/>
          <w:sz w:val="28"/>
          <w:szCs w:val="28"/>
          <w:highlight w:val="none"/>
          <w:shd w:val="clear" w:color="auto" w:fill="auto"/>
          <w:lang w:eastAsia="zh-CN"/>
        </w:rPr>
        <w:t>争议，</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w:t>
      </w:r>
      <w:r>
        <w:rPr>
          <w:rFonts w:hint="eastAsia" w:ascii="仿宋" w:hAnsi="仿宋" w:eastAsia="仿宋" w:cs="仿宋"/>
          <w:b w:val="0"/>
          <w:bCs w:val="0"/>
          <w:i w:val="0"/>
          <w:iCs w:val="0"/>
          <w:color w:val="auto"/>
          <w:sz w:val="28"/>
          <w:szCs w:val="28"/>
          <w:highlight w:val="none"/>
          <w:shd w:val="clear" w:color="auto" w:fill="auto"/>
          <w:lang w:val="en-US" w:eastAsia="zh-CN"/>
        </w:rPr>
        <w:t>应首先</w:t>
      </w:r>
      <w:r>
        <w:rPr>
          <w:rFonts w:hint="eastAsia" w:ascii="仿宋" w:hAnsi="仿宋" w:eastAsia="仿宋" w:cs="仿宋"/>
          <w:b w:val="0"/>
          <w:bCs w:val="0"/>
          <w:i w:val="0"/>
          <w:iCs w:val="0"/>
          <w:color w:val="auto"/>
          <w:sz w:val="28"/>
          <w:szCs w:val="28"/>
          <w:highlight w:val="none"/>
          <w:shd w:val="clear" w:color="auto" w:fill="auto"/>
          <w:lang w:eastAsia="zh-CN"/>
        </w:rPr>
        <w:t>友好协商解决，</w:t>
      </w:r>
      <w:r>
        <w:rPr>
          <w:rFonts w:hint="eastAsia" w:ascii="仿宋" w:hAnsi="仿宋" w:eastAsia="仿宋" w:cs="仿宋"/>
          <w:b w:val="0"/>
          <w:bCs w:val="0"/>
          <w:i w:val="0"/>
          <w:iCs w:val="0"/>
          <w:color w:val="auto"/>
          <w:sz w:val="28"/>
          <w:szCs w:val="28"/>
          <w:highlight w:val="none"/>
          <w:shd w:val="clear" w:color="auto" w:fill="auto"/>
          <w:lang w:val="en-US" w:eastAsia="zh-CN"/>
        </w:rPr>
        <w:t>协商</w:t>
      </w:r>
      <w:r>
        <w:rPr>
          <w:rFonts w:hint="eastAsia" w:ascii="仿宋" w:hAnsi="仿宋" w:eastAsia="仿宋" w:cs="仿宋"/>
          <w:b w:val="0"/>
          <w:bCs w:val="0"/>
          <w:i w:val="0"/>
          <w:iCs w:val="0"/>
          <w:color w:val="auto"/>
          <w:sz w:val="28"/>
          <w:szCs w:val="28"/>
          <w:highlight w:val="none"/>
          <w:shd w:val="clear" w:color="auto" w:fill="auto"/>
          <w:lang w:eastAsia="zh-CN"/>
        </w:rPr>
        <w:t>不成则由任一方提交甲方所在地的人民法院诉讼处理。法院送达的文书以合同签章处所列地址为有效地址，</w:t>
      </w:r>
      <w:r>
        <w:rPr>
          <w:rFonts w:hint="eastAsia" w:ascii="仿宋" w:hAnsi="仿宋" w:eastAsia="仿宋" w:cs="仿宋"/>
          <w:b w:val="0"/>
          <w:bCs w:val="0"/>
          <w:i w:val="0"/>
          <w:iCs w:val="0"/>
          <w:color w:val="auto"/>
          <w:sz w:val="28"/>
          <w:szCs w:val="28"/>
          <w:highlight w:val="none"/>
          <w:shd w:val="clear" w:color="auto" w:fill="auto"/>
          <w:lang w:val="en-US" w:eastAsia="zh-CN"/>
        </w:rPr>
        <w:t>以</w:t>
      </w:r>
      <w:r>
        <w:rPr>
          <w:rFonts w:hint="eastAsia" w:ascii="仿宋" w:hAnsi="仿宋" w:eastAsia="仿宋" w:cs="仿宋"/>
          <w:b w:val="0"/>
          <w:bCs w:val="0"/>
          <w:i w:val="0"/>
          <w:iCs w:val="0"/>
          <w:color w:val="auto"/>
          <w:sz w:val="28"/>
          <w:szCs w:val="28"/>
          <w:highlight w:val="none"/>
          <w:shd w:val="clear" w:color="auto" w:fill="auto"/>
          <w:lang w:eastAsia="zh-CN"/>
        </w:rPr>
        <w:t>邮寄方式送达的，通过邮政特快专递寄出第三日视为送达。</w:t>
      </w:r>
      <w:bookmarkStart w:id="140" w:name="_Toc5969"/>
      <w:bookmarkStart w:id="141" w:name="_Toc3990"/>
    </w:p>
    <w:p w14:paraId="1883B52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17.8乙方违反本合同约定给甲方造成损失的，除按本合同约定承担违约责任外，甲方有权直接从应付合同款中直接扣除乙方承担的违约金、罚款等费用，如所扣款额不足补偿甲方损失，乙方在甲方通知之日起七个日历天内补齐差额给甲方，且甲方向乙方追偿责任所产生的律师费、诉讼费、鉴定费、财产保全担保费等费用由乙方全额承担。</w:t>
      </w:r>
      <w:bookmarkEnd w:id="140"/>
      <w:bookmarkEnd w:id="141"/>
    </w:p>
    <w:p w14:paraId="4065F26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9</w:t>
      </w:r>
      <w:r>
        <w:rPr>
          <w:rFonts w:hint="eastAsia" w:ascii="仿宋" w:hAnsi="仿宋" w:eastAsia="仿宋" w:cs="仿宋"/>
          <w:b w:val="0"/>
          <w:bCs w:val="0"/>
          <w:i w:val="0"/>
          <w:iCs w:val="0"/>
          <w:color w:val="auto"/>
          <w:sz w:val="28"/>
          <w:szCs w:val="28"/>
          <w:highlight w:val="none"/>
          <w:shd w:val="clear" w:color="auto" w:fill="auto"/>
          <w:lang w:eastAsia="zh-CN"/>
        </w:rPr>
        <w:t>本合同一式</w:t>
      </w:r>
      <w:r>
        <w:rPr>
          <w:rFonts w:hint="eastAsia" w:ascii="仿宋" w:hAnsi="仿宋" w:eastAsia="仿宋" w:cs="仿宋"/>
          <w:b w:val="0"/>
          <w:bCs w:val="0"/>
          <w:i w:val="0"/>
          <w:iCs w:val="0"/>
          <w:color w:val="auto"/>
          <w:sz w:val="28"/>
          <w:szCs w:val="28"/>
          <w:highlight w:val="none"/>
          <w:shd w:val="clear" w:color="auto" w:fill="auto"/>
          <w:lang w:val="en-US" w:eastAsia="zh-CN"/>
        </w:rPr>
        <w:t>二</w:t>
      </w:r>
      <w:r>
        <w:rPr>
          <w:rFonts w:hint="eastAsia" w:ascii="仿宋" w:hAnsi="仿宋" w:eastAsia="仿宋" w:cs="仿宋"/>
          <w:b w:val="0"/>
          <w:bCs w:val="0"/>
          <w:i w:val="0"/>
          <w:iCs w:val="0"/>
          <w:color w:val="auto"/>
          <w:sz w:val="28"/>
          <w:szCs w:val="28"/>
          <w:highlight w:val="none"/>
          <w:shd w:val="clear" w:color="auto" w:fill="auto"/>
          <w:lang w:eastAsia="zh-CN"/>
        </w:rPr>
        <w:t>份，甲</w:t>
      </w:r>
      <w:r>
        <w:rPr>
          <w:rFonts w:hint="eastAsia" w:ascii="仿宋" w:hAnsi="仿宋" w:eastAsia="仿宋" w:cs="仿宋"/>
          <w:b w:val="0"/>
          <w:bCs w:val="0"/>
          <w:i w:val="0"/>
          <w:iCs w:val="0"/>
          <w:color w:val="auto"/>
          <w:sz w:val="28"/>
          <w:szCs w:val="28"/>
          <w:highlight w:val="none"/>
          <w:shd w:val="clear" w:color="auto" w:fill="auto"/>
          <w:lang w:val="en-US" w:eastAsia="zh-CN"/>
        </w:rPr>
        <w:t>乙双方各执一</w:t>
      </w:r>
      <w:r>
        <w:rPr>
          <w:rFonts w:hint="eastAsia" w:ascii="仿宋" w:hAnsi="仿宋" w:eastAsia="仿宋" w:cs="仿宋"/>
          <w:b w:val="0"/>
          <w:bCs w:val="0"/>
          <w:i w:val="0"/>
          <w:iCs w:val="0"/>
          <w:color w:val="auto"/>
          <w:sz w:val="28"/>
          <w:szCs w:val="28"/>
          <w:highlight w:val="none"/>
          <w:shd w:val="clear" w:color="auto" w:fill="auto"/>
          <w:lang w:eastAsia="zh-CN"/>
        </w:rPr>
        <w:t>份，均具同等效力。</w:t>
      </w:r>
    </w:p>
    <w:p w14:paraId="12CA273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17.10</w:t>
      </w:r>
      <w:r>
        <w:rPr>
          <w:rFonts w:hint="eastAsia" w:ascii="仿宋" w:hAnsi="仿宋" w:eastAsia="仿宋" w:cs="仿宋"/>
          <w:b w:val="0"/>
          <w:bCs w:val="0"/>
          <w:i w:val="0"/>
          <w:iCs w:val="0"/>
          <w:color w:val="auto"/>
          <w:sz w:val="28"/>
          <w:szCs w:val="28"/>
          <w:highlight w:val="none"/>
          <w:shd w:val="clear" w:color="auto" w:fill="auto"/>
          <w:lang w:eastAsia="zh-CN"/>
        </w:rPr>
        <w:t>本合同自甲乙双方签字、</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lang w:eastAsia="zh-CN"/>
        </w:rPr>
        <w:t>盖</w:t>
      </w:r>
      <w:r>
        <w:rPr>
          <w:rFonts w:hint="eastAsia" w:ascii="仿宋" w:hAnsi="仿宋" w:eastAsia="仿宋" w:cs="仿宋"/>
          <w:b w:val="0"/>
          <w:bCs w:val="0"/>
          <w:i w:val="0"/>
          <w:iCs w:val="0"/>
          <w:color w:val="auto"/>
          <w:sz w:val="28"/>
          <w:szCs w:val="28"/>
          <w:highlight w:val="none"/>
          <w:shd w:val="clear" w:color="auto" w:fill="auto"/>
          <w:lang w:val="en-US" w:eastAsia="zh-CN"/>
        </w:rPr>
        <w:t>公</w:t>
      </w:r>
      <w:r>
        <w:rPr>
          <w:rFonts w:hint="eastAsia" w:ascii="仿宋" w:hAnsi="仿宋" w:eastAsia="仿宋" w:cs="仿宋"/>
          <w:b w:val="0"/>
          <w:bCs w:val="0"/>
          <w:i w:val="0"/>
          <w:iCs w:val="0"/>
          <w:color w:val="auto"/>
          <w:sz w:val="28"/>
          <w:szCs w:val="28"/>
          <w:highlight w:val="none"/>
          <w:shd w:val="clear" w:color="auto" w:fill="auto"/>
          <w:lang w:eastAsia="zh-CN"/>
        </w:rPr>
        <w:t>章（</w:t>
      </w:r>
      <w:r>
        <w:rPr>
          <w:rFonts w:hint="eastAsia" w:ascii="仿宋" w:hAnsi="仿宋" w:eastAsia="仿宋" w:cs="仿宋"/>
          <w:b w:val="0"/>
          <w:bCs w:val="0"/>
          <w:i w:val="0"/>
          <w:iCs w:val="0"/>
          <w:color w:val="auto"/>
          <w:sz w:val="28"/>
          <w:szCs w:val="28"/>
          <w:highlight w:val="none"/>
          <w:shd w:val="clear" w:color="auto" w:fill="auto"/>
          <w:lang w:val="en-US" w:eastAsia="zh-CN"/>
        </w:rPr>
        <w:t>或合同章</w:t>
      </w:r>
      <w:r>
        <w:rPr>
          <w:rFonts w:hint="eastAsia" w:ascii="仿宋" w:hAnsi="仿宋" w:eastAsia="仿宋" w:cs="仿宋"/>
          <w:b w:val="0"/>
          <w:bCs w:val="0"/>
          <w:i w:val="0"/>
          <w:iCs w:val="0"/>
          <w:color w:val="auto"/>
          <w:sz w:val="28"/>
          <w:szCs w:val="28"/>
          <w:highlight w:val="none"/>
          <w:shd w:val="clear" w:color="auto" w:fill="auto"/>
          <w:lang w:eastAsia="zh-CN"/>
        </w:rPr>
        <w:t>）之日起生效，双方履行完合同义务、责任之日起终止。</w:t>
      </w:r>
    </w:p>
    <w:p w14:paraId="313DE26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【以下无正文】</w:t>
      </w:r>
    </w:p>
    <w:p w14:paraId="3D3998B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合同附件：</w:t>
      </w:r>
      <w:bookmarkStart w:id="142" w:name="_Toc19939"/>
      <w:bookmarkStart w:id="143" w:name="_Toc14601"/>
      <w:bookmarkStart w:id="144" w:name="_Toc20837"/>
      <w:bookmarkStart w:id="145" w:name="_Toc20090"/>
      <w:bookmarkStart w:id="146" w:name="_Toc18756"/>
      <w:bookmarkStart w:id="147" w:name="_Toc9464"/>
    </w:p>
    <w:bookmarkEnd w:id="142"/>
    <w:bookmarkEnd w:id="143"/>
    <w:bookmarkEnd w:id="144"/>
    <w:bookmarkEnd w:id="145"/>
    <w:bookmarkEnd w:id="146"/>
    <w:bookmarkEnd w:id="147"/>
    <w:p w14:paraId="3A251D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5323F1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F39C3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6AEDE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1CB8D1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23A427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505B3C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0D7203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367051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1DBFE1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16A621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7A8F9C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57637F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附件十三《结算竣工图承诺书</w:t>
      </w:r>
      <w:bookmarkStart w:id="160" w:name="_GoBack"/>
      <w:bookmarkEnd w:id="160"/>
      <w:r>
        <w:rPr>
          <w:rFonts w:hint="eastAsia" w:ascii="仿宋" w:hAnsi="仿宋" w:eastAsia="仿宋" w:cs="仿宋"/>
          <w:b w:val="0"/>
          <w:bCs w:val="0"/>
          <w:i w:val="0"/>
          <w:iCs w:val="0"/>
          <w:color w:val="auto"/>
          <w:sz w:val="28"/>
          <w:szCs w:val="28"/>
          <w:highlight w:val="none"/>
          <w:u w:val="none"/>
          <w:shd w:val="clear" w:color="auto" w:fill="auto"/>
          <w:lang w:val="en-US" w:eastAsia="zh-CN"/>
        </w:rPr>
        <w:t>》格式</w:t>
      </w:r>
    </w:p>
    <w:p w14:paraId="24155C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附件十四《工程量清单》另页；</w:t>
      </w:r>
    </w:p>
    <w:p w14:paraId="5CBB12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附件十五《施工图纸》另页。</w:t>
      </w:r>
    </w:p>
    <w:p w14:paraId="61E1592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p>
    <w:p w14:paraId="3F99B52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7508202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031E2A5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纳税号：91441900732168546R               纳税号：</w:t>
      </w:r>
    </w:p>
    <w:p w14:paraId="2A783F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4B4EC0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11C835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6F586C2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3F91E73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4C333E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11A4AF88">
      <w:pPr>
        <w:pStyle w:val="2"/>
        <w:ind w:left="0" w:leftChars="0" w:firstLine="0" w:firstLineChars="0"/>
        <w:rPr>
          <w:rFonts w:hint="eastAsia"/>
          <w:lang w:val="en-US" w:eastAsia="zh-CN"/>
        </w:rPr>
      </w:pPr>
    </w:p>
    <w:p w14:paraId="6A30F51C">
      <w:pPr>
        <w:pStyle w:val="2"/>
        <w:ind w:left="0" w:leftChars="0" w:firstLine="0" w:firstLineChars="0"/>
        <w:rPr>
          <w:rFonts w:hint="eastAsia"/>
          <w:lang w:val="en-US" w:eastAsia="zh-CN"/>
        </w:rPr>
      </w:pPr>
    </w:p>
    <w:p w14:paraId="705BEF2A">
      <w:pPr>
        <w:pStyle w:val="2"/>
        <w:ind w:left="0" w:leftChars="0" w:firstLine="0" w:firstLineChars="0"/>
        <w:rPr>
          <w:rFonts w:hint="eastAsia"/>
          <w:lang w:val="en-US" w:eastAsia="zh-CN"/>
        </w:rPr>
      </w:pPr>
    </w:p>
    <w:p w14:paraId="216AF46A">
      <w:pPr>
        <w:pStyle w:val="2"/>
        <w:ind w:left="0" w:leftChars="0" w:firstLine="0" w:firstLineChars="0"/>
        <w:rPr>
          <w:rFonts w:hint="eastAsia"/>
          <w:lang w:val="en-US" w:eastAsia="zh-CN"/>
        </w:rPr>
      </w:pPr>
    </w:p>
    <w:p w14:paraId="3B04E693">
      <w:pPr>
        <w:pStyle w:val="2"/>
        <w:ind w:left="0" w:leftChars="0" w:firstLine="0" w:firstLineChars="0"/>
        <w:rPr>
          <w:rFonts w:hint="eastAsia"/>
          <w:lang w:val="en-US" w:eastAsia="zh-CN"/>
        </w:rPr>
      </w:pPr>
    </w:p>
    <w:p w14:paraId="557A41F6">
      <w:pPr>
        <w:pStyle w:val="2"/>
        <w:ind w:left="0" w:leftChars="0" w:firstLine="0" w:firstLineChars="0"/>
        <w:rPr>
          <w:rFonts w:hint="eastAsia"/>
          <w:lang w:val="en-US" w:eastAsia="zh-CN"/>
        </w:rPr>
      </w:pPr>
    </w:p>
    <w:p w14:paraId="6910B4FF">
      <w:pPr>
        <w:pStyle w:val="2"/>
        <w:ind w:left="0" w:leftChars="0" w:firstLine="0" w:firstLineChars="0"/>
        <w:rPr>
          <w:rFonts w:hint="eastAsia"/>
          <w:lang w:val="en-US" w:eastAsia="zh-CN"/>
        </w:rPr>
      </w:pPr>
    </w:p>
    <w:p w14:paraId="30DE5DF4">
      <w:pPr>
        <w:pStyle w:val="2"/>
        <w:ind w:left="0" w:leftChars="0" w:firstLine="0" w:firstLineChars="0"/>
        <w:rPr>
          <w:rFonts w:hint="eastAsia"/>
          <w:lang w:val="en-US" w:eastAsia="zh-CN"/>
        </w:rPr>
      </w:pPr>
    </w:p>
    <w:p w14:paraId="68EA4F08">
      <w:pPr>
        <w:pStyle w:val="2"/>
        <w:ind w:left="0" w:leftChars="0" w:firstLine="0" w:firstLineChars="0"/>
        <w:rPr>
          <w:rFonts w:hint="eastAsia"/>
          <w:lang w:val="en-US" w:eastAsia="zh-CN"/>
        </w:rPr>
      </w:pPr>
    </w:p>
    <w:p w14:paraId="23C35C50">
      <w:pPr>
        <w:jc w:val="both"/>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5311825">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bookmarkStart w:id="148" w:name="_Toc21156"/>
      <w:bookmarkStart w:id="149" w:name="_Toc2087"/>
      <w:bookmarkStart w:id="150" w:name="_Toc19900"/>
      <w:bookmarkStart w:id="151" w:name="_Toc9945"/>
      <w:bookmarkStart w:id="152" w:name="_Toc12135"/>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0EE0D8D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36F212ED">
      <w:pP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20F5ACE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B689933">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4550A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148"/>
    <w:bookmarkEnd w:id="149"/>
    <w:bookmarkEnd w:id="150"/>
    <w:bookmarkEnd w:id="151"/>
    <w:bookmarkEnd w:id="152"/>
    <w:p w14:paraId="0EF16AA8">
      <w:pPr>
        <w:jc w:val="both"/>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tbl>
      <w:tblPr>
        <w:tblStyle w:val="14"/>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27E6327B">
            <w:pPr>
              <w:keepNext w:val="0"/>
              <w:keepLines w:val="0"/>
              <w:widowControl/>
              <w:suppressLineNumbers w:val="0"/>
              <w:jc w:val="right"/>
              <w:textAlignment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cs="宋体"/>
                <w:i w:val="0"/>
                <w:iCs w:val="0"/>
                <w:color w:val="000000"/>
                <w:kern w:val="0"/>
                <w:sz w:val="32"/>
                <w:szCs w:val="32"/>
                <w:u w:val="none"/>
                <w:lang w:val="en-US" w:eastAsia="zh-CN" w:bidi="ar"/>
              </w:rPr>
              <w:t>（样表）</w:t>
            </w:r>
          </w:p>
          <w:p w14:paraId="6FFC4A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000000"/>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000000"/>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000000"/>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000000"/>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000000"/>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000000"/>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000000"/>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000000"/>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000000"/>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000000"/>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000000"/>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000000"/>
                <w:sz w:val="20"/>
                <w:szCs w:val="20"/>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000000"/>
                <w:sz w:val="20"/>
                <w:szCs w:val="20"/>
                <w:u w:val="none"/>
              </w:rPr>
            </w:pPr>
          </w:p>
        </w:tc>
      </w:tr>
      <w:tr w14:paraId="198D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0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A17D">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9D4F">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7D85">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F15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85F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1117">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0470">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D28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100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453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215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F6F1">
            <w:pPr>
              <w:jc w:val="center"/>
              <w:rPr>
                <w:rFonts w:hint="eastAsia" w:ascii="宋体" w:hAnsi="宋体" w:eastAsia="宋体" w:cs="宋体"/>
                <w:i w:val="0"/>
                <w:iCs w:val="0"/>
                <w:color w:val="000000"/>
                <w:sz w:val="20"/>
                <w:szCs w:val="20"/>
                <w:u w:val="none"/>
              </w:rPr>
            </w:pPr>
          </w:p>
        </w:tc>
      </w:tr>
      <w:tr w14:paraId="4FFE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CA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20BB">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2DAD">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31DC">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4D3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AA31">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9E97">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2464">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96B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322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DD7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6B0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5C044">
            <w:pPr>
              <w:jc w:val="center"/>
              <w:rPr>
                <w:rFonts w:hint="eastAsia" w:ascii="宋体" w:hAnsi="宋体" w:eastAsia="宋体" w:cs="宋体"/>
                <w:i w:val="0"/>
                <w:iCs w:val="0"/>
                <w:color w:val="000000"/>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601B7891">
      <w:pPr>
        <w:jc w:val="both"/>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179" w:right="850" w:bottom="1267" w:left="896" w:header="964" w:footer="567" w:gutter="0"/>
          <w:pgBorders>
            <w:top w:val="none" w:sz="0" w:space="0"/>
            <w:left w:val="none" w:sz="0" w:space="0"/>
            <w:bottom w:val="none" w:sz="0" w:space="0"/>
            <w:right w:val="none" w:sz="0" w:space="0"/>
          </w:pgBorders>
          <w:pgNumType w:fmt="decimal"/>
          <w:cols w:space="0" w:num="1"/>
          <w:docGrid w:type="lines" w:linePitch="293" w:charSpace="0"/>
        </w:sectPr>
      </w:pPr>
    </w:p>
    <w:p w14:paraId="767F93B6">
      <w:pPr>
        <w:ind w:firstLine="8031" w:firstLineChars="20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153" w:name="_Toc10248"/>
      <w:bookmarkStart w:id="154" w:name="_Toc17603"/>
      <w:bookmarkStart w:id="155" w:name="_Toc9549"/>
      <w:bookmarkStart w:id="156" w:name="_Toc8991"/>
      <w:bookmarkStart w:id="157" w:name="_Toc16608"/>
      <w:bookmarkStart w:id="158" w:name="_Toc8392"/>
      <w:r>
        <w:rPr>
          <w:rFonts w:hint="eastAsia" w:ascii="仿宋" w:hAnsi="仿宋" w:eastAsia="仿宋" w:cs="仿宋"/>
          <w:b/>
          <w:bCs/>
          <w:i w:val="0"/>
          <w:iCs w:val="0"/>
          <w:color w:val="auto"/>
          <w:sz w:val="36"/>
          <w:szCs w:val="36"/>
          <w:highlight w:val="none"/>
          <w:lang w:val="en-US" w:eastAsia="zh-CN"/>
        </w:rPr>
        <w:t>出 险 声 明 函</w:t>
      </w:r>
      <w:bookmarkEnd w:id="153"/>
      <w:bookmarkEnd w:id="154"/>
      <w:bookmarkEnd w:id="155"/>
      <w:bookmarkEnd w:id="156"/>
      <w:bookmarkEnd w:id="157"/>
      <w:bookmarkEnd w:id="158"/>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w:t>
      </w:r>
      <w:r>
        <w:rPr>
          <w:rFonts w:hint="eastAsia" w:ascii="仿宋" w:hAnsi="仿宋" w:eastAsia="仿宋" w:cs="仿宋"/>
          <w:color w:val="FF0000"/>
          <w:sz w:val="24"/>
          <w:szCs w:val="24"/>
          <w:highlight w:val="yellow"/>
          <w:shd w:val="clear" w:color="auto" w:fill="auto"/>
          <w:lang w:val="en-US" w:eastAsia="zh-CN"/>
        </w:rPr>
        <w:t>人</w:t>
      </w:r>
      <w:r>
        <w:rPr>
          <w:rFonts w:hint="eastAsia" w:ascii="仿宋" w:hAnsi="仿宋" w:eastAsia="仿宋" w:cs="仿宋"/>
          <w:color w:val="FF0000"/>
          <w:sz w:val="24"/>
          <w:szCs w:val="24"/>
          <w:highlight w:val="yellow"/>
          <w:u w:val="single"/>
          <w:shd w:val="clear" w:color="auto" w:fill="auto"/>
          <w:lang w:val="en-US" w:eastAsia="zh-CN"/>
        </w:rPr>
        <w:t xml:space="preserve">          （</w:t>
      </w:r>
      <w:r>
        <w:rPr>
          <w:rFonts w:hint="eastAsia" w:ascii="仿宋" w:hAnsi="仿宋" w:eastAsia="仿宋" w:cs="仿宋"/>
          <w:color w:val="FF0000"/>
          <w:sz w:val="24"/>
          <w:szCs w:val="24"/>
          <w:highlight w:val="yellow"/>
          <w:shd w:val="clear" w:color="auto" w:fill="auto"/>
          <w:lang w:val="en-US" w:eastAsia="zh-CN"/>
        </w:rPr>
        <w:t>填写姓名、身份证号）自愿为我司</w:t>
      </w:r>
      <w:r>
        <w:rPr>
          <w:rFonts w:hint="eastAsia" w:ascii="仿宋" w:hAnsi="仿宋" w:eastAsia="仿宋" w:cs="仿宋"/>
          <w:color w:val="auto"/>
          <w:sz w:val="24"/>
          <w:szCs w:val="24"/>
          <w:highlight w:val="none"/>
          <w:shd w:val="clear" w:color="auto" w:fill="auto"/>
          <w:lang w:val="en-US" w:eastAsia="zh-CN"/>
        </w:rPr>
        <w:t>上述可能发生的全部债务和贵司为实现该等债权支出的所有费用</w:t>
      </w:r>
      <w:r>
        <w:rPr>
          <w:rFonts w:hint="eastAsia" w:ascii="仿宋" w:hAnsi="仿宋" w:eastAsia="仿宋" w:cs="仿宋"/>
          <w:color w:val="FF0000"/>
          <w:sz w:val="24"/>
          <w:szCs w:val="24"/>
          <w:highlight w:val="yellow"/>
          <w:shd w:val="clear" w:color="auto" w:fill="auto"/>
          <w:lang w:val="en-US" w:eastAsia="zh-CN"/>
        </w:rPr>
        <w:t>向贵司提供连带责任保证</w:t>
      </w:r>
      <w:r>
        <w:rPr>
          <w:rFonts w:hint="eastAsia" w:ascii="仿宋" w:hAnsi="仿宋" w:eastAsia="仿宋" w:cs="仿宋"/>
          <w:color w:val="auto"/>
          <w:sz w:val="24"/>
          <w:szCs w:val="24"/>
          <w:highlight w:val="none"/>
          <w:shd w:val="clear" w:color="auto" w:fill="auto"/>
          <w:lang w:val="en-US" w:eastAsia="zh-CN"/>
        </w:rPr>
        <w:t>，保证期间为三年。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2"/>
        <w:ind w:firstLine="4080" w:firstLineChars="1700"/>
        <w:jc w:val="both"/>
        <w:rPr>
          <w:rFonts w:hint="default"/>
          <w:color w:val="FF0000"/>
          <w:sz w:val="21"/>
          <w:szCs w:val="22"/>
          <w:highlight w:val="yellow"/>
          <w:lang w:val="en-US" w:eastAsia="zh-CN"/>
        </w:rPr>
      </w:pPr>
      <w:r>
        <w:rPr>
          <w:rFonts w:hint="eastAsia" w:ascii="仿宋" w:hAnsi="仿宋" w:eastAsia="仿宋" w:cs="仿宋"/>
          <w:color w:val="FF0000"/>
          <w:sz w:val="24"/>
          <w:szCs w:val="24"/>
          <w:highlight w:val="yellow"/>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pPr>
      <w:r>
        <w:rPr>
          <w:rFonts w:hint="eastAsia" w:ascii="仿宋" w:hAnsi="仿宋" w:eastAsia="仿宋" w:cs="仿宋"/>
          <w:color w:val="auto"/>
          <w:sz w:val="24"/>
          <w:szCs w:val="24"/>
          <w:highlight w:val="none"/>
          <w:shd w:val="clear" w:color="auto" w:fill="auto"/>
          <w:lang w:val="en-US" w:eastAsia="zh-CN"/>
        </w:rPr>
        <w:t xml:space="preserve">                    日    期：     年  月  日  </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632BCA">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4608CE2">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3958F4A2">
      <w:pPr>
        <w:pStyle w:val="2"/>
        <w:rPr>
          <w:rFonts w:hint="eastAsia" w:ascii="仿宋" w:hAnsi="仿宋" w:eastAsia="仿宋" w:cs="仿宋"/>
          <w:b/>
          <w:bCs w:val="0"/>
          <w:color w:val="auto"/>
          <w:sz w:val="40"/>
          <w:szCs w:val="40"/>
          <w:highlight w:val="none"/>
          <w:shd w:val="clear" w:color="auto" w:fill="auto"/>
          <w:lang w:val="en-US" w:eastAsia="zh-CN"/>
        </w:rPr>
      </w:pPr>
    </w:p>
    <w:p w14:paraId="5F18183C">
      <w:pPr>
        <w:pStyle w:val="2"/>
        <w:rPr>
          <w:rFonts w:hint="eastAsia" w:ascii="仿宋" w:hAnsi="仿宋" w:eastAsia="仿宋" w:cs="仿宋"/>
          <w:b/>
          <w:bCs w:val="0"/>
          <w:color w:val="auto"/>
          <w:sz w:val="40"/>
          <w:szCs w:val="40"/>
          <w:highlight w:val="none"/>
          <w:shd w:val="clear" w:color="auto" w:fill="auto"/>
          <w:lang w:val="en-US" w:eastAsia="zh-CN"/>
        </w:rPr>
      </w:pPr>
    </w:p>
    <w:p w14:paraId="69A820B3">
      <w:pPr>
        <w:pStyle w:val="2"/>
        <w:rPr>
          <w:rFonts w:hint="eastAsia" w:ascii="仿宋" w:hAnsi="仿宋" w:eastAsia="仿宋" w:cs="仿宋"/>
          <w:b/>
          <w:bCs w:val="0"/>
          <w:color w:val="auto"/>
          <w:sz w:val="40"/>
          <w:szCs w:val="40"/>
          <w:highlight w:val="none"/>
          <w:shd w:val="clear" w:color="auto" w:fill="auto"/>
          <w:lang w:val="en-US" w:eastAsia="zh-CN"/>
        </w:rPr>
      </w:pPr>
    </w:p>
    <w:p w14:paraId="59B3AA17">
      <w:pPr>
        <w:pStyle w:val="2"/>
        <w:rPr>
          <w:rFonts w:hint="eastAsia" w:ascii="仿宋" w:hAnsi="仿宋" w:eastAsia="仿宋" w:cs="仿宋"/>
          <w:b/>
          <w:bCs w:val="0"/>
          <w:color w:val="auto"/>
          <w:sz w:val="40"/>
          <w:szCs w:val="40"/>
          <w:highlight w:val="none"/>
          <w:shd w:val="clear" w:color="auto" w:fill="auto"/>
          <w:lang w:val="en-US" w:eastAsia="zh-CN"/>
        </w:rPr>
      </w:pPr>
    </w:p>
    <w:p w14:paraId="0F774192">
      <w:pPr>
        <w:pStyle w:val="2"/>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2"/>
        <w:rPr>
          <w:rFonts w:hint="eastAsia"/>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2"/>
        <w:rPr>
          <w:color w:val="auto"/>
          <w:sz w:val="32"/>
          <w:szCs w:val="32"/>
          <w:highlight w:val="none"/>
        </w:rPr>
      </w:pPr>
    </w:p>
    <w:p w14:paraId="3F602560">
      <w:pPr>
        <w:pStyle w:val="2"/>
        <w:rPr>
          <w:color w:val="auto"/>
          <w:sz w:val="32"/>
          <w:szCs w:val="32"/>
          <w:highlight w:val="none"/>
        </w:rPr>
      </w:pPr>
    </w:p>
    <w:tbl>
      <w:tblPr>
        <w:tblStyle w:val="15"/>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06597BE">
      <w:pPr>
        <w:pStyle w:val="2"/>
        <w:rPr>
          <w:rFonts w:hint="eastAsia"/>
          <w:lang w:val="en-US" w:eastAsia="zh-CN"/>
        </w:rPr>
      </w:pPr>
    </w:p>
    <w:p w14:paraId="5FD1EB23">
      <w:pPr>
        <w:pStyle w:val="2"/>
        <w:rPr>
          <w:rFonts w:hint="eastAsia"/>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4"/>
        <w:tblW w:w="4984" w:type="pct"/>
        <w:tblInd w:w="-127" w:type="dxa"/>
        <w:tblLayout w:type="autofit"/>
        <w:tblCellMar>
          <w:top w:w="15" w:type="dxa"/>
          <w:left w:w="15" w:type="dxa"/>
          <w:bottom w:w="15" w:type="dxa"/>
          <w:right w:w="15" w:type="dxa"/>
        </w:tblCellMar>
      </w:tblPr>
      <w:tblGrid>
        <w:gridCol w:w="9460"/>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p>
          <w:tbl>
            <w:tblPr>
              <w:tblStyle w:val="2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05"/>
              <w:gridCol w:w="2559"/>
              <w:gridCol w:w="2241"/>
              <w:gridCol w:w="2718"/>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4"/>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90"/>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2"/>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2"/>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824FDE9">
      <w:pPr>
        <w:pStyle w:val="2"/>
        <w:rPr>
          <w:rFonts w:hint="eastAsia"/>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26"/>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2"/>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2"/>
        <w:rPr>
          <w:rFonts w:hint="eastAsia"/>
          <w:color w:val="auto"/>
          <w:highlight w:val="none"/>
          <w:lang w:val="en-US" w:eastAsia="zh-CN"/>
        </w:rPr>
      </w:pPr>
    </w:p>
    <w:tbl>
      <w:tblPr>
        <w:tblStyle w:val="14"/>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2"/>
        <w:rPr>
          <w:rFonts w:hint="eastAsia"/>
          <w:color w:val="auto"/>
          <w:highlight w:val="none"/>
          <w:lang w:val="en-US" w:eastAsia="zh-CN"/>
        </w:rPr>
      </w:pPr>
    </w:p>
    <w:p w14:paraId="787EE787">
      <w:pPr>
        <w:pStyle w:val="2"/>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4"/>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2"/>
        <w:rPr>
          <w:rFonts w:hint="default"/>
          <w:color w:val="auto"/>
          <w:highlight w:val="none"/>
          <w:lang w:val="en-US" w:eastAsia="zh-CN"/>
        </w:rPr>
      </w:pPr>
    </w:p>
    <w:p w14:paraId="5F5F018E">
      <w:pPr>
        <w:pStyle w:val="2"/>
        <w:rPr>
          <w:rFonts w:hint="default"/>
          <w:color w:val="auto"/>
          <w:highlight w:val="none"/>
          <w:lang w:val="en-US" w:eastAsia="zh-CN"/>
        </w:rPr>
      </w:pPr>
    </w:p>
    <w:p w14:paraId="05B5226A">
      <w:pPr>
        <w:pStyle w:val="2"/>
        <w:rPr>
          <w:rFonts w:hint="default"/>
          <w:color w:val="auto"/>
          <w:highlight w:val="none"/>
          <w:lang w:val="en-US" w:eastAsia="zh-CN"/>
        </w:rPr>
      </w:pPr>
    </w:p>
    <w:p w14:paraId="6D8BC9D5">
      <w:pPr>
        <w:pStyle w:val="2"/>
        <w:rPr>
          <w:rFonts w:hint="default"/>
          <w:color w:val="auto"/>
          <w:highlight w:val="none"/>
          <w:lang w:val="en-US" w:eastAsia="zh-CN"/>
        </w:rPr>
      </w:pPr>
    </w:p>
    <w:p w14:paraId="7559F1B5">
      <w:pPr>
        <w:pStyle w:val="2"/>
        <w:rPr>
          <w:rFonts w:hint="default"/>
          <w:color w:val="auto"/>
          <w:highlight w:val="none"/>
          <w:lang w:val="en-US" w:eastAsia="zh-CN"/>
        </w:rPr>
      </w:pPr>
    </w:p>
    <w:p w14:paraId="4D8F8553">
      <w:pPr>
        <w:pStyle w:val="2"/>
        <w:rPr>
          <w:rFonts w:hint="default"/>
          <w:color w:val="auto"/>
          <w:highlight w:val="none"/>
          <w:lang w:val="en-US" w:eastAsia="zh-CN"/>
        </w:rPr>
      </w:pPr>
    </w:p>
    <w:p w14:paraId="3A728F48">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2"/>
        <w:rPr>
          <w:rFonts w:hint="eastAsia"/>
          <w:color w:val="auto"/>
          <w:highlight w:val="none"/>
          <w:lang w:val="en-US" w:eastAsia="zh-CN"/>
        </w:rPr>
      </w:pPr>
    </w:p>
    <w:p w14:paraId="1DE51A0C">
      <w:pPr>
        <w:pStyle w:val="2"/>
        <w:rPr>
          <w:rFonts w:hint="eastAsia"/>
          <w:color w:val="auto"/>
          <w:highlight w:val="none"/>
          <w:lang w:val="en-US" w:eastAsia="zh-CN"/>
        </w:rPr>
      </w:pPr>
      <w: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5BAF111F">
      <w:pPr>
        <w:pStyle w:val="2"/>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26"/>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2"/>
        <w:rPr>
          <w:rFonts w:hint="default"/>
          <w:color w:val="auto"/>
          <w:highlight w:val="none"/>
          <w:lang w:val="en-US" w:eastAsia="zh-CN"/>
        </w:rPr>
      </w:pPr>
    </w:p>
    <w:p w14:paraId="04CD7765">
      <w:pPr>
        <w:rPr>
          <w:rFonts w:hint="eastAsia"/>
          <w:b/>
          <w:bCs/>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5A40E127">
      <w:pPr>
        <w:pStyle w:val="2"/>
        <w:rPr>
          <w:rFonts w:hint="eastAsia"/>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u w:val="single"/>
        </w:rPr>
      </w:pPr>
      <w:r>
        <w:rPr>
          <w:rFonts w:hint="eastAsia" w:ascii="宋体" w:hAnsi="宋体" w:cs="宋体"/>
          <w:sz w:val="36"/>
          <w:szCs w:val="36"/>
          <w:u w:val="single"/>
          <w:lang w:val="en-US" w:eastAsia="zh-CN"/>
        </w:rPr>
        <w:t xml:space="preserve"> XXXXXXXX工程</w:t>
      </w:r>
      <w:r>
        <w:rPr>
          <w:rFonts w:hint="eastAsia" w:ascii="宋体" w:hAnsi="宋体" w:eastAsia="宋体" w:cs="宋体"/>
          <w:sz w:val="36"/>
          <w:szCs w:val="36"/>
        </w:rPr>
        <w:t>结算资料目录</w:t>
      </w:r>
    </w:p>
    <w:p w14:paraId="11493457">
      <w:pPr>
        <w:ind w:firstLine="960" w:firstLineChars="400"/>
        <w:rPr>
          <w:rFonts w:hint="eastAsia"/>
          <w:sz w:val="24"/>
        </w:rPr>
      </w:pPr>
    </w:p>
    <w:p w14:paraId="24986842">
      <w:pPr>
        <w:ind w:firstLine="960" w:firstLineChars="400"/>
        <w:rPr>
          <w:rFonts w:hint="eastAsia"/>
          <w:sz w:val="24"/>
          <w:u w:val="single"/>
          <w:lang w:eastAsia="zh-CN"/>
        </w:rPr>
      </w:pPr>
      <w:r>
        <w:rPr>
          <w:rFonts w:hint="eastAsia"/>
          <w:sz w:val="24"/>
        </w:rPr>
        <w:t>填表日期:</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年</w:t>
      </w:r>
      <w:r>
        <w:rPr>
          <w:rFonts w:hint="eastAsia"/>
          <w:sz w:val="24"/>
          <w:u w:val="single"/>
          <w:lang w:val="en-US" w:eastAsia="zh-CN"/>
        </w:rPr>
        <w:t xml:space="preserve">    </w:t>
      </w:r>
      <w:r>
        <w:rPr>
          <w:rFonts w:hint="eastAsia"/>
          <w:sz w:val="24"/>
          <w:u w:val="single"/>
          <w:lang w:eastAsia="zh-CN"/>
        </w:rPr>
        <w:t>月</w:t>
      </w:r>
      <w:r>
        <w:rPr>
          <w:rFonts w:hint="eastAsia"/>
          <w:sz w:val="24"/>
          <w:u w:val="single"/>
          <w:lang w:val="en-US" w:eastAsia="zh-CN"/>
        </w:rPr>
        <w:t xml:space="preserve">    </w:t>
      </w:r>
      <w:r>
        <w:rPr>
          <w:rFonts w:hint="eastAsia"/>
          <w:sz w:val="24"/>
          <w:u w:val="single"/>
          <w:lang w:eastAsia="zh-CN"/>
        </w:rPr>
        <w:t>日</w:t>
      </w:r>
      <w:r>
        <w:rPr>
          <w:rFonts w:hint="eastAsia"/>
          <w:sz w:val="24"/>
        </w:rPr>
        <w:t xml:space="preserve">             </w:t>
      </w:r>
    </w:p>
    <w:tbl>
      <w:tblPr>
        <w:tblStyle w:val="14"/>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rPr>
            </w:pPr>
            <w:r>
              <w:rPr>
                <w:rFonts w:hint="eastAsia"/>
                <w:b/>
                <w:sz w:val="24"/>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rPr>
            </w:pPr>
            <w:r>
              <w:rPr>
                <w:rFonts w:hint="eastAsia"/>
                <w:b/>
                <w:sz w:val="24"/>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rPr>
            </w:pPr>
            <w:r>
              <w:rPr>
                <w:rFonts w:hint="eastAsia"/>
                <w:b/>
                <w:sz w:val="24"/>
                <w:lang w:eastAsia="zh-CN"/>
              </w:rPr>
              <w:t>份</w:t>
            </w:r>
            <w:r>
              <w:rPr>
                <w:rFonts w:hint="eastAsia"/>
                <w:b/>
                <w:sz w:val="24"/>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rPr>
            </w:pPr>
            <w:r>
              <w:rPr>
                <w:rFonts w:hint="eastAsia"/>
                <w:b/>
                <w:sz w:val="24"/>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lang w:val="en-US" w:eastAsia="zh-CN"/>
              </w:rPr>
            </w:pPr>
            <w:r>
              <w:rPr>
                <w:rFonts w:hint="eastAsia"/>
                <w:b/>
                <w:bCs/>
                <w:sz w:val="24"/>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lang w:eastAsia="zh-CN"/>
              </w:rPr>
            </w:pPr>
            <w:r>
              <w:rPr>
                <w:rFonts w:hint="eastAsia"/>
                <w:b w:val="0"/>
                <w:bCs/>
                <w:sz w:val="24"/>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lang w:eastAsia="zh-CN"/>
              </w:rPr>
            </w:pPr>
            <w:r>
              <w:rPr>
                <w:rFonts w:hint="eastAsia" w:eastAsia="宋体"/>
                <w:kern w:val="2"/>
                <w:sz w:val="24"/>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lang w:eastAsia="zh-CN"/>
              </w:rPr>
            </w:pPr>
            <w:r>
              <w:rPr>
                <w:rFonts w:hint="eastAsia"/>
                <w:b w:val="0"/>
                <w:bCs/>
                <w:sz w:val="24"/>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lang w:eastAsia="zh-CN"/>
              </w:rPr>
            </w:pPr>
            <w:r>
              <w:rPr>
                <w:rFonts w:hint="eastAsia"/>
                <w:sz w:val="24"/>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lang w:val="en-US" w:eastAsia="zh-CN"/>
              </w:rPr>
            </w:pPr>
            <w:r>
              <w:rPr>
                <w:rFonts w:hint="eastAsia"/>
                <w:sz w:val="24"/>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lang w:eastAsia="zh-CN"/>
              </w:rPr>
            </w:pPr>
            <w:r>
              <w:rPr>
                <w:rFonts w:hint="eastAsia"/>
                <w:sz w:val="24"/>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lang w:eastAsia="zh-CN"/>
              </w:rPr>
            </w:pPr>
            <w:r>
              <w:rPr>
                <w:rFonts w:hint="eastAsia"/>
                <w:sz w:val="24"/>
                <w:lang w:eastAsia="zh-CN"/>
              </w:rPr>
              <w:t>3</w:t>
            </w:r>
          </w:p>
        </w:tc>
        <w:tc>
          <w:tcPr>
            <w:tcW w:w="4263" w:type="dxa"/>
            <w:gridSpan w:val="2"/>
            <w:tcBorders>
              <w:top w:val="nil"/>
            </w:tcBorders>
            <w:noWrap w:val="0"/>
            <w:vAlign w:val="center"/>
          </w:tcPr>
          <w:p w14:paraId="580FD584">
            <w:pPr>
              <w:spacing w:line="440" w:lineRule="atLeast"/>
              <w:rPr>
                <w:rFonts w:hint="eastAsia" w:eastAsia="宋体"/>
                <w:sz w:val="24"/>
                <w:lang w:val="en-US" w:eastAsia="zh-CN"/>
              </w:rPr>
            </w:pPr>
            <w:r>
              <w:rPr>
                <w:rFonts w:hint="eastAsia"/>
                <w:sz w:val="24"/>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lang w:eastAsia="zh-CN"/>
              </w:rPr>
            </w:pPr>
            <w:r>
              <w:rPr>
                <w:rFonts w:hint="eastAsia"/>
                <w:sz w:val="24"/>
                <w:lang w:eastAsia="zh-CN"/>
              </w:rPr>
              <w:t>1</w:t>
            </w:r>
          </w:p>
        </w:tc>
        <w:tc>
          <w:tcPr>
            <w:tcW w:w="2643" w:type="dxa"/>
            <w:tcBorders>
              <w:top w:val="nil"/>
            </w:tcBorders>
            <w:noWrap w:val="0"/>
            <w:vAlign w:val="center"/>
          </w:tcPr>
          <w:p w14:paraId="0A2813CC">
            <w:pPr>
              <w:spacing w:line="440" w:lineRule="atLeast"/>
              <w:jc w:val="center"/>
              <w:rPr>
                <w:rFonts w:hint="eastAsia"/>
                <w:sz w:val="24"/>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lang w:val="en-US" w:eastAsia="zh-CN"/>
              </w:rPr>
            </w:pPr>
            <w:r>
              <w:rPr>
                <w:rFonts w:hint="eastAsia"/>
                <w:sz w:val="24"/>
                <w:lang w:val="en-US" w:eastAsia="zh-CN"/>
              </w:rPr>
              <w:t>4</w:t>
            </w:r>
          </w:p>
          <w:p w14:paraId="6E5FD724">
            <w:pPr>
              <w:spacing w:line="440" w:lineRule="atLeast"/>
              <w:jc w:val="center"/>
              <w:rPr>
                <w:rFonts w:hint="eastAsia"/>
                <w:sz w:val="24"/>
                <w:lang w:val="en-US" w:eastAsia="zh-CN"/>
              </w:rPr>
            </w:pPr>
          </w:p>
          <w:p w14:paraId="7DDBC5BF">
            <w:pPr>
              <w:spacing w:line="440" w:lineRule="atLeast"/>
              <w:jc w:val="center"/>
              <w:rPr>
                <w:rFonts w:hint="default"/>
                <w:sz w:val="24"/>
                <w:lang w:val="en-US" w:eastAsia="zh-CN"/>
              </w:rPr>
            </w:pPr>
          </w:p>
        </w:tc>
        <w:tc>
          <w:tcPr>
            <w:tcW w:w="4263" w:type="dxa"/>
            <w:gridSpan w:val="2"/>
            <w:tcBorders>
              <w:top w:val="nil"/>
            </w:tcBorders>
            <w:noWrap w:val="0"/>
            <w:vAlign w:val="center"/>
          </w:tcPr>
          <w:p w14:paraId="1FA761AB">
            <w:pPr>
              <w:spacing w:line="440" w:lineRule="atLeast"/>
              <w:rPr>
                <w:rFonts w:hint="eastAsia"/>
                <w:sz w:val="24"/>
                <w:lang w:val="en-US" w:eastAsia="zh-CN"/>
              </w:rPr>
            </w:pPr>
            <w:r>
              <w:rPr>
                <w:rFonts w:hint="eastAsia"/>
                <w:sz w:val="24"/>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790CE63">
            <w:pPr>
              <w:spacing w:line="440" w:lineRule="atLeast"/>
              <w:jc w:val="center"/>
              <w:rPr>
                <w:rFonts w:hint="eastAsia"/>
                <w:sz w:val="24"/>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lang w:val="en-US" w:eastAsia="zh-CN"/>
              </w:rPr>
            </w:pPr>
            <w:r>
              <w:rPr>
                <w:rFonts w:hint="eastAsia"/>
                <w:b/>
                <w:bCs/>
                <w:sz w:val="24"/>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lang w:val="en-US" w:eastAsia="zh-CN"/>
              </w:rPr>
            </w:pPr>
            <w:r>
              <w:rPr>
                <w:rFonts w:hint="eastAsia"/>
                <w:sz w:val="24"/>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lang w:val="en-US" w:eastAsia="zh-CN"/>
              </w:rPr>
            </w:pPr>
            <w:r>
              <w:rPr>
                <w:rFonts w:hint="eastAsia"/>
                <w:sz w:val="24"/>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lang w:val="en-US" w:eastAsia="zh-CN"/>
              </w:rPr>
            </w:pPr>
            <w:r>
              <w:rPr>
                <w:rFonts w:hint="eastAsia"/>
                <w:kern w:val="2"/>
                <w:sz w:val="24"/>
                <w:lang w:val="en-US" w:eastAsia="zh-CN"/>
              </w:rPr>
              <w:t>封面</w:t>
            </w:r>
          </w:p>
        </w:tc>
        <w:tc>
          <w:tcPr>
            <w:tcW w:w="734" w:type="dxa"/>
            <w:tcBorders>
              <w:top w:val="nil"/>
            </w:tcBorders>
            <w:noWrap w:val="0"/>
            <w:vAlign w:val="center"/>
          </w:tcPr>
          <w:p w14:paraId="3CCBD15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C78867C">
            <w:pPr>
              <w:spacing w:line="440" w:lineRule="atLeast"/>
              <w:jc w:val="center"/>
              <w:rPr>
                <w:rFonts w:hint="default"/>
                <w:sz w:val="24"/>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764E06EB">
            <w:pPr>
              <w:spacing w:line="440" w:lineRule="atLeast"/>
              <w:jc w:val="center"/>
              <w:rPr>
                <w:rFonts w:hint="default"/>
                <w:sz w:val="24"/>
                <w:lang w:val="en-US" w:eastAsia="zh-CN"/>
              </w:rPr>
            </w:pPr>
            <w:r>
              <w:rPr>
                <w:rFonts w:hint="eastAsia"/>
                <w:sz w:val="24"/>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lang w:val="en-US" w:eastAsia="zh-CN"/>
              </w:rPr>
            </w:pPr>
            <w:r>
              <w:rPr>
                <w:rFonts w:hint="eastAsia"/>
                <w:sz w:val="24"/>
                <w:lang w:val="en-US" w:eastAsia="zh-CN"/>
              </w:rPr>
              <w:t>目录</w:t>
            </w:r>
          </w:p>
        </w:tc>
        <w:tc>
          <w:tcPr>
            <w:tcW w:w="734" w:type="dxa"/>
            <w:tcBorders>
              <w:top w:val="nil"/>
            </w:tcBorders>
            <w:noWrap w:val="0"/>
            <w:vAlign w:val="center"/>
          </w:tcPr>
          <w:p w14:paraId="6BADCA93">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91AAF79">
            <w:pPr>
              <w:spacing w:line="440" w:lineRule="atLeast"/>
              <w:jc w:val="center"/>
              <w:rPr>
                <w:rFonts w:hint="eastAsia"/>
                <w:sz w:val="24"/>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394D6B1F">
            <w:pPr>
              <w:spacing w:line="440" w:lineRule="atLeast"/>
              <w:jc w:val="center"/>
              <w:rPr>
                <w:rFonts w:hint="default"/>
                <w:sz w:val="24"/>
                <w:lang w:val="en-US" w:eastAsia="zh-CN"/>
              </w:rPr>
            </w:pPr>
            <w:r>
              <w:rPr>
                <w:rFonts w:hint="eastAsia"/>
                <w:sz w:val="24"/>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lang w:val="en-US" w:eastAsia="zh-CN"/>
              </w:rPr>
            </w:pPr>
            <w:r>
              <w:rPr>
                <w:rFonts w:hint="eastAsia"/>
                <w:sz w:val="24"/>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lang w:val="en-US" w:eastAsia="zh-CN"/>
              </w:rPr>
            </w:pPr>
          </w:p>
        </w:tc>
        <w:tc>
          <w:tcPr>
            <w:tcW w:w="495" w:type="dxa"/>
            <w:tcBorders>
              <w:top w:val="nil"/>
            </w:tcBorders>
            <w:noWrap w:val="0"/>
            <w:vAlign w:val="center"/>
          </w:tcPr>
          <w:p w14:paraId="09987F6F">
            <w:pPr>
              <w:spacing w:line="440" w:lineRule="atLeast"/>
              <w:jc w:val="center"/>
              <w:rPr>
                <w:rFonts w:hint="default"/>
                <w:sz w:val="24"/>
                <w:lang w:val="en-US" w:eastAsia="zh-CN"/>
              </w:rPr>
            </w:pPr>
            <w:r>
              <w:rPr>
                <w:rFonts w:hint="eastAsia"/>
                <w:sz w:val="24"/>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lang w:val="en-US" w:eastAsia="zh-CN"/>
              </w:rPr>
            </w:pPr>
            <w:r>
              <w:rPr>
                <w:rFonts w:hint="eastAsia"/>
                <w:sz w:val="24"/>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52A0E03">
            <w:pPr>
              <w:spacing w:line="440" w:lineRule="atLeast"/>
              <w:jc w:val="center"/>
              <w:rPr>
                <w:rFonts w:hint="eastAsia"/>
                <w:sz w:val="24"/>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lang w:val="en-US" w:eastAsia="zh-CN"/>
              </w:rPr>
            </w:pPr>
          </w:p>
        </w:tc>
        <w:tc>
          <w:tcPr>
            <w:tcW w:w="495" w:type="dxa"/>
            <w:tcBorders>
              <w:top w:val="nil"/>
            </w:tcBorders>
            <w:noWrap w:val="0"/>
            <w:vAlign w:val="center"/>
          </w:tcPr>
          <w:p w14:paraId="6BE1A157">
            <w:pPr>
              <w:spacing w:line="440" w:lineRule="atLeast"/>
              <w:jc w:val="center"/>
              <w:rPr>
                <w:rFonts w:hint="default"/>
                <w:sz w:val="24"/>
                <w:lang w:val="en-US" w:eastAsia="zh-CN"/>
              </w:rPr>
            </w:pPr>
            <w:r>
              <w:rPr>
                <w:rFonts w:hint="eastAsia"/>
                <w:sz w:val="24"/>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lang w:val="en-US" w:eastAsia="zh-CN"/>
              </w:rPr>
            </w:pPr>
            <w:r>
              <w:rPr>
                <w:rFonts w:hint="eastAsia"/>
                <w:sz w:val="24"/>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lang w:val="en-US" w:eastAsia="zh-CN"/>
              </w:rPr>
            </w:pPr>
          </w:p>
        </w:tc>
        <w:tc>
          <w:tcPr>
            <w:tcW w:w="495" w:type="dxa"/>
            <w:tcBorders>
              <w:top w:val="nil"/>
            </w:tcBorders>
            <w:noWrap w:val="0"/>
            <w:vAlign w:val="center"/>
          </w:tcPr>
          <w:p w14:paraId="18D569B7">
            <w:pPr>
              <w:spacing w:line="440" w:lineRule="atLeast"/>
              <w:jc w:val="center"/>
              <w:rPr>
                <w:rFonts w:hint="default"/>
                <w:sz w:val="24"/>
                <w:lang w:val="en-US" w:eastAsia="zh-CN"/>
              </w:rPr>
            </w:pPr>
            <w:r>
              <w:rPr>
                <w:rFonts w:hint="eastAsia"/>
                <w:sz w:val="24"/>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lang w:val="en-US" w:eastAsia="zh-CN"/>
              </w:rPr>
            </w:pPr>
            <w:r>
              <w:rPr>
                <w:rFonts w:hint="eastAsia"/>
                <w:sz w:val="24"/>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lang w:val="en-US" w:eastAsia="zh-CN"/>
              </w:rPr>
            </w:pPr>
          </w:p>
        </w:tc>
        <w:tc>
          <w:tcPr>
            <w:tcW w:w="495" w:type="dxa"/>
            <w:tcBorders>
              <w:top w:val="nil"/>
            </w:tcBorders>
            <w:noWrap w:val="0"/>
            <w:vAlign w:val="center"/>
          </w:tcPr>
          <w:p w14:paraId="501BB1BB">
            <w:pPr>
              <w:spacing w:line="440" w:lineRule="atLeast"/>
              <w:jc w:val="center"/>
              <w:rPr>
                <w:rFonts w:hint="default"/>
                <w:sz w:val="24"/>
                <w:lang w:val="en-US" w:eastAsia="zh-CN"/>
              </w:rPr>
            </w:pPr>
            <w:r>
              <w:rPr>
                <w:rFonts w:hint="eastAsia"/>
                <w:sz w:val="24"/>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工程结算支付证明单</w:t>
            </w:r>
          </w:p>
          <w:p w14:paraId="19F62F4C">
            <w:pPr>
              <w:tabs>
                <w:tab w:val="left" w:pos="1138"/>
              </w:tabs>
              <w:spacing w:line="440" w:lineRule="atLeast"/>
              <w:rPr>
                <w:rFonts w:hint="eastAsia"/>
                <w:sz w:val="24"/>
                <w:lang w:val="en-US" w:eastAsia="zh-CN"/>
              </w:rPr>
            </w:pPr>
          </w:p>
        </w:tc>
        <w:tc>
          <w:tcPr>
            <w:tcW w:w="734" w:type="dxa"/>
            <w:tcBorders>
              <w:top w:val="nil"/>
            </w:tcBorders>
            <w:noWrap w:val="0"/>
            <w:vAlign w:val="center"/>
          </w:tcPr>
          <w:p w14:paraId="49C8741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DCB68E1">
            <w:pPr>
              <w:spacing w:line="440" w:lineRule="atLeast"/>
              <w:jc w:val="center"/>
              <w:rPr>
                <w:rFonts w:hint="eastAsia"/>
                <w:sz w:val="24"/>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lang w:val="en-US" w:eastAsia="zh-CN"/>
              </w:rPr>
            </w:pPr>
          </w:p>
        </w:tc>
        <w:tc>
          <w:tcPr>
            <w:tcW w:w="495" w:type="dxa"/>
            <w:tcBorders>
              <w:top w:val="nil"/>
            </w:tcBorders>
            <w:noWrap w:val="0"/>
            <w:vAlign w:val="center"/>
          </w:tcPr>
          <w:p w14:paraId="0C06C6E9">
            <w:pPr>
              <w:spacing w:line="440" w:lineRule="atLeast"/>
              <w:jc w:val="center"/>
              <w:rPr>
                <w:rFonts w:hint="default"/>
                <w:sz w:val="24"/>
                <w:lang w:val="en-US" w:eastAsia="zh-CN"/>
              </w:rPr>
            </w:pPr>
            <w:r>
              <w:rPr>
                <w:rFonts w:hint="eastAsia"/>
                <w:sz w:val="24"/>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lang w:val="en-US" w:eastAsia="zh-CN"/>
              </w:rPr>
            </w:pPr>
            <w:r>
              <w:rPr>
                <w:rFonts w:hint="eastAsia"/>
                <w:sz w:val="24"/>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038D1426">
            <w:pPr>
              <w:spacing w:line="440" w:lineRule="atLeast"/>
              <w:jc w:val="center"/>
              <w:rPr>
                <w:rFonts w:hint="default"/>
                <w:sz w:val="24"/>
                <w:lang w:val="en-US" w:eastAsia="zh-CN"/>
              </w:rPr>
            </w:pPr>
            <w:r>
              <w:rPr>
                <w:rFonts w:hint="eastAsia"/>
                <w:sz w:val="24"/>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lang w:val="en-US" w:eastAsia="zh-CN"/>
              </w:rPr>
            </w:pPr>
            <w:r>
              <w:rPr>
                <w:rFonts w:hint="eastAsia"/>
                <w:kern w:val="2"/>
                <w:sz w:val="24"/>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lang w:val="en-US" w:eastAsia="zh-CN"/>
              </w:rPr>
            </w:pPr>
          </w:p>
        </w:tc>
        <w:tc>
          <w:tcPr>
            <w:tcW w:w="495" w:type="dxa"/>
            <w:tcBorders>
              <w:top w:val="nil"/>
            </w:tcBorders>
            <w:noWrap w:val="0"/>
            <w:vAlign w:val="center"/>
          </w:tcPr>
          <w:p w14:paraId="41622D14">
            <w:pPr>
              <w:spacing w:line="440" w:lineRule="atLeast"/>
              <w:jc w:val="center"/>
              <w:rPr>
                <w:rFonts w:hint="default"/>
                <w:sz w:val="24"/>
                <w:lang w:val="en-US" w:eastAsia="zh-CN"/>
              </w:rPr>
            </w:pPr>
            <w:r>
              <w:rPr>
                <w:rFonts w:hint="eastAsia"/>
                <w:sz w:val="24"/>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lang w:val="en-US" w:eastAsia="zh-CN"/>
              </w:rPr>
            </w:pPr>
            <w:r>
              <w:rPr>
                <w:rFonts w:hint="eastAsia"/>
                <w:kern w:val="2"/>
                <w:sz w:val="24"/>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F1A5A40">
            <w:pPr>
              <w:spacing w:line="440" w:lineRule="atLeast"/>
              <w:jc w:val="center"/>
              <w:rPr>
                <w:rFonts w:hint="eastAsia"/>
                <w:sz w:val="24"/>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lang w:val="en-US" w:eastAsia="zh-CN"/>
              </w:rPr>
            </w:pPr>
          </w:p>
        </w:tc>
        <w:tc>
          <w:tcPr>
            <w:tcW w:w="495" w:type="dxa"/>
            <w:tcBorders>
              <w:top w:val="nil"/>
            </w:tcBorders>
            <w:noWrap w:val="0"/>
            <w:vAlign w:val="center"/>
          </w:tcPr>
          <w:p w14:paraId="5E4F8273">
            <w:pPr>
              <w:spacing w:line="440" w:lineRule="atLeast"/>
              <w:jc w:val="center"/>
              <w:rPr>
                <w:rFonts w:hint="default"/>
                <w:sz w:val="24"/>
                <w:lang w:val="en-US" w:eastAsia="zh-CN"/>
              </w:rPr>
            </w:pPr>
            <w:r>
              <w:rPr>
                <w:rFonts w:hint="eastAsia"/>
                <w:sz w:val="24"/>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lang w:val="en-US" w:eastAsia="zh-CN"/>
              </w:rPr>
            </w:pPr>
            <w:r>
              <w:rPr>
                <w:rFonts w:hint="eastAsia"/>
                <w:kern w:val="2"/>
                <w:sz w:val="24"/>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lang w:val="en-US" w:eastAsia="zh-CN"/>
              </w:rPr>
            </w:pPr>
          </w:p>
        </w:tc>
        <w:tc>
          <w:tcPr>
            <w:tcW w:w="495" w:type="dxa"/>
            <w:noWrap w:val="0"/>
            <w:vAlign w:val="center"/>
          </w:tcPr>
          <w:p w14:paraId="2F688172">
            <w:pPr>
              <w:spacing w:line="440" w:lineRule="atLeast"/>
              <w:jc w:val="center"/>
              <w:rPr>
                <w:rFonts w:hint="default"/>
                <w:sz w:val="24"/>
                <w:lang w:val="en-US" w:eastAsia="zh-CN"/>
              </w:rPr>
            </w:pPr>
            <w:r>
              <w:rPr>
                <w:rFonts w:hint="eastAsia"/>
                <w:sz w:val="24"/>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lang w:val="en-US" w:eastAsia="zh-CN"/>
              </w:rPr>
            </w:pPr>
            <w:r>
              <w:rPr>
                <w:rFonts w:hint="eastAsia"/>
                <w:kern w:val="2"/>
                <w:sz w:val="24"/>
                <w:lang w:val="en-US" w:eastAsia="zh-CN"/>
              </w:rPr>
              <w:t>结算</w:t>
            </w:r>
            <w:r>
              <w:rPr>
                <w:rFonts w:hint="eastAsia" w:eastAsia="宋体"/>
                <w:kern w:val="2"/>
                <w:sz w:val="24"/>
                <w:lang w:val="en-US" w:eastAsia="zh-CN"/>
              </w:rPr>
              <w:t>资料</w:t>
            </w:r>
          </w:p>
        </w:tc>
        <w:tc>
          <w:tcPr>
            <w:tcW w:w="734" w:type="dxa"/>
            <w:noWrap w:val="0"/>
            <w:vAlign w:val="center"/>
          </w:tcPr>
          <w:p w14:paraId="306B2F78">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noWrap w:val="0"/>
            <w:vAlign w:val="center"/>
          </w:tcPr>
          <w:p w14:paraId="27066D81">
            <w:pPr>
              <w:spacing w:line="440" w:lineRule="atLeast"/>
              <w:jc w:val="center"/>
              <w:rPr>
                <w:rFonts w:hint="eastAsia" w:eastAsia="宋体"/>
                <w:kern w:val="2"/>
                <w:sz w:val="24"/>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lang w:val="en-US" w:eastAsia="zh-CN"/>
              </w:rPr>
            </w:pPr>
          </w:p>
        </w:tc>
        <w:tc>
          <w:tcPr>
            <w:tcW w:w="495" w:type="dxa"/>
            <w:noWrap w:val="0"/>
            <w:vAlign w:val="center"/>
          </w:tcPr>
          <w:p w14:paraId="637CCF18">
            <w:pPr>
              <w:spacing w:line="440" w:lineRule="atLeast"/>
              <w:jc w:val="center"/>
              <w:rPr>
                <w:rFonts w:hint="default"/>
                <w:sz w:val="24"/>
                <w:lang w:val="en-US" w:eastAsia="zh-CN"/>
              </w:rPr>
            </w:pPr>
            <w:r>
              <w:rPr>
                <w:rFonts w:hint="eastAsia"/>
                <w:sz w:val="24"/>
                <w:lang w:val="en-US" w:eastAsia="zh-CN"/>
              </w:rPr>
              <w:t>13</w:t>
            </w:r>
          </w:p>
        </w:tc>
        <w:tc>
          <w:tcPr>
            <w:tcW w:w="4263" w:type="dxa"/>
            <w:gridSpan w:val="2"/>
            <w:noWrap w:val="0"/>
            <w:vAlign w:val="center"/>
          </w:tcPr>
          <w:p w14:paraId="6894B3E4">
            <w:pPr>
              <w:spacing w:line="440" w:lineRule="atLeast"/>
              <w:rPr>
                <w:rFonts w:hint="default" w:eastAsia="宋体"/>
                <w:kern w:val="2"/>
                <w:sz w:val="24"/>
                <w:lang w:val="en-US" w:eastAsia="zh-CN"/>
              </w:rPr>
            </w:pPr>
            <w:r>
              <w:rPr>
                <w:rFonts w:hint="eastAsia"/>
                <w:kern w:val="2"/>
                <w:sz w:val="24"/>
                <w:lang w:val="en-US" w:eastAsia="zh-CN"/>
              </w:rPr>
              <w:t>其他相关资料</w:t>
            </w:r>
          </w:p>
        </w:tc>
        <w:tc>
          <w:tcPr>
            <w:tcW w:w="734" w:type="dxa"/>
            <w:noWrap w:val="0"/>
            <w:vAlign w:val="center"/>
          </w:tcPr>
          <w:p w14:paraId="4723C718">
            <w:pPr>
              <w:spacing w:line="440" w:lineRule="atLeast"/>
              <w:jc w:val="center"/>
              <w:rPr>
                <w:rFonts w:hint="default" w:eastAsia="宋体"/>
                <w:kern w:val="2"/>
                <w:sz w:val="24"/>
                <w:lang w:val="en-US" w:eastAsia="zh-CN"/>
              </w:rPr>
            </w:pPr>
          </w:p>
        </w:tc>
        <w:tc>
          <w:tcPr>
            <w:tcW w:w="2643" w:type="dxa"/>
            <w:noWrap w:val="0"/>
            <w:vAlign w:val="center"/>
          </w:tcPr>
          <w:p w14:paraId="3F8A44A2">
            <w:pPr>
              <w:spacing w:line="440" w:lineRule="atLeast"/>
              <w:jc w:val="center"/>
              <w:rPr>
                <w:rFonts w:hint="eastAsia" w:eastAsia="宋体"/>
                <w:kern w:val="2"/>
                <w:sz w:val="24"/>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lang w:val="en-US" w:eastAsia="zh-CN"/>
              </w:rPr>
            </w:pPr>
          </w:p>
        </w:tc>
        <w:tc>
          <w:tcPr>
            <w:tcW w:w="495" w:type="dxa"/>
            <w:noWrap w:val="0"/>
            <w:vAlign w:val="center"/>
          </w:tcPr>
          <w:p w14:paraId="05625A38">
            <w:pPr>
              <w:spacing w:line="440" w:lineRule="atLeast"/>
              <w:jc w:val="center"/>
              <w:rPr>
                <w:rFonts w:hint="default" w:eastAsia="宋体"/>
                <w:kern w:val="2"/>
                <w:sz w:val="24"/>
                <w:lang w:val="en-US" w:eastAsia="zh-CN"/>
              </w:rPr>
            </w:pPr>
          </w:p>
        </w:tc>
        <w:tc>
          <w:tcPr>
            <w:tcW w:w="4263" w:type="dxa"/>
            <w:gridSpan w:val="2"/>
            <w:noWrap w:val="0"/>
            <w:vAlign w:val="center"/>
          </w:tcPr>
          <w:p w14:paraId="5087707A">
            <w:pPr>
              <w:spacing w:line="440" w:lineRule="atLeast"/>
              <w:rPr>
                <w:rFonts w:hint="eastAsia" w:eastAsia="宋体"/>
                <w:kern w:val="2"/>
                <w:sz w:val="24"/>
                <w:lang w:val="en-US" w:eastAsia="zh-CN"/>
              </w:rPr>
            </w:pPr>
          </w:p>
        </w:tc>
        <w:tc>
          <w:tcPr>
            <w:tcW w:w="734" w:type="dxa"/>
            <w:noWrap w:val="0"/>
            <w:vAlign w:val="center"/>
          </w:tcPr>
          <w:p w14:paraId="72AF970F">
            <w:pPr>
              <w:spacing w:line="440" w:lineRule="atLeast"/>
              <w:jc w:val="center"/>
              <w:rPr>
                <w:rFonts w:hint="eastAsia" w:eastAsia="宋体"/>
                <w:kern w:val="2"/>
                <w:sz w:val="24"/>
                <w:lang w:val="en-US" w:eastAsia="zh-CN"/>
              </w:rPr>
            </w:pPr>
          </w:p>
        </w:tc>
        <w:tc>
          <w:tcPr>
            <w:tcW w:w="2643" w:type="dxa"/>
            <w:noWrap w:val="0"/>
            <w:vAlign w:val="center"/>
          </w:tcPr>
          <w:p w14:paraId="5A1FCF3D">
            <w:pPr>
              <w:spacing w:line="440" w:lineRule="atLeast"/>
              <w:jc w:val="center"/>
              <w:rPr>
                <w:rFonts w:hint="eastAsia" w:eastAsia="宋体"/>
                <w:kern w:val="2"/>
                <w:sz w:val="24"/>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lang w:val="en-US" w:eastAsia="zh-CN"/>
              </w:rPr>
            </w:pPr>
            <w:r>
              <w:rPr>
                <w:rFonts w:hint="eastAsia"/>
                <w:sz w:val="24"/>
                <w:lang w:val="en-US" w:eastAsia="zh-CN"/>
              </w:rPr>
              <w:t>14</w:t>
            </w:r>
          </w:p>
        </w:tc>
        <w:tc>
          <w:tcPr>
            <w:tcW w:w="1681" w:type="dxa"/>
            <w:vMerge w:val="restart"/>
            <w:noWrap w:val="0"/>
            <w:vAlign w:val="center"/>
          </w:tcPr>
          <w:p w14:paraId="49044026">
            <w:pPr>
              <w:spacing w:line="440" w:lineRule="atLeast"/>
              <w:jc w:val="center"/>
              <w:rPr>
                <w:rFonts w:hint="eastAsia"/>
                <w:sz w:val="24"/>
              </w:rPr>
            </w:pPr>
            <w:r>
              <w:rPr>
                <w:rFonts w:hint="eastAsia"/>
                <w:sz w:val="24"/>
              </w:rPr>
              <w:t>总结意见</w:t>
            </w:r>
          </w:p>
        </w:tc>
        <w:tc>
          <w:tcPr>
            <w:tcW w:w="2582" w:type="dxa"/>
            <w:noWrap w:val="0"/>
            <w:vAlign w:val="center"/>
          </w:tcPr>
          <w:p w14:paraId="3829687E">
            <w:pPr>
              <w:spacing w:line="440" w:lineRule="atLeast"/>
              <w:jc w:val="center"/>
              <w:rPr>
                <w:rFonts w:hint="eastAsia"/>
                <w:sz w:val="24"/>
              </w:rPr>
            </w:pPr>
            <w:r>
              <w:rPr>
                <w:rFonts w:hint="eastAsia"/>
                <w:sz w:val="24"/>
              </w:rPr>
              <w:t>个人</w:t>
            </w:r>
          </w:p>
        </w:tc>
        <w:tc>
          <w:tcPr>
            <w:tcW w:w="734" w:type="dxa"/>
            <w:noWrap w:val="0"/>
            <w:vAlign w:val="center"/>
          </w:tcPr>
          <w:p w14:paraId="7732E610">
            <w:pPr>
              <w:spacing w:line="240" w:lineRule="auto"/>
              <w:jc w:val="center"/>
              <w:rPr>
                <w:rFonts w:hint="eastAsia"/>
                <w:sz w:val="24"/>
              </w:rPr>
            </w:pPr>
          </w:p>
        </w:tc>
        <w:tc>
          <w:tcPr>
            <w:tcW w:w="2643" w:type="dxa"/>
            <w:noWrap w:val="0"/>
            <w:vAlign w:val="center"/>
          </w:tcPr>
          <w:p w14:paraId="2FBC5917">
            <w:pPr>
              <w:spacing w:line="440" w:lineRule="atLeast"/>
              <w:jc w:val="center"/>
              <w:rPr>
                <w:rFonts w:hint="eastAsia"/>
                <w:sz w:val="24"/>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rPr>
            </w:pPr>
          </w:p>
        </w:tc>
        <w:tc>
          <w:tcPr>
            <w:tcW w:w="1681" w:type="dxa"/>
            <w:vMerge w:val="continue"/>
            <w:noWrap w:val="0"/>
            <w:vAlign w:val="center"/>
          </w:tcPr>
          <w:p w14:paraId="201D8E8F">
            <w:pPr>
              <w:spacing w:line="440" w:lineRule="atLeast"/>
              <w:jc w:val="center"/>
              <w:rPr>
                <w:rFonts w:hint="eastAsia"/>
                <w:sz w:val="24"/>
              </w:rPr>
            </w:pPr>
          </w:p>
        </w:tc>
        <w:tc>
          <w:tcPr>
            <w:tcW w:w="2582" w:type="dxa"/>
            <w:noWrap w:val="0"/>
            <w:vAlign w:val="center"/>
          </w:tcPr>
          <w:p w14:paraId="77EED6F4">
            <w:pPr>
              <w:spacing w:line="440" w:lineRule="atLeast"/>
              <w:jc w:val="center"/>
              <w:rPr>
                <w:rFonts w:hint="eastAsia"/>
                <w:sz w:val="24"/>
              </w:rPr>
            </w:pPr>
            <w:r>
              <w:rPr>
                <w:rFonts w:hint="eastAsia"/>
                <w:sz w:val="24"/>
              </w:rPr>
              <w:t>部门</w:t>
            </w:r>
          </w:p>
        </w:tc>
        <w:tc>
          <w:tcPr>
            <w:tcW w:w="734" w:type="dxa"/>
            <w:noWrap w:val="0"/>
            <w:vAlign w:val="center"/>
          </w:tcPr>
          <w:p w14:paraId="25B5B967">
            <w:pPr>
              <w:spacing w:line="440" w:lineRule="atLeast"/>
              <w:jc w:val="center"/>
              <w:rPr>
                <w:rFonts w:hint="eastAsia"/>
                <w:sz w:val="24"/>
              </w:rPr>
            </w:pPr>
          </w:p>
        </w:tc>
        <w:tc>
          <w:tcPr>
            <w:tcW w:w="2643" w:type="dxa"/>
            <w:noWrap w:val="0"/>
            <w:vAlign w:val="center"/>
          </w:tcPr>
          <w:p w14:paraId="29C5EED8">
            <w:pPr>
              <w:spacing w:line="440" w:lineRule="atLeast"/>
              <w:jc w:val="center"/>
              <w:rPr>
                <w:rFonts w:hint="eastAsia"/>
                <w:sz w:val="24"/>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159"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159"/>
    </w:p>
    <w:p w14:paraId="7EFFD12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保证</w:t>
      </w:r>
      <w:r>
        <w:rPr>
          <w:rFonts w:hint="default" w:ascii="宋体" w:hAnsi="宋体" w:cs="宋体"/>
          <w:sz w:val="24"/>
          <w:szCs w:val="24"/>
          <w:highlight w:val="none"/>
          <w:u w:val="none"/>
          <w:lang w:val="en-US" w:eastAsia="zh-CN"/>
        </w:rPr>
        <w:t>责任</w:t>
      </w:r>
      <w:r>
        <w:rPr>
          <w:rFonts w:hint="eastAsia" w:ascii="宋体" w:hAnsi="宋体" w:cs="宋体"/>
          <w:sz w:val="24"/>
          <w:szCs w:val="24"/>
          <w:highlight w:val="none"/>
          <w:u w:val="none"/>
          <w:lang w:val="en-US" w:eastAsia="zh-CN"/>
        </w:rPr>
        <w:t>，保证期间为三年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2"/>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2"/>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2"/>
        <w:shd w:val="clear"/>
        <w:rPr>
          <w:rFonts w:hint="eastAsia"/>
          <w:color w:val="auto"/>
          <w:highlight w:val="none"/>
          <w:lang w:val="en-US" w:eastAsia="zh-CN"/>
        </w:rPr>
      </w:pPr>
    </w:p>
    <w:p w14:paraId="2A030237">
      <w:pPr>
        <w:pStyle w:val="2"/>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E88AC0F">
      <w:pPr>
        <w:pStyle w:val="2"/>
        <w:rPr>
          <w:rFonts w:hint="eastAsia" w:ascii="仿宋" w:hAnsi="仿宋" w:eastAsia="仿宋" w:cs="仿宋"/>
          <w:sz w:val="28"/>
          <w:szCs w:val="28"/>
          <w:highlight w:val="none"/>
          <w:lang w:val="en-US" w:eastAsia="zh-CN"/>
        </w:rPr>
      </w:pPr>
    </w:p>
    <w:p w14:paraId="07215004">
      <w:pPr>
        <w:pStyle w:val="2"/>
        <w:rPr>
          <w:rFonts w:hint="eastAsia" w:ascii="仿宋" w:hAnsi="仿宋" w:eastAsia="仿宋" w:cs="仿宋"/>
          <w:sz w:val="28"/>
          <w:szCs w:val="28"/>
          <w:highlight w:val="none"/>
          <w:lang w:val="en-US" w:eastAsia="zh-CN"/>
        </w:rPr>
      </w:pPr>
    </w:p>
    <w:p w14:paraId="06750D2E">
      <w:pPr>
        <w:pStyle w:val="2"/>
        <w:rPr>
          <w:rFonts w:hint="eastAsia" w:ascii="仿宋" w:hAnsi="仿宋" w:eastAsia="仿宋" w:cs="仿宋"/>
          <w:sz w:val="28"/>
          <w:szCs w:val="28"/>
          <w:highlight w:val="none"/>
          <w:lang w:val="en-US" w:eastAsia="zh-CN"/>
        </w:rPr>
      </w:pPr>
    </w:p>
    <w:p w14:paraId="61411E68">
      <w:pPr>
        <w:pStyle w:val="2"/>
        <w:rPr>
          <w:rFonts w:hint="eastAsia" w:ascii="仿宋" w:hAnsi="仿宋" w:eastAsia="仿宋" w:cs="仿宋"/>
          <w:sz w:val="28"/>
          <w:szCs w:val="28"/>
          <w:highlight w:val="none"/>
          <w:lang w:val="en-US" w:eastAsia="zh-CN"/>
        </w:rPr>
      </w:pPr>
    </w:p>
    <w:p w14:paraId="12112551">
      <w:pPr>
        <w:pStyle w:val="2"/>
        <w:rPr>
          <w:rFonts w:hint="eastAsia" w:ascii="仿宋" w:hAnsi="仿宋" w:eastAsia="仿宋" w:cs="仿宋"/>
          <w:sz w:val="28"/>
          <w:szCs w:val="28"/>
          <w:highlight w:val="none"/>
          <w:lang w:val="en-US" w:eastAsia="zh-CN"/>
        </w:rPr>
      </w:pPr>
    </w:p>
    <w:p w14:paraId="19E23BCC">
      <w:pPr>
        <w:pStyle w:val="2"/>
        <w:rPr>
          <w:rFonts w:hint="eastAsia" w:ascii="仿宋" w:hAnsi="仿宋" w:eastAsia="仿宋" w:cs="仿宋"/>
          <w:sz w:val="28"/>
          <w:szCs w:val="28"/>
          <w:highlight w:val="none"/>
          <w:lang w:val="en-US" w:eastAsia="zh-CN"/>
        </w:rPr>
      </w:pPr>
    </w:p>
    <w:p w14:paraId="00568FFB">
      <w:pPr>
        <w:pStyle w:val="2"/>
        <w:rPr>
          <w:rFonts w:hint="eastAsia" w:ascii="仿宋" w:hAnsi="仿宋" w:eastAsia="仿宋" w:cs="仿宋"/>
          <w:sz w:val="28"/>
          <w:szCs w:val="28"/>
          <w:highlight w:val="none"/>
          <w:lang w:val="en-US" w:eastAsia="zh-CN"/>
        </w:rPr>
      </w:pPr>
    </w:p>
    <w:p w14:paraId="2271D199">
      <w:pPr>
        <w:pStyle w:val="2"/>
        <w:rPr>
          <w:rFonts w:hint="eastAsia" w:ascii="仿宋" w:hAnsi="仿宋" w:eastAsia="仿宋" w:cs="仿宋"/>
          <w:sz w:val="28"/>
          <w:szCs w:val="28"/>
          <w:highlight w:val="none"/>
          <w:lang w:val="en-US" w:eastAsia="zh-CN"/>
        </w:rPr>
      </w:pPr>
    </w:p>
    <w:p w14:paraId="7BDDEEB2">
      <w:pPr>
        <w:pStyle w:val="2"/>
        <w:rPr>
          <w:rFonts w:hint="eastAsia" w:ascii="仿宋" w:hAnsi="仿宋" w:eastAsia="仿宋" w:cs="仿宋"/>
          <w:sz w:val="28"/>
          <w:szCs w:val="28"/>
          <w:highlight w:val="none"/>
          <w:lang w:val="en-US" w:eastAsia="zh-CN"/>
        </w:rPr>
      </w:pPr>
    </w:p>
    <w:p w14:paraId="6470FF7B">
      <w:pPr>
        <w:pStyle w:val="2"/>
        <w:rPr>
          <w:rFonts w:hint="eastAsia" w:ascii="仿宋" w:hAnsi="仿宋" w:eastAsia="仿宋" w:cs="仿宋"/>
          <w:sz w:val="28"/>
          <w:szCs w:val="28"/>
          <w:highlight w:val="none"/>
          <w:lang w:val="en-US" w:eastAsia="zh-CN"/>
        </w:rPr>
      </w:pPr>
    </w:p>
    <w:p w14:paraId="0B2CB955">
      <w:pPr>
        <w:pStyle w:val="2"/>
        <w:rPr>
          <w:rFonts w:hint="eastAsia" w:ascii="仿宋" w:hAnsi="仿宋" w:eastAsia="仿宋" w:cs="仿宋"/>
          <w:sz w:val="28"/>
          <w:szCs w:val="28"/>
          <w:highlight w:val="none"/>
          <w:lang w:val="en-US" w:eastAsia="zh-CN"/>
        </w:rPr>
      </w:pPr>
    </w:p>
    <w:p w14:paraId="721826BD">
      <w:pPr>
        <w:pStyle w:val="2"/>
        <w:rPr>
          <w:rFonts w:hint="eastAsia" w:ascii="仿宋" w:hAnsi="仿宋" w:eastAsia="仿宋" w:cs="仿宋"/>
          <w:sz w:val="28"/>
          <w:szCs w:val="28"/>
          <w:highlight w:val="none"/>
          <w:lang w:val="en-US" w:eastAsia="zh-CN"/>
        </w:rPr>
      </w:pPr>
    </w:p>
    <w:p w14:paraId="4798E5EA">
      <w:pPr>
        <w:pStyle w:val="2"/>
        <w:rPr>
          <w:rFonts w:hint="eastAsia" w:ascii="仿宋" w:hAnsi="仿宋" w:eastAsia="仿宋" w:cs="仿宋"/>
          <w:sz w:val="28"/>
          <w:szCs w:val="28"/>
          <w:highlight w:val="none"/>
          <w:lang w:val="en-US" w:eastAsia="zh-CN"/>
        </w:rPr>
      </w:pPr>
    </w:p>
    <w:p w14:paraId="1E36F9DB">
      <w:pPr>
        <w:pStyle w:val="6"/>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firstLine="4417" w:firstLineChars="1100"/>
        <w:textAlignment w:val="baseline"/>
        <w:outlineLvl w:val="0"/>
        <w:rPr>
          <w:rFonts w:hint="eastAsia" w:ascii="宋体" w:hAnsi="宋体" w:eastAsia="宋体" w:cs="宋体"/>
          <w:b/>
          <w:bCs/>
          <w:spacing w:val="5"/>
          <w:sz w:val="31"/>
          <w:szCs w:val="31"/>
        </w:rPr>
      </w:pPr>
      <w:r>
        <w:rPr>
          <w:rFonts w:hint="eastAsia" w:ascii="仿宋" w:hAnsi="仿宋" w:eastAsia="仿宋" w:cs="仿宋"/>
          <w:b/>
          <w:bCs w:val="0"/>
          <w:color w:val="auto"/>
          <w:sz w:val="40"/>
          <w:szCs w:val="40"/>
          <w:highlight w:val="none"/>
          <w:shd w:val="clear" w:color="auto" w:fill="auto"/>
          <w:lang w:val="en-US" w:eastAsia="zh-CN"/>
        </w:rPr>
        <w:t>附件十三</w:t>
      </w:r>
    </w:p>
    <w:p w14:paraId="5A55EAC5">
      <w:pPr>
        <w:pStyle w:val="6"/>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textAlignment w:val="baseline"/>
        <w:outlineLvl w:val="0"/>
        <w:rPr>
          <w:rFonts w:hint="eastAsia" w:ascii="宋体" w:hAnsi="宋体" w:eastAsia="宋体" w:cs="宋体"/>
          <w:sz w:val="31"/>
          <w:szCs w:val="31"/>
        </w:rPr>
      </w:pPr>
      <w:r>
        <w:rPr>
          <w:rFonts w:hint="eastAsia" w:ascii="宋体" w:hAnsi="宋体" w:eastAsia="宋体" w:cs="宋体"/>
          <w:b/>
          <w:bCs/>
          <w:spacing w:val="5"/>
          <w:sz w:val="31"/>
          <w:szCs w:val="31"/>
        </w:rPr>
        <w:t>结算竣工图承诺书</w:t>
      </w:r>
    </w:p>
    <w:p w14:paraId="13DED9E6">
      <w:pPr>
        <w:pStyle w:val="6"/>
        <w:keepNext w:val="0"/>
        <w:keepLines w:val="0"/>
        <w:pageBreakBefore w:val="0"/>
        <w:widowControl/>
        <w:kinsoku w:val="0"/>
        <w:wordWrap/>
        <w:overflowPunct/>
        <w:topLinePunct w:val="0"/>
        <w:autoSpaceDE w:val="0"/>
        <w:autoSpaceDN w:val="0"/>
        <w:bidi w:val="0"/>
        <w:adjustRightInd w:val="0"/>
        <w:snapToGrid w:val="0"/>
        <w:spacing w:before="195" w:line="360" w:lineRule="auto"/>
        <w:textAlignment w:val="baseline"/>
        <w:rPr>
          <w:rFonts w:hint="eastAsia" w:ascii="宋体" w:hAnsi="宋体" w:eastAsia="宋体" w:cs="宋体"/>
          <w:sz w:val="24"/>
          <w:szCs w:val="24"/>
        </w:rPr>
      </w:pPr>
      <w:r>
        <w:rPr>
          <w:rFonts w:hint="eastAsia" w:ascii="宋体" w:hAnsi="宋体" w:eastAsia="宋体" w:cs="宋体"/>
          <w:spacing w:val="-4"/>
          <w:sz w:val="24"/>
          <w:szCs w:val="24"/>
        </w:rPr>
        <w:t>致：东莞市中泰建安工程有限公司（以下简称“</w:t>
      </w:r>
      <w:r>
        <w:rPr>
          <w:rFonts w:hint="eastAsia" w:ascii="宋体" w:hAnsi="宋体" w:eastAsia="宋体" w:cs="宋体"/>
          <w:spacing w:val="-87"/>
          <w:sz w:val="24"/>
          <w:szCs w:val="24"/>
        </w:rPr>
        <w:t xml:space="preserve"> </w:t>
      </w:r>
      <w:r>
        <w:rPr>
          <w:rFonts w:hint="eastAsia" w:ascii="宋体" w:hAnsi="宋体" w:eastAsia="宋体" w:cs="宋体"/>
          <w:spacing w:val="-4"/>
          <w:sz w:val="24"/>
          <w:szCs w:val="24"/>
        </w:rPr>
        <w:t>甲方</w:t>
      </w:r>
      <w:r>
        <w:rPr>
          <w:rFonts w:hint="eastAsia" w:ascii="宋体" w:hAnsi="宋体" w:eastAsia="宋体" w:cs="宋体"/>
          <w:spacing w:val="-105"/>
          <w:sz w:val="24"/>
          <w:szCs w:val="24"/>
        </w:rPr>
        <w:t xml:space="preserve"> </w:t>
      </w:r>
      <w:r>
        <w:rPr>
          <w:rFonts w:hint="eastAsia" w:ascii="宋体" w:hAnsi="宋体" w:eastAsia="宋体" w:cs="宋体"/>
          <w:spacing w:val="-4"/>
          <w:sz w:val="24"/>
          <w:szCs w:val="24"/>
        </w:rPr>
        <w:t>”）</w:t>
      </w:r>
    </w:p>
    <w:p w14:paraId="7C4D1CE6">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left="3" w:right="99" w:firstLine="558"/>
        <w:jc w:val="left"/>
        <w:textAlignment w:val="baseline"/>
        <w:rPr>
          <w:rFonts w:hint="eastAsia" w:ascii="宋体" w:hAnsi="宋体" w:eastAsia="宋体" w:cs="宋体"/>
          <w:sz w:val="24"/>
          <w:szCs w:val="24"/>
        </w:rPr>
      </w:pPr>
      <w:r>
        <w:rPr>
          <w:rFonts w:hint="eastAsia" w:ascii="宋体" w:hAnsi="宋体" w:eastAsia="宋体" w:cs="宋体"/>
          <w:spacing w:val="-12"/>
          <w:sz w:val="24"/>
          <w:szCs w:val="24"/>
        </w:rPr>
        <w:t>我公司承接的</w:t>
      </w:r>
      <w:r>
        <w:rPr>
          <w:rFonts w:hint="eastAsia" w:ascii="宋体" w:hAnsi="宋体" w:eastAsia="宋体" w:cs="宋体"/>
          <w:spacing w:val="-12"/>
          <w:sz w:val="24"/>
          <w:szCs w:val="24"/>
          <w:u w:val="single" w:color="auto"/>
        </w:rPr>
        <w:t xml:space="preserve">  ×</w:t>
      </w:r>
      <w:r>
        <w:rPr>
          <w:rFonts w:hint="eastAsia" w:ascii="宋体" w:hAnsi="宋体" w:eastAsia="宋体" w:cs="宋体"/>
          <w:spacing w:val="-75"/>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40"/>
          <w:sz w:val="24"/>
          <w:szCs w:val="24"/>
          <w:u w:val="single" w:color="auto"/>
        </w:rPr>
        <w:t xml:space="preserve"> </w:t>
      </w:r>
      <w:r>
        <w:rPr>
          <w:rFonts w:hint="eastAsia" w:ascii="宋体" w:hAnsi="宋体" w:eastAsia="宋体" w:cs="宋体"/>
          <w:spacing w:val="-124"/>
          <w:sz w:val="24"/>
          <w:szCs w:val="24"/>
        </w:rPr>
        <w:t xml:space="preserve"> </w:t>
      </w:r>
      <w:r>
        <w:rPr>
          <w:rFonts w:hint="eastAsia" w:ascii="宋体" w:hAnsi="宋体" w:eastAsia="宋体" w:cs="宋体"/>
          <w:spacing w:val="-12"/>
          <w:sz w:val="24"/>
          <w:szCs w:val="24"/>
        </w:rPr>
        <w:t>项目</w:t>
      </w:r>
      <w:r>
        <w:rPr>
          <w:rFonts w:hint="eastAsia" w:ascii="宋体" w:hAnsi="宋体" w:eastAsia="宋体" w:cs="宋体"/>
          <w:spacing w:val="24"/>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38"/>
          <w:sz w:val="24"/>
          <w:szCs w:val="24"/>
          <w:u w:val="single" w:color="auto"/>
        </w:rPr>
        <w:t xml:space="preserve"> </w:t>
      </w:r>
      <w:r>
        <w:rPr>
          <w:rFonts w:hint="eastAsia" w:ascii="宋体" w:hAnsi="宋体" w:eastAsia="宋体" w:cs="宋体"/>
          <w:spacing w:val="-125"/>
          <w:sz w:val="24"/>
          <w:szCs w:val="24"/>
        </w:rPr>
        <w:t xml:space="preserve"> </w:t>
      </w:r>
      <w:r>
        <w:rPr>
          <w:rFonts w:hint="eastAsia" w:ascii="宋体" w:hAnsi="宋体" w:eastAsia="宋体" w:cs="宋体"/>
          <w:spacing w:val="-12"/>
          <w:sz w:val="24"/>
          <w:szCs w:val="24"/>
        </w:rPr>
        <w:t>分项工程已完成，现按照甲方</w:t>
      </w:r>
      <w:r>
        <w:rPr>
          <w:rFonts w:hint="eastAsia" w:ascii="宋体" w:hAnsi="宋体" w:eastAsia="宋体" w:cs="宋体"/>
          <w:sz w:val="24"/>
          <w:szCs w:val="24"/>
        </w:rPr>
        <w:t xml:space="preserve"> </w:t>
      </w:r>
      <w:r>
        <w:rPr>
          <w:rFonts w:hint="eastAsia" w:ascii="宋体" w:hAnsi="宋体" w:eastAsia="宋体" w:cs="宋体"/>
          <w:spacing w:val="-2"/>
          <w:sz w:val="24"/>
          <w:szCs w:val="24"/>
        </w:rPr>
        <w:t>工程竣工图编制计划表（详见附件）的时间要求及合同责任范围汇编、提交</w:t>
      </w:r>
      <w:r>
        <w:rPr>
          <w:rFonts w:hint="eastAsia" w:ascii="宋体" w:hAnsi="宋体" w:eastAsia="宋体" w:cs="宋体"/>
          <w:spacing w:val="5"/>
          <w:sz w:val="24"/>
          <w:szCs w:val="24"/>
        </w:rPr>
        <w:t xml:space="preserve"> </w:t>
      </w:r>
      <w:r>
        <w:rPr>
          <w:rFonts w:hint="eastAsia" w:ascii="宋体" w:hAnsi="宋体" w:eastAsia="宋体" w:cs="宋体"/>
          <w:spacing w:val="-1"/>
          <w:sz w:val="24"/>
          <w:szCs w:val="24"/>
        </w:rPr>
        <w:t>结算竣工图相关工作，我公司作如下郑重承诺：</w:t>
      </w:r>
    </w:p>
    <w:p w14:paraId="62450D8B">
      <w:pPr>
        <w:pStyle w:val="6"/>
        <w:keepNext w:val="0"/>
        <w:keepLines w:val="0"/>
        <w:pageBreakBefore w:val="0"/>
        <w:widowControl/>
        <w:kinsoku w:val="0"/>
        <w:wordWrap/>
        <w:overflowPunct/>
        <w:topLinePunct w:val="0"/>
        <w:autoSpaceDE w:val="0"/>
        <w:autoSpaceDN w:val="0"/>
        <w:bidi w:val="0"/>
        <w:adjustRightInd w:val="0"/>
        <w:snapToGrid w:val="0"/>
        <w:spacing w:before="40" w:line="360" w:lineRule="auto"/>
        <w:ind w:left="4"/>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一、</w:t>
      </w:r>
      <w:r>
        <w:rPr>
          <w:rFonts w:hint="eastAsia" w:ascii="宋体" w:hAnsi="宋体" w:eastAsia="宋体" w:cs="宋体"/>
          <w:b/>
          <w:bCs/>
          <w:spacing w:val="-3"/>
          <w:sz w:val="24"/>
          <w:szCs w:val="24"/>
        </w:rPr>
        <w:t>承诺配合甲方结算竣工图审核工作</w:t>
      </w:r>
    </w:p>
    <w:p w14:paraId="5A32C4FA">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left="1" w:right="99" w:firstLine="19"/>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1、甲方或建设方等单位对本结算竣工图审核过程中</w:t>
      </w:r>
      <w:r>
        <w:rPr>
          <w:rFonts w:hint="eastAsia" w:ascii="宋体" w:hAnsi="宋体" w:eastAsia="宋体" w:cs="宋体"/>
          <w:spacing w:val="-3"/>
          <w:sz w:val="24"/>
          <w:szCs w:val="24"/>
        </w:rPr>
        <w:t>，我公司将积极配合甲</w:t>
      </w:r>
      <w:r>
        <w:rPr>
          <w:rFonts w:hint="eastAsia" w:ascii="宋体" w:hAnsi="宋体" w:eastAsia="宋体" w:cs="宋体"/>
          <w:spacing w:val="-1"/>
          <w:sz w:val="24"/>
          <w:szCs w:val="24"/>
        </w:rPr>
        <w:t>方或建设方等审核人员工作，确保审核工作的顺利进行。</w:t>
      </w:r>
    </w:p>
    <w:p w14:paraId="42E08CE2">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ind w:left="3" w:right="99"/>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2、我公司将及时组织核对、修正甲方或建设方等审查意见稿，并于收到意</w:t>
      </w:r>
      <w:r>
        <w:rPr>
          <w:rFonts w:hint="eastAsia" w:ascii="宋体" w:hAnsi="宋体" w:eastAsia="宋体" w:cs="宋体"/>
          <w:spacing w:val="-3"/>
          <w:sz w:val="24"/>
          <w:szCs w:val="24"/>
        </w:rPr>
        <w:t>见稿之日起</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2</w:t>
      </w:r>
      <w:r>
        <w:rPr>
          <w:rFonts w:hint="eastAsia" w:ascii="宋体" w:hAnsi="宋体" w:eastAsia="宋体" w:cs="宋体"/>
          <w:spacing w:val="-58"/>
          <w:sz w:val="24"/>
          <w:szCs w:val="24"/>
        </w:rPr>
        <w:t xml:space="preserve"> </w:t>
      </w:r>
      <w:r>
        <w:rPr>
          <w:rFonts w:hint="eastAsia" w:ascii="宋体" w:hAnsi="宋体" w:eastAsia="宋体" w:cs="宋体"/>
          <w:spacing w:val="-3"/>
          <w:sz w:val="24"/>
          <w:szCs w:val="24"/>
        </w:rPr>
        <w:t>个工作日内修正完成（电子版）结算竣工图，并提交甲方项目</w:t>
      </w:r>
      <w:r>
        <w:rPr>
          <w:rFonts w:hint="eastAsia" w:ascii="宋体" w:hAnsi="宋体" w:eastAsia="宋体" w:cs="宋体"/>
          <w:spacing w:val="-4"/>
          <w:sz w:val="24"/>
          <w:szCs w:val="24"/>
        </w:rPr>
        <w:t>部复审。</w:t>
      </w:r>
    </w:p>
    <w:p w14:paraId="0C5EDC27">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right="101" w:firstLine="4"/>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二、</w:t>
      </w:r>
      <w:r>
        <w:rPr>
          <w:rFonts w:hint="eastAsia" w:ascii="宋体" w:hAnsi="宋体" w:eastAsia="宋体" w:cs="宋体"/>
          <w:b/>
          <w:bCs/>
          <w:spacing w:val="-5"/>
          <w:sz w:val="24"/>
          <w:szCs w:val="24"/>
        </w:rPr>
        <w:t>承诺结算竣工图真实、完整并接受因虚报工程量、延期提交结算竣工图</w:t>
      </w:r>
      <w:r>
        <w:rPr>
          <w:rFonts w:hint="eastAsia" w:ascii="宋体" w:hAnsi="宋体" w:eastAsia="宋体" w:cs="宋体"/>
          <w:b/>
          <w:bCs/>
          <w:spacing w:val="-4"/>
          <w:sz w:val="24"/>
          <w:szCs w:val="24"/>
        </w:rPr>
        <w:t>所产生的违约处理</w:t>
      </w:r>
    </w:p>
    <w:p w14:paraId="1F028964">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1、我公司承诺按甲方要求实事求是编汇结算竣工图并按甲方要求提报甲方。</w:t>
      </w:r>
    </w:p>
    <w:p w14:paraId="5814705E">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ind w:left="2" w:right="99" w:firstLine="1"/>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2、我公司承诺结算竣工图内容与现场实际相符，若因我公司提报结算竣工</w:t>
      </w:r>
      <w:r>
        <w:rPr>
          <w:rFonts w:hint="eastAsia" w:ascii="宋体" w:hAnsi="宋体" w:eastAsia="宋体" w:cs="宋体"/>
          <w:spacing w:val="-2"/>
          <w:sz w:val="24"/>
          <w:szCs w:val="24"/>
        </w:rPr>
        <w:t>图内容少于实际发生的施工内容及工程量，我公司自愿放弃该内容及量的结</w:t>
      </w:r>
      <w:r>
        <w:rPr>
          <w:rFonts w:hint="eastAsia" w:ascii="宋体" w:hAnsi="宋体" w:eastAsia="宋体" w:cs="宋体"/>
          <w:spacing w:val="-1"/>
          <w:sz w:val="24"/>
          <w:szCs w:val="24"/>
        </w:rPr>
        <w:t>算，因此导致甲方的损失由我公司承担。</w:t>
      </w:r>
    </w:p>
    <w:p w14:paraId="72258F97">
      <w:pPr>
        <w:pStyle w:val="6"/>
        <w:keepNext w:val="0"/>
        <w:keepLines w:val="0"/>
        <w:pageBreakBefore w:val="0"/>
        <w:widowControl/>
        <w:kinsoku w:val="0"/>
        <w:wordWrap/>
        <w:overflowPunct/>
        <w:topLinePunct w:val="0"/>
        <w:autoSpaceDE w:val="0"/>
        <w:autoSpaceDN w:val="0"/>
        <w:bidi w:val="0"/>
        <w:adjustRightInd w:val="0"/>
        <w:snapToGrid w:val="0"/>
        <w:spacing w:before="184" w:line="360" w:lineRule="auto"/>
        <w:ind w:right="51" w:firstLine="5"/>
        <w:jc w:val="left"/>
        <w:textAlignment w:val="baseline"/>
        <w:rPr>
          <w:rFonts w:hint="eastAsia" w:ascii="宋体" w:hAnsi="宋体" w:eastAsia="宋体" w:cs="宋体"/>
          <w:sz w:val="24"/>
          <w:szCs w:val="24"/>
        </w:rPr>
      </w:pPr>
      <w:r>
        <w:rPr>
          <w:rFonts w:hint="eastAsia" w:ascii="宋体" w:hAnsi="宋体" w:eastAsia="宋体" w:cs="宋体"/>
          <w:color w:val="191F25"/>
          <w:spacing w:val="-5"/>
          <w:sz w:val="24"/>
          <w:szCs w:val="24"/>
        </w:rPr>
        <w:t>3、我公司承诺提报的结算竣工图内容大于实际发生的施工内容及工程量，我</w:t>
      </w:r>
      <w:r>
        <w:rPr>
          <w:rFonts w:hint="eastAsia" w:ascii="宋体" w:hAnsi="宋体" w:eastAsia="宋体" w:cs="宋体"/>
          <w:color w:val="191F25"/>
          <w:sz w:val="24"/>
          <w:szCs w:val="24"/>
        </w:rPr>
        <w:t>公司自愿按超出施工内容及工程造价的200%承担违约</w:t>
      </w:r>
      <w:r>
        <w:rPr>
          <w:rFonts w:hint="eastAsia" w:ascii="宋体" w:hAnsi="宋体" w:eastAsia="宋体" w:cs="宋体"/>
          <w:color w:val="191F25"/>
          <w:spacing w:val="-1"/>
          <w:sz w:val="24"/>
          <w:szCs w:val="24"/>
        </w:rPr>
        <w:t>金，由甲方在我公司旗</w:t>
      </w:r>
      <w:r>
        <w:rPr>
          <w:rFonts w:hint="eastAsia" w:ascii="宋体" w:hAnsi="宋体" w:eastAsia="宋体" w:cs="宋体"/>
          <w:color w:val="191F25"/>
          <w:sz w:val="24"/>
          <w:szCs w:val="24"/>
        </w:rPr>
        <w:t>下任一笔款项中扣除。同时，按甲方要求对结算</w:t>
      </w:r>
      <w:r>
        <w:rPr>
          <w:rFonts w:hint="eastAsia" w:ascii="宋体" w:hAnsi="宋体" w:eastAsia="宋体" w:cs="宋体"/>
          <w:color w:val="191F25"/>
          <w:spacing w:val="-1"/>
          <w:sz w:val="24"/>
          <w:szCs w:val="24"/>
        </w:rPr>
        <w:t>竣工图内容按实际发生进行</w:t>
      </w:r>
      <w:r>
        <w:rPr>
          <w:rFonts w:hint="eastAsia" w:ascii="宋体" w:hAnsi="宋体" w:eastAsia="宋体" w:cs="宋体"/>
          <w:color w:val="191F25"/>
          <w:spacing w:val="-4"/>
          <w:sz w:val="24"/>
          <w:szCs w:val="24"/>
        </w:rPr>
        <w:t>修正。</w:t>
      </w:r>
    </w:p>
    <w:p w14:paraId="2E17FE43">
      <w:pPr>
        <w:pStyle w:val="6"/>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r>
        <w:rPr>
          <w:rFonts w:hint="eastAsia" w:ascii="宋体" w:hAnsi="宋体" w:eastAsia="宋体" w:cs="宋体"/>
          <w:spacing w:val="-5"/>
          <w:sz w:val="24"/>
          <w:szCs w:val="24"/>
          <w:lang w:val="en-US" w:eastAsia="zh-CN"/>
        </w:rPr>
        <w:t>4</w:t>
      </w:r>
      <w:r>
        <w:rPr>
          <w:rFonts w:hint="eastAsia" w:ascii="宋体" w:hAnsi="宋体" w:eastAsia="宋体" w:cs="宋体"/>
          <w:spacing w:val="-5"/>
          <w:sz w:val="24"/>
          <w:szCs w:val="24"/>
        </w:rPr>
        <w:t>、我公司承诺未按甲方要求时间提报合格的竣工图，每延迟提报一天属我公</w:t>
      </w:r>
      <w:r>
        <w:rPr>
          <w:rFonts w:hint="eastAsia" w:ascii="宋体" w:hAnsi="宋体" w:eastAsia="宋体" w:cs="宋体"/>
          <w:sz w:val="24"/>
          <w:szCs w:val="24"/>
        </w:rPr>
        <w:t>司违约，我公司自愿接受本工程竣工图结算顺延一个</w:t>
      </w:r>
      <w:r>
        <w:rPr>
          <w:rFonts w:hint="eastAsia" w:ascii="宋体" w:hAnsi="宋体" w:eastAsia="宋体" w:cs="宋体"/>
          <w:spacing w:val="-1"/>
          <w:sz w:val="24"/>
          <w:szCs w:val="24"/>
        </w:rPr>
        <w:t>月，延迟两天则顺延两</w:t>
      </w:r>
      <w:r>
        <w:rPr>
          <w:rFonts w:hint="eastAsia" w:ascii="宋体" w:hAnsi="宋体" w:eastAsia="宋体" w:cs="宋体"/>
          <w:spacing w:val="-2"/>
          <w:sz w:val="24"/>
          <w:szCs w:val="24"/>
        </w:rPr>
        <w:t>个月，以此类推。</w:t>
      </w:r>
    </w:p>
    <w:p w14:paraId="34428C52">
      <w:pPr>
        <w:pStyle w:val="6"/>
        <w:keepNext w:val="0"/>
        <w:keepLines w:val="0"/>
        <w:pageBreakBefore w:val="0"/>
        <w:widowControl/>
        <w:kinsoku w:val="0"/>
        <w:wordWrap/>
        <w:overflowPunct/>
        <w:topLinePunct w:val="0"/>
        <w:autoSpaceDE w:val="0"/>
        <w:autoSpaceDN w:val="0"/>
        <w:bidi w:val="0"/>
        <w:adjustRightInd w:val="0"/>
        <w:snapToGrid w:val="0"/>
        <w:spacing w:before="180" w:line="360" w:lineRule="auto"/>
        <w:textAlignment w:val="baseline"/>
        <w:outlineLvl w:val="1"/>
        <w:rPr>
          <w:rFonts w:hint="eastAsia" w:ascii="宋体" w:hAnsi="宋体" w:eastAsia="宋体" w:cs="宋体"/>
          <w:sz w:val="24"/>
          <w:szCs w:val="24"/>
        </w:rPr>
      </w:pPr>
      <w:r>
        <w:rPr>
          <w:rFonts w:hint="eastAsia" w:ascii="宋体" w:hAnsi="宋体" w:eastAsia="宋体" w:cs="宋体"/>
          <w:b/>
          <w:bCs/>
          <w:color w:val="191F25"/>
          <w:spacing w:val="-4"/>
          <w:sz w:val="24"/>
          <w:szCs w:val="24"/>
        </w:rPr>
        <w:t>三、担保承诺</w:t>
      </w:r>
    </w:p>
    <w:p w14:paraId="21BEAEA9">
      <w:pPr>
        <w:pStyle w:val="6"/>
        <w:keepNext w:val="0"/>
        <w:keepLines w:val="0"/>
        <w:pageBreakBefore w:val="0"/>
        <w:widowControl/>
        <w:kinsoku w:val="0"/>
        <w:wordWrap/>
        <w:overflowPunct/>
        <w:topLinePunct w:val="0"/>
        <w:autoSpaceDE w:val="0"/>
        <w:autoSpaceDN w:val="0"/>
        <w:bidi w:val="0"/>
        <w:adjustRightInd w:val="0"/>
        <w:snapToGrid w:val="0"/>
        <w:spacing w:before="290" w:line="360" w:lineRule="auto"/>
        <w:ind w:left="12" w:firstLine="2"/>
        <w:jc w:val="both"/>
        <w:textAlignment w:val="baseline"/>
        <w:rPr>
          <w:rFonts w:hint="eastAsia" w:ascii="宋体" w:hAnsi="宋体" w:eastAsia="宋体" w:cs="宋体"/>
          <w:sz w:val="24"/>
          <w:szCs w:val="24"/>
        </w:rPr>
      </w:pPr>
      <w:r>
        <w:rPr>
          <w:rFonts w:hint="eastAsia" w:ascii="宋体" w:hAnsi="宋体" w:eastAsia="宋体" w:cs="宋体"/>
          <w:color w:val="191F25"/>
          <w:spacing w:val="-21"/>
          <w:sz w:val="24"/>
          <w:szCs w:val="24"/>
        </w:rPr>
        <w:t>我司法定代表人</w:t>
      </w:r>
      <w:r>
        <w:rPr>
          <w:rFonts w:hint="eastAsia" w:ascii="宋体" w:hAnsi="宋体" w:eastAsia="宋体" w:cs="宋体"/>
          <w:spacing w:val="26"/>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0"/>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color w:val="191F25"/>
          <w:spacing w:val="-20"/>
          <w:sz w:val="24"/>
          <w:szCs w:val="24"/>
        </w:rPr>
        <w:t>（身份证号：</w:t>
      </w:r>
      <w:r>
        <w:rPr>
          <w:rFonts w:hint="eastAsia" w:ascii="宋体" w:hAnsi="宋体" w:eastAsia="宋体" w:cs="宋体"/>
          <w:spacing w:val="26"/>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40"/>
          <w:sz w:val="24"/>
          <w:szCs w:val="24"/>
          <w:u w:val="single" w:color="auto"/>
        </w:rPr>
        <w:t xml:space="preserve"> </w:t>
      </w:r>
      <w:r>
        <w:rPr>
          <w:rFonts w:hint="eastAsia" w:ascii="宋体" w:hAnsi="宋体" w:eastAsia="宋体" w:cs="宋体"/>
          <w:color w:val="191F25"/>
          <w:spacing w:val="-20"/>
          <w:sz w:val="24"/>
          <w:szCs w:val="24"/>
        </w:rPr>
        <w:t>) 及本人</w:t>
      </w:r>
      <w:r>
        <w:rPr>
          <w:rFonts w:hint="eastAsia" w:ascii="宋体" w:hAnsi="宋体" w:eastAsia="宋体" w:cs="宋体"/>
          <w:spacing w:val="24"/>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color w:val="191F25"/>
          <w:spacing w:val="-20"/>
          <w:sz w:val="24"/>
          <w:szCs w:val="24"/>
        </w:rPr>
        <w:t>（身</w:t>
      </w:r>
      <w:r>
        <w:rPr>
          <w:rFonts w:hint="eastAsia" w:ascii="宋体" w:hAnsi="宋体" w:eastAsia="宋体" w:cs="宋体"/>
          <w:color w:val="191F25"/>
          <w:spacing w:val="-13"/>
          <w:sz w:val="24"/>
          <w:szCs w:val="24"/>
        </w:rPr>
        <w:t>份</w:t>
      </w:r>
      <w:r>
        <w:rPr>
          <w:rFonts w:hint="eastAsia" w:ascii="宋体" w:hAnsi="宋体" w:eastAsia="宋体" w:cs="宋体"/>
          <w:color w:val="191F25"/>
          <w:sz w:val="24"/>
          <w:szCs w:val="24"/>
        </w:rPr>
        <w:t xml:space="preserve"> </w:t>
      </w:r>
      <w:r>
        <w:rPr>
          <w:rFonts w:hint="eastAsia" w:ascii="宋体" w:hAnsi="宋体" w:eastAsia="宋体" w:cs="宋体"/>
          <w:color w:val="191F25"/>
          <w:spacing w:val="-6"/>
          <w:sz w:val="24"/>
          <w:szCs w:val="24"/>
        </w:rPr>
        <w:t>证号：</w:t>
      </w:r>
      <w:r>
        <w:rPr>
          <w:rFonts w:hint="eastAsia" w:ascii="宋体" w:hAnsi="宋体" w:eastAsia="宋体" w:cs="宋体"/>
          <w:spacing w:val="-6"/>
          <w:sz w:val="24"/>
          <w:szCs w:val="24"/>
          <w:u w:val="single" w:color="auto"/>
        </w:rPr>
        <w:t xml:space="preserve">  ×</w:t>
      </w:r>
      <w:r>
        <w:rPr>
          <w:rFonts w:hint="eastAsia" w:ascii="宋体" w:hAnsi="宋体" w:eastAsia="宋体" w:cs="宋体"/>
          <w:spacing w:val="-89"/>
          <w:sz w:val="24"/>
          <w:szCs w:val="24"/>
          <w:u w:val="single" w:color="auto"/>
        </w:rPr>
        <w:t xml:space="preserve"> </w:t>
      </w:r>
      <w:r>
        <w:rPr>
          <w:rFonts w:hint="eastAsia" w:ascii="宋体" w:hAnsi="宋体" w:eastAsia="宋体" w:cs="宋体"/>
          <w:spacing w:val="-6"/>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6"/>
          <w:sz w:val="24"/>
          <w:szCs w:val="24"/>
          <w:u w:val="single" w:color="auto"/>
        </w:rPr>
        <w:t>×</w:t>
      </w:r>
      <w:r>
        <w:rPr>
          <w:rFonts w:hint="eastAsia" w:ascii="宋体" w:hAnsi="宋体" w:eastAsia="宋体" w:cs="宋体"/>
          <w:spacing w:val="39"/>
          <w:sz w:val="24"/>
          <w:szCs w:val="24"/>
          <w:u w:val="single" w:color="auto"/>
        </w:rPr>
        <w:t xml:space="preserve"> </w:t>
      </w:r>
      <w:r>
        <w:rPr>
          <w:rFonts w:hint="eastAsia" w:ascii="宋体" w:hAnsi="宋体" w:eastAsia="宋体" w:cs="宋体"/>
          <w:color w:val="191F25"/>
          <w:spacing w:val="-6"/>
          <w:sz w:val="24"/>
          <w:szCs w:val="24"/>
        </w:rPr>
        <w:t>)</w:t>
      </w:r>
      <w:r>
        <w:rPr>
          <w:rFonts w:hint="eastAsia" w:ascii="宋体" w:hAnsi="宋体" w:eastAsia="宋体" w:cs="宋体"/>
          <w:color w:val="191F25"/>
          <w:spacing w:val="58"/>
          <w:sz w:val="24"/>
          <w:szCs w:val="24"/>
        </w:rPr>
        <w:t xml:space="preserve"> </w:t>
      </w:r>
      <w:r>
        <w:rPr>
          <w:rFonts w:hint="eastAsia" w:ascii="宋体" w:hAnsi="宋体" w:eastAsia="宋体" w:cs="宋体"/>
          <w:color w:val="191F25"/>
          <w:spacing w:val="-6"/>
          <w:sz w:val="24"/>
          <w:szCs w:val="24"/>
        </w:rPr>
        <w:t>同意就</w:t>
      </w:r>
      <w:r>
        <w:rPr>
          <w:rFonts w:hint="eastAsia" w:ascii="宋体" w:hAnsi="宋体" w:eastAsia="宋体" w:cs="宋体"/>
          <w:spacing w:val="-6"/>
          <w:sz w:val="24"/>
          <w:szCs w:val="24"/>
          <w:u w:val="single" w:color="auto"/>
        </w:rPr>
        <w:t xml:space="preserve"> （分包单位）公司</w:t>
      </w:r>
      <w:r>
        <w:rPr>
          <w:rFonts w:hint="eastAsia" w:ascii="宋体" w:hAnsi="宋体" w:eastAsia="宋体" w:cs="宋体"/>
          <w:color w:val="191F25"/>
          <w:spacing w:val="-6"/>
          <w:sz w:val="24"/>
          <w:szCs w:val="24"/>
        </w:rPr>
        <w:t>履行本承诺书，在此</w:t>
      </w:r>
      <w:r>
        <w:rPr>
          <w:rFonts w:hint="eastAsia" w:ascii="宋体" w:hAnsi="宋体" w:eastAsia="宋体" w:cs="宋体"/>
          <w:color w:val="191F25"/>
          <w:spacing w:val="-7"/>
          <w:sz w:val="24"/>
          <w:szCs w:val="24"/>
        </w:rPr>
        <w:t>无条件向</w:t>
      </w:r>
      <w:r>
        <w:rPr>
          <w:rFonts w:hint="eastAsia" w:ascii="宋体" w:hAnsi="宋体" w:eastAsia="宋体" w:cs="宋体"/>
          <w:color w:val="191F25"/>
          <w:spacing w:val="-1"/>
          <w:sz w:val="24"/>
          <w:szCs w:val="24"/>
        </w:rPr>
        <w:t>甲方提供连带担保责任。</w:t>
      </w:r>
    </w:p>
    <w:p w14:paraId="55FD5C6A">
      <w:pPr>
        <w:pStyle w:val="6"/>
        <w:keepNext w:val="0"/>
        <w:keepLines w:val="0"/>
        <w:pageBreakBefore w:val="0"/>
        <w:widowControl/>
        <w:kinsoku w:val="0"/>
        <w:wordWrap/>
        <w:overflowPunct/>
        <w:topLinePunct w:val="0"/>
        <w:autoSpaceDE w:val="0"/>
        <w:autoSpaceDN w:val="0"/>
        <w:bidi w:val="0"/>
        <w:adjustRightInd w:val="0"/>
        <w:snapToGrid w:val="0"/>
        <w:spacing w:before="60" w:line="360" w:lineRule="auto"/>
        <w:ind w:left="12"/>
        <w:textAlignment w:val="baseline"/>
        <w:rPr>
          <w:rFonts w:hint="eastAsia" w:ascii="宋体" w:hAnsi="宋体" w:eastAsia="宋体" w:cs="宋体"/>
          <w:sz w:val="24"/>
          <w:szCs w:val="24"/>
        </w:rPr>
      </w:pPr>
      <w:r>
        <w:rPr>
          <w:rFonts w:hint="eastAsia" w:ascii="宋体" w:hAnsi="宋体" w:eastAsia="宋体" w:cs="宋体"/>
          <w:color w:val="191F25"/>
          <w:spacing w:val="-2"/>
          <w:sz w:val="24"/>
          <w:szCs w:val="24"/>
        </w:rPr>
        <w:t>特此承诺！</w:t>
      </w:r>
    </w:p>
    <w:p w14:paraId="19E1618A">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textAlignment w:val="baseline"/>
        <w:rPr>
          <w:rFonts w:hint="eastAsia" w:ascii="宋体" w:hAnsi="宋体" w:eastAsia="宋体" w:cs="宋体"/>
          <w:sz w:val="24"/>
          <w:szCs w:val="24"/>
        </w:rPr>
      </w:pPr>
      <w:r>
        <w:rPr>
          <w:rFonts w:hint="eastAsia" w:ascii="宋体" w:hAnsi="宋体" w:eastAsia="宋体" w:cs="宋体"/>
          <w:color w:val="191F25"/>
          <w:sz w:val="24"/>
          <w:szCs w:val="24"/>
        </w:rPr>
        <w:t>【以下无正文】</w:t>
      </w:r>
    </w:p>
    <w:p w14:paraId="678E6F37">
      <w:pPr>
        <w:pStyle w:val="6"/>
        <w:keepNext w:val="0"/>
        <w:keepLines w:val="0"/>
        <w:pageBreakBefore w:val="0"/>
        <w:widowControl/>
        <w:kinsoku w:val="0"/>
        <w:wordWrap/>
        <w:overflowPunct/>
        <w:topLinePunct w:val="0"/>
        <w:autoSpaceDE w:val="0"/>
        <w:autoSpaceDN w:val="0"/>
        <w:bidi w:val="0"/>
        <w:adjustRightInd w:val="0"/>
        <w:snapToGrid w:val="0"/>
        <w:spacing w:before="204" w:line="360" w:lineRule="auto"/>
        <w:ind w:left="34"/>
        <w:textAlignment w:val="baseline"/>
        <w:rPr>
          <w:rFonts w:hint="eastAsia" w:ascii="宋体" w:hAnsi="宋体" w:eastAsia="宋体" w:cs="宋体"/>
          <w:sz w:val="24"/>
          <w:szCs w:val="24"/>
        </w:rPr>
      </w:pPr>
      <w:r>
        <w:rPr>
          <w:rFonts w:hint="eastAsia" w:ascii="宋体" w:hAnsi="宋体" w:eastAsia="宋体" w:cs="宋体"/>
          <w:color w:val="191F25"/>
          <w:spacing w:val="-3"/>
          <w:sz w:val="24"/>
          <w:szCs w:val="24"/>
        </w:rPr>
        <w:t>附件：担保人身份证复印件正反面</w:t>
      </w:r>
    </w:p>
    <w:p w14:paraId="165BB1A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7284D24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4CF806A4">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承诺单位：</w:t>
      </w:r>
    </w:p>
    <w:p w14:paraId="5CB289E1">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290"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5"/>
          <w:sz w:val="24"/>
          <w:szCs w:val="24"/>
        </w:rPr>
        <w:t>（</w:t>
      </w:r>
      <w:r>
        <w:rPr>
          <w:rFonts w:hint="eastAsia" w:ascii="宋体" w:hAnsi="宋体" w:eastAsia="宋体" w:cs="宋体"/>
          <w:color w:val="191F25"/>
          <w:spacing w:val="-2"/>
          <w:sz w:val="24"/>
          <w:szCs w:val="24"/>
        </w:rPr>
        <w:t>公章）</w:t>
      </w:r>
    </w:p>
    <w:p w14:paraId="0ACBEB99">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lang w:eastAsia="zh-CN"/>
        </w:rPr>
      </w:pPr>
      <w:r>
        <w:rPr>
          <w:rFonts w:hint="eastAsia" w:ascii="宋体" w:hAnsi="宋体" w:eastAsia="宋体" w:cs="宋体"/>
          <w:color w:val="191F25"/>
          <w:spacing w:val="-2"/>
          <w:sz w:val="24"/>
          <w:szCs w:val="24"/>
        </w:rPr>
        <w:t>法定代表</w:t>
      </w:r>
      <w:r>
        <w:rPr>
          <w:rFonts w:hint="eastAsia" w:ascii="宋体" w:hAnsi="宋体" w:eastAsia="宋体" w:cs="宋体"/>
          <w:color w:val="191F25"/>
          <w:spacing w:val="-2"/>
          <w:sz w:val="24"/>
          <w:szCs w:val="24"/>
          <w:lang w:eastAsia="zh-CN"/>
        </w:rPr>
        <w:t>：</w:t>
      </w:r>
    </w:p>
    <w:p w14:paraId="6569A94A">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担保人：</w:t>
      </w:r>
    </w:p>
    <w:p w14:paraId="7F0D47B3">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日期：    年    月  日</w:t>
      </w:r>
    </w:p>
    <w:p w14:paraId="79FAD631">
      <w:pPr>
        <w:pStyle w:val="6"/>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p>
    <w:p w14:paraId="28DBAB50">
      <w:pPr>
        <w:keepNext w:val="0"/>
        <w:keepLines w:val="0"/>
        <w:pageBreakBefore w:val="0"/>
        <w:widowControl/>
        <w:numPr>
          <w:ilvl w:val="0"/>
          <w:numId w:val="0"/>
        </w:numPr>
        <w:suppressLineNumbers w:val="0"/>
        <w:kinsoku/>
        <w:wordWrap/>
        <w:overflowPunct/>
        <w:topLinePunct w:val="0"/>
        <w:autoSpaceDE/>
        <w:autoSpaceDN/>
        <w:bidi w:val="0"/>
        <w:adjustRightInd/>
        <w:snapToGrid/>
        <w:spacing w:after="157" w:afterLines="50"/>
        <w:jc w:val="left"/>
        <w:textAlignment w:val="auto"/>
        <w:rPr>
          <w:rFonts w:hint="default" w:ascii="仿宋" w:hAnsi="仿宋" w:eastAsia="仿宋" w:cs="仿宋"/>
          <w:b/>
          <w:bCs/>
          <w:color w:val="auto"/>
          <w:sz w:val="28"/>
          <w:szCs w:val="28"/>
          <w:highlight w:val="none"/>
          <w:lang w:val="en-US" w:eastAsia="zh-CN"/>
        </w:rPr>
      </w:pPr>
    </w:p>
    <w:p w14:paraId="1EF84C75">
      <w:pPr>
        <w:rPr>
          <w:rFonts w:hint="default"/>
          <w:lang w:val="en-US" w:eastAsia="zh-CN"/>
        </w:rPr>
      </w:pPr>
    </w:p>
    <w:p w14:paraId="7476D9E2">
      <w:pPr>
        <w:pStyle w:val="2"/>
        <w:rPr>
          <w:rFonts w:hint="eastAsia" w:ascii="仿宋" w:hAnsi="仿宋" w:eastAsia="仿宋" w:cs="仿宋"/>
          <w:sz w:val="28"/>
          <w:szCs w:val="28"/>
          <w:highlight w:val="none"/>
          <w:lang w:val="en-US" w:eastAsia="zh-CN"/>
        </w:rPr>
      </w:pPr>
    </w:p>
    <w:sectPr>
      <w:pgSz w:w="11906" w:h="16838"/>
      <w:pgMar w:top="850" w:right="1267" w:bottom="896" w:left="1179" w:header="964" w:footer="567" w:gutter="0"/>
      <w:pgBorders>
        <w:top w:val="none" w:sz="0" w:space="0"/>
        <w:left w:val="none" w:sz="0" w:space="0"/>
        <w:bottom w:val="none" w:sz="0" w:space="0"/>
        <w:right w:val="none" w:sz="0" w:space="0"/>
      </w:pgBorders>
      <w:pgNumType w:fmt="decimal"/>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79CFF">
    <w:pPr>
      <w:pStyle w:val="9"/>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08FF1">
    <w:pPr>
      <w:pStyle w:val="9"/>
    </w:pPr>
  </w:p>
  <w:p w14:paraId="271E39A3">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EF812">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3D430">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93D430">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586A7B7A">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669A">
    <w:pPr>
      <w:pStyle w:val="9"/>
    </w:pPr>
  </w:p>
  <w:p w14:paraId="538E53E7">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64D83">
    <w:pPr>
      <w:pStyle w:val="10"/>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1F1D2C"/>
    <w:rsid w:val="00203180"/>
    <w:rsid w:val="00203CC0"/>
    <w:rsid w:val="00213CF6"/>
    <w:rsid w:val="00381040"/>
    <w:rsid w:val="00387CA6"/>
    <w:rsid w:val="003F5F2A"/>
    <w:rsid w:val="00473031"/>
    <w:rsid w:val="005373E8"/>
    <w:rsid w:val="00574E3F"/>
    <w:rsid w:val="00592882"/>
    <w:rsid w:val="006730BA"/>
    <w:rsid w:val="008102F1"/>
    <w:rsid w:val="00895C57"/>
    <w:rsid w:val="008B3493"/>
    <w:rsid w:val="00915FC6"/>
    <w:rsid w:val="009224FE"/>
    <w:rsid w:val="009450A4"/>
    <w:rsid w:val="009530E3"/>
    <w:rsid w:val="00A566D5"/>
    <w:rsid w:val="00AE31A0"/>
    <w:rsid w:val="00B35E9C"/>
    <w:rsid w:val="00B93F2F"/>
    <w:rsid w:val="00B970C4"/>
    <w:rsid w:val="00BC3A1F"/>
    <w:rsid w:val="00BF7D50"/>
    <w:rsid w:val="00C01140"/>
    <w:rsid w:val="00C14B6F"/>
    <w:rsid w:val="00C70D2C"/>
    <w:rsid w:val="00C94BA8"/>
    <w:rsid w:val="00CA1002"/>
    <w:rsid w:val="00CB30A1"/>
    <w:rsid w:val="00D25D47"/>
    <w:rsid w:val="00DF5360"/>
    <w:rsid w:val="00E1609D"/>
    <w:rsid w:val="00E178E3"/>
    <w:rsid w:val="00ED202F"/>
    <w:rsid w:val="011E0CCE"/>
    <w:rsid w:val="01263414"/>
    <w:rsid w:val="013730A5"/>
    <w:rsid w:val="01413291"/>
    <w:rsid w:val="0147153B"/>
    <w:rsid w:val="01472698"/>
    <w:rsid w:val="01570BD7"/>
    <w:rsid w:val="015765E3"/>
    <w:rsid w:val="015B6D94"/>
    <w:rsid w:val="01813F60"/>
    <w:rsid w:val="01A93FA3"/>
    <w:rsid w:val="01B5752C"/>
    <w:rsid w:val="01B6046E"/>
    <w:rsid w:val="01BF37C7"/>
    <w:rsid w:val="01C04E49"/>
    <w:rsid w:val="01D26D8C"/>
    <w:rsid w:val="01F4690A"/>
    <w:rsid w:val="01F73A8C"/>
    <w:rsid w:val="0204567E"/>
    <w:rsid w:val="02140507"/>
    <w:rsid w:val="021C600F"/>
    <w:rsid w:val="022C24DE"/>
    <w:rsid w:val="02391BF0"/>
    <w:rsid w:val="024C0DD3"/>
    <w:rsid w:val="024E1742"/>
    <w:rsid w:val="024F7C95"/>
    <w:rsid w:val="02510197"/>
    <w:rsid w:val="02587777"/>
    <w:rsid w:val="025C1016"/>
    <w:rsid w:val="027F6AB2"/>
    <w:rsid w:val="02820350"/>
    <w:rsid w:val="02854A8C"/>
    <w:rsid w:val="028873DB"/>
    <w:rsid w:val="02994018"/>
    <w:rsid w:val="029D34AA"/>
    <w:rsid w:val="02A9480A"/>
    <w:rsid w:val="02B63659"/>
    <w:rsid w:val="02BF77F6"/>
    <w:rsid w:val="02D55869"/>
    <w:rsid w:val="02D768EE"/>
    <w:rsid w:val="02E1776D"/>
    <w:rsid w:val="02EF1E8A"/>
    <w:rsid w:val="02FE1B0B"/>
    <w:rsid w:val="02FF7BF3"/>
    <w:rsid w:val="031276D4"/>
    <w:rsid w:val="031850D8"/>
    <w:rsid w:val="032F746B"/>
    <w:rsid w:val="033B4CE2"/>
    <w:rsid w:val="033E696D"/>
    <w:rsid w:val="034B4BE6"/>
    <w:rsid w:val="03630182"/>
    <w:rsid w:val="036D65A5"/>
    <w:rsid w:val="037979A5"/>
    <w:rsid w:val="03800D34"/>
    <w:rsid w:val="03850C4A"/>
    <w:rsid w:val="03883D26"/>
    <w:rsid w:val="039D0B4E"/>
    <w:rsid w:val="03B81543"/>
    <w:rsid w:val="03B82984"/>
    <w:rsid w:val="03CD5F4E"/>
    <w:rsid w:val="040E4592"/>
    <w:rsid w:val="042913CB"/>
    <w:rsid w:val="04293179"/>
    <w:rsid w:val="04332207"/>
    <w:rsid w:val="04340622"/>
    <w:rsid w:val="043A5387"/>
    <w:rsid w:val="046C3D52"/>
    <w:rsid w:val="04725735"/>
    <w:rsid w:val="04910D1F"/>
    <w:rsid w:val="049B394B"/>
    <w:rsid w:val="049C7DEF"/>
    <w:rsid w:val="049F343C"/>
    <w:rsid w:val="04AB1DE0"/>
    <w:rsid w:val="04B35139"/>
    <w:rsid w:val="04C17F38"/>
    <w:rsid w:val="04C93D27"/>
    <w:rsid w:val="04CC1D57"/>
    <w:rsid w:val="04CE3287"/>
    <w:rsid w:val="04CE5FB5"/>
    <w:rsid w:val="04D53318"/>
    <w:rsid w:val="04DA0918"/>
    <w:rsid w:val="04DF3C4E"/>
    <w:rsid w:val="04E6106A"/>
    <w:rsid w:val="04E77D7D"/>
    <w:rsid w:val="04E946B7"/>
    <w:rsid w:val="04EA6DAD"/>
    <w:rsid w:val="04EB042F"/>
    <w:rsid w:val="04F82B4C"/>
    <w:rsid w:val="04FB7762"/>
    <w:rsid w:val="04FF3EDA"/>
    <w:rsid w:val="050128A7"/>
    <w:rsid w:val="050E7CBB"/>
    <w:rsid w:val="05145BD8"/>
    <w:rsid w:val="051C4A8C"/>
    <w:rsid w:val="052027CE"/>
    <w:rsid w:val="05216546"/>
    <w:rsid w:val="052B2F21"/>
    <w:rsid w:val="053022E6"/>
    <w:rsid w:val="053266BE"/>
    <w:rsid w:val="053718C6"/>
    <w:rsid w:val="056320AB"/>
    <w:rsid w:val="05657FDC"/>
    <w:rsid w:val="056B1570"/>
    <w:rsid w:val="05975E03"/>
    <w:rsid w:val="059B1E55"/>
    <w:rsid w:val="05A101F3"/>
    <w:rsid w:val="05A14F91"/>
    <w:rsid w:val="05AB5E10"/>
    <w:rsid w:val="05D56967"/>
    <w:rsid w:val="05E530D0"/>
    <w:rsid w:val="05E732EC"/>
    <w:rsid w:val="05F257ED"/>
    <w:rsid w:val="05F64AB8"/>
    <w:rsid w:val="05FA2136"/>
    <w:rsid w:val="061E65E2"/>
    <w:rsid w:val="06530982"/>
    <w:rsid w:val="06706AD8"/>
    <w:rsid w:val="06976105"/>
    <w:rsid w:val="06A10D93"/>
    <w:rsid w:val="06A66D03"/>
    <w:rsid w:val="06B56F46"/>
    <w:rsid w:val="06C70A28"/>
    <w:rsid w:val="06D31393"/>
    <w:rsid w:val="06DC2F7F"/>
    <w:rsid w:val="06ED4932"/>
    <w:rsid w:val="06F76370"/>
    <w:rsid w:val="06F832D7"/>
    <w:rsid w:val="071716FC"/>
    <w:rsid w:val="07181283"/>
    <w:rsid w:val="073F4A62"/>
    <w:rsid w:val="074B1659"/>
    <w:rsid w:val="07513FB1"/>
    <w:rsid w:val="07580BE5"/>
    <w:rsid w:val="075D56E6"/>
    <w:rsid w:val="076543EB"/>
    <w:rsid w:val="076A3F72"/>
    <w:rsid w:val="07740BAF"/>
    <w:rsid w:val="07970E28"/>
    <w:rsid w:val="079A028D"/>
    <w:rsid w:val="07B436A2"/>
    <w:rsid w:val="07B9513E"/>
    <w:rsid w:val="07C02047"/>
    <w:rsid w:val="07E13D6B"/>
    <w:rsid w:val="07E31891"/>
    <w:rsid w:val="07E55609"/>
    <w:rsid w:val="07F41CF0"/>
    <w:rsid w:val="07F61040"/>
    <w:rsid w:val="07FC5C21"/>
    <w:rsid w:val="08040CBA"/>
    <w:rsid w:val="081B54CF"/>
    <w:rsid w:val="081B70BC"/>
    <w:rsid w:val="083A6C4A"/>
    <w:rsid w:val="085547A4"/>
    <w:rsid w:val="08580825"/>
    <w:rsid w:val="085C7B8E"/>
    <w:rsid w:val="085F360E"/>
    <w:rsid w:val="086C5D2B"/>
    <w:rsid w:val="087370B9"/>
    <w:rsid w:val="088E7A4F"/>
    <w:rsid w:val="089112ED"/>
    <w:rsid w:val="0899189A"/>
    <w:rsid w:val="08A6123D"/>
    <w:rsid w:val="08B374B6"/>
    <w:rsid w:val="08BC34BB"/>
    <w:rsid w:val="08C571E9"/>
    <w:rsid w:val="08D04EA3"/>
    <w:rsid w:val="08D1580F"/>
    <w:rsid w:val="08F24A3C"/>
    <w:rsid w:val="08FA1588"/>
    <w:rsid w:val="090207D6"/>
    <w:rsid w:val="090221EB"/>
    <w:rsid w:val="090B0BE6"/>
    <w:rsid w:val="091503BA"/>
    <w:rsid w:val="09624116"/>
    <w:rsid w:val="09757AB5"/>
    <w:rsid w:val="09760B9C"/>
    <w:rsid w:val="0990731B"/>
    <w:rsid w:val="099948FD"/>
    <w:rsid w:val="099A1CCF"/>
    <w:rsid w:val="09A56C91"/>
    <w:rsid w:val="09A82D92"/>
    <w:rsid w:val="09AE1EBE"/>
    <w:rsid w:val="09B04092"/>
    <w:rsid w:val="09B20670"/>
    <w:rsid w:val="09B63701"/>
    <w:rsid w:val="09C46844"/>
    <w:rsid w:val="09C94AB7"/>
    <w:rsid w:val="09E22A5D"/>
    <w:rsid w:val="09E87633"/>
    <w:rsid w:val="09FB1114"/>
    <w:rsid w:val="09FB55B8"/>
    <w:rsid w:val="09FB7366"/>
    <w:rsid w:val="09FF6F98"/>
    <w:rsid w:val="0A2118B5"/>
    <w:rsid w:val="0A326B00"/>
    <w:rsid w:val="0A3B7FD7"/>
    <w:rsid w:val="0A434869"/>
    <w:rsid w:val="0A454A85"/>
    <w:rsid w:val="0A5922DF"/>
    <w:rsid w:val="0A5D1DCF"/>
    <w:rsid w:val="0A60366D"/>
    <w:rsid w:val="0A7964DD"/>
    <w:rsid w:val="0A886720"/>
    <w:rsid w:val="0A9A5DF0"/>
    <w:rsid w:val="0ACE6829"/>
    <w:rsid w:val="0AD62B48"/>
    <w:rsid w:val="0AD656DD"/>
    <w:rsid w:val="0ADC6E54"/>
    <w:rsid w:val="0AE47DFA"/>
    <w:rsid w:val="0AF641DA"/>
    <w:rsid w:val="0AFA3582"/>
    <w:rsid w:val="0B247F12"/>
    <w:rsid w:val="0B2529AE"/>
    <w:rsid w:val="0B3C1D27"/>
    <w:rsid w:val="0B460A68"/>
    <w:rsid w:val="0B6D6042"/>
    <w:rsid w:val="0B70650A"/>
    <w:rsid w:val="0B7A69B0"/>
    <w:rsid w:val="0BAA2BCE"/>
    <w:rsid w:val="0BB93035"/>
    <w:rsid w:val="0BD92D6E"/>
    <w:rsid w:val="0BD95485"/>
    <w:rsid w:val="0BDB7D38"/>
    <w:rsid w:val="0C125258"/>
    <w:rsid w:val="0C177688"/>
    <w:rsid w:val="0C1D2B00"/>
    <w:rsid w:val="0C215C51"/>
    <w:rsid w:val="0C4D2770"/>
    <w:rsid w:val="0C5F302B"/>
    <w:rsid w:val="0C7036F5"/>
    <w:rsid w:val="0C8E44C1"/>
    <w:rsid w:val="0C9B273A"/>
    <w:rsid w:val="0CBC5C8A"/>
    <w:rsid w:val="0CC04DC6"/>
    <w:rsid w:val="0CC9374C"/>
    <w:rsid w:val="0CCA5228"/>
    <w:rsid w:val="0CE1709F"/>
    <w:rsid w:val="0CFA1B57"/>
    <w:rsid w:val="0D006A41"/>
    <w:rsid w:val="0D0522AA"/>
    <w:rsid w:val="0D077DD0"/>
    <w:rsid w:val="0D186481"/>
    <w:rsid w:val="0D4536A9"/>
    <w:rsid w:val="0D563CC5"/>
    <w:rsid w:val="0D676AC1"/>
    <w:rsid w:val="0D723345"/>
    <w:rsid w:val="0D8A1FCF"/>
    <w:rsid w:val="0D8B6C53"/>
    <w:rsid w:val="0D9553DC"/>
    <w:rsid w:val="0D964F5E"/>
    <w:rsid w:val="0DA16476"/>
    <w:rsid w:val="0DAE068F"/>
    <w:rsid w:val="0DAE649D"/>
    <w:rsid w:val="0DBB3044"/>
    <w:rsid w:val="0DD51C7C"/>
    <w:rsid w:val="0DD56120"/>
    <w:rsid w:val="0DD63101"/>
    <w:rsid w:val="0DD95C10"/>
    <w:rsid w:val="0DF51C0D"/>
    <w:rsid w:val="0DFE67C9"/>
    <w:rsid w:val="0E060087"/>
    <w:rsid w:val="0E0D6E79"/>
    <w:rsid w:val="0E2055ED"/>
    <w:rsid w:val="0E236E8B"/>
    <w:rsid w:val="0E345375"/>
    <w:rsid w:val="0E40102B"/>
    <w:rsid w:val="0E4741D7"/>
    <w:rsid w:val="0E4806A0"/>
    <w:rsid w:val="0E5205B9"/>
    <w:rsid w:val="0E575B4B"/>
    <w:rsid w:val="0E5D156D"/>
    <w:rsid w:val="0E753A46"/>
    <w:rsid w:val="0E76520D"/>
    <w:rsid w:val="0E855450"/>
    <w:rsid w:val="0EA63619"/>
    <w:rsid w:val="0EC341CA"/>
    <w:rsid w:val="0EDD34DE"/>
    <w:rsid w:val="0EFD148A"/>
    <w:rsid w:val="0F3050A6"/>
    <w:rsid w:val="0F465E76"/>
    <w:rsid w:val="0F47531E"/>
    <w:rsid w:val="0F4B24D9"/>
    <w:rsid w:val="0F706264"/>
    <w:rsid w:val="0F7A6F7F"/>
    <w:rsid w:val="0F8C0A60"/>
    <w:rsid w:val="0F9A1418"/>
    <w:rsid w:val="0FA17752"/>
    <w:rsid w:val="0FB22358"/>
    <w:rsid w:val="0FB73C74"/>
    <w:rsid w:val="0FCB116A"/>
    <w:rsid w:val="0FD11210"/>
    <w:rsid w:val="0FDC5544"/>
    <w:rsid w:val="0FDC6720"/>
    <w:rsid w:val="10352EA6"/>
    <w:rsid w:val="10455972"/>
    <w:rsid w:val="108674CF"/>
    <w:rsid w:val="108D2CE2"/>
    <w:rsid w:val="10922D88"/>
    <w:rsid w:val="109E0A4B"/>
    <w:rsid w:val="10A145F0"/>
    <w:rsid w:val="10A14840"/>
    <w:rsid w:val="10A23752"/>
    <w:rsid w:val="10D80992"/>
    <w:rsid w:val="10E3152A"/>
    <w:rsid w:val="10FC5772"/>
    <w:rsid w:val="11243FFF"/>
    <w:rsid w:val="113718BF"/>
    <w:rsid w:val="11407F98"/>
    <w:rsid w:val="11557E4D"/>
    <w:rsid w:val="11565855"/>
    <w:rsid w:val="11567963"/>
    <w:rsid w:val="11665A0D"/>
    <w:rsid w:val="1188642D"/>
    <w:rsid w:val="11943BFC"/>
    <w:rsid w:val="11AE4CBE"/>
    <w:rsid w:val="11D01CF9"/>
    <w:rsid w:val="11DB2B2B"/>
    <w:rsid w:val="11EB7CC0"/>
    <w:rsid w:val="12077CFA"/>
    <w:rsid w:val="121B43BF"/>
    <w:rsid w:val="12271A49"/>
    <w:rsid w:val="122907E8"/>
    <w:rsid w:val="12297678"/>
    <w:rsid w:val="124205D1"/>
    <w:rsid w:val="12635AA8"/>
    <w:rsid w:val="12687563"/>
    <w:rsid w:val="12696272"/>
    <w:rsid w:val="12696E37"/>
    <w:rsid w:val="126E62DF"/>
    <w:rsid w:val="127952CC"/>
    <w:rsid w:val="12887C05"/>
    <w:rsid w:val="129A3F44"/>
    <w:rsid w:val="12A30FD7"/>
    <w:rsid w:val="12AA36D7"/>
    <w:rsid w:val="12BB485E"/>
    <w:rsid w:val="12CD386A"/>
    <w:rsid w:val="12EB3CF0"/>
    <w:rsid w:val="12F901BB"/>
    <w:rsid w:val="130F3E82"/>
    <w:rsid w:val="13165211"/>
    <w:rsid w:val="132E143F"/>
    <w:rsid w:val="13471AD0"/>
    <w:rsid w:val="134753CA"/>
    <w:rsid w:val="134C478E"/>
    <w:rsid w:val="135A334F"/>
    <w:rsid w:val="13781A27"/>
    <w:rsid w:val="13826402"/>
    <w:rsid w:val="13845E89"/>
    <w:rsid w:val="13877EBC"/>
    <w:rsid w:val="138B678C"/>
    <w:rsid w:val="13985C26"/>
    <w:rsid w:val="13B14F39"/>
    <w:rsid w:val="13B80076"/>
    <w:rsid w:val="13E96481"/>
    <w:rsid w:val="13F6078F"/>
    <w:rsid w:val="13FD404E"/>
    <w:rsid w:val="14092680"/>
    <w:rsid w:val="142C2489"/>
    <w:rsid w:val="14301B15"/>
    <w:rsid w:val="14564D5E"/>
    <w:rsid w:val="14661880"/>
    <w:rsid w:val="14726477"/>
    <w:rsid w:val="14787805"/>
    <w:rsid w:val="14870CC8"/>
    <w:rsid w:val="1492781C"/>
    <w:rsid w:val="14943C5A"/>
    <w:rsid w:val="1499025C"/>
    <w:rsid w:val="149B6797"/>
    <w:rsid w:val="149D3294"/>
    <w:rsid w:val="14B678F8"/>
    <w:rsid w:val="14BD3CD1"/>
    <w:rsid w:val="14C41530"/>
    <w:rsid w:val="14DC4520"/>
    <w:rsid w:val="14E07884"/>
    <w:rsid w:val="14E32ED1"/>
    <w:rsid w:val="14ED3D4F"/>
    <w:rsid w:val="14F15522"/>
    <w:rsid w:val="15004221"/>
    <w:rsid w:val="150337D5"/>
    <w:rsid w:val="1504174F"/>
    <w:rsid w:val="152135DE"/>
    <w:rsid w:val="152F6751"/>
    <w:rsid w:val="15427A3C"/>
    <w:rsid w:val="15454E48"/>
    <w:rsid w:val="154716B1"/>
    <w:rsid w:val="1553452D"/>
    <w:rsid w:val="15542020"/>
    <w:rsid w:val="155B3EC5"/>
    <w:rsid w:val="156F29B6"/>
    <w:rsid w:val="15725DAD"/>
    <w:rsid w:val="15756CE6"/>
    <w:rsid w:val="15764CC6"/>
    <w:rsid w:val="157E0E4B"/>
    <w:rsid w:val="158263AD"/>
    <w:rsid w:val="158F501B"/>
    <w:rsid w:val="159452FD"/>
    <w:rsid w:val="15A9794A"/>
    <w:rsid w:val="15B036FB"/>
    <w:rsid w:val="15B14B22"/>
    <w:rsid w:val="15B91E83"/>
    <w:rsid w:val="15BA33B1"/>
    <w:rsid w:val="15C076B6"/>
    <w:rsid w:val="15C34AB0"/>
    <w:rsid w:val="15CD0276"/>
    <w:rsid w:val="15D078F9"/>
    <w:rsid w:val="15DA60EA"/>
    <w:rsid w:val="15E16D7A"/>
    <w:rsid w:val="15E46F00"/>
    <w:rsid w:val="15FE0734"/>
    <w:rsid w:val="16041350"/>
    <w:rsid w:val="16151C72"/>
    <w:rsid w:val="161A23FF"/>
    <w:rsid w:val="161F43DC"/>
    <w:rsid w:val="16290B92"/>
    <w:rsid w:val="16297009"/>
    <w:rsid w:val="1638724C"/>
    <w:rsid w:val="16411B20"/>
    <w:rsid w:val="16414353"/>
    <w:rsid w:val="165C2217"/>
    <w:rsid w:val="166149F5"/>
    <w:rsid w:val="166401D7"/>
    <w:rsid w:val="166C5148"/>
    <w:rsid w:val="167069E6"/>
    <w:rsid w:val="167D7D71"/>
    <w:rsid w:val="16A3500D"/>
    <w:rsid w:val="16AE673D"/>
    <w:rsid w:val="16B36AE1"/>
    <w:rsid w:val="16C15493"/>
    <w:rsid w:val="16E42F30"/>
    <w:rsid w:val="16ED4897"/>
    <w:rsid w:val="16EE7850"/>
    <w:rsid w:val="16FE0496"/>
    <w:rsid w:val="172A0C99"/>
    <w:rsid w:val="173E295E"/>
    <w:rsid w:val="174C7453"/>
    <w:rsid w:val="177D06EB"/>
    <w:rsid w:val="17822E75"/>
    <w:rsid w:val="179A1DCD"/>
    <w:rsid w:val="17A15E0B"/>
    <w:rsid w:val="17AF1790"/>
    <w:rsid w:val="17C76AD9"/>
    <w:rsid w:val="17D66D1D"/>
    <w:rsid w:val="17DD454F"/>
    <w:rsid w:val="17DE3E23"/>
    <w:rsid w:val="17E53404"/>
    <w:rsid w:val="17EC5092"/>
    <w:rsid w:val="17F453F5"/>
    <w:rsid w:val="17F753E8"/>
    <w:rsid w:val="1811244B"/>
    <w:rsid w:val="18187335"/>
    <w:rsid w:val="181D494B"/>
    <w:rsid w:val="18381785"/>
    <w:rsid w:val="183C2E3A"/>
    <w:rsid w:val="183D3240"/>
    <w:rsid w:val="18416A30"/>
    <w:rsid w:val="18465121"/>
    <w:rsid w:val="185965E1"/>
    <w:rsid w:val="186E09C7"/>
    <w:rsid w:val="18702CCD"/>
    <w:rsid w:val="18814EDA"/>
    <w:rsid w:val="18937310"/>
    <w:rsid w:val="189E4F3F"/>
    <w:rsid w:val="18BB7AA9"/>
    <w:rsid w:val="18DF2D8E"/>
    <w:rsid w:val="18F224FA"/>
    <w:rsid w:val="18FC77C6"/>
    <w:rsid w:val="190B0C48"/>
    <w:rsid w:val="190D49C0"/>
    <w:rsid w:val="191D4341"/>
    <w:rsid w:val="19206CA1"/>
    <w:rsid w:val="19265A82"/>
    <w:rsid w:val="192C753C"/>
    <w:rsid w:val="1938288F"/>
    <w:rsid w:val="19495E63"/>
    <w:rsid w:val="194B54E8"/>
    <w:rsid w:val="194D01B9"/>
    <w:rsid w:val="19597C05"/>
    <w:rsid w:val="195A705F"/>
    <w:rsid w:val="195C7136"/>
    <w:rsid w:val="19636CD6"/>
    <w:rsid w:val="197762DD"/>
    <w:rsid w:val="19786A87"/>
    <w:rsid w:val="197A1A33"/>
    <w:rsid w:val="198B5F6F"/>
    <w:rsid w:val="199D782E"/>
    <w:rsid w:val="19A05834"/>
    <w:rsid w:val="19A1648E"/>
    <w:rsid w:val="19B1359D"/>
    <w:rsid w:val="19B24E93"/>
    <w:rsid w:val="19B25567"/>
    <w:rsid w:val="19B7455F"/>
    <w:rsid w:val="19DB4ABE"/>
    <w:rsid w:val="1A015E61"/>
    <w:rsid w:val="1A0667DD"/>
    <w:rsid w:val="1A1B00A3"/>
    <w:rsid w:val="1A366BD3"/>
    <w:rsid w:val="1A402B73"/>
    <w:rsid w:val="1A644AB4"/>
    <w:rsid w:val="1A7D3DC7"/>
    <w:rsid w:val="1A903AFB"/>
    <w:rsid w:val="1A9B06CA"/>
    <w:rsid w:val="1AA475A6"/>
    <w:rsid w:val="1AC11F06"/>
    <w:rsid w:val="1ACC0721"/>
    <w:rsid w:val="1B022F94"/>
    <w:rsid w:val="1B1262BE"/>
    <w:rsid w:val="1B28788F"/>
    <w:rsid w:val="1B310517"/>
    <w:rsid w:val="1B3A75C2"/>
    <w:rsid w:val="1B3C1FFD"/>
    <w:rsid w:val="1B8054EF"/>
    <w:rsid w:val="1B8151F1"/>
    <w:rsid w:val="1B83540D"/>
    <w:rsid w:val="1B9118D8"/>
    <w:rsid w:val="1B915731"/>
    <w:rsid w:val="1B950C9D"/>
    <w:rsid w:val="1BA16335"/>
    <w:rsid w:val="1BA535D6"/>
    <w:rsid w:val="1BA57132"/>
    <w:rsid w:val="1BA6218E"/>
    <w:rsid w:val="1BAD5FE6"/>
    <w:rsid w:val="1BB13D28"/>
    <w:rsid w:val="1BDD2D6F"/>
    <w:rsid w:val="1BDF0508"/>
    <w:rsid w:val="1BE177E6"/>
    <w:rsid w:val="1BE834C2"/>
    <w:rsid w:val="1BEE6D2B"/>
    <w:rsid w:val="1BF5598D"/>
    <w:rsid w:val="1C0364CA"/>
    <w:rsid w:val="1C116575"/>
    <w:rsid w:val="1C2830EC"/>
    <w:rsid w:val="1C2A5889"/>
    <w:rsid w:val="1C305105"/>
    <w:rsid w:val="1C4A1A87"/>
    <w:rsid w:val="1C547B70"/>
    <w:rsid w:val="1C700BEF"/>
    <w:rsid w:val="1C7B17FA"/>
    <w:rsid w:val="1C7E172A"/>
    <w:rsid w:val="1C82543A"/>
    <w:rsid w:val="1C896A53"/>
    <w:rsid w:val="1C8E5E18"/>
    <w:rsid w:val="1C972259"/>
    <w:rsid w:val="1C9D20E2"/>
    <w:rsid w:val="1CA05B4B"/>
    <w:rsid w:val="1CB11B06"/>
    <w:rsid w:val="1CBF2781"/>
    <w:rsid w:val="1CC306E9"/>
    <w:rsid w:val="1CD70D11"/>
    <w:rsid w:val="1CDF09E4"/>
    <w:rsid w:val="1CF42E6E"/>
    <w:rsid w:val="1CF70848"/>
    <w:rsid w:val="1D085BCA"/>
    <w:rsid w:val="1D0B72CB"/>
    <w:rsid w:val="1D0F57A8"/>
    <w:rsid w:val="1D104A7F"/>
    <w:rsid w:val="1D1074B6"/>
    <w:rsid w:val="1D3A5FA0"/>
    <w:rsid w:val="1D444728"/>
    <w:rsid w:val="1D570900"/>
    <w:rsid w:val="1D756FD8"/>
    <w:rsid w:val="1D7711E5"/>
    <w:rsid w:val="1D8D5398"/>
    <w:rsid w:val="1DC36C05"/>
    <w:rsid w:val="1DD26A50"/>
    <w:rsid w:val="1DEB0CCB"/>
    <w:rsid w:val="1DF71857"/>
    <w:rsid w:val="1DFB128B"/>
    <w:rsid w:val="1E052B8D"/>
    <w:rsid w:val="1E0D7210"/>
    <w:rsid w:val="1E470974"/>
    <w:rsid w:val="1E641526"/>
    <w:rsid w:val="1E67154A"/>
    <w:rsid w:val="1E6B19BE"/>
    <w:rsid w:val="1E733517"/>
    <w:rsid w:val="1E8A02A3"/>
    <w:rsid w:val="1E933BB9"/>
    <w:rsid w:val="1ECE2E43"/>
    <w:rsid w:val="1EE44415"/>
    <w:rsid w:val="1EE518CA"/>
    <w:rsid w:val="1EF1268E"/>
    <w:rsid w:val="1EF77D63"/>
    <w:rsid w:val="1EFA1543"/>
    <w:rsid w:val="1EFE4EDD"/>
    <w:rsid w:val="1F026649"/>
    <w:rsid w:val="1F100DF5"/>
    <w:rsid w:val="1F1464D9"/>
    <w:rsid w:val="1F1620F4"/>
    <w:rsid w:val="1F176598"/>
    <w:rsid w:val="1F30765A"/>
    <w:rsid w:val="1F320E8A"/>
    <w:rsid w:val="1F417171"/>
    <w:rsid w:val="1F437CC6"/>
    <w:rsid w:val="1F444EB4"/>
    <w:rsid w:val="1F4F074B"/>
    <w:rsid w:val="1F5A6485"/>
    <w:rsid w:val="1F721A21"/>
    <w:rsid w:val="1F777037"/>
    <w:rsid w:val="1F881E32"/>
    <w:rsid w:val="1F8D23B7"/>
    <w:rsid w:val="1F971487"/>
    <w:rsid w:val="1F9F033C"/>
    <w:rsid w:val="1FB01AC3"/>
    <w:rsid w:val="1FB45B95"/>
    <w:rsid w:val="1FC3519E"/>
    <w:rsid w:val="1FCF0C21"/>
    <w:rsid w:val="1FF57B15"/>
    <w:rsid w:val="2009271B"/>
    <w:rsid w:val="201900EE"/>
    <w:rsid w:val="202076CF"/>
    <w:rsid w:val="202D3B9A"/>
    <w:rsid w:val="202D76F6"/>
    <w:rsid w:val="20305F21"/>
    <w:rsid w:val="203B28A1"/>
    <w:rsid w:val="204A474C"/>
    <w:rsid w:val="20542ED4"/>
    <w:rsid w:val="2063580D"/>
    <w:rsid w:val="20644136"/>
    <w:rsid w:val="20695B32"/>
    <w:rsid w:val="207B343E"/>
    <w:rsid w:val="20801F1B"/>
    <w:rsid w:val="20994D8B"/>
    <w:rsid w:val="20AF45AF"/>
    <w:rsid w:val="20B00A53"/>
    <w:rsid w:val="20B35E4D"/>
    <w:rsid w:val="20BB2F53"/>
    <w:rsid w:val="20BB73F7"/>
    <w:rsid w:val="20CF6A27"/>
    <w:rsid w:val="20D364EF"/>
    <w:rsid w:val="20D8223A"/>
    <w:rsid w:val="20DB1848"/>
    <w:rsid w:val="20DE6C42"/>
    <w:rsid w:val="20E95E3C"/>
    <w:rsid w:val="20EF2BFD"/>
    <w:rsid w:val="20F63F8C"/>
    <w:rsid w:val="211B1C44"/>
    <w:rsid w:val="21260D15"/>
    <w:rsid w:val="212C2C54"/>
    <w:rsid w:val="212C428E"/>
    <w:rsid w:val="213827F6"/>
    <w:rsid w:val="213D605E"/>
    <w:rsid w:val="2144119B"/>
    <w:rsid w:val="214C62A1"/>
    <w:rsid w:val="215950FE"/>
    <w:rsid w:val="215D109F"/>
    <w:rsid w:val="215E090F"/>
    <w:rsid w:val="21613AFB"/>
    <w:rsid w:val="21621621"/>
    <w:rsid w:val="2164771A"/>
    <w:rsid w:val="216A13BE"/>
    <w:rsid w:val="21735A99"/>
    <w:rsid w:val="2177331E"/>
    <w:rsid w:val="21837F15"/>
    <w:rsid w:val="21890839"/>
    <w:rsid w:val="219A78C7"/>
    <w:rsid w:val="21A8557E"/>
    <w:rsid w:val="21B710D4"/>
    <w:rsid w:val="21CE3BBD"/>
    <w:rsid w:val="21D02A2F"/>
    <w:rsid w:val="21E9116B"/>
    <w:rsid w:val="21EB1616"/>
    <w:rsid w:val="21FC6E36"/>
    <w:rsid w:val="21FE5119"/>
    <w:rsid w:val="22075735"/>
    <w:rsid w:val="220B1CB9"/>
    <w:rsid w:val="220F05CF"/>
    <w:rsid w:val="22123047"/>
    <w:rsid w:val="22205764"/>
    <w:rsid w:val="225275BA"/>
    <w:rsid w:val="225B49EE"/>
    <w:rsid w:val="225E003A"/>
    <w:rsid w:val="227B299A"/>
    <w:rsid w:val="227E692E"/>
    <w:rsid w:val="228E4923"/>
    <w:rsid w:val="228F6446"/>
    <w:rsid w:val="22910410"/>
    <w:rsid w:val="22934188"/>
    <w:rsid w:val="22AE65BE"/>
    <w:rsid w:val="22B63195"/>
    <w:rsid w:val="22E5250A"/>
    <w:rsid w:val="22F369D5"/>
    <w:rsid w:val="22F616B5"/>
    <w:rsid w:val="22FD0E5C"/>
    <w:rsid w:val="230778C7"/>
    <w:rsid w:val="231117DA"/>
    <w:rsid w:val="231A510B"/>
    <w:rsid w:val="232079E6"/>
    <w:rsid w:val="23331187"/>
    <w:rsid w:val="23480E6E"/>
    <w:rsid w:val="235F406A"/>
    <w:rsid w:val="23611AE3"/>
    <w:rsid w:val="236153FD"/>
    <w:rsid w:val="236553F8"/>
    <w:rsid w:val="236A7616"/>
    <w:rsid w:val="236B2A0F"/>
    <w:rsid w:val="236F7F68"/>
    <w:rsid w:val="2374647C"/>
    <w:rsid w:val="237C3267"/>
    <w:rsid w:val="23810484"/>
    <w:rsid w:val="23A21A79"/>
    <w:rsid w:val="23BC326A"/>
    <w:rsid w:val="23BD72DF"/>
    <w:rsid w:val="23D305B4"/>
    <w:rsid w:val="23DA1E7B"/>
    <w:rsid w:val="23DA7B95"/>
    <w:rsid w:val="23E629DD"/>
    <w:rsid w:val="23E7405F"/>
    <w:rsid w:val="23EA5501"/>
    <w:rsid w:val="23F3732F"/>
    <w:rsid w:val="24156E1F"/>
    <w:rsid w:val="243E45C7"/>
    <w:rsid w:val="24604C9A"/>
    <w:rsid w:val="2475240E"/>
    <w:rsid w:val="247955FF"/>
    <w:rsid w:val="248A2D3C"/>
    <w:rsid w:val="248A3369"/>
    <w:rsid w:val="249145FE"/>
    <w:rsid w:val="24961E78"/>
    <w:rsid w:val="24A3442A"/>
    <w:rsid w:val="24B56686"/>
    <w:rsid w:val="24D42836"/>
    <w:rsid w:val="24D64473"/>
    <w:rsid w:val="24D665AE"/>
    <w:rsid w:val="25201F1F"/>
    <w:rsid w:val="25445C0D"/>
    <w:rsid w:val="254774AC"/>
    <w:rsid w:val="254C15F2"/>
    <w:rsid w:val="255776AB"/>
    <w:rsid w:val="25641E0C"/>
    <w:rsid w:val="25675EBB"/>
    <w:rsid w:val="256A6BDA"/>
    <w:rsid w:val="256E456D"/>
    <w:rsid w:val="256F06B4"/>
    <w:rsid w:val="25710085"/>
    <w:rsid w:val="25733194"/>
    <w:rsid w:val="257E51BF"/>
    <w:rsid w:val="2584600A"/>
    <w:rsid w:val="258A399C"/>
    <w:rsid w:val="258D0C3D"/>
    <w:rsid w:val="259D0E7A"/>
    <w:rsid w:val="25B34B41"/>
    <w:rsid w:val="25D54AB7"/>
    <w:rsid w:val="26086C3B"/>
    <w:rsid w:val="260C6BFA"/>
    <w:rsid w:val="261920D8"/>
    <w:rsid w:val="261B0492"/>
    <w:rsid w:val="26254703"/>
    <w:rsid w:val="26316D89"/>
    <w:rsid w:val="263F004A"/>
    <w:rsid w:val="26413EFB"/>
    <w:rsid w:val="26415CA9"/>
    <w:rsid w:val="26492DAF"/>
    <w:rsid w:val="264D0AF2"/>
    <w:rsid w:val="264D379F"/>
    <w:rsid w:val="26571970"/>
    <w:rsid w:val="26655E3B"/>
    <w:rsid w:val="267A11BB"/>
    <w:rsid w:val="26A36964"/>
    <w:rsid w:val="26B854AD"/>
    <w:rsid w:val="26C07516"/>
    <w:rsid w:val="26E75394"/>
    <w:rsid w:val="26FC6074"/>
    <w:rsid w:val="270B4948"/>
    <w:rsid w:val="27215AAC"/>
    <w:rsid w:val="2723400E"/>
    <w:rsid w:val="272741F7"/>
    <w:rsid w:val="273E668C"/>
    <w:rsid w:val="274041B2"/>
    <w:rsid w:val="27420EA5"/>
    <w:rsid w:val="27594AEA"/>
    <w:rsid w:val="27767BD4"/>
    <w:rsid w:val="27A44741"/>
    <w:rsid w:val="27A5262E"/>
    <w:rsid w:val="27B8643F"/>
    <w:rsid w:val="27BC5F2F"/>
    <w:rsid w:val="27C132F1"/>
    <w:rsid w:val="27CB7D80"/>
    <w:rsid w:val="27CD1F54"/>
    <w:rsid w:val="27D86AE1"/>
    <w:rsid w:val="27DD7C53"/>
    <w:rsid w:val="27E014F2"/>
    <w:rsid w:val="27EB2370"/>
    <w:rsid w:val="28000855"/>
    <w:rsid w:val="28170FE6"/>
    <w:rsid w:val="281F201A"/>
    <w:rsid w:val="283F090E"/>
    <w:rsid w:val="2844798D"/>
    <w:rsid w:val="285A74F6"/>
    <w:rsid w:val="28691716"/>
    <w:rsid w:val="28723FD3"/>
    <w:rsid w:val="2874680A"/>
    <w:rsid w:val="28B05368"/>
    <w:rsid w:val="28C45AE6"/>
    <w:rsid w:val="28C64B8B"/>
    <w:rsid w:val="28CD5F1A"/>
    <w:rsid w:val="28D366FF"/>
    <w:rsid w:val="28D84447"/>
    <w:rsid w:val="28D9669A"/>
    <w:rsid w:val="28DF697D"/>
    <w:rsid w:val="28EF5E90"/>
    <w:rsid w:val="28F60FCD"/>
    <w:rsid w:val="291458F7"/>
    <w:rsid w:val="2916341D"/>
    <w:rsid w:val="29583A35"/>
    <w:rsid w:val="297B7724"/>
    <w:rsid w:val="29826D04"/>
    <w:rsid w:val="29B6075C"/>
    <w:rsid w:val="29CE019B"/>
    <w:rsid w:val="29D272F8"/>
    <w:rsid w:val="29D532D8"/>
    <w:rsid w:val="29EE6148"/>
    <w:rsid w:val="29F108B2"/>
    <w:rsid w:val="29F80D74"/>
    <w:rsid w:val="29FB219D"/>
    <w:rsid w:val="2A157B78"/>
    <w:rsid w:val="2A524929"/>
    <w:rsid w:val="2A5A558B"/>
    <w:rsid w:val="2A6B59EA"/>
    <w:rsid w:val="2A77438F"/>
    <w:rsid w:val="2A8D5961"/>
    <w:rsid w:val="2A957654"/>
    <w:rsid w:val="2AD92954"/>
    <w:rsid w:val="2AEA2DB3"/>
    <w:rsid w:val="2AEC6B2B"/>
    <w:rsid w:val="2B0B4446"/>
    <w:rsid w:val="2B0B4AD7"/>
    <w:rsid w:val="2B0B5F38"/>
    <w:rsid w:val="2B144719"/>
    <w:rsid w:val="2B230BF3"/>
    <w:rsid w:val="2B471FB3"/>
    <w:rsid w:val="2B5E554F"/>
    <w:rsid w:val="2B88437A"/>
    <w:rsid w:val="2B88534B"/>
    <w:rsid w:val="2B8B1F02"/>
    <w:rsid w:val="2BB4516F"/>
    <w:rsid w:val="2BCD2F8E"/>
    <w:rsid w:val="2BE55328"/>
    <w:rsid w:val="2BFF463C"/>
    <w:rsid w:val="2C0559CB"/>
    <w:rsid w:val="2C0E487F"/>
    <w:rsid w:val="2C106849"/>
    <w:rsid w:val="2C161986"/>
    <w:rsid w:val="2C180916"/>
    <w:rsid w:val="2C1E35F3"/>
    <w:rsid w:val="2C2B3476"/>
    <w:rsid w:val="2C35005E"/>
    <w:rsid w:val="2C4F5B19"/>
    <w:rsid w:val="2C505CDF"/>
    <w:rsid w:val="2C526E62"/>
    <w:rsid w:val="2C5524AE"/>
    <w:rsid w:val="2C6E3292"/>
    <w:rsid w:val="2C7E4AF1"/>
    <w:rsid w:val="2C862B2D"/>
    <w:rsid w:val="2C867F50"/>
    <w:rsid w:val="2C8974AE"/>
    <w:rsid w:val="2C901738"/>
    <w:rsid w:val="2C9651E0"/>
    <w:rsid w:val="2CA034F5"/>
    <w:rsid w:val="2CA64AB8"/>
    <w:rsid w:val="2CC118F2"/>
    <w:rsid w:val="2CC8525F"/>
    <w:rsid w:val="2CD21D51"/>
    <w:rsid w:val="2CD34A44"/>
    <w:rsid w:val="2CD47877"/>
    <w:rsid w:val="2CE101E6"/>
    <w:rsid w:val="2CEB1DDF"/>
    <w:rsid w:val="2CF00E40"/>
    <w:rsid w:val="2CF96C08"/>
    <w:rsid w:val="2CFF066C"/>
    <w:rsid w:val="2D06162C"/>
    <w:rsid w:val="2D1F12BC"/>
    <w:rsid w:val="2D2360D5"/>
    <w:rsid w:val="2D3575D7"/>
    <w:rsid w:val="2D392A9A"/>
    <w:rsid w:val="2D3F2720"/>
    <w:rsid w:val="2D4F6EFD"/>
    <w:rsid w:val="2D686211"/>
    <w:rsid w:val="2D6A3D37"/>
    <w:rsid w:val="2D8017AD"/>
    <w:rsid w:val="2D88543C"/>
    <w:rsid w:val="2D9E7E85"/>
    <w:rsid w:val="2DA57B8D"/>
    <w:rsid w:val="2DB43204"/>
    <w:rsid w:val="2DB54923"/>
    <w:rsid w:val="2DBF6A28"/>
    <w:rsid w:val="2DC75DE6"/>
    <w:rsid w:val="2DD04934"/>
    <w:rsid w:val="2DD613CD"/>
    <w:rsid w:val="2DDB4BC1"/>
    <w:rsid w:val="2DF126AA"/>
    <w:rsid w:val="2E0F2B31"/>
    <w:rsid w:val="2E220AB6"/>
    <w:rsid w:val="2E255EB0"/>
    <w:rsid w:val="2E3A7D96"/>
    <w:rsid w:val="2E426A62"/>
    <w:rsid w:val="2E4427DA"/>
    <w:rsid w:val="2E5A5DFA"/>
    <w:rsid w:val="2E5C5D76"/>
    <w:rsid w:val="2E5D389C"/>
    <w:rsid w:val="2E630C84"/>
    <w:rsid w:val="2E641B42"/>
    <w:rsid w:val="2E70537D"/>
    <w:rsid w:val="2E7F24F2"/>
    <w:rsid w:val="2E84600A"/>
    <w:rsid w:val="2E956466"/>
    <w:rsid w:val="2E9574DA"/>
    <w:rsid w:val="2EAE2349"/>
    <w:rsid w:val="2EBA2061"/>
    <w:rsid w:val="2EBF37A7"/>
    <w:rsid w:val="2EBF4B0B"/>
    <w:rsid w:val="2ED26038"/>
    <w:rsid w:val="2ED31DB0"/>
    <w:rsid w:val="2ED559FA"/>
    <w:rsid w:val="2ED86F63"/>
    <w:rsid w:val="2EED10C4"/>
    <w:rsid w:val="2EF7784D"/>
    <w:rsid w:val="2EFA10EB"/>
    <w:rsid w:val="2EFB21A9"/>
    <w:rsid w:val="2F041F69"/>
    <w:rsid w:val="2F1A353B"/>
    <w:rsid w:val="2F1F5FD6"/>
    <w:rsid w:val="2F257E9C"/>
    <w:rsid w:val="2F3C1703"/>
    <w:rsid w:val="2F407445"/>
    <w:rsid w:val="2F4B5DEA"/>
    <w:rsid w:val="2F544C9F"/>
    <w:rsid w:val="2F560EC7"/>
    <w:rsid w:val="2F5702EB"/>
    <w:rsid w:val="2F6055E3"/>
    <w:rsid w:val="2F6824F8"/>
    <w:rsid w:val="2F6F0666"/>
    <w:rsid w:val="2F7C5FA4"/>
    <w:rsid w:val="2F7E78CF"/>
    <w:rsid w:val="2F8419D5"/>
    <w:rsid w:val="2F860BD0"/>
    <w:rsid w:val="2F927575"/>
    <w:rsid w:val="2FAB0637"/>
    <w:rsid w:val="2FF574A1"/>
    <w:rsid w:val="300246FB"/>
    <w:rsid w:val="301D42EF"/>
    <w:rsid w:val="30250D25"/>
    <w:rsid w:val="3025488D"/>
    <w:rsid w:val="303015ED"/>
    <w:rsid w:val="3044084D"/>
    <w:rsid w:val="30466CDD"/>
    <w:rsid w:val="30644D23"/>
    <w:rsid w:val="307750E9"/>
    <w:rsid w:val="30894E1C"/>
    <w:rsid w:val="30937A49"/>
    <w:rsid w:val="30B05F05"/>
    <w:rsid w:val="30C16223"/>
    <w:rsid w:val="30CD3408"/>
    <w:rsid w:val="30CF4EA4"/>
    <w:rsid w:val="30F57DBC"/>
    <w:rsid w:val="30F77FD8"/>
    <w:rsid w:val="30FA3624"/>
    <w:rsid w:val="31002A27"/>
    <w:rsid w:val="310A4AEB"/>
    <w:rsid w:val="310D2023"/>
    <w:rsid w:val="31230DCD"/>
    <w:rsid w:val="313308E4"/>
    <w:rsid w:val="31336B36"/>
    <w:rsid w:val="314D7BF8"/>
    <w:rsid w:val="315549CE"/>
    <w:rsid w:val="315B6318"/>
    <w:rsid w:val="3163741B"/>
    <w:rsid w:val="31783D7E"/>
    <w:rsid w:val="31857392"/>
    <w:rsid w:val="3186135C"/>
    <w:rsid w:val="318E1BB8"/>
    <w:rsid w:val="318F0210"/>
    <w:rsid w:val="319475D5"/>
    <w:rsid w:val="319976C6"/>
    <w:rsid w:val="319A711F"/>
    <w:rsid w:val="31A15954"/>
    <w:rsid w:val="31BC1D58"/>
    <w:rsid w:val="31E3230A"/>
    <w:rsid w:val="320643AF"/>
    <w:rsid w:val="32130E41"/>
    <w:rsid w:val="322159B3"/>
    <w:rsid w:val="322841C1"/>
    <w:rsid w:val="322D6302"/>
    <w:rsid w:val="32427031"/>
    <w:rsid w:val="32470AEB"/>
    <w:rsid w:val="32562ADC"/>
    <w:rsid w:val="326E437F"/>
    <w:rsid w:val="326F46E0"/>
    <w:rsid w:val="32780CA4"/>
    <w:rsid w:val="327A3BC6"/>
    <w:rsid w:val="327D450D"/>
    <w:rsid w:val="327F745D"/>
    <w:rsid w:val="3284589B"/>
    <w:rsid w:val="328E671A"/>
    <w:rsid w:val="32943604"/>
    <w:rsid w:val="32990C1B"/>
    <w:rsid w:val="329A6E6D"/>
    <w:rsid w:val="329D4BAF"/>
    <w:rsid w:val="32C24615"/>
    <w:rsid w:val="32CB013A"/>
    <w:rsid w:val="32D3412D"/>
    <w:rsid w:val="32E4458C"/>
    <w:rsid w:val="32E8120D"/>
    <w:rsid w:val="32F347CF"/>
    <w:rsid w:val="32F848CB"/>
    <w:rsid w:val="32FD564D"/>
    <w:rsid w:val="33007B2E"/>
    <w:rsid w:val="330306C4"/>
    <w:rsid w:val="330B1B18"/>
    <w:rsid w:val="33174961"/>
    <w:rsid w:val="3333106F"/>
    <w:rsid w:val="333560EC"/>
    <w:rsid w:val="33372EAB"/>
    <w:rsid w:val="3341378C"/>
    <w:rsid w:val="334C66DF"/>
    <w:rsid w:val="335C4122"/>
    <w:rsid w:val="335D1989"/>
    <w:rsid w:val="336E20A7"/>
    <w:rsid w:val="33786E01"/>
    <w:rsid w:val="337A0A4C"/>
    <w:rsid w:val="338056EA"/>
    <w:rsid w:val="33911204"/>
    <w:rsid w:val="339C174C"/>
    <w:rsid w:val="33A81058"/>
    <w:rsid w:val="33AF3D68"/>
    <w:rsid w:val="33AF6666"/>
    <w:rsid w:val="33B43F5E"/>
    <w:rsid w:val="33BE6F4E"/>
    <w:rsid w:val="33C10429"/>
    <w:rsid w:val="33C63C91"/>
    <w:rsid w:val="33CB572B"/>
    <w:rsid w:val="33CE657B"/>
    <w:rsid w:val="33EA3E24"/>
    <w:rsid w:val="33EB36F8"/>
    <w:rsid w:val="33EC7B9C"/>
    <w:rsid w:val="33FB0977"/>
    <w:rsid w:val="34034EE6"/>
    <w:rsid w:val="340842AA"/>
    <w:rsid w:val="34160775"/>
    <w:rsid w:val="341C53BA"/>
    <w:rsid w:val="342C131A"/>
    <w:rsid w:val="34312EC5"/>
    <w:rsid w:val="34413DCC"/>
    <w:rsid w:val="344A041F"/>
    <w:rsid w:val="34525525"/>
    <w:rsid w:val="3478517B"/>
    <w:rsid w:val="347C39A8"/>
    <w:rsid w:val="34847DD4"/>
    <w:rsid w:val="34853B4C"/>
    <w:rsid w:val="34A8670B"/>
    <w:rsid w:val="34AE30A3"/>
    <w:rsid w:val="34B34723"/>
    <w:rsid w:val="34BD4BA2"/>
    <w:rsid w:val="34E41339"/>
    <w:rsid w:val="34E46AC5"/>
    <w:rsid w:val="34E72BCE"/>
    <w:rsid w:val="34EB6364"/>
    <w:rsid w:val="34F565DC"/>
    <w:rsid w:val="34FC6D29"/>
    <w:rsid w:val="350A71A3"/>
    <w:rsid w:val="35132F06"/>
    <w:rsid w:val="35150A2C"/>
    <w:rsid w:val="35301D0A"/>
    <w:rsid w:val="35373099"/>
    <w:rsid w:val="3538296D"/>
    <w:rsid w:val="354E440C"/>
    <w:rsid w:val="358A766C"/>
    <w:rsid w:val="358B1BF2"/>
    <w:rsid w:val="358B2CE3"/>
    <w:rsid w:val="358C26FA"/>
    <w:rsid w:val="35B317E4"/>
    <w:rsid w:val="35BE2E72"/>
    <w:rsid w:val="35C32BDC"/>
    <w:rsid w:val="35CB37E1"/>
    <w:rsid w:val="35D5640E"/>
    <w:rsid w:val="35F66AB0"/>
    <w:rsid w:val="36015455"/>
    <w:rsid w:val="36054F45"/>
    <w:rsid w:val="36076DF4"/>
    <w:rsid w:val="360C62D3"/>
    <w:rsid w:val="36343134"/>
    <w:rsid w:val="364610BA"/>
    <w:rsid w:val="36724494"/>
    <w:rsid w:val="3679649B"/>
    <w:rsid w:val="367D0F7F"/>
    <w:rsid w:val="36826C31"/>
    <w:rsid w:val="368F0CBF"/>
    <w:rsid w:val="36916FED"/>
    <w:rsid w:val="36926214"/>
    <w:rsid w:val="36A469C4"/>
    <w:rsid w:val="36A521D9"/>
    <w:rsid w:val="36D4098E"/>
    <w:rsid w:val="36E01BEB"/>
    <w:rsid w:val="36F55EAA"/>
    <w:rsid w:val="370F0532"/>
    <w:rsid w:val="37113475"/>
    <w:rsid w:val="372B09DB"/>
    <w:rsid w:val="372B33F7"/>
    <w:rsid w:val="374803A6"/>
    <w:rsid w:val="376712E7"/>
    <w:rsid w:val="37763F45"/>
    <w:rsid w:val="3784095E"/>
    <w:rsid w:val="37895E9F"/>
    <w:rsid w:val="37A34A15"/>
    <w:rsid w:val="37E40B8A"/>
    <w:rsid w:val="37EA2644"/>
    <w:rsid w:val="37EB1F18"/>
    <w:rsid w:val="37F13802"/>
    <w:rsid w:val="37FE7E9E"/>
    <w:rsid w:val="38044D88"/>
    <w:rsid w:val="3806031D"/>
    <w:rsid w:val="382C513A"/>
    <w:rsid w:val="383A69FC"/>
    <w:rsid w:val="38417D8A"/>
    <w:rsid w:val="3842422E"/>
    <w:rsid w:val="38526F7A"/>
    <w:rsid w:val="385D5DEF"/>
    <w:rsid w:val="386C12AB"/>
    <w:rsid w:val="38735A0D"/>
    <w:rsid w:val="387A2F34"/>
    <w:rsid w:val="387C555A"/>
    <w:rsid w:val="387E2D8D"/>
    <w:rsid w:val="388C7B14"/>
    <w:rsid w:val="389C521D"/>
    <w:rsid w:val="38B30C88"/>
    <w:rsid w:val="38E1756D"/>
    <w:rsid w:val="38E52970"/>
    <w:rsid w:val="38EA21D0"/>
    <w:rsid w:val="38F372D7"/>
    <w:rsid w:val="38F65019"/>
    <w:rsid w:val="38FB43DD"/>
    <w:rsid w:val="3950579F"/>
    <w:rsid w:val="39525EA7"/>
    <w:rsid w:val="39641F82"/>
    <w:rsid w:val="39684912"/>
    <w:rsid w:val="397441F3"/>
    <w:rsid w:val="398919E9"/>
    <w:rsid w:val="399F120C"/>
    <w:rsid w:val="39A16C97"/>
    <w:rsid w:val="39A24859"/>
    <w:rsid w:val="39A56B84"/>
    <w:rsid w:val="39A77BB2"/>
    <w:rsid w:val="39AA099D"/>
    <w:rsid w:val="39AD5743"/>
    <w:rsid w:val="39BE5B37"/>
    <w:rsid w:val="39C9371E"/>
    <w:rsid w:val="39CD1EE3"/>
    <w:rsid w:val="39CD78A2"/>
    <w:rsid w:val="39D1471A"/>
    <w:rsid w:val="39ED6FFB"/>
    <w:rsid w:val="3A2B24E4"/>
    <w:rsid w:val="3A81200E"/>
    <w:rsid w:val="3A850402"/>
    <w:rsid w:val="3A9643BE"/>
    <w:rsid w:val="3A9B19D4"/>
    <w:rsid w:val="3A9C399E"/>
    <w:rsid w:val="3A9C574C"/>
    <w:rsid w:val="3AA52E29"/>
    <w:rsid w:val="3AA91B3C"/>
    <w:rsid w:val="3ABB7AA2"/>
    <w:rsid w:val="3AD1189A"/>
    <w:rsid w:val="3AD62A0C"/>
    <w:rsid w:val="3ADE1089"/>
    <w:rsid w:val="3AE129CE"/>
    <w:rsid w:val="3AEF1D20"/>
    <w:rsid w:val="3AFD68A7"/>
    <w:rsid w:val="3B080344"/>
    <w:rsid w:val="3B0D7C90"/>
    <w:rsid w:val="3B1F45BC"/>
    <w:rsid w:val="3B255741"/>
    <w:rsid w:val="3B345984"/>
    <w:rsid w:val="3B36794F"/>
    <w:rsid w:val="3B367AA6"/>
    <w:rsid w:val="3B437161"/>
    <w:rsid w:val="3B4A51A8"/>
    <w:rsid w:val="3B506C62"/>
    <w:rsid w:val="3B514FD2"/>
    <w:rsid w:val="3B693880"/>
    <w:rsid w:val="3B854AB6"/>
    <w:rsid w:val="3B8E1539"/>
    <w:rsid w:val="3B9D177C"/>
    <w:rsid w:val="3B9D718C"/>
    <w:rsid w:val="3BA046F2"/>
    <w:rsid w:val="3BA50630"/>
    <w:rsid w:val="3BAB3DDD"/>
    <w:rsid w:val="3BB80364"/>
    <w:rsid w:val="3BC66F24"/>
    <w:rsid w:val="3BD80550"/>
    <w:rsid w:val="3BE56E1B"/>
    <w:rsid w:val="3BED2DB3"/>
    <w:rsid w:val="3C1566CE"/>
    <w:rsid w:val="3C215F09"/>
    <w:rsid w:val="3C4075D1"/>
    <w:rsid w:val="3C436B55"/>
    <w:rsid w:val="3C595E61"/>
    <w:rsid w:val="3C622D83"/>
    <w:rsid w:val="3C7324DC"/>
    <w:rsid w:val="3C912FDB"/>
    <w:rsid w:val="3CAA7145"/>
    <w:rsid w:val="3CB74ABF"/>
    <w:rsid w:val="3CC0618E"/>
    <w:rsid w:val="3CC35212"/>
    <w:rsid w:val="3CC828E4"/>
    <w:rsid w:val="3CCA2A44"/>
    <w:rsid w:val="3CCD42E3"/>
    <w:rsid w:val="3CD14C56"/>
    <w:rsid w:val="3CD25455"/>
    <w:rsid w:val="3CD87391"/>
    <w:rsid w:val="3CD92C87"/>
    <w:rsid w:val="3CFD6976"/>
    <w:rsid w:val="3D1D70A7"/>
    <w:rsid w:val="3D2263DC"/>
    <w:rsid w:val="3D2C1009"/>
    <w:rsid w:val="3D502922"/>
    <w:rsid w:val="3D520A5C"/>
    <w:rsid w:val="3D605157"/>
    <w:rsid w:val="3D980813"/>
    <w:rsid w:val="3D9E1724"/>
    <w:rsid w:val="3DA87AD9"/>
    <w:rsid w:val="3DE60DD6"/>
    <w:rsid w:val="3E004349"/>
    <w:rsid w:val="3E0F7B1D"/>
    <w:rsid w:val="3E1A79B5"/>
    <w:rsid w:val="3E234AB8"/>
    <w:rsid w:val="3E396336"/>
    <w:rsid w:val="3E4009FD"/>
    <w:rsid w:val="3E444130"/>
    <w:rsid w:val="3E4C5577"/>
    <w:rsid w:val="3E595E2E"/>
    <w:rsid w:val="3E5C1BAD"/>
    <w:rsid w:val="3E601D82"/>
    <w:rsid w:val="3E646581"/>
    <w:rsid w:val="3E9230EE"/>
    <w:rsid w:val="3E9461C5"/>
    <w:rsid w:val="3E9F6F17"/>
    <w:rsid w:val="3EA37CD2"/>
    <w:rsid w:val="3EBE232B"/>
    <w:rsid w:val="3EDF3E59"/>
    <w:rsid w:val="3EE06168"/>
    <w:rsid w:val="3EE85404"/>
    <w:rsid w:val="3F08304A"/>
    <w:rsid w:val="3F141725"/>
    <w:rsid w:val="3F1B1335"/>
    <w:rsid w:val="3F200257"/>
    <w:rsid w:val="3F2006FA"/>
    <w:rsid w:val="3F286DBF"/>
    <w:rsid w:val="3F626F64"/>
    <w:rsid w:val="3F7B6278"/>
    <w:rsid w:val="3F8D1475"/>
    <w:rsid w:val="3F975C22"/>
    <w:rsid w:val="3FA70E1B"/>
    <w:rsid w:val="3FAF1A7E"/>
    <w:rsid w:val="3FB5178A"/>
    <w:rsid w:val="3FBB48C6"/>
    <w:rsid w:val="3FC419A7"/>
    <w:rsid w:val="3FC64109"/>
    <w:rsid w:val="3FCC77A7"/>
    <w:rsid w:val="3FD65247"/>
    <w:rsid w:val="3FDB385A"/>
    <w:rsid w:val="3FDF6807"/>
    <w:rsid w:val="3FE23C01"/>
    <w:rsid w:val="3FE3145D"/>
    <w:rsid w:val="3FE71217"/>
    <w:rsid w:val="400420D2"/>
    <w:rsid w:val="40061FE5"/>
    <w:rsid w:val="400E0CEC"/>
    <w:rsid w:val="4022565B"/>
    <w:rsid w:val="402266F3"/>
    <w:rsid w:val="403629A3"/>
    <w:rsid w:val="403B122D"/>
    <w:rsid w:val="404B007A"/>
    <w:rsid w:val="405A7C3B"/>
    <w:rsid w:val="405B7334"/>
    <w:rsid w:val="405C70C5"/>
    <w:rsid w:val="40676C84"/>
    <w:rsid w:val="406B3BF6"/>
    <w:rsid w:val="40833636"/>
    <w:rsid w:val="40951929"/>
    <w:rsid w:val="40C31C84"/>
    <w:rsid w:val="40CD2BBC"/>
    <w:rsid w:val="40CE74E8"/>
    <w:rsid w:val="40D55514"/>
    <w:rsid w:val="40D7128C"/>
    <w:rsid w:val="40E90FBF"/>
    <w:rsid w:val="40EF5FEC"/>
    <w:rsid w:val="40FE0F0E"/>
    <w:rsid w:val="41107AF2"/>
    <w:rsid w:val="4114603C"/>
    <w:rsid w:val="411470B2"/>
    <w:rsid w:val="412D70FE"/>
    <w:rsid w:val="41390199"/>
    <w:rsid w:val="41561B7B"/>
    <w:rsid w:val="41596145"/>
    <w:rsid w:val="415D5C35"/>
    <w:rsid w:val="415F2382"/>
    <w:rsid w:val="41644CA3"/>
    <w:rsid w:val="41686388"/>
    <w:rsid w:val="417C604D"/>
    <w:rsid w:val="418238EE"/>
    <w:rsid w:val="41DF75B5"/>
    <w:rsid w:val="41F30347"/>
    <w:rsid w:val="41F320F5"/>
    <w:rsid w:val="421568CA"/>
    <w:rsid w:val="422229DB"/>
    <w:rsid w:val="422F2C0A"/>
    <w:rsid w:val="424E6416"/>
    <w:rsid w:val="427C658F"/>
    <w:rsid w:val="42957651"/>
    <w:rsid w:val="42997BDD"/>
    <w:rsid w:val="42AC4D28"/>
    <w:rsid w:val="42B60CBA"/>
    <w:rsid w:val="42BA4570"/>
    <w:rsid w:val="42BB1E4A"/>
    <w:rsid w:val="42C43A92"/>
    <w:rsid w:val="42CD6DEA"/>
    <w:rsid w:val="42CF150C"/>
    <w:rsid w:val="42DB62DB"/>
    <w:rsid w:val="42F40D87"/>
    <w:rsid w:val="43157031"/>
    <w:rsid w:val="431A58BB"/>
    <w:rsid w:val="431F6F1A"/>
    <w:rsid w:val="43204D6E"/>
    <w:rsid w:val="433E0C67"/>
    <w:rsid w:val="434171A0"/>
    <w:rsid w:val="434F476D"/>
    <w:rsid w:val="435B43F6"/>
    <w:rsid w:val="43661D30"/>
    <w:rsid w:val="436C09A1"/>
    <w:rsid w:val="436E0D52"/>
    <w:rsid w:val="436F047F"/>
    <w:rsid w:val="436F39FE"/>
    <w:rsid w:val="436F7EA2"/>
    <w:rsid w:val="437B082C"/>
    <w:rsid w:val="43863FBF"/>
    <w:rsid w:val="43A055EF"/>
    <w:rsid w:val="43AC4C52"/>
    <w:rsid w:val="43BA63BC"/>
    <w:rsid w:val="43D441A9"/>
    <w:rsid w:val="43D67F21"/>
    <w:rsid w:val="43DF61E6"/>
    <w:rsid w:val="43E56FFE"/>
    <w:rsid w:val="43F63C91"/>
    <w:rsid w:val="44033175"/>
    <w:rsid w:val="44071DF4"/>
    <w:rsid w:val="44071E88"/>
    <w:rsid w:val="442347E8"/>
    <w:rsid w:val="44384517"/>
    <w:rsid w:val="443F7874"/>
    <w:rsid w:val="445552E9"/>
    <w:rsid w:val="445B2639"/>
    <w:rsid w:val="445F3A72"/>
    <w:rsid w:val="44894274"/>
    <w:rsid w:val="44C77869"/>
    <w:rsid w:val="44CF5CFB"/>
    <w:rsid w:val="44D51F86"/>
    <w:rsid w:val="44D73F50"/>
    <w:rsid w:val="44D858AE"/>
    <w:rsid w:val="44E70410"/>
    <w:rsid w:val="44F20D8A"/>
    <w:rsid w:val="452B604A"/>
    <w:rsid w:val="452D3C06"/>
    <w:rsid w:val="453C0257"/>
    <w:rsid w:val="453D40FD"/>
    <w:rsid w:val="45406B12"/>
    <w:rsid w:val="454C4F1F"/>
    <w:rsid w:val="455A06DD"/>
    <w:rsid w:val="457C2402"/>
    <w:rsid w:val="4588524B"/>
    <w:rsid w:val="458C1DFB"/>
    <w:rsid w:val="458E46B3"/>
    <w:rsid w:val="458F482B"/>
    <w:rsid w:val="459E7F60"/>
    <w:rsid w:val="45C55FAA"/>
    <w:rsid w:val="45DA2E00"/>
    <w:rsid w:val="45DC2858"/>
    <w:rsid w:val="45DD6E08"/>
    <w:rsid w:val="45EF1111"/>
    <w:rsid w:val="45FB239D"/>
    <w:rsid w:val="460C7409"/>
    <w:rsid w:val="460D74FE"/>
    <w:rsid w:val="46496788"/>
    <w:rsid w:val="464A2500"/>
    <w:rsid w:val="464C0026"/>
    <w:rsid w:val="465D4CB9"/>
    <w:rsid w:val="4685263D"/>
    <w:rsid w:val="468E4AE3"/>
    <w:rsid w:val="46995238"/>
    <w:rsid w:val="46A61957"/>
    <w:rsid w:val="46B207DF"/>
    <w:rsid w:val="46B4516E"/>
    <w:rsid w:val="46B86825"/>
    <w:rsid w:val="46EA07B2"/>
    <w:rsid w:val="46F506BE"/>
    <w:rsid w:val="46F82CC1"/>
    <w:rsid w:val="46FA3F26"/>
    <w:rsid w:val="4703337B"/>
    <w:rsid w:val="47150D60"/>
    <w:rsid w:val="471E65B1"/>
    <w:rsid w:val="471F1784"/>
    <w:rsid w:val="47242D51"/>
    <w:rsid w:val="473311E6"/>
    <w:rsid w:val="47347438"/>
    <w:rsid w:val="474074AC"/>
    <w:rsid w:val="474A0C9A"/>
    <w:rsid w:val="47595427"/>
    <w:rsid w:val="475A2341"/>
    <w:rsid w:val="4760647F"/>
    <w:rsid w:val="47A04ACD"/>
    <w:rsid w:val="47A72EC9"/>
    <w:rsid w:val="47B71E17"/>
    <w:rsid w:val="47CA7D9C"/>
    <w:rsid w:val="47CB7671"/>
    <w:rsid w:val="47CC40D8"/>
    <w:rsid w:val="47DB5B06"/>
    <w:rsid w:val="47EC6D96"/>
    <w:rsid w:val="47EE3067"/>
    <w:rsid w:val="47FC6F33"/>
    <w:rsid w:val="47FE17F4"/>
    <w:rsid w:val="48082673"/>
    <w:rsid w:val="480B5E01"/>
    <w:rsid w:val="480C7234"/>
    <w:rsid w:val="480E3260"/>
    <w:rsid w:val="48480CC1"/>
    <w:rsid w:val="48597B07"/>
    <w:rsid w:val="48691B36"/>
    <w:rsid w:val="48735B79"/>
    <w:rsid w:val="48741AB6"/>
    <w:rsid w:val="487B1097"/>
    <w:rsid w:val="48867F2D"/>
    <w:rsid w:val="48877A3B"/>
    <w:rsid w:val="488C0CE1"/>
    <w:rsid w:val="489C2DB7"/>
    <w:rsid w:val="489E1D09"/>
    <w:rsid w:val="48A028AB"/>
    <w:rsid w:val="48A71E8C"/>
    <w:rsid w:val="48B60321"/>
    <w:rsid w:val="48BD520B"/>
    <w:rsid w:val="48C1039E"/>
    <w:rsid w:val="48C36A60"/>
    <w:rsid w:val="48EB1D78"/>
    <w:rsid w:val="490023BE"/>
    <w:rsid w:val="491D3EFC"/>
    <w:rsid w:val="491F1A22"/>
    <w:rsid w:val="493666B5"/>
    <w:rsid w:val="49374FBE"/>
    <w:rsid w:val="493F20C4"/>
    <w:rsid w:val="49470F79"/>
    <w:rsid w:val="494877A6"/>
    <w:rsid w:val="49663358"/>
    <w:rsid w:val="496F29A9"/>
    <w:rsid w:val="49724393"/>
    <w:rsid w:val="497C0C22"/>
    <w:rsid w:val="497F6965"/>
    <w:rsid w:val="49942410"/>
    <w:rsid w:val="499441BE"/>
    <w:rsid w:val="49975BE8"/>
    <w:rsid w:val="49C425C9"/>
    <w:rsid w:val="49EF3581"/>
    <w:rsid w:val="49F66C27"/>
    <w:rsid w:val="49FA5FEB"/>
    <w:rsid w:val="4A080708"/>
    <w:rsid w:val="4A0B218D"/>
    <w:rsid w:val="4A1C69A8"/>
    <w:rsid w:val="4A282B58"/>
    <w:rsid w:val="4A2C2648"/>
    <w:rsid w:val="4A372D9B"/>
    <w:rsid w:val="4A38723F"/>
    <w:rsid w:val="4A40486C"/>
    <w:rsid w:val="4A45370A"/>
    <w:rsid w:val="4A547DF1"/>
    <w:rsid w:val="4A5676C5"/>
    <w:rsid w:val="4A5A4C2D"/>
    <w:rsid w:val="4A791606"/>
    <w:rsid w:val="4A9B5A20"/>
    <w:rsid w:val="4AA541A9"/>
    <w:rsid w:val="4AC24D5B"/>
    <w:rsid w:val="4AD3077D"/>
    <w:rsid w:val="4B1650A7"/>
    <w:rsid w:val="4B1F5D09"/>
    <w:rsid w:val="4B21248D"/>
    <w:rsid w:val="4B2B3A38"/>
    <w:rsid w:val="4B313C8F"/>
    <w:rsid w:val="4B3416A5"/>
    <w:rsid w:val="4B4D62F3"/>
    <w:rsid w:val="4B6D30DE"/>
    <w:rsid w:val="4B6D633F"/>
    <w:rsid w:val="4B7047B7"/>
    <w:rsid w:val="4B797CFE"/>
    <w:rsid w:val="4B80662D"/>
    <w:rsid w:val="4B96714B"/>
    <w:rsid w:val="4BA95F1B"/>
    <w:rsid w:val="4BB16CD5"/>
    <w:rsid w:val="4BB5666E"/>
    <w:rsid w:val="4BB723FD"/>
    <w:rsid w:val="4BE24520"/>
    <w:rsid w:val="4BEE2F77"/>
    <w:rsid w:val="4C0F1BEA"/>
    <w:rsid w:val="4C3C28EB"/>
    <w:rsid w:val="4C515534"/>
    <w:rsid w:val="4C87625C"/>
    <w:rsid w:val="4CA56323"/>
    <w:rsid w:val="4CE17D3A"/>
    <w:rsid w:val="4CF66F3E"/>
    <w:rsid w:val="4D0478AD"/>
    <w:rsid w:val="4D0A4797"/>
    <w:rsid w:val="4D187642"/>
    <w:rsid w:val="4D1E6EDE"/>
    <w:rsid w:val="4D241CFD"/>
    <w:rsid w:val="4D2553D4"/>
    <w:rsid w:val="4D2D3174"/>
    <w:rsid w:val="4D2F41FE"/>
    <w:rsid w:val="4D56422A"/>
    <w:rsid w:val="4D5D520F"/>
    <w:rsid w:val="4D6F3B43"/>
    <w:rsid w:val="4D712FDA"/>
    <w:rsid w:val="4D746E8E"/>
    <w:rsid w:val="4D800456"/>
    <w:rsid w:val="4D862070"/>
    <w:rsid w:val="4D92310A"/>
    <w:rsid w:val="4D9D385D"/>
    <w:rsid w:val="4DBC0187"/>
    <w:rsid w:val="4DC4703C"/>
    <w:rsid w:val="4DCD7C9F"/>
    <w:rsid w:val="4DE17BEE"/>
    <w:rsid w:val="4DF47921"/>
    <w:rsid w:val="4E1E6324"/>
    <w:rsid w:val="4E2016DA"/>
    <w:rsid w:val="4E324336"/>
    <w:rsid w:val="4E4F4B57"/>
    <w:rsid w:val="4E5C1A72"/>
    <w:rsid w:val="4E615284"/>
    <w:rsid w:val="4E922C96"/>
    <w:rsid w:val="4EA64556"/>
    <w:rsid w:val="4EAD29E4"/>
    <w:rsid w:val="4EC310A1"/>
    <w:rsid w:val="4EDE5EDB"/>
    <w:rsid w:val="4F043B94"/>
    <w:rsid w:val="4F0B1CD9"/>
    <w:rsid w:val="4F194B69"/>
    <w:rsid w:val="4F1B205A"/>
    <w:rsid w:val="4F2A7373"/>
    <w:rsid w:val="4F2E5442"/>
    <w:rsid w:val="4F2F1144"/>
    <w:rsid w:val="4F30313F"/>
    <w:rsid w:val="4F52580A"/>
    <w:rsid w:val="4F691C49"/>
    <w:rsid w:val="4F6922EE"/>
    <w:rsid w:val="4F6A776F"/>
    <w:rsid w:val="4F702FD7"/>
    <w:rsid w:val="4F707F08"/>
    <w:rsid w:val="4F9273F2"/>
    <w:rsid w:val="4FA67A9F"/>
    <w:rsid w:val="4FCA3829"/>
    <w:rsid w:val="4FCC3F86"/>
    <w:rsid w:val="4FD277EE"/>
    <w:rsid w:val="4FDA7D75"/>
    <w:rsid w:val="4FF57980"/>
    <w:rsid w:val="50047DE1"/>
    <w:rsid w:val="500D4CCA"/>
    <w:rsid w:val="501E6ED7"/>
    <w:rsid w:val="501F67AB"/>
    <w:rsid w:val="50334D3D"/>
    <w:rsid w:val="507C775A"/>
    <w:rsid w:val="508D5E0B"/>
    <w:rsid w:val="508F1B83"/>
    <w:rsid w:val="509466EB"/>
    <w:rsid w:val="50B25281"/>
    <w:rsid w:val="50D457E8"/>
    <w:rsid w:val="50DE0415"/>
    <w:rsid w:val="50E03AAA"/>
    <w:rsid w:val="50E579F5"/>
    <w:rsid w:val="50E87836"/>
    <w:rsid w:val="50EA500B"/>
    <w:rsid w:val="50F83282"/>
    <w:rsid w:val="50F97C41"/>
    <w:rsid w:val="50FB4B23"/>
    <w:rsid w:val="51022355"/>
    <w:rsid w:val="51173459"/>
    <w:rsid w:val="51265C7E"/>
    <w:rsid w:val="514814EC"/>
    <w:rsid w:val="5153670D"/>
    <w:rsid w:val="515E4990"/>
    <w:rsid w:val="515F1555"/>
    <w:rsid w:val="518A5EA7"/>
    <w:rsid w:val="51932C78"/>
    <w:rsid w:val="51A83B47"/>
    <w:rsid w:val="51AB6549"/>
    <w:rsid w:val="51AC22C1"/>
    <w:rsid w:val="51B17E6B"/>
    <w:rsid w:val="51CB2747"/>
    <w:rsid w:val="51CB6BEB"/>
    <w:rsid w:val="51DB032E"/>
    <w:rsid w:val="51EB4B97"/>
    <w:rsid w:val="51EE6435"/>
    <w:rsid w:val="5201260D"/>
    <w:rsid w:val="52046E85"/>
    <w:rsid w:val="52072F1E"/>
    <w:rsid w:val="5217644D"/>
    <w:rsid w:val="523F4EE3"/>
    <w:rsid w:val="524620FA"/>
    <w:rsid w:val="52497B10"/>
    <w:rsid w:val="5274360D"/>
    <w:rsid w:val="52756B57"/>
    <w:rsid w:val="528B07FA"/>
    <w:rsid w:val="5291683B"/>
    <w:rsid w:val="52972F71"/>
    <w:rsid w:val="52BF7DD2"/>
    <w:rsid w:val="52DA5E34"/>
    <w:rsid w:val="530A3743"/>
    <w:rsid w:val="531C3B06"/>
    <w:rsid w:val="53357D59"/>
    <w:rsid w:val="53395DD6"/>
    <w:rsid w:val="533D7674"/>
    <w:rsid w:val="5347038D"/>
    <w:rsid w:val="534A6CD4"/>
    <w:rsid w:val="534E7AD3"/>
    <w:rsid w:val="538B4884"/>
    <w:rsid w:val="53A63921"/>
    <w:rsid w:val="53AC47FA"/>
    <w:rsid w:val="53B06098"/>
    <w:rsid w:val="53CC5791"/>
    <w:rsid w:val="53D95D45"/>
    <w:rsid w:val="53DA1367"/>
    <w:rsid w:val="53EB53BD"/>
    <w:rsid w:val="53F8359B"/>
    <w:rsid w:val="53FD0BB2"/>
    <w:rsid w:val="54106B37"/>
    <w:rsid w:val="541D1254"/>
    <w:rsid w:val="543C5B7E"/>
    <w:rsid w:val="54505185"/>
    <w:rsid w:val="54534C76"/>
    <w:rsid w:val="545671EC"/>
    <w:rsid w:val="545A24A8"/>
    <w:rsid w:val="545A4256"/>
    <w:rsid w:val="54611097"/>
    <w:rsid w:val="5487370E"/>
    <w:rsid w:val="54C0055D"/>
    <w:rsid w:val="54CD4A28"/>
    <w:rsid w:val="54D15F1A"/>
    <w:rsid w:val="54D264E2"/>
    <w:rsid w:val="54D65699"/>
    <w:rsid w:val="54E01D6C"/>
    <w:rsid w:val="54E47B17"/>
    <w:rsid w:val="54E9481D"/>
    <w:rsid w:val="54F226E1"/>
    <w:rsid w:val="54F55833"/>
    <w:rsid w:val="55094443"/>
    <w:rsid w:val="554127C0"/>
    <w:rsid w:val="55452810"/>
    <w:rsid w:val="55560EC1"/>
    <w:rsid w:val="5566141F"/>
    <w:rsid w:val="556F788D"/>
    <w:rsid w:val="55712719"/>
    <w:rsid w:val="5579695E"/>
    <w:rsid w:val="557D19A9"/>
    <w:rsid w:val="5580080A"/>
    <w:rsid w:val="559E63C4"/>
    <w:rsid w:val="55B87486"/>
    <w:rsid w:val="55C470D8"/>
    <w:rsid w:val="55CE6CAA"/>
    <w:rsid w:val="55D122F6"/>
    <w:rsid w:val="55DB702C"/>
    <w:rsid w:val="55DF5DA8"/>
    <w:rsid w:val="55E02539"/>
    <w:rsid w:val="55EF136D"/>
    <w:rsid w:val="55F55C55"/>
    <w:rsid w:val="55FD758F"/>
    <w:rsid w:val="56177EC9"/>
    <w:rsid w:val="56256C9C"/>
    <w:rsid w:val="562B5EAA"/>
    <w:rsid w:val="5635492A"/>
    <w:rsid w:val="567540C3"/>
    <w:rsid w:val="5684052B"/>
    <w:rsid w:val="56921A85"/>
    <w:rsid w:val="569976E5"/>
    <w:rsid w:val="56B0015D"/>
    <w:rsid w:val="56E16569"/>
    <w:rsid w:val="56F25D16"/>
    <w:rsid w:val="56F72230"/>
    <w:rsid w:val="56F770C8"/>
    <w:rsid w:val="56F95FA8"/>
    <w:rsid w:val="570B7A8A"/>
    <w:rsid w:val="570F0DAD"/>
    <w:rsid w:val="57136DC9"/>
    <w:rsid w:val="571C1C97"/>
    <w:rsid w:val="57211FE5"/>
    <w:rsid w:val="57342B3C"/>
    <w:rsid w:val="57362D58"/>
    <w:rsid w:val="57394670"/>
    <w:rsid w:val="57443D1C"/>
    <w:rsid w:val="574B7E86"/>
    <w:rsid w:val="575738E1"/>
    <w:rsid w:val="57603931"/>
    <w:rsid w:val="5769056B"/>
    <w:rsid w:val="57713D91"/>
    <w:rsid w:val="57715B3F"/>
    <w:rsid w:val="577949F3"/>
    <w:rsid w:val="579730CB"/>
    <w:rsid w:val="579B705F"/>
    <w:rsid w:val="57C76D6E"/>
    <w:rsid w:val="57EA3B43"/>
    <w:rsid w:val="57F246BE"/>
    <w:rsid w:val="57F648EB"/>
    <w:rsid w:val="5809221B"/>
    <w:rsid w:val="5814296E"/>
    <w:rsid w:val="5817739E"/>
    <w:rsid w:val="581C337E"/>
    <w:rsid w:val="582B03E3"/>
    <w:rsid w:val="585A65D3"/>
    <w:rsid w:val="585F0D52"/>
    <w:rsid w:val="586525C2"/>
    <w:rsid w:val="586557AC"/>
    <w:rsid w:val="5867455C"/>
    <w:rsid w:val="586B2F4C"/>
    <w:rsid w:val="586C6306"/>
    <w:rsid w:val="587A5C94"/>
    <w:rsid w:val="588B42F5"/>
    <w:rsid w:val="588D4BFA"/>
    <w:rsid w:val="58A81A34"/>
    <w:rsid w:val="58B42919"/>
    <w:rsid w:val="58C139D3"/>
    <w:rsid w:val="58C93758"/>
    <w:rsid w:val="58DE5456"/>
    <w:rsid w:val="58E42340"/>
    <w:rsid w:val="58EB0C71"/>
    <w:rsid w:val="590649AC"/>
    <w:rsid w:val="59205A6E"/>
    <w:rsid w:val="592D709F"/>
    <w:rsid w:val="59354808"/>
    <w:rsid w:val="5939268C"/>
    <w:rsid w:val="59617E35"/>
    <w:rsid w:val="596E25BB"/>
    <w:rsid w:val="59722042"/>
    <w:rsid w:val="59777658"/>
    <w:rsid w:val="59796F2C"/>
    <w:rsid w:val="599E0ACF"/>
    <w:rsid w:val="59AD3D34"/>
    <w:rsid w:val="59B03888"/>
    <w:rsid w:val="59C503C4"/>
    <w:rsid w:val="59F91818"/>
    <w:rsid w:val="5A0F163F"/>
    <w:rsid w:val="5A132EDD"/>
    <w:rsid w:val="5A172243"/>
    <w:rsid w:val="5A196ED2"/>
    <w:rsid w:val="5A3317D1"/>
    <w:rsid w:val="5A395B76"/>
    <w:rsid w:val="5A432F55"/>
    <w:rsid w:val="5A5878B5"/>
    <w:rsid w:val="5A8E2EAB"/>
    <w:rsid w:val="5A9F65FD"/>
    <w:rsid w:val="5AA2093F"/>
    <w:rsid w:val="5AA95EA4"/>
    <w:rsid w:val="5AD63E09"/>
    <w:rsid w:val="5AE96334"/>
    <w:rsid w:val="5AF0434A"/>
    <w:rsid w:val="5B123195"/>
    <w:rsid w:val="5B170624"/>
    <w:rsid w:val="5B223606"/>
    <w:rsid w:val="5B2630E4"/>
    <w:rsid w:val="5B266C40"/>
    <w:rsid w:val="5B280C0A"/>
    <w:rsid w:val="5B4332B6"/>
    <w:rsid w:val="5B4B66A7"/>
    <w:rsid w:val="5B5E0F00"/>
    <w:rsid w:val="5B9E7C72"/>
    <w:rsid w:val="5BA87F9D"/>
    <w:rsid w:val="5BAF4E87"/>
    <w:rsid w:val="5BD35C8E"/>
    <w:rsid w:val="5BD963A8"/>
    <w:rsid w:val="5BDE39BF"/>
    <w:rsid w:val="5BE65C1B"/>
    <w:rsid w:val="5BFD68E7"/>
    <w:rsid w:val="5BFE5D5C"/>
    <w:rsid w:val="5C1271C4"/>
    <w:rsid w:val="5C2F421A"/>
    <w:rsid w:val="5C3A276B"/>
    <w:rsid w:val="5C460DA8"/>
    <w:rsid w:val="5C4E18EC"/>
    <w:rsid w:val="5C523E96"/>
    <w:rsid w:val="5C675762"/>
    <w:rsid w:val="5C682BEC"/>
    <w:rsid w:val="5C806824"/>
    <w:rsid w:val="5C8400C2"/>
    <w:rsid w:val="5C9A1694"/>
    <w:rsid w:val="5C9D1184"/>
    <w:rsid w:val="5CA7123C"/>
    <w:rsid w:val="5CAE15E3"/>
    <w:rsid w:val="5CC42BB4"/>
    <w:rsid w:val="5CC826A5"/>
    <w:rsid w:val="5CDC7EFE"/>
    <w:rsid w:val="5CF74D38"/>
    <w:rsid w:val="5CF77950"/>
    <w:rsid w:val="5D101956"/>
    <w:rsid w:val="5D441D14"/>
    <w:rsid w:val="5D4C56D3"/>
    <w:rsid w:val="5D7F6ACF"/>
    <w:rsid w:val="5D972077"/>
    <w:rsid w:val="5DAE426C"/>
    <w:rsid w:val="5DAF467E"/>
    <w:rsid w:val="5DC97E04"/>
    <w:rsid w:val="5DCC7F73"/>
    <w:rsid w:val="5DCD04E0"/>
    <w:rsid w:val="5DD03A54"/>
    <w:rsid w:val="5DD15BF4"/>
    <w:rsid w:val="5DD21301"/>
    <w:rsid w:val="5DD25BBB"/>
    <w:rsid w:val="5E1D1CEB"/>
    <w:rsid w:val="5E23390B"/>
    <w:rsid w:val="5E311C0C"/>
    <w:rsid w:val="5E435D5B"/>
    <w:rsid w:val="5E895C8E"/>
    <w:rsid w:val="5E912F6A"/>
    <w:rsid w:val="5ED510A9"/>
    <w:rsid w:val="5EF36BCD"/>
    <w:rsid w:val="5EF808F3"/>
    <w:rsid w:val="5F20216B"/>
    <w:rsid w:val="5F304531"/>
    <w:rsid w:val="5F36439B"/>
    <w:rsid w:val="5F3D27AA"/>
    <w:rsid w:val="5F4B3119"/>
    <w:rsid w:val="5F755A2A"/>
    <w:rsid w:val="5F814D8D"/>
    <w:rsid w:val="5F8959EF"/>
    <w:rsid w:val="5F920D48"/>
    <w:rsid w:val="5FA40A7B"/>
    <w:rsid w:val="5FB07420"/>
    <w:rsid w:val="5FC04410"/>
    <w:rsid w:val="5FC652C4"/>
    <w:rsid w:val="5FC845C3"/>
    <w:rsid w:val="5FCB6F0A"/>
    <w:rsid w:val="5FDF4A74"/>
    <w:rsid w:val="5FE62E42"/>
    <w:rsid w:val="5FF76DFD"/>
    <w:rsid w:val="60031D45"/>
    <w:rsid w:val="600D38A8"/>
    <w:rsid w:val="6016735B"/>
    <w:rsid w:val="601C6864"/>
    <w:rsid w:val="601F4747"/>
    <w:rsid w:val="602F6597"/>
    <w:rsid w:val="603911C4"/>
    <w:rsid w:val="6052321D"/>
    <w:rsid w:val="60696BC9"/>
    <w:rsid w:val="608508AD"/>
    <w:rsid w:val="608F7035"/>
    <w:rsid w:val="60912DAE"/>
    <w:rsid w:val="60A42170"/>
    <w:rsid w:val="60E5134B"/>
    <w:rsid w:val="60F375C4"/>
    <w:rsid w:val="60FD45FF"/>
    <w:rsid w:val="611A0FF5"/>
    <w:rsid w:val="612B3202"/>
    <w:rsid w:val="615A5895"/>
    <w:rsid w:val="616008F1"/>
    <w:rsid w:val="616E30EF"/>
    <w:rsid w:val="617C3A5E"/>
    <w:rsid w:val="61847169"/>
    <w:rsid w:val="618625DD"/>
    <w:rsid w:val="61903065"/>
    <w:rsid w:val="61932B55"/>
    <w:rsid w:val="61B7149D"/>
    <w:rsid w:val="61CA1B71"/>
    <w:rsid w:val="61D23D1C"/>
    <w:rsid w:val="61E138C1"/>
    <w:rsid w:val="61EF4230"/>
    <w:rsid w:val="620852F1"/>
    <w:rsid w:val="621048C9"/>
    <w:rsid w:val="6210694A"/>
    <w:rsid w:val="621231A6"/>
    <w:rsid w:val="621641CF"/>
    <w:rsid w:val="62210161"/>
    <w:rsid w:val="622A34BA"/>
    <w:rsid w:val="623474D6"/>
    <w:rsid w:val="623E0D13"/>
    <w:rsid w:val="6240013D"/>
    <w:rsid w:val="624F1172"/>
    <w:rsid w:val="62586279"/>
    <w:rsid w:val="62652744"/>
    <w:rsid w:val="627B2EB3"/>
    <w:rsid w:val="62861F1F"/>
    <w:rsid w:val="628A21AA"/>
    <w:rsid w:val="629139EC"/>
    <w:rsid w:val="62917095"/>
    <w:rsid w:val="62946B85"/>
    <w:rsid w:val="62A16A87"/>
    <w:rsid w:val="62CA07F9"/>
    <w:rsid w:val="62CF7FE7"/>
    <w:rsid w:val="62D7597B"/>
    <w:rsid w:val="62D94CCA"/>
    <w:rsid w:val="62E01743"/>
    <w:rsid w:val="62F360A5"/>
    <w:rsid w:val="62F533A5"/>
    <w:rsid w:val="63027F93"/>
    <w:rsid w:val="63073ACF"/>
    <w:rsid w:val="6318012F"/>
    <w:rsid w:val="631B1971"/>
    <w:rsid w:val="631D2A8C"/>
    <w:rsid w:val="63302D52"/>
    <w:rsid w:val="63462575"/>
    <w:rsid w:val="63493E13"/>
    <w:rsid w:val="635440FE"/>
    <w:rsid w:val="63597BC0"/>
    <w:rsid w:val="635A1B7D"/>
    <w:rsid w:val="635D7257"/>
    <w:rsid w:val="63666773"/>
    <w:rsid w:val="63673859"/>
    <w:rsid w:val="6381535B"/>
    <w:rsid w:val="638B7F88"/>
    <w:rsid w:val="63936E3D"/>
    <w:rsid w:val="63A454EE"/>
    <w:rsid w:val="63A64DC2"/>
    <w:rsid w:val="63A90E76"/>
    <w:rsid w:val="63B55005"/>
    <w:rsid w:val="63B70D7D"/>
    <w:rsid w:val="63C17E4E"/>
    <w:rsid w:val="63CB5CCC"/>
    <w:rsid w:val="63E91153"/>
    <w:rsid w:val="63EB4ECB"/>
    <w:rsid w:val="63EE6E06"/>
    <w:rsid w:val="63F058C6"/>
    <w:rsid w:val="63F975E8"/>
    <w:rsid w:val="63FA3360"/>
    <w:rsid w:val="640B731B"/>
    <w:rsid w:val="641745A0"/>
    <w:rsid w:val="641D00AF"/>
    <w:rsid w:val="642503DD"/>
    <w:rsid w:val="642B3519"/>
    <w:rsid w:val="64346872"/>
    <w:rsid w:val="6447670C"/>
    <w:rsid w:val="644C2A14"/>
    <w:rsid w:val="645C36D2"/>
    <w:rsid w:val="64721E7E"/>
    <w:rsid w:val="64754794"/>
    <w:rsid w:val="64824B18"/>
    <w:rsid w:val="64881976"/>
    <w:rsid w:val="64942E6C"/>
    <w:rsid w:val="64A15589"/>
    <w:rsid w:val="64AE3CB5"/>
    <w:rsid w:val="64B90B25"/>
    <w:rsid w:val="64CD637E"/>
    <w:rsid w:val="64D433D4"/>
    <w:rsid w:val="64DC03FF"/>
    <w:rsid w:val="64F425BA"/>
    <w:rsid w:val="64F63B27"/>
    <w:rsid w:val="650A5824"/>
    <w:rsid w:val="650D2C1F"/>
    <w:rsid w:val="650D6603"/>
    <w:rsid w:val="65151DD8"/>
    <w:rsid w:val="65202952"/>
    <w:rsid w:val="65210C32"/>
    <w:rsid w:val="652225D5"/>
    <w:rsid w:val="652F2B95"/>
    <w:rsid w:val="65311E05"/>
    <w:rsid w:val="65451957"/>
    <w:rsid w:val="65476131"/>
    <w:rsid w:val="65640326"/>
    <w:rsid w:val="659770B8"/>
    <w:rsid w:val="65A215B9"/>
    <w:rsid w:val="65B46366"/>
    <w:rsid w:val="65BD63F3"/>
    <w:rsid w:val="65D025CA"/>
    <w:rsid w:val="65F570CF"/>
    <w:rsid w:val="65F70112"/>
    <w:rsid w:val="66002CD4"/>
    <w:rsid w:val="66126F16"/>
    <w:rsid w:val="661F0E5C"/>
    <w:rsid w:val="662824C8"/>
    <w:rsid w:val="66320B8F"/>
    <w:rsid w:val="663C145B"/>
    <w:rsid w:val="663E7534"/>
    <w:rsid w:val="665C12D5"/>
    <w:rsid w:val="66661757"/>
    <w:rsid w:val="66763171"/>
    <w:rsid w:val="667C005C"/>
    <w:rsid w:val="66976C44"/>
    <w:rsid w:val="669B7B39"/>
    <w:rsid w:val="66AC7A81"/>
    <w:rsid w:val="66AE4D0B"/>
    <w:rsid w:val="66B5494D"/>
    <w:rsid w:val="66B84695"/>
    <w:rsid w:val="66BB5605"/>
    <w:rsid w:val="66C54326"/>
    <w:rsid w:val="66D103A8"/>
    <w:rsid w:val="66DE0D17"/>
    <w:rsid w:val="66EF6A80"/>
    <w:rsid w:val="66F623FD"/>
    <w:rsid w:val="66F978FF"/>
    <w:rsid w:val="66FB71D3"/>
    <w:rsid w:val="670523DE"/>
    <w:rsid w:val="670C5884"/>
    <w:rsid w:val="670D5158"/>
    <w:rsid w:val="67461D48"/>
    <w:rsid w:val="67472418"/>
    <w:rsid w:val="67486190"/>
    <w:rsid w:val="674A6CAF"/>
    <w:rsid w:val="676034DA"/>
    <w:rsid w:val="67694A84"/>
    <w:rsid w:val="67784F2E"/>
    <w:rsid w:val="6784541A"/>
    <w:rsid w:val="678A67A9"/>
    <w:rsid w:val="678F1925"/>
    <w:rsid w:val="67942577"/>
    <w:rsid w:val="67A92539"/>
    <w:rsid w:val="67CA4EF1"/>
    <w:rsid w:val="67CC0B6F"/>
    <w:rsid w:val="67E01FDE"/>
    <w:rsid w:val="67E20393"/>
    <w:rsid w:val="67F76A7E"/>
    <w:rsid w:val="67F86871"/>
    <w:rsid w:val="68112A26"/>
    <w:rsid w:val="682D70B0"/>
    <w:rsid w:val="683219E2"/>
    <w:rsid w:val="684352D5"/>
    <w:rsid w:val="68437083"/>
    <w:rsid w:val="684469AB"/>
    <w:rsid w:val="684D1CB0"/>
    <w:rsid w:val="686F7E78"/>
    <w:rsid w:val="687E455F"/>
    <w:rsid w:val="687E630D"/>
    <w:rsid w:val="688B0A2A"/>
    <w:rsid w:val="68955405"/>
    <w:rsid w:val="68A5389A"/>
    <w:rsid w:val="68AD6BF3"/>
    <w:rsid w:val="68AF3CA2"/>
    <w:rsid w:val="68B24209"/>
    <w:rsid w:val="68BB130F"/>
    <w:rsid w:val="68CB0E27"/>
    <w:rsid w:val="68CC560D"/>
    <w:rsid w:val="68CD4B9F"/>
    <w:rsid w:val="68E83B2D"/>
    <w:rsid w:val="68E97265"/>
    <w:rsid w:val="68EC771B"/>
    <w:rsid w:val="68EF0FB9"/>
    <w:rsid w:val="68FD09B3"/>
    <w:rsid w:val="69006D22"/>
    <w:rsid w:val="691D5B26"/>
    <w:rsid w:val="691E189E"/>
    <w:rsid w:val="692635EB"/>
    <w:rsid w:val="692A0243"/>
    <w:rsid w:val="69342E70"/>
    <w:rsid w:val="693B41FE"/>
    <w:rsid w:val="6951757E"/>
    <w:rsid w:val="6956014B"/>
    <w:rsid w:val="69561384"/>
    <w:rsid w:val="697274F4"/>
    <w:rsid w:val="69775165"/>
    <w:rsid w:val="69807E63"/>
    <w:rsid w:val="69B230A2"/>
    <w:rsid w:val="69CA7330"/>
    <w:rsid w:val="69D85C96"/>
    <w:rsid w:val="69E2224C"/>
    <w:rsid w:val="69F819AA"/>
    <w:rsid w:val="6A0E36C1"/>
    <w:rsid w:val="6A136F29"/>
    <w:rsid w:val="6A187723"/>
    <w:rsid w:val="6A1D1B56"/>
    <w:rsid w:val="6A1D2B18"/>
    <w:rsid w:val="6A1F142A"/>
    <w:rsid w:val="6A483EC8"/>
    <w:rsid w:val="6A595414"/>
    <w:rsid w:val="6A5A4A67"/>
    <w:rsid w:val="6A6E7FF3"/>
    <w:rsid w:val="6A700C09"/>
    <w:rsid w:val="6A8E3BBF"/>
    <w:rsid w:val="6A8F39DC"/>
    <w:rsid w:val="6AA67D9D"/>
    <w:rsid w:val="6AAD6A36"/>
    <w:rsid w:val="6ABD59D5"/>
    <w:rsid w:val="6AC57AA5"/>
    <w:rsid w:val="6AF01018"/>
    <w:rsid w:val="6AF07DA3"/>
    <w:rsid w:val="6AFC2843"/>
    <w:rsid w:val="6B0A70A4"/>
    <w:rsid w:val="6B3B6738"/>
    <w:rsid w:val="6B3D24B0"/>
    <w:rsid w:val="6B673D87"/>
    <w:rsid w:val="6B685053"/>
    <w:rsid w:val="6B7F4739"/>
    <w:rsid w:val="6B8A4FC9"/>
    <w:rsid w:val="6B9A5FD4"/>
    <w:rsid w:val="6B9F6CC6"/>
    <w:rsid w:val="6BA75B7B"/>
    <w:rsid w:val="6BBD0EFB"/>
    <w:rsid w:val="6BCD3A36"/>
    <w:rsid w:val="6BD94198"/>
    <w:rsid w:val="6BEC358E"/>
    <w:rsid w:val="6BEF689C"/>
    <w:rsid w:val="6C042FCD"/>
    <w:rsid w:val="6C1F5711"/>
    <w:rsid w:val="6C20148A"/>
    <w:rsid w:val="6C313697"/>
    <w:rsid w:val="6C44786E"/>
    <w:rsid w:val="6C6B4DFB"/>
    <w:rsid w:val="6C9431CC"/>
    <w:rsid w:val="6CAB1AEE"/>
    <w:rsid w:val="6CAE2F39"/>
    <w:rsid w:val="6CAF10DA"/>
    <w:rsid w:val="6CB513FE"/>
    <w:rsid w:val="6CB70040"/>
    <w:rsid w:val="6CDA06B8"/>
    <w:rsid w:val="6D0715F8"/>
    <w:rsid w:val="6D30394E"/>
    <w:rsid w:val="6D426B56"/>
    <w:rsid w:val="6D505108"/>
    <w:rsid w:val="6D6A6E60"/>
    <w:rsid w:val="6D8238F3"/>
    <w:rsid w:val="6D837F22"/>
    <w:rsid w:val="6D870CF8"/>
    <w:rsid w:val="6D920165"/>
    <w:rsid w:val="6DA55245"/>
    <w:rsid w:val="6DB21613"/>
    <w:rsid w:val="6DBB5AC1"/>
    <w:rsid w:val="6DCF4F15"/>
    <w:rsid w:val="6DF33881"/>
    <w:rsid w:val="6E0468F3"/>
    <w:rsid w:val="6E0F7A08"/>
    <w:rsid w:val="6E38263C"/>
    <w:rsid w:val="6E3A0F28"/>
    <w:rsid w:val="6E526272"/>
    <w:rsid w:val="6E573B2B"/>
    <w:rsid w:val="6E7004A6"/>
    <w:rsid w:val="6E94481B"/>
    <w:rsid w:val="6EA2373C"/>
    <w:rsid w:val="6EB8444E"/>
    <w:rsid w:val="6EC922AC"/>
    <w:rsid w:val="6EDF387E"/>
    <w:rsid w:val="6EE80984"/>
    <w:rsid w:val="6EF03395"/>
    <w:rsid w:val="6F0357BE"/>
    <w:rsid w:val="6F0B01CF"/>
    <w:rsid w:val="6F241291"/>
    <w:rsid w:val="6F6F075E"/>
    <w:rsid w:val="6F7658CB"/>
    <w:rsid w:val="6F976FBE"/>
    <w:rsid w:val="6FA359EB"/>
    <w:rsid w:val="6FAB0FD7"/>
    <w:rsid w:val="6FB42615"/>
    <w:rsid w:val="6FC36CFC"/>
    <w:rsid w:val="6FCA63E4"/>
    <w:rsid w:val="6FD26F3F"/>
    <w:rsid w:val="6FE0165C"/>
    <w:rsid w:val="6FEE338F"/>
    <w:rsid w:val="6FF218DD"/>
    <w:rsid w:val="6FF42BE0"/>
    <w:rsid w:val="6FFC41AF"/>
    <w:rsid w:val="700417EE"/>
    <w:rsid w:val="70383246"/>
    <w:rsid w:val="704C4F43"/>
    <w:rsid w:val="705F60D2"/>
    <w:rsid w:val="706C2EEF"/>
    <w:rsid w:val="70761F1B"/>
    <w:rsid w:val="708C1ED2"/>
    <w:rsid w:val="70AC2985"/>
    <w:rsid w:val="70AD6224"/>
    <w:rsid w:val="70CB230C"/>
    <w:rsid w:val="70D15C4B"/>
    <w:rsid w:val="70DF36C1"/>
    <w:rsid w:val="70E32593"/>
    <w:rsid w:val="70E801A2"/>
    <w:rsid w:val="70EC28BD"/>
    <w:rsid w:val="70F25AEA"/>
    <w:rsid w:val="71036727"/>
    <w:rsid w:val="7104581E"/>
    <w:rsid w:val="71132E62"/>
    <w:rsid w:val="711D41EA"/>
    <w:rsid w:val="71222297"/>
    <w:rsid w:val="714348B5"/>
    <w:rsid w:val="71554590"/>
    <w:rsid w:val="715D01AD"/>
    <w:rsid w:val="719941B8"/>
    <w:rsid w:val="719E357C"/>
    <w:rsid w:val="71A87F57"/>
    <w:rsid w:val="71B047FB"/>
    <w:rsid w:val="71B2527A"/>
    <w:rsid w:val="71BD1788"/>
    <w:rsid w:val="71C50B09"/>
    <w:rsid w:val="71D074AE"/>
    <w:rsid w:val="722515A8"/>
    <w:rsid w:val="722717C4"/>
    <w:rsid w:val="722D66AE"/>
    <w:rsid w:val="723979C9"/>
    <w:rsid w:val="7242215A"/>
    <w:rsid w:val="727265AC"/>
    <w:rsid w:val="727B1B10"/>
    <w:rsid w:val="727D13E4"/>
    <w:rsid w:val="72A526E9"/>
    <w:rsid w:val="72B76A11"/>
    <w:rsid w:val="72B97FD0"/>
    <w:rsid w:val="72D54D7C"/>
    <w:rsid w:val="72D71070"/>
    <w:rsid w:val="72EC1039"/>
    <w:rsid w:val="72F0392D"/>
    <w:rsid w:val="72F13B80"/>
    <w:rsid w:val="73004C2C"/>
    <w:rsid w:val="7304330F"/>
    <w:rsid w:val="731B4BD8"/>
    <w:rsid w:val="732E5FCC"/>
    <w:rsid w:val="73337CF4"/>
    <w:rsid w:val="733817AF"/>
    <w:rsid w:val="73412411"/>
    <w:rsid w:val="73423862"/>
    <w:rsid w:val="73440778"/>
    <w:rsid w:val="734463A5"/>
    <w:rsid w:val="73520AC2"/>
    <w:rsid w:val="7358775B"/>
    <w:rsid w:val="73840550"/>
    <w:rsid w:val="73942E89"/>
    <w:rsid w:val="739509AF"/>
    <w:rsid w:val="73B76B77"/>
    <w:rsid w:val="73C052CC"/>
    <w:rsid w:val="73DC3547"/>
    <w:rsid w:val="73ED2599"/>
    <w:rsid w:val="73F27BAF"/>
    <w:rsid w:val="740D6797"/>
    <w:rsid w:val="74113F05"/>
    <w:rsid w:val="74163F16"/>
    <w:rsid w:val="741C69DA"/>
    <w:rsid w:val="742424F5"/>
    <w:rsid w:val="742F4960"/>
    <w:rsid w:val="74357542"/>
    <w:rsid w:val="744103B3"/>
    <w:rsid w:val="7447614D"/>
    <w:rsid w:val="7450221E"/>
    <w:rsid w:val="74566390"/>
    <w:rsid w:val="748C1DB2"/>
    <w:rsid w:val="749177C8"/>
    <w:rsid w:val="749F595E"/>
    <w:rsid w:val="74A0585D"/>
    <w:rsid w:val="74AA2238"/>
    <w:rsid w:val="74DF0134"/>
    <w:rsid w:val="74E221F2"/>
    <w:rsid w:val="74F87650"/>
    <w:rsid w:val="74FC0CE6"/>
    <w:rsid w:val="74FC6F38"/>
    <w:rsid w:val="750C4CA1"/>
    <w:rsid w:val="75114065"/>
    <w:rsid w:val="751A5610"/>
    <w:rsid w:val="751D6EAE"/>
    <w:rsid w:val="7539539D"/>
    <w:rsid w:val="756845CD"/>
    <w:rsid w:val="75695C4F"/>
    <w:rsid w:val="757B0B57"/>
    <w:rsid w:val="759248B8"/>
    <w:rsid w:val="759C7DD3"/>
    <w:rsid w:val="75A153E9"/>
    <w:rsid w:val="75B96BD7"/>
    <w:rsid w:val="75CB6E7D"/>
    <w:rsid w:val="75EA3234"/>
    <w:rsid w:val="75EB1C30"/>
    <w:rsid w:val="75EB2B08"/>
    <w:rsid w:val="75ED3231"/>
    <w:rsid w:val="75FC2C73"/>
    <w:rsid w:val="76047756"/>
    <w:rsid w:val="76134C16"/>
    <w:rsid w:val="76155660"/>
    <w:rsid w:val="761B33ED"/>
    <w:rsid w:val="761E5D99"/>
    <w:rsid w:val="761F03BE"/>
    <w:rsid w:val="762B1157"/>
    <w:rsid w:val="764A5A81"/>
    <w:rsid w:val="765E777E"/>
    <w:rsid w:val="766111DA"/>
    <w:rsid w:val="76612DCA"/>
    <w:rsid w:val="766528BB"/>
    <w:rsid w:val="767B20DE"/>
    <w:rsid w:val="767B7C93"/>
    <w:rsid w:val="7683334B"/>
    <w:rsid w:val="7694586D"/>
    <w:rsid w:val="76A53BED"/>
    <w:rsid w:val="76AD7DBE"/>
    <w:rsid w:val="76B4739E"/>
    <w:rsid w:val="76C75323"/>
    <w:rsid w:val="76D1655C"/>
    <w:rsid w:val="76D25D41"/>
    <w:rsid w:val="76DE7C83"/>
    <w:rsid w:val="76E666DE"/>
    <w:rsid w:val="76E72AA0"/>
    <w:rsid w:val="7701090C"/>
    <w:rsid w:val="77091D34"/>
    <w:rsid w:val="771A711A"/>
    <w:rsid w:val="771D4F43"/>
    <w:rsid w:val="772A600E"/>
    <w:rsid w:val="77336515"/>
    <w:rsid w:val="77362975"/>
    <w:rsid w:val="77444BC6"/>
    <w:rsid w:val="77577349"/>
    <w:rsid w:val="775A6197"/>
    <w:rsid w:val="776C7C79"/>
    <w:rsid w:val="776D7992"/>
    <w:rsid w:val="7778661E"/>
    <w:rsid w:val="777C4360"/>
    <w:rsid w:val="77955421"/>
    <w:rsid w:val="77A411C1"/>
    <w:rsid w:val="77A62D93"/>
    <w:rsid w:val="77B238DE"/>
    <w:rsid w:val="77F71C38"/>
    <w:rsid w:val="77FD58E6"/>
    <w:rsid w:val="780D57F6"/>
    <w:rsid w:val="78106856"/>
    <w:rsid w:val="78154AFA"/>
    <w:rsid w:val="781E4FE7"/>
    <w:rsid w:val="7840256B"/>
    <w:rsid w:val="784C1F8F"/>
    <w:rsid w:val="78670B6C"/>
    <w:rsid w:val="787943FB"/>
    <w:rsid w:val="787A6483"/>
    <w:rsid w:val="7884096A"/>
    <w:rsid w:val="78850FF2"/>
    <w:rsid w:val="789524E8"/>
    <w:rsid w:val="78B611AB"/>
    <w:rsid w:val="78C53AE4"/>
    <w:rsid w:val="78CA10FB"/>
    <w:rsid w:val="78E03E67"/>
    <w:rsid w:val="78E55F35"/>
    <w:rsid w:val="78F06D68"/>
    <w:rsid w:val="78F55DA6"/>
    <w:rsid w:val="790E548B"/>
    <w:rsid w:val="79236E7C"/>
    <w:rsid w:val="79240B36"/>
    <w:rsid w:val="792A1B99"/>
    <w:rsid w:val="794013BD"/>
    <w:rsid w:val="795135CA"/>
    <w:rsid w:val="796B1B89"/>
    <w:rsid w:val="797B008A"/>
    <w:rsid w:val="798017B9"/>
    <w:rsid w:val="798516DF"/>
    <w:rsid w:val="798C015E"/>
    <w:rsid w:val="79921C19"/>
    <w:rsid w:val="79C618C2"/>
    <w:rsid w:val="79D73ACF"/>
    <w:rsid w:val="79E46056"/>
    <w:rsid w:val="79EF706B"/>
    <w:rsid w:val="7A0C534E"/>
    <w:rsid w:val="7A222CE3"/>
    <w:rsid w:val="7A735C4D"/>
    <w:rsid w:val="7A804167"/>
    <w:rsid w:val="7A8C2B0C"/>
    <w:rsid w:val="7A8E7C8A"/>
    <w:rsid w:val="7A9F01F0"/>
    <w:rsid w:val="7AD65B35"/>
    <w:rsid w:val="7AEE7323"/>
    <w:rsid w:val="7B0152A5"/>
    <w:rsid w:val="7B112B38"/>
    <w:rsid w:val="7B2A5E81"/>
    <w:rsid w:val="7B2C7E4B"/>
    <w:rsid w:val="7B2F16E9"/>
    <w:rsid w:val="7B6E0463"/>
    <w:rsid w:val="7B7567C0"/>
    <w:rsid w:val="7B7B66DC"/>
    <w:rsid w:val="7B7D2454"/>
    <w:rsid w:val="7B883A28"/>
    <w:rsid w:val="7B8C08E9"/>
    <w:rsid w:val="7B9072BC"/>
    <w:rsid w:val="7B944A08"/>
    <w:rsid w:val="7B9F57C7"/>
    <w:rsid w:val="7BC22AEF"/>
    <w:rsid w:val="7BE2036B"/>
    <w:rsid w:val="7BEC2D44"/>
    <w:rsid w:val="7C0F46DB"/>
    <w:rsid w:val="7C266648"/>
    <w:rsid w:val="7C2823C0"/>
    <w:rsid w:val="7C354382"/>
    <w:rsid w:val="7C563402"/>
    <w:rsid w:val="7C5E2286"/>
    <w:rsid w:val="7C686C61"/>
    <w:rsid w:val="7C765D1B"/>
    <w:rsid w:val="7C7B659E"/>
    <w:rsid w:val="7C7E0232"/>
    <w:rsid w:val="7C8F1AD4"/>
    <w:rsid w:val="7C9712F4"/>
    <w:rsid w:val="7C9B0FDB"/>
    <w:rsid w:val="7CAA1027"/>
    <w:rsid w:val="7CBA4D6C"/>
    <w:rsid w:val="7CC85951"/>
    <w:rsid w:val="7CCC5441"/>
    <w:rsid w:val="7CD23C7F"/>
    <w:rsid w:val="7CD24BAE"/>
    <w:rsid w:val="7CE56503"/>
    <w:rsid w:val="7CF404F4"/>
    <w:rsid w:val="7D033147"/>
    <w:rsid w:val="7D1066E2"/>
    <w:rsid w:val="7D1B3CD3"/>
    <w:rsid w:val="7D227CB6"/>
    <w:rsid w:val="7D300C5A"/>
    <w:rsid w:val="7D337DF2"/>
    <w:rsid w:val="7D3B0787"/>
    <w:rsid w:val="7D3F20B7"/>
    <w:rsid w:val="7D4C0330"/>
    <w:rsid w:val="7D761851"/>
    <w:rsid w:val="7D811B7B"/>
    <w:rsid w:val="7D836171"/>
    <w:rsid w:val="7DBA0B43"/>
    <w:rsid w:val="7DDF272C"/>
    <w:rsid w:val="7E002EC9"/>
    <w:rsid w:val="7E0E1A8A"/>
    <w:rsid w:val="7E3436BB"/>
    <w:rsid w:val="7E3C2153"/>
    <w:rsid w:val="7E3E4800"/>
    <w:rsid w:val="7E431733"/>
    <w:rsid w:val="7E441A00"/>
    <w:rsid w:val="7E484445"/>
    <w:rsid w:val="7E696CC0"/>
    <w:rsid w:val="7E7B41B8"/>
    <w:rsid w:val="7E7F0292"/>
    <w:rsid w:val="7E835AFC"/>
    <w:rsid w:val="7E851714"/>
    <w:rsid w:val="7E88060D"/>
    <w:rsid w:val="7E90249F"/>
    <w:rsid w:val="7E966D9F"/>
    <w:rsid w:val="7EA45F4A"/>
    <w:rsid w:val="7EE02B0F"/>
    <w:rsid w:val="7EF16259"/>
    <w:rsid w:val="7EF163A6"/>
    <w:rsid w:val="7F0D7FB9"/>
    <w:rsid w:val="7F2B0D53"/>
    <w:rsid w:val="7F3C6183"/>
    <w:rsid w:val="7F4E65E2"/>
    <w:rsid w:val="7F69341C"/>
    <w:rsid w:val="7F6A7194"/>
    <w:rsid w:val="7F7C3A97"/>
    <w:rsid w:val="7F7F5D50"/>
    <w:rsid w:val="7F840255"/>
    <w:rsid w:val="7F932247"/>
    <w:rsid w:val="7F9A5B2F"/>
    <w:rsid w:val="7FA0125F"/>
    <w:rsid w:val="7FA043A1"/>
    <w:rsid w:val="7FB47947"/>
    <w:rsid w:val="7FD12D6F"/>
    <w:rsid w:val="7FD41F0A"/>
    <w:rsid w:val="7FD44B5D"/>
    <w:rsid w:val="7FDF36DE"/>
    <w:rsid w:val="7FF058EB"/>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840"/>
      </w:tabs>
      <w:ind w:firstLine="420" w:firstLineChars="200"/>
    </w:pPr>
    <w:rPr>
      <w:rFonts w:ascii="Calibri" w:hAnsi="Calibri"/>
      <w:szCs w:val="22"/>
    </w:rPr>
  </w:style>
  <w:style w:type="paragraph" w:styleId="3">
    <w:name w:val="Body Text Indent"/>
    <w:basedOn w:val="1"/>
    <w:qFormat/>
    <w:uiPriority w:val="0"/>
    <w:pPr>
      <w:tabs>
        <w:tab w:val="left" w:pos="840"/>
      </w:tabs>
      <w:snapToGrid w:val="0"/>
      <w:spacing w:line="300" w:lineRule="exact"/>
      <w:ind w:left="630" w:leftChars="300"/>
    </w:pPr>
  </w:style>
  <w:style w:type="paragraph" w:styleId="5">
    <w:name w:val="annotation text"/>
    <w:basedOn w:val="1"/>
    <w:link w:val="21"/>
    <w:qFormat/>
    <w:uiPriority w:val="0"/>
    <w:pPr>
      <w:jc w:val="left"/>
    </w:pPr>
  </w:style>
  <w:style w:type="paragraph" w:styleId="6">
    <w:name w:val="Body Text"/>
    <w:basedOn w:val="1"/>
    <w:semiHidden/>
    <w:qFormat/>
    <w:uiPriority w:val="0"/>
    <w:rPr>
      <w:rFonts w:ascii="宋体" w:hAnsi="宋体" w:eastAsia="宋体" w:cs="宋体"/>
      <w:sz w:val="28"/>
      <w:szCs w:val="28"/>
      <w:lang w:val="en-US" w:eastAsia="en-US" w:bidi="ar-SA"/>
    </w:rPr>
  </w:style>
  <w:style w:type="paragraph" w:styleId="7">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8">
    <w:name w:val="Balloon Text"/>
    <w:basedOn w:val="1"/>
    <w:link w:val="20"/>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annotation subject"/>
    <w:basedOn w:val="5"/>
    <w:next w:val="5"/>
    <w:link w:val="2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Emphasis"/>
    <w:basedOn w:val="16"/>
    <w:qFormat/>
    <w:uiPriority w:val="0"/>
    <w:rPr>
      <w:i/>
    </w:rPr>
  </w:style>
  <w:style w:type="character" w:styleId="19">
    <w:name w:val="annotation reference"/>
    <w:basedOn w:val="16"/>
    <w:qFormat/>
    <w:uiPriority w:val="0"/>
    <w:rPr>
      <w:sz w:val="21"/>
      <w:szCs w:val="21"/>
    </w:rPr>
  </w:style>
  <w:style w:type="character" w:customStyle="1" w:styleId="20">
    <w:name w:val="批注框文本 Char"/>
    <w:basedOn w:val="16"/>
    <w:link w:val="8"/>
    <w:qFormat/>
    <w:uiPriority w:val="0"/>
    <w:rPr>
      <w:rFonts w:ascii="Times New Roman" w:hAnsi="Times New Roman"/>
      <w:kern w:val="2"/>
      <w:sz w:val="18"/>
      <w:szCs w:val="18"/>
    </w:rPr>
  </w:style>
  <w:style w:type="character" w:customStyle="1" w:styleId="21">
    <w:name w:val="批注文字 Char"/>
    <w:basedOn w:val="16"/>
    <w:link w:val="5"/>
    <w:qFormat/>
    <w:uiPriority w:val="0"/>
    <w:rPr>
      <w:rFonts w:ascii="Times New Roman" w:hAnsi="Times New Roman"/>
      <w:kern w:val="2"/>
      <w:sz w:val="21"/>
      <w:szCs w:val="22"/>
    </w:rPr>
  </w:style>
  <w:style w:type="character" w:customStyle="1" w:styleId="22">
    <w:name w:val="批注主题 Char"/>
    <w:basedOn w:val="21"/>
    <w:link w:val="13"/>
    <w:qFormat/>
    <w:uiPriority w:val="0"/>
  </w:style>
  <w:style w:type="character" w:customStyle="1" w:styleId="23">
    <w:name w:val="font51"/>
    <w:basedOn w:val="16"/>
    <w:qFormat/>
    <w:uiPriority w:val="0"/>
    <w:rPr>
      <w:rFonts w:hint="eastAsia" w:ascii="宋体" w:hAnsi="宋体" w:eastAsia="宋体" w:cs="宋体"/>
      <w:color w:val="000000"/>
      <w:sz w:val="20"/>
      <w:szCs w:val="20"/>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table" w:customStyle="1" w:styleId="2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60</Pages>
  <Words>34035</Words>
  <Characters>35921</Characters>
  <Lines>1</Lines>
  <Paragraphs>1</Paragraphs>
  <TotalTime>2</TotalTime>
  <ScaleCrop>false</ScaleCrop>
  <LinksUpToDate>false</LinksUpToDate>
  <CharactersWithSpaces>38130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2023-11-08T01:44:00Z</cp:lastPrinted>
  <dcterms:modified xsi:type="dcterms:W3CDTF">2024-09-02T11:01:38Z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0CF9EE5BD54A4F9AB59F620BA7ABDE91_13</vt:lpwstr>
  </property>
  <property fmtid="{D5CDD505-2E9C-101B-9397-08002B2CF9AE}" pid="4" name="commondata">
    <vt:lpwstr>eyJoZGlkIjoiZDJiMzdlZTkyZWRmN2IzYzY2ZmI2ZTBlN2MyMWRiOWEifQ==</vt:lpwstr>
  </property>
</Properties>
</file>