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0DAF6">
      <w:pPr>
        <w:jc w:val="both"/>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2F26B3DF">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4CF144E8">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311739CA">
      <w:pPr>
        <w:ind w:firstLine="6746" w:firstLineChars="2100"/>
        <w:jc w:val="center"/>
        <w:rPr>
          <w:rFonts w:hint="default" w:ascii="仿宋" w:hAnsi="仿宋" w:eastAsia="仿宋" w:cs="仿宋"/>
          <w:b/>
          <w:bCs/>
          <w:color w:val="FF0000"/>
          <w:sz w:val="32"/>
          <w:szCs w:val="32"/>
          <w:highlight w:val="none"/>
          <w:lang w:val="en-US" w:eastAsia="zh-CN"/>
        </w:rPr>
      </w:pPr>
    </w:p>
    <w:p w14:paraId="260F9BB9">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000000" w:themeColor="text1"/>
          <w:sz w:val="52"/>
          <w:szCs w:val="52"/>
          <w:highlight w:val="none"/>
          <w:u w:val="none"/>
          <w:lang w:val="en-US" w:eastAsia="zh-CN"/>
          <w14:textFill>
            <w14:solidFill>
              <w14:schemeClr w14:val="tx1"/>
            </w14:solidFill>
          </w14:textFill>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6F872C66">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A地块工程钢筋作业</w:t>
      </w:r>
    </w:p>
    <w:p w14:paraId="5C9CEC04">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p>
    <w:p w14:paraId="5FBE4A03">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施</w:t>
      </w:r>
    </w:p>
    <w:p w14:paraId="0527B64B">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工</w:t>
      </w:r>
    </w:p>
    <w:p w14:paraId="2543EB1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合</w:t>
      </w:r>
    </w:p>
    <w:p w14:paraId="6AC2BD1C">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同</w:t>
      </w:r>
    </w:p>
    <w:p w14:paraId="6068723F">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000000" w:themeColor="text1"/>
          <w:highlight w:val="none"/>
          <w:lang w:val="en-US" w:eastAsia="zh-CN"/>
          <w14:textFill>
            <w14:solidFill>
              <w14:schemeClr w14:val="tx1"/>
            </w14:solidFill>
          </w14:textFill>
        </w:rPr>
      </w:pPr>
    </w:p>
    <w:p w14:paraId="2E1F321C">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179A2406">
      <w:pPr>
        <w:jc w:val="both"/>
        <w:rPr>
          <w:rFonts w:hint="eastAsia" w:ascii="仿宋" w:hAnsi="仿宋" w:eastAsia="仿宋" w:cs="仿宋"/>
          <w:color w:val="000000" w:themeColor="text1"/>
          <w:highlight w:val="none"/>
          <w:lang w:val="en-US" w:eastAsia="zh-CN"/>
          <w14:textFill>
            <w14:solidFill>
              <w14:schemeClr w14:val="tx1"/>
            </w14:solidFill>
          </w14:textFill>
        </w:rPr>
      </w:pPr>
    </w:p>
    <w:p w14:paraId="4C910AEC">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合同编号：ZTJA-SG-NJXM-2024-  </w:t>
      </w:r>
    </w:p>
    <w:p w14:paraId="107FE3A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发包</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方）：东莞市中泰建安工程有限公司</w:t>
      </w:r>
    </w:p>
    <w:p w14:paraId="6A03914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乙方（承包方）：</w:t>
      </w:r>
    </w:p>
    <w:p w14:paraId="27462E4C">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签订日期：202</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4</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年</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月</w:t>
      </w:r>
      <w:r>
        <w:rPr>
          <w:rFonts w:hint="eastAsia" w:ascii="仿宋" w:hAnsi="仿宋" w:eastAsia="仿宋" w:cs="仿宋"/>
          <w:b w:val="0"/>
          <w:bCs w:val="0"/>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日</w:t>
      </w:r>
    </w:p>
    <w:p w14:paraId="71B9475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000000" w:themeColor="text1"/>
          <w:kern w:val="2"/>
          <w:sz w:val="32"/>
          <w:szCs w:val="32"/>
          <w:highlight w:val="none"/>
          <w:u w:val="none"/>
          <w:lang w:val="en-US" w:eastAsia="zh-CN" w:bidi="ar-SA"/>
          <w14:textFill>
            <w14:solidFill>
              <w14:schemeClr w14:val="tx1"/>
            </w14:solidFill>
          </w14:textFill>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000000" w:themeColor="text1"/>
          <w:sz w:val="28"/>
          <w:szCs w:val="28"/>
          <w:highlight w:val="none"/>
          <w:u w:val="none"/>
          <w:lang w:val="en-US" w:eastAsia="zh-CN"/>
          <w14:textFill>
            <w14:solidFill>
              <w14:schemeClr w14:val="tx1"/>
            </w14:solidFill>
          </w14:textFill>
        </w:rPr>
        <w:t>签订地点：广东东莞南城。</w:t>
      </w:r>
    </w:p>
    <w:sdt>
      <w:sdtP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3A43528B">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kern w:val="2"/>
              <w:sz w:val="21"/>
              <w:szCs w:val="22"/>
              <w:highlight w:val="none"/>
              <w:lang w:val="en-US" w:eastAsia="zh-CN" w:bidi="ar-SA"/>
              <w14:textFill>
                <w14:solidFill>
                  <w14:schemeClr w14:val="tx1"/>
                </w14:solidFill>
              </w14:textFill>
            </w:rPr>
          </w:pPr>
        </w:p>
        <w:p w14:paraId="755523C8">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p>
        <w:p w14:paraId="30561734">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000000" w:themeColor="text1"/>
              <w:sz w:val="36"/>
              <w:szCs w:val="36"/>
              <w:highlight w:val="none"/>
              <w14:textFill>
                <w14:solidFill>
                  <w14:schemeClr w14:val="tx1"/>
                </w14:solidFill>
              </w14:textFill>
            </w:rPr>
          </w:pPr>
          <w:r>
            <w:rPr>
              <w:rFonts w:hint="eastAsia" w:ascii="仿宋" w:hAnsi="仿宋" w:eastAsia="仿宋" w:cs="仿宋"/>
              <w:b/>
              <w:bCs/>
              <w:i w:val="0"/>
              <w:iCs w:val="0"/>
              <w:color w:val="000000" w:themeColor="text1"/>
              <w:sz w:val="36"/>
              <w:szCs w:val="36"/>
              <w:highlight w:val="none"/>
              <w14:textFill>
                <w14:solidFill>
                  <w14:schemeClr w14:val="tx1"/>
                </w14:solidFill>
              </w14:textFill>
            </w:rPr>
            <w:t>目录</w:t>
          </w:r>
        </w:p>
        <w:p w14:paraId="635FBFB7">
          <w:pPr>
            <w:pStyle w:val="14"/>
            <w:rPr>
              <w:rFonts w:hint="eastAsia" w:ascii="仿宋" w:hAnsi="仿宋" w:eastAsia="仿宋" w:cs="仿宋"/>
              <w:b/>
              <w:bCs/>
              <w:i w:val="0"/>
              <w:iCs w:val="0"/>
              <w:color w:val="000000" w:themeColor="text1"/>
              <w:sz w:val="44"/>
              <w:szCs w:val="44"/>
              <w:highlight w:val="none"/>
              <w14:textFill>
                <w14:solidFill>
                  <w14:schemeClr w14:val="tx1"/>
                </w14:solidFill>
              </w14:textFill>
            </w:rPr>
          </w:pPr>
        </w:p>
        <w:p w14:paraId="49B4D009">
          <w:pPr>
            <w:pStyle w:val="11"/>
            <w:tabs>
              <w:tab w:val="right" w:leader="dot" w:pos="8504"/>
            </w:tabs>
            <w:rPr>
              <w:sz w:val="24"/>
              <w:szCs w:val="28"/>
            </w:rPr>
          </w:pPr>
          <w:r>
            <w:rPr>
              <w:rFonts w:hint="eastAsia" w:ascii="仿宋" w:hAnsi="仿宋" w:eastAsia="仿宋" w:cs="仿宋"/>
              <w:b w:val="0"/>
              <w:bCs/>
              <w:i w:val="0"/>
              <w:iCs w:val="0"/>
              <w:color w:val="auto"/>
              <w:kern w:val="0"/>
              <w:sz w:val="40"/>
              <w:szCs w:val="40"/>
              <w:highlight w:val="none"/>
            </w:rPr>
            <w:fldChar w:fldCharType="begin"/>
          </w:r>
          <w:r>
            <w:rPr>
              <w:rFonts w:hint="eastAsia" w:ascii="仿宋" w:hAnsi="仿宋" w:eastAsia="仿宋" w:cs="仿宋"/>
              <w:b w:val="0"/>
              <w:bCs/>
              <w:i w:val="0"/>
              <w:iCs w:val="0"/>
              <w:color w:val="auto"/>
              <w:kern w:val="0"/>
              <w:sz w:val="40"/>
              <w:szCs w:val="40"/>
              <w:highlight w:val="none"/>
            </w:rPr>
            <w:instrText xml:space="preserve">TOC \o "1-1" \h \u </w:instrText>
          </w:r>
          <w:r>
            <w:rPr>
              <w:rFonts w:hint="eastAsia" w:ascii="仿宋" w:hAnsi="仿宋" w:eastAsia="仿宋" w:cs="仿宋"/>
              <w:b w:val="0"/>
              <w:bCs/>
              <w:i w:val="0"/>
              <w:iCs w:val="0"/>
              <w:color w:val="auto"/>
              <w:kern w:val="0"/>
              <w:sz w:val="40"/>
              <w:szCs w:val="40"/>
              <w:highlight w:val="none"/>
            </w:rPr>
            <w:fldChar w:fldCharType="separate"/>
          </w: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_Toc14623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_Toc14623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0718011D">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_Toc11579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_Toc11579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0E5922E">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_Toc13259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_Toc13259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E585DAE">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_Toc18594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_Toc18594 \h </w:instrText>
          </w:r>
          <w:r>
            <w:rPr>
              <w:sz w:val="24"/>
              <w:szCs w:val="28"/>
            </w:rPr>
            <w:fldChar w:fldCharType="separate"/>
          </w:r>
          <w:r>
            <w:rPr>
              <w:sz w:val="24"/>
              <w:szCs w:val="28"/>
            </w:rPr>
            <w:t>6</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5541E9F">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_Toc23796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_Toc23796 \h </w:instrText>
          </w:r>
          <w:r>
            <w:rPr>
              <w:sz w:val="24"/>
              <w:szCs w:val="28"/>
            </w:rPr>
            <w:fldChar w:fldCharType="separate"/>
          </w:r>
          <w:r>
            <w:rPr>
              <w:sz w:val="24"/>
              <w:szCs w:val="28"/>
            </w:rPr>
            <w:t>8</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4753E0D">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_Toc554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_Toc554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2CE8860">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_Toc7158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_Toc7158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3BEFEF3">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_Toc25207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_Toc25207 \h </w:instrText>
          </w:r>
          <w:r>
            <w:rPr>
              <w:sz w:val="24"/>
              <w:szCs w:val="28"/>
            </w:rPr>
            <w:fldChar w:fldCharType="separate"/>
          </w:r>
          <w:r>
            <w:rPr>
              <w:sz w:val="24"/>
              <w:szCs w:val="28"/>
            </w:rPr>
            <w:t>17</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614BBC51">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_Toc693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_Toc693 \h </w:instrText>
          </w:r>
          <w:r>
            <w:rPr>
              <w:sz w:val="24"/>
              <w:szCs w:val="28"/>
            </w:rPr>
            <w:fldChar w:fldCharType="separate"/>
          </w:r>
          <w:r>
            <w:rPr>
              <w:sz w:val="24"/>
              <w:szCs w:val="28"/>
            </w:rPr>
            <w:t>22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35039EC">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_Toc30824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_Toc30824 \h </w:instrText>
          </w:r>
          <w:r>
            <w:rPr>
              <w:sz w:val="24"/>
              <w:szCs w:val="28"/>
            </w:rPr>
            <w:fldChar w:fldCharType="separate"/>
          </w:r>
          <w:r>
            <w:rPr>
              <w:sz w:val="24"/>
              <w:szCs w:val="28"/>
            </w:rPr>
            <w:t>28</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A846085">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_Toc16118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_Toc16118 \h </w:instrText>
          </w:r>
          <w:r>
            <w:rPr>
              <w:sz w:val="24"/>
              <w:szCs w:val="28"/>
            </w:rPr>
            <w:fldChar w:fldCharType="separate"/>
          </w:r>
          <w:r>
            <w:rPr>
              <w:sz w:val="24"/>
              <w:szCs w:val="28"/>
            </w:rPr>
            <w:t>29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486FFC7E">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_Toc13194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_Toc13194 \h </w:instrText>
          </w:r>
          <w:r>
            <w:rPr>
              <w:sz w:val="24"/>
              <w:szCs w:val="28"/>
            </w:rPr>
            <w:fldChar w:fldCharType="separate"/>
          </w:r>
          <w:r>
            <w:rPr>
              <w:sz w:val="24"/>
              <w:szCs w:val="28"/>
            </w:rPr>
            <w:t>30</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47C0CC6">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_Toc32644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_Toc32644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17A08A1D">
          <w:pPr>
            <w:pStyle w:val="11"/>
            <w:tabs>
              <w:tab w:val="right" w:leader="dot" w:pos="8504"/>
            </w:tabs>
            <w:spacing w:line="360" w:lineRule="auto"/>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_Toc22308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_Toc22308 \h </w:instrText>
          </w:r>
          <w:r>
            <w:rPr>
              <w:sz w:val="24"/>
              <w:szCs w:val="28"/>
            </w:rPr>
            <w:fldChar w:fldCharType="separate"/>
          </w:r>
          <w:r>
            <w:rPr>
              <w:sz w:val="24"/>
              <w:szCs w:val="28"/>
            </w:rPr>
            <w:t>33</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5A1075BB">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_Toc13198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_Toc13198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7551566C">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_Toc29346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_Toc29346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3E0DA251">
          <w:pPr>
            <w:pStyle w:val="11"/>
            <w:tabs>
              <w:tab w:val="right" w:leader="dot" w:pos="8504"/>
            </w:tabs>
            <w:rPr>
              <w:sz w:val="24"/>
              <w:szCs w:val="28"/>
            </w:rPr>
          </w:pPr>
          <w:r>
            <w:rPr>
              <w:rFonts w:hint="eastAsia" w:ascii="仿宋" w:hAnsi="仿宋" w:eastAsia="仿宋" w:cs="仿宋"/>
              <w:bCs/>
              <w:i w:val="0"/>
              <w:iCs w:val="0"/>
              <w:color w:val="auto"/>
              <w:kern w:val="0"/>
              <w:sz w:val="24"/>
              <w:szCs w:val="40"/>
              <w:highlight w:val="none"/>
            </w:rPr>
            <w:fldChar w:fldCharType="begin"/>
          </w:r>
          <w:r>
            <w:rPr>
              <w:rFonts w:hint="eastAsia" w:ascii="仿宋" w:hAnsi="仿宋" w:eastAsia="仿宋" w:cs="仿宋"/>
              <w:bCs/>
              <w:i w:val="0"/>
              <w:iCs w:val="0"/>
              <w:kern w:val="0"/>
              <w:sz w:val="24"/>
              <w:szCs w:val="40"/>
              <w:highlight w:val="none"/>
            </w:rPr>
            <w:instrText xml:space="preserve"> HYPERLINK \l _Toc32223 </w:instrText>
          </w:r>
          <w:r>
            <w:rPr>
              <w:rFonts w:hint="eastAsia" w:ascii="仿宋" w:hAnsi="仿宋" w:eastAsia="仿宋" w:cs="仿宋"/>
              <w:bCs/>
              <w:i w:val="0"/>
              <w:iCs w:val="0"/>
              <w:kern w:val="0"/>
              <w:sz w:val="24"/>
              <w:szCs w:val="40"/>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_Toc32223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40"/>
              <w:highlight w:val="none"/>
            </w:rPr>
            <w:fldChar w:fldCharType="end"/>
          </w:r>
        </w:p>
        <w:p w14:paraId="69B85026">
          <w:pPr>
            <w:pStyle w:val="11"/>
            <w:tabs>
              <w:tab w:val="right" w:leader="dot" w:pos="8504"/>
            </w:tabs>
            <w:rPr>
              <w:sz w:val="24"/>
              <w:szCs w:val="28"/>
            </w:rPr>
          </w:pPr>
        </w:p>
        <w:p w14:paraId="7175E41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40"/>
              <w:highlight w:val="none"/>
            </w:rPr>
            <w:fldChar w:fldCharType="end"/>
          </w:r>
        </w:p>
      </w:sdtContent>
    </w:sdt>
    <w:p w14:paraId="19BD657D">
      <w:pP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CC4BBEC">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南京现代表面处理科技产业中心项目A地块建设项目钢筋作业工程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13900CEE">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14623"/>
      <w:bookmarkStart w:id="1" w:name="_Toc2533"/>
      <w:bookmarkStart w:id="2" w:name="_Toc26146"/>
      <w:bookmarkStart w:id="3"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639809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9670"/>
      <w:bookmarkStart w:id="6" w:name="_Toc27213"/>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南京现代表面处理科技产业中心项目A地块建设工程项目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6867AB3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23071B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钢筋 。</w:t>
      </w:r>
    </w:p>
    <w:p w14:paraId="57FA00B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7F2D243">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11579"/>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30AFF7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14685"/>
      <w:bookmarkStart w:id="9" w:name="_Toc85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w:char="00FE"/>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3FA0131E">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1325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39A331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w:t>
      </w:r>
      <w:r>
        <w:rPr>
          <w:rFonts w:hint="eastAsia" w:ascii="仿宋" w:hAnsi="仿宋" w:eastAsia="仿宋" w:cs="仿宋"/>
          <w:b/>
          <w:bCs/>
          <w:i w:val="0"/>
          <w:iCs w:val="0"/>
          <w:color w:val="auto"/>
          <w:kern w:val="0"/>
          <w:sz w:val="28"/>
          <w:szCs w:val="28"/>
          <w:highlight w:val="none"/>
          <w:u w:val="single"/>
          <w:shd w:val="clear" w:color="auto" w:fill="auto"/>
          <w:lang w:val="en-US" w:eastAsia="zh-CN"/>
        </w:rPr>
        <w:t>用地红线</w:t>
      </w:r>
      <w:r>
        <w:rPr>
          <w:rFonts w:hint="eastAsia" w:ascii="仿宋" w:hAnsi="仿宋" w:eastAsia="仿宋" w:cs="仿宋"/>
          <w:b/>
          <w:bCs/>
          <w:i w:val="0"/>
          <w:iCs w:val="0"/>
          <w:color w:val="auto"/>
          <w:sz w:val="28"/>
          <w:szCs w:val="28"/>
          <w:highlight w:val="none"/>
          <w:u w:val="single"/>
          <w:shd w:val="clear" w:color="auto" w:fill="auto"/>
          <w:lang w:val="en-US" w:eastAsia="zh-CN"/>
        </w:rPr>
        <w:t>范围</w:t>
      </w:r>
      <w:r>
        <w:rPr>
          <w:rFonts w:hint="eastAsia" w:ascii="仿宋" w:hAnsi="仿宋" w:eastAsia="仿宋" w:cs="仿宋"/>
          <w:b/>
          <w:bCs/>
          <w:i w:val="0"/>
          <w:iCs w:val="0"/>
          <w:color w:val="auto"/>
          <w:sz w:val="28"/>
          <w:szCs w:val="28"/>
          <w:highlight w:val="none"/>
          <w:u w:val="singl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钢筋作业</w:t>
      </w:r>
      <w:r>
        <w:rPr>
          <w:rFonts w:hint="eastAsia" w:ascii="仿宋" w:hAnsi="仿宋" w:eastAsia="仿宋" w:cs="仿宋"/>
          <w:b w:val="0"/>
          <w:bCs w:val="0"/>
          <w:i w:val="0"/>
          <w:iCs w:val="0"/>
          <w:color w:val="auto"/>
          <w:sz w:val="28"/>
          <w:szCs w:val="28"/>
          <w:highlight w:val="none"/>
          <w:u w:val="none"/>
          <w:lang w:val="en-US" w:eastAsia="zh-CN"/>
        </w:rPr>
        <w:t>均由乙方承包（本合同另有约定的除外），具体包括但不限于：</w:t>
      </w:r>
    </w:p>
    <w:p w14:paraId="488CF1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3.1.1编制钢筋材料进场计划并报甲方审批，负责甲供材料的卸料、场内搬运和堆放；</w:t>
      </w:r>
    </w:p>
    <w:p w14:paraId="03F896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3.1.2钢筋的翻样、‌下料、‌制作绑扎、‌直螺纹加工制作、‌搭接焊制作与加工，‌钢筋保护层垫块的设置、‌见证取样的加工制作等；</w:t>
      </w:r>
    </w:p>
    <w:p w14:paraId="3BEDCF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u w:val="single"/>
          <w:lang w:val="en-US" w:eastAsia="zh-CN"/>
        </w:rPr>
        <w:t>3.1.3预埋件和加固工作：‌包括钢筋预埋件的制作与加工，‌架子工所用挑梁预埋及吊环、‌塔吊提升机基础钢筋制安、‌卸料平台附着物加固、‌加筋，构造柱顶部连接钢筋的制作，圈梁钢筋制作与绑扎及墙体拉结筋制作，梁柱头钢丝网拦截等。</w:t>
      </w:r>
    </w:p>
    <w:p w14:paraId="665AF2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w:t>
      </w:r>
    </w:p>
    <w:p w14:paraId="5E8A60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3.2甲方提供的、经甲方权限流程审批的本工程</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60140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0B7EA4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5FA5A5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3.5甲方有权调整乙方的承包范围及内容，乙方不得以任何理由拒绝，否则甲方有权不付款并单方解除合同。</w:t>
      </w:r>
    </w:p>
    <w:p w14:paraId="5D6FDA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416A86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41E467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3.8乙方负责的内容还包括但不限于：</w:t>
      </w:r>
    </w:p>
    <w:p w14:paraId="0F4904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3.8.1钢筋除锈、调直、下料、成型、就位、搭接、绑扎、植筋，现浇构造柱板面钢筋预留</w:t>
      </w:r>
      <w:r>
        <w:rPr>
          <w:rFonts w:hint="eastAsia" w:ascii="仿宋" w:hAnsi="仿宋" w:eastAsia="仿宋" w:cs="仿宋"/>
          <w:b w:val="0"/>
          <w:bCs w:val="0"/>
          <w:i w:val="0"/>
          <w:iCs w:val="0"/>
          <w:color w:val="auto"/>
          <w:kern w:val="0"/>
          <w:sz w:val="28"/>
          <w:szCs w:val="28"/>
          <w:highlight w:val="none"/>
          <w:shd w:val="clear" w:color="auto" w:fill="auto"/>
          <w:lang w:val="en-US" w:eastAsia="zh-CN"/>
        </w:rPr>
        <w:t>和植筋，</w:t>
      </w:r>
      <w:r>
        <w:rPr>
          <w:rFonts w:hint="eastAsia" w:ascii="仿宋" w:hAnsi="仿宋" w:eastAsia="仿宋" w:cs="仿宋"/>
          <w:i w:val="0"/>
          <w:iCs w:val="0"/>
          <w:color w:val="auto"/>
          <w:kern w:val="0"/>
          <w:sz w:val="28"/>
          <w:szCs w:val="28"/>
          <w:highlight w:val="none"/>
          <w:shd w:val="clear" w:color="auto" w:fill="auto"/>
          <w:lang w:val="en-US" w:eastAsia="zh-CN"/>
        </w:rPr>
        <w:t>构造柱顶部连接钢筋的制作，圈梁钢筋制作与绑扎及墙体拉结筋制作，梁柱头钢丝网拦截等、垫块的制安（或者乙方自行购买符合甲方要求的半成品）。</w:t>
      </w:r>
    </w:p>
    <w:p w14:paraId="07CDFC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3.8.2本项目砼浇筑时，乙方须安排不少于1名施工人员配合、值班，以监督、纠正因砼浇筑可能对钢筋造成的破坏，保证砼浇捣施工过程中钢筋不被踩踏变形、移位，否则由乙方自费复原。</w:t>
      </w:r>
    </w:p>
    <w:p w14:paraId="636989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3.8.3钢筋在本项目施工现场制作。</w:t>
      </w:r>
    </w:p>
    <w:p w14:paraId="3FC14A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3.8.4按甲方要求的方案完成后浇带及楼梯级步位墙体制作、安装钢板网，不同砼强度等级位置钢筋网的制作安装。</w:t>
      </w:r>
    </w:p>
    <w:p w14:paraId="50051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3.8.5绑扎用铁丝和综合脚手架所需洞口的预留，测量放线所需的预留洞口。</w:t>
      </w:r>
    </w:p>
    <w:p w14:paraId="2EE8E3C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3.8.6本项目用地红线外60米以内场地的钢筋二次转运。</w:t>
      </w:r>
    </w:p>
    <w:p w14:paraId="7BC626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3.8.7钢筋砼首层地面及以下基础钢筋制作、绑扎：包括±0.00以下本项目图纸内所有的钢筋制作、绑扎，含首层地面内钢筋、基础、基础梁柱板、桩插筋、桩承台、集水井、电梯坑等钢筋。</w:t>
      </w:r>
    </w:p>
    <w:p w14:paraId="222714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3.8.8钢筋加工场、钢筋堆放支座设置就位人工，止水钢板及拦网、模板所有吊模用支撑马凳钢筋，外架、卸料台吊环、马凳钢筋等加工制作。</w:t>
      </w:r>
    </w:p>
    <w:p w14:paraId="3C6A4B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3.8.9本项目其他甲方分包单位需使用的拉结筋等加工制作。</w:t>
      </w:r>
    </w:p>
    <w:p w14:paraId="018695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3.8.10本项目施工图纸范围内所有钢筋的制作（例：构造柱、压顶梁、圈梁、钢筋混凝土女儿墙、地下室顶板上部钢筋混凝土栏板及其他二次结构等）、安装，焊接试件制作，浇筑砼时钢筋维护，止水钢板的制安，把电渣压力焊或需直螺纹连接的钢筋制作好并运至焊接连接所需柱、墙位置。</w:t>
      </w:r>
    </w:p>
    <w:p w14:paraId="35BFF1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3.8.11钢筋放样，钢筋制作前送三份料表给甲方审核并按甲方审核确认的料表制作。</w:t>
      </w:r>
    </w:p>
    <w:p w14:paraId="41E9B7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3.8.12对相关施工机械及总分配电箱、电缆电线进行维护、保养。甲方仅负责将配电箱接至乙方施工区域附近，乙方自行接至工作面开关箱，电线、电缆由乙方负责。</w:t>
      </w:r>
    </w:p>
    <w:p w14:paraId="157077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3.8.13配备本工程所需电工，且电工须持证上岗。甲方电工仅对乙方电工进行监督、检查、管理、指导。</w:t>
      </w:r>
    </w:p>
    <w:p w14:paraId="375ED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3.8.14参与甲供材料（如钢筋）申报采购、验收和收货，其数量作为乙方使用材料损耗率指标的核算依据。</w:t>
      </w:r>
    </w:p>
    <w:p w14:paraId="3CE6AB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3.9乙方自备的机具包括但不限于：</w:t>
      </w:r>
      <w:r>
        <w:rPr>
          <w:rFonts w:hint="eastAsia" w:ascii="仿宋" w:hAnsi="仿宋" w:eastAsia="仿宋" w:cs="仿宋"/>
          <w:i w:val="0"/>
          <w:iCs w:val="0"/>
          <w:color w:val="auto"/>
          <w:sz w:val="28"/>
          <w:szCs w:val="28"/>
          <w:highlight w:val="none"/>
          <w:u w:val="single"/>
          <w:lang w:val="en-US" w:eastAsia="zh-CN"/>
        </w:rPr>
        <w:t>完成本工程所需的对焊机、‌调直机、‌断筋机、‌竖焊机、‌弯曲机、‌电焊机、‌机械连接机等，‌以及绑扎丝、‌垫块、‌焊条、‌竖焊用品及药渣、‌电线、施工照明灯具和灯具电源线（约 25m），配置一机一闸一漏开关箱等机具（开关箱、漏电保护器参数必须符合《国家电气设备安全技术规范标准》GB19517-2009 等规范的要求）</w:t>
      </w:r>
      <w:r>
        <w:rPr>
          <w:rFonts w:hint="eastAsia" w:ascii="仿宋" w:hAnsi="仿宋" w:eastAsia="仿宋" w:cs="仿宋"/>
          <w:i w:val="0"/>
          <w:iCs w:val="0"/>
          <w:color w:val="auto"/>
          <w:kern w:val="0"/>
          <w:sz w:val="28"/>
          <w:szCs w:val="28"/>
          <w:highlight w:val="none"/>
          <w:u w:val="single"/>
          <w:shd w:val="clear" w:color="auto" w:fill="auto"/>
          <w:lang w:val="en-US" w:eastAsia="zh-CN"/>
        </w:rPr>
        <w:t>，本工程整改或返工所用机具以及完成本工程所涉的其他机具（本合同约定的甲供机具除外）</w:t>
      </w:r>
      <w:r>
        <w:rPr>
          <w:rFonts w:hint="eastAsia" w:ascii="仿宋" w:hAnsi="仿宋" w:eastAsia="仿宋" w:cs="仿宋"/>
          <w:i w:val="0"/>
          <w:iCs w:val="0"/>
          <w:color w:val="auto"/>
          <w:sz w:val="28"/>
          <w:szCs w:val="28"/>
          <w:highlight w:val="none"/>
          <w:lang w:val="en-US" w:eastAsia="zh-CN"/>
        </w:rPr>
        <w:t>。</w:t>
      </w:r>
    </w:p>
    <w:p w14:paraId="480282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3.10乙方自备如下施工材料：</w:t>
      </w:r>
      <w:r>
        <w:rPr>
          <w:rFonts w:hint="eastAsia" w:ascii="仿宋" w:hAnsi="仿宋" w:eastAsia="仿宋" w:cs="仿宋"/>
          <w:i w:val="0"/>
          <w:iCs w:val="0"/>
          <w:color w:val="auto"/>
          <w:kern w:val="0"/>
          <w:sz w:val="28"/>
          <w:szCs w:val="28"/>
          <w:highlight w:val="none"/>
          <w:u w:val="single"/>
          <w:shd w:val="clear" w:color="auto" w:fill="auto"/>
          <w:lang w:val="en-US" w:eastAsia="zh-CN"/>
        </w:rPr>
        <w:t>扎线、垫块、柱梁混凝土强度不同及后浇带、施工缝等处拦网，本工程整改或返工所用材料及完成本工程所涉的各项材料（本合同约定的甲供材除外）</w:t>
      </w:r>
      <w:r>
        <w:rPr>
          <w:rFonts w:hint="eastAsia" w:ascii="仿宋" w:hAnsi="仿宋" w:eastAsia="仿宋" w:cs="仿宋"/>
          <w:i w:val="0"/>
          <w:iCs w:val="0"/>
          <w:color w:val="auto"/>
          <w:kern w:val="0"/>
          <w:sz w:val="28"/>
          <w:szCs w:val="28"/>
          <w:highlight w:val="none"/>
          <w:shd w:val="clear" w:color="auto" w:fill="auto"/>
          <w:lang w:val="en-US" w:eastAsia="zh-CN"/>
        </w:rPr>
        <w:t>。</w:t>
      </w:r>
    </w:p>
    <w:p w14:paraId="03BB64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kern w:val="0"/>
          <w:sz w:val="28"/>
          <w:szCs w:val="28"/>
          <w:highlight w:val="none"/>
          <w:shd w:val="clear" w:color="auto" w:fill="auto"/>
          <w:lang w:val="en-US" w:eastAsia="zh-CN"/>
        </w:rPr>
      </w:pPr>
      <w:r>
        <w:rPr>
          <w:rFonts w:hint="eastAsia" w:ascii="仿宋" w:hAnsi="仿宋" w:eastAsia="仿宋" w:cs="仿宋"/>
          <w:i w:val="0"/>
          <w:iCs w:val="0"/>
          <w:color w:val="auto"/>
          <w:kern w:val="0"/>
          <w:sz w:val="28"/>
          <w:szCs w:val="28"/>
          <w:highlight w:val="none"/>
          <w:shd w:val="clear" w:color="auto" w:fill="auto"/>
          <w:lang w:val="en-US" w:eastAsia="zh-CN"/>
        </w:rPr>
        <w:t>3.11乙方须配备熟练技术工人不少于</w:t>
      </w:r>
      <w:r>
        <w:rPr>
          <w:rFonts w:hint="eastAsia" w:ascii="仿宋" w:hAnsi="仿宋" w:eastAsia="仿宋" w:cs="仿宋"/>
          <w:i w:val="0"/>
          <w:iCs w:val="0"/>
          <w:color w:val="auto"/>
          <w:kern w:val="0"/>
          <w:sz w:val="28"/>
          <w:szCs w:val="28"/>
          <w:highlight w:val="none"/>
          <w:u w:val="single"/>
          <w:shd w:val="clear" w:color="auto" w:fill="auto"/>
          <w:lang w:val="en-US" w:eastAsia="zh-CN"/>
        </w:rPr>
        <w:t>80人（以满足进度要求为准）</w:t>
      </w:r>
      <w:r>
        <w:rPr>
          <w:rFonts w:hint="eastAsia" w:ascii="仿宋" w:hAnsi="仿宋" w:eastAsia="仿宋" w:cs="仿宋"/>
          <w:i w:val="0"/>
          <w:iCs w:val="0"/>
          <w:color w:val="auto"/>
          <w:kern w:val="0"/>
          <w:sz w:val="28"/>
          <w:szCs w:val="28"/>
          <w:highlight w:val="none"/>
          <w:shd w:val="clear" w:color="auto" w:fill="auto"/>
          <w:lang w:val="en-US" w:eastAsia="zh-CN"/>
        </w:rPr>
        <w:t>，随时增加或减少乙方人员以满足本工程施工要求。</w:t>
      </w:r>
    </w:p>
    <w:p w14:paraId="2987F4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0CD77E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3.13本项目设计变更引起的增加工程，无论工程量大小及施工难度系数高低，如甲方要求乙方施工，乙方须按甲方要求施工，相关费用按本合同约定办理。</w:t>
      </w:r>
    </w:p>
    <w:p w14:paraId="5C8CEF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w:char="00A8"/>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w:char="00FE"/>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w:char="00A8"/>
      </w:r>
      <w:r>
        <w:rPr>
          <w:rFonts w:hint="eastAsia" w:ascii="仿宋" w:hAnsi="仿宋" w:eastAsia="仿宋" w:cs="仿宋"/>
          <w:i w:val="0"/>
          <w:iCs w:val="0"/>
          <w:color w:val="auto"/>
          <w:sz w:val="28"/>
          <w:szCs w:val="28"/>
          <w:highlight w:val="none"/>
          <w:lang w:val="en-US" w:eastAsia="zh-CN"/>
        </w:rPr>
        <w:t>合同总价中，不另行单列计费。</w:t>
      </w:r>
    </w:p>
    <w:p w14:paraId="0FC2B7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施工过程中，负责本工程工作面上所用材料、机具、垃圾的清理，做到工完场清，负责所有建筑垃圾、生活垃圾的处置。如乙方未能自行处置，则必须于每道工序验收前把工作面上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0E8580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w:t>
      </w:r>
      <w:r>
        <w:rPr>
          <w:rFonts w:hint="eastAsia" w:ascii="仿宋" w:hAnsi="仿宋" w:eastAsia="仿宋" w:cs="仿宋"/>
          <w:color w:val="auto"/>
          <w:sz w:val="28"/>
          <w:szCs w:val="28"/>
          <w:highlight w:val="none"/>
          <w:lang w:val="en-US" w:eastAsia="zh-CN"/>
        </w:rPr>
        <w:t>因乙方原因导致甲方被政府部门等单位处罚，导致本项目或本工程停工的，全部责任和各方损失均由乙方承担。</w:t>
      </w:r>
    </w:p>
    <w:p w14:paraId="1C652E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3.17</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5D4CB38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3.18</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312E6A73">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18594"/>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yellow"/>
          <w:u w:val="none"/>
          <w:shd w:val="clear" w:color="auto" w:fill="auto"/>
          <w:lang w:val="en-US" w:eastAsia="zh-CN"/>
        </w:rPr>
      </w:pPr>
      <w:r>
        <w:rPr>
          <w:rFonts w:hint="eastAsia" w:ascii="仿宋" w:hAnsi="仿宋" w:eastAsia="仿宋" w:cs="仿宋"/>
          <w:i w:val="0"/>
          <w:iCs w:val="0"/>
          <w:color w:val="auto"/>
          <w:sz w:val="28"/>
          <w:szCs w:val="28"/>
          <w:highlight w:val="none"/>
          <w:lang w:val="en-US" w:eastAsia="zh-CN"/>
        </w:rPr>
        <w:t>4</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639"/>
        <w:gridCol w:w="1020"/>
        <w:gridCol w:w="2040"/>
        <w:gridCol w:w="2071"/>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18"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48"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9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13"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18"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48"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9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13"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18"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48"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9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13"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18"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48"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9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13"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224838BF">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4.2上述开工、完工日期为暂定时间，实际开工、完工时间以甲方书面通知为准，甲方书面通知形式包括不限于微信、短信、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各项合同单价</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19033FCA">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008D2E76">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机械须持有上述甲方签发的有效书面开工令后方可进场，否则视乙方物资、机械未经甲方允许而占用本项目场地，乙方须立即按甲方要求将物资、机械退场。用于本项目的进场物资、机械由乙方自行保管。如乙方的行为给甲方造成损失，乙方自愿承担相应的全部损失及费用，包括但不限于人工清理费用、修复费用、场地租赁费用、延误赔偿金等。</w:t>
      </w:r>
    </w:p>
    <w:p w14:paraId="6B5CC55A">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须</w:t>
      </w:r>
      <w:r>
        <w:rPr>
          <w:rFonts w:hint="eastAsia" w:ascii="仿宋" w:hAnsi="仿宋" w:eastAsia="仿宋" w:cs="仿宋"/>
          <w:b w:val="0"/>
          <w:bCs w:val="0"/>
          <w:i w:val="0"/>
          <w:iCs w:val="0"/>
          <w:color w:val="auto"/>
          <w:sz w:val="28"/>
          <w:szCs w:val="28"/>
          <w:highlight w:val="none"/>
          <w:shd w:val="clear" w:color="auto" w:fill="auto"/>
        </w:rPr>
        <w:t>严格遵照甲方制订的施工进度计划</w:t>
      </w:r>
      <w:r>
        <w:rPr>
          <w:rFonts w:hint="eastAsia" w:ascii="仿宋" w:hAnsi="仿宋" w:eastAsia="仿宋" w:cs="仿宋"/>
          <w:b w:val="0"/>
          <w:bCs w:val="0"/>
          <w:i w:val="0"/>
          <w:iCs w:val="0"/>
          <w:color w:val="auto"/>
          <w:sz w:val="28"/>
          <w:szCs w:val="28"/>
          <w:highlight w:val="none"/>
          <w:shd w:val="clear" w:color="auto" w:fill="auto"/>
          <w:lang w:val="en-US" w:eastAsia="zh-CN"/>
        </w:rPr>
        <w:t>实施并完成相关工作</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接受</w:t>
      </w:r>
      <w:r>
        <w:rPr>
          <w:rFonts w:hint="eastAsia" w:ascii="仿宋" w:hAnsi="仿宋" w:eastAsia="仿宋" w:cs="仿宋"/>
          <w:b w:val="0"/>
          <w:bCs w:val="0"/>
          <w:i w:val="0"/>
          <w:iCs w:val="0"/>
          <w:color w:val="auto"/>
          <w:sz w:val="28"/>
          <w:szCs w:val="28"/>
          <w:highlight w:val="none"/>
          <w:shd w:val="clear" w:color="auto" w:fill="auto"/>
        </w:rPr>
        <w:t>甲方项目部施工任务</w:t>
      </w:r>
      <w:r>
        <w:rPr>
          <w:rFonts w:hint="eastAsia" w:ascii="仿宋" w:hAnsi="仿宋" w:eastAsia="仿宋" w:cs="仿宋"/>
          <w:b w:val="0"/>
          <w:bCs w:val="0"/>
          <w:i w:val="0"/>
          <w:iCs w:val="0"/>
          <w:color w:val="auto"/>
          <w:sz w:val="28"/>
          <w:szCs w:val="28"/>
          <w:highlight w:val="none"/>
          <w:shd w:val="clear" w:color="auto" w:fill="auto"/>
          <w:lang w:val="en-US" w:eastAsia="zh-CN"/>
        </w:rPr>
        <w:t>安排，否则甲方可按合同对乙方予以处罚。</w:t>
      </w:r>
    </w:p>
    <w:p w14:paraId="230007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7846599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2E6919E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005C467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3F21536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bookmarkStart w:id="14" w:name="_Toc9090"/>
      <w:bookmarkStart w:id="15" w:name="_Toc2060"/>
      <w:bookmarkStart w:id="16" w:name="_Toc19252"/>
    </w:p>
    <w:p w14:paraId="7A8EAF6E">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28C242E0">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23796"/>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6C3A83F5">
      <w:pPr>
        <w:keepNext w:val="0"/>
        <w:keepLines w:val="0"/>
        <w:pageBreakBefore w:val="0"/>
        <w:widowControl w:val="0"/>
        <w:numPr>
          <w:ilvl w:val="0"/>
          <w:numId w:val="0"/>
        </w:numPr>
        <w:kinsoku/>
        <w:wordWrap/>
        <w:overflowPunct/>
        <w:topLinePunct w:val="0"/>
        <w:autoSpaceDE/>
        <w:autoSpaceDN/>
        <w:bidi w:val="0"/>
        <w:adjustRightInd w:val="0"/>
        <w:snapToGrid w:val="0"/>
        <w:spacing w:before="147" w:beforeLines="50" w:line="360" w:lineRule="auto"/>
        <w:ind w:left="0" w:leftChars="0" w:right="0" w:rightChars="0" w:firstLine="560" w:firstLineChars="200"/>
        <w:textAlignment w:val="auto"/>
        <w:outlineLvl w:val="0"/>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标准，钢筋保护层必须符合设计要求，且以“主控项目”标准控制，本合</w:t>
      </w:r>
      <w:r>
        <w:rPr>
          <w:rFonts w:hint="eastAsia" w:ascii="仿宋" w:hAnsi="仿宋" w:eastAsia="仿宋" w:cs="仿宋"/>
          <w:b w:val="0"/>
          <w:bCs w:val="0"/>
          <w:i w:val="0"/>
          <w:iCs w:val="0"/>
          <w:color w:val="auto"/>
          <w:sz w:val="28"/>
          <w:szCs w:val="28"/>
          <w:highlight w:val="none"/>
          <w:shd w:val="clear" w:color="auto" w:fill="auto"/>
          <w:lang w:val="en-US" w:eastAsia="zh-CN"/>
        </w:rPr>
        <w:t>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17386262">
      <w:pPr>
        <w:keepNext w:val="0"/>
        <w:keepLines w:val="0"/>
        <w:pageBreakBefore w:val="0"/>
        <w:widowControl w:val="0"/>
        <w:numPr>
          <w:ilvl w:val="0"/>
          <w:numId w:val="0"/>
        </w:numPr>
        <w:kinsoku/>
        <w:wordWrap/>
        <w:overflowPunct/>
        <w:topLinePunct w:val="0"/>
        <w:autoSpaceDE/>
        <w:autoSpaceDN/>
        <w:bidi w:val="0"/>
        <w:adjustRightInd w:val="0"/>
        <w:snapToGrid w:val="0"/>
        <w:spacing w:before="147" w:beforeLines="50" w:line="360" w:lineRule="auto"/>
        <w:ind w:left="0" w:leftChars="0" w:right="0" w:rightChars="0" w:firstLine="560" w:firstLineChars="200"/>
        <w:textAlignment w:val="auto"/>
        <w:outlineLvl w:val="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7640D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7E7838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807"/>
      <w:bookmarkStart w:id="19" w:name="_Toc11160"/>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2620D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5.3.2各施工部位细部做法必须符合设计和规范要求。</w:t>
      </w:r>
      <w:bookmarkEnd w:id="18"/>
      <w:bookmarkEnd w:id="19"/>
      <w:bookmarkStart w:id="20" w:name="_Toc14842"/>
    </w:p>
    <w:p w14:paraId="017A7EA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05ADE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395F77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0F94C1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0ECFBC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39322A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4EE15AD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53F16B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87977E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2158FD71">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554"/>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4EE73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w:char="00FE"/>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242F9A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6.1.1</w:t>
      </w: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C572C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497F8B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已包含在各项合同单价中，甲方无需另行付费给乙方：</w:t>
      </w:r>
    </w:p>
    <w:p w14:paraId="71F68B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00017A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4AB82D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3</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45D95C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601661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b w:val="0"/>
          <w:bCs w:val="0"/>
          <w:i w:val="0"/>
          <w:iCs w:val="0"/>
          <w:color w:val="auto"/>
          <w:sz w:val="28"/>
          <w:szCs w:val="28"/>
          <w:highlight w:val="none"/>
          <w:u w:val="none"/>
          <w:shd w:val="clear" w:color="auto" w:fill="auto"/>
        </w:rPr>
        <w:t>施工过程出现赶工、交叉作业、停工</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（包括本项目建设单位原因造成的停工）</w:t>
      </w:r>
      <w:r>
        <w:rPr>
          <w:rFonts w:hint="eastAsia" w:ascii="仿宋_GB2312" w:hAnsi="仿宋_GB2312" w:eastAsia="仿宋_GB2312" w:cs="仿宋_GB2312"/>
          <w:b w:val="0"/>
          <w:bCs w:val="0"/>
          <w:i w:val="0"/>
          <w:iCs w:val="0"/>
          <w:color w:val="auto"/>
          <w:sz w:val="28"/>
          <w:szCs w:val="28"/>
          <w:highlight w:val="none"/>
          <w:u w:val="none"/>
          <w:shd w:val="clear" w:color="auto" w:fill="auto"/>
        </w:rPr>
        <w:t>及工人工资、材料费、机具费上涨等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导致乙方成本、费用发生</w:t>
      </w:r>
      <w:r>
        <w:rPr>
          <w:rFonts w:hint="eastAsia" w:ascii="仿宋_GB2312" w:hAnsi="仿宋_GB2312" w:eastAsia="仿宋_GB2312" w:cs="仿宋_GB2312"/>
          <w:b w:val="0"/>
          <w:bCs w:val="0"/>
          <w:i w:val="0"/>
          <w:iCs w:val="0"/>
          <w:color w:val="auto"/>
          <w:sz w:val="28"/>
          <w:szCs w:val="28"/>
          <w:highlight w:val="none"/>
          <w:u w:val="none"/>
          <w:shd w:val="clear" w:color="auto" w:fill="auto"/>
        </w:rPr>
        <w:t>增</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加</w:t>
      </w:r>
      <w:r>
        <w:rPr>
          <w:rFonts w:hint="eastAsia" w:ascii="仿宋_GB2312" w:hAnsi="仿宋_GB2312" w:eastAsia="仿宋_GB2312" w:cs="仿宋_GB2312"/>
          <w:b w:val="0"/>
          <w:bCs w:val="0"/>
          <w:i w:val="0"/>
          <w:iCs w:val="0"/>
          <w:color w:val="auto"/>
          <w:sz w:val="28"/>
          <w:szCs w:val="28"/>
          <w:highlight w:val="none"/>
          <w:u w:val="none"/>
          <w:shd w:val="clear" w:color="auto" w:fill="auto"/>
        </w:rPr>
        <w:t>，乙方</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不因此</w:t>
      </w:r>
      <w:r>
        <w:rPr>
          <w:rFonts w:hint="eastAsia" w:ascii="仿宋_GB2312" w:hAnsi="仿宋_GB2312" w:eastAsia="仿宋_GB2312" w:cs="仿宋_GB2312"/>
          <w:b w:val="0"/>
          <w:bCs w:val="0"/>
          <w:i w:val="0"/>
          <w:iCs w:val="0"/>
          <w:color w:val="auto"/>
          <w:sz w:val="28"/>
          <w:szCs w:val="28"/>
          <w:highlight w:val="none"/>
          <w:u w:val="none"/>
          <w:shd w:val="clear" w:color="auto" w:fill="auto"/>
        </w:rPr>
        <w:t>要求甲方对合同价</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w:t>
      </w:r>
      <w:r>
        <w:rPr>
          <w:rFonts w:hint="eastAsia" w:ascii="仿宋_GB2312" w:hAnsi="仿宋_GB2312" w:eastAsia="仿宋_GB2312" w:cs="仿宋_GB2312"/>
          <w:b w:val="0"/>
          <w:bCs w:val="0"/>
          <w:i w:val="0"/>
          <w:iCs w:val="0"/>
          <w:color w:val="auto"/>
          <w:sz w:val="28"/>
          <w:szCs w:val="28"/>
          <w:highlight w:val="none"/>
          <w:u w:val="none"/>
          <w:shd w:val="clear" w:color="auto" w:fill="auto"/>
        </w:rPr>
        <w:t>进行调整和另行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增补</w:t>
      </w:r>
      <w:r>
        <w:rPr>
          <w:rFonts w:hint="eastAsia" w:ascii="仿宋_GB2312" w:hAnsi="仿宋_GB2312" w:eastAsia="仿宋_GB2312" w:cs="仿宋_GB2312"/>
          <w:b w:val="0"/>
          <w:bCs w:val="0"/>
          <w:i w:val="0"/>
          <w:iCs w:val="0"/>
          <w:color w:val="auto"/>
          <w:sz w:val="28"/>
          <w:szCs w:val="28"/>
          <w:highlight w:val="none"/>
          <w:u w:val="none"/>
          <w:shd w:val="clear" w:color="auto" w:fill="auto"/>
        </w:rPr>
        <w:t>费用。</w:t>
      </w:r>
    </w:p>
    <w:p w14:paraId="1E689A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32757"/>
      <w:bookmarkStart w:id="23" w:name="_Toc5821"/>
      <w:bookmarkStart w:id="24" w:name="_Toc9761"/>
    </w:p>
    <w:p w14:paraId="614ABB5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E3C64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15FCFCC2">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6" w:name="_Toc7158"/>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p>
    <w:p w14:paraId="6CD87EE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bookmarkStart w:id="27" w:name="_Toc16700"/>
      <w:bookmarkStart w:id="28" w:name="_Toc26012"/>
      <w:bookmarkStart w:id="29" w:name="_Toc317"/>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2C18F1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2D359E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w:char="00FE"/>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固定单价合同结算方式：结算总价=完成并达到合同标准的工程量×合同单价-合同约定扣除费用。</w:t>
      </w:r>
    </w:p>
    <w:p w14:paraId="76E16C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7AFF4F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27F750B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w:char="00FE"/>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74288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3809E1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32FFC7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371281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1A1F94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03CA15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3F7D29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74ABF9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589264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67D463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3D0C06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27092CC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059208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7.5.1.4执行签证事实的依据：例如建设单位签发的建设单位通知、联系函、设计变更等文件。</w:t>
      </w:r>
    </w:p>
    <w:p w14:paraId="5D2DF3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335AA2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617BF5F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47F247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6B0272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7.5.1.9甲方与乙方的签证和建设单位与甲方的签证，以小的量、价对乙方签证确认。</w:t>
      </w:r>
    </w:p>
    <w:p w14:paraId="4F761C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5B7EE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77E400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37678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46A483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43EAA3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550A84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6844FA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3268CA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9BC9E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1F8DFA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0B12F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7D5E36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5EC735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6A425D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2C470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3C30B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11C9EB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2B4DFA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ADAEB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633651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59EF97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5DA545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521DAF3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18</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6BB70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03080E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16342A6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6E0A54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12BFD9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79C4150B">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DD5B3C9">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05EB1FC0">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65E05BB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607FF8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7EE276A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25207"/>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33E78CC">
      <w:pPr>
        <w:keepNext w:val="0"/>
        <w:keepLines w:val="0"/>
        <w:pageBreakBefore w:val="0"/>
        <w:widowControl w:val="0"/>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sym w:font="Wingdings" w:char="00FE"/>
      </w:r>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8.1付款方式一</w:t>
      </w:r>
    </w:p>
    <w:p w14:paraId="0BE022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color w:val="auto"/>
          <w:kern w:val="2"/>
          <w:sz w:val="28"/>
          <w:szCs w:val="28"/>
          <w:highlight w:val="none"/>
          <w:u w:val="none"/>
          <w:lang w:val="en-US" w:eastAsia="zh-CN" w:bidi="ar-SA"/>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7%</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暂定价的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7%</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color w:val="auto"/>
          <w:kern w:val="2"/>
          <w:sz w:val="28"/>
          <w:szCs w:val="28"/>
          <w:highlight w:val="none"/>
          <w:u w:val="none"/>
          <w:lang w:val="en-US" w:eastAsia="zh-CN" w:bidi="ar-SA"/>
        </w:rPr>
        <w:t>。</w:t>
      </w:r>
    </w:p>
    <w:p w14:paraId="7ACFC6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8.1.2</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28%</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1FD614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color w:val="auto"/>
          <w:kern w:val="2"/>
          <w:sz w:val="28"/>
          <w:szCs w:val="28"/>
          <w:highlight w:val="none"/>
          <w:u w:val="none"/>
          <w:lang w:val="en-US" w:eastAsia="zh-CN" w:bidi="ar-SA"/>
        </w:rPr>
        <w:t>8.1.3</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37%</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暂定价的</w:t>
      </w:r>
      <w:r>
        <w:rPr>
          <w:rFonts w:hint="eastAsia" w:ascii="仿宋" w:hAnsi="仿宋" w:eastAsia="仿宋" w:cs="仿宋"/>
          <w:i w:val="0"/>
          <w:iCs w:val="0"/>
          <w:caps w:val="0"/>
          <w:color w:val="auto"/>
          <w:spacing w:val="0"/>
          <w:sz w:val="28"/>
          <w:szCs w:val="28"/>
          <w:highlight w:val="none"/>
          <w:u w:val="single"/>
          <w:lang w:val="en-US" w:eastAsia="zh-CN"/>
        </w:rPr>
        <w:t>65</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F076D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color w:val="auto"/>
          <w:kern w:val="2"/>
          <w:sz w:val="28"/>
          <w:szCs w:val="28"/>
          <w:highlight w:val="none"/>
          <w:u w:val="none"/>
          <w:lang w:val="en-US" w:eastAsia="zh-CN" w:bidi="ar-SA"/>
        </w:rPr>
        <w:t>8.1.4</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3AA8A3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i w:val="0"/>
          <w:iCs w:val="0"/>
          <w:caps w:val="0"/>
          <w:color w:val="auto"/>
          <w:spacing w:val="0"/>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墙体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建筑物、构筑物的三层至楼梯间及电梯间的墙体全部砌筑完成为节点，按单栋厂房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AA64E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完成拆除外架完毕为节点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3FF82E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8.1.7室外工程（含管沟及本工程所有附属工程）及本项目任一组团工程所有工作内容完成可正常运行，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val="en-US"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none"/>
          <w:lang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FB49BD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8.1.8本项目任一组团工程乙方承包范围内全部工作内容施工完成，并经政府住建相关行政主管部门竣工综合验收通过，且建设单位、监理、甲方、物业等验收通过并移交建设单位或物业公司后，</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支付至合同暂定总价的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EF7EF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pPr>
      <w:r>
        <w:rPr>
          <w:rFonts w:hint="eastAsia" w:ascii="仿宋" w:hAnsi="仿宋" w:eastAsia="仿宋" w:cs="仿宋"/>
          <w:color w:val="auto"/>
          <w:kern w:val="2"/>
          <w:sz w:val="28"/>
          <w:szCs w:val="28"/>
          <w:highlight w:val="none"/>
          <w:u w:val="none"/>
          <w:lang w:val="en-US" w:eastAsia="zh-CN" w:bidi="ar-SA"/>
        </w:rPr>
        <w:t>8.1.9</w:t>
      </w:r>
      <w:r>
        <w:rPr>
          <w:rFonts w:hint="eastAsia" w:ascii="仿宋" w:hAnsi="仿宋" w:eastAsia="仿宋" w:cs="仿宋"/>
          <w:i w:val="0"/>
          <w:iCs w:val="0"/>
          <w:caps w:val="0"/>
          <w:color w:val="auto"/>
          <w:spacing w:val="0"/>
          <w:sz w:val="28"/>
          <w:szCs w:val="28"/>
          <w:highlight w:val="none"/>
          <w:lang w:val="en-US" w:eastAsia="zh-CN"/>
        </w:rPr>
        <w:t>本项目的所有增加工程、变更工程、签证工程等均统一纳入本合同结算范围，并在结算完毕后，与本合同结算款一并支付。</w:t>
      </w:r>
    </w:p>
    <w:p w14:paraId="175BEC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000000" w:themeColor="text1"/>
          <w:sz w:val="28"/>
          <w:szCs w:val="28"/>
          <w:highlight w:val="none"/>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8.1.10</w:t>
      </w:r>
      <w:r>
        <w:rPr>
          <w:rFonts w:hint="default" w:ascii="仿宋" w:hAnsi="仿宋" w:eastAsia="仿宋" w:cs="仿宋"/>
          <w:b w:val="0"/>
          <w:bCs w:val="0"/>
          <w:i w:val="0"/>
          <w:iCs w:val="0"/>
          <w:color w:val="000000" w:themeColor="text1"/>
          <w:sz w:val="28"/>
          <w:szCs w:val="28"/>
          <w:highlight w:val="none"/>
          <w:lang w:eastAsia="zh-CN"/>
          <w14:textFill>
            <w14:solidFill>
              <w14:schemeClr w14:val="tx1"/>
            </w14:solidFill>
          </w14:textFill>
        </w:rPr>
        <w:t>乙</w:t>
      </w:r>
      <w:r>
        <w:rPr>
          <w:rFonts w:hint="default" w:ascii="仿宋" w:hAnsi="仿宋" w:eastAsia="仿宋" w:cs="仿宋"/>
          <w:color w:val="auto"/>
          <w:sz w:val="28"/>
          <w:szCs w:val="28"/>
          <w:highlight w:val="none"/>
          <w:u w:val="none"/>
          <w:lang w:eastAsia="zh-CN"/>
        </w:rPr>
        <w:t>方</w:t>
      </w:r>
      <w:r>
        <w:rPr>
          <w:rFonts w:hint="eastAsia" w:ascii="仿宋" w:hAnsi="仿宋" w:eastAsia="仿宋" w:cs="仿宋"/>
          <w:color w:val="auto"/>
          <w:sz w:val="28"/>
          <w:szCs w:val="28"/>
          <w:highlight w:val="none"/>
          <w:u w:val="none"/>
          <w:lang w:val="en-US" w:eastAsia="zh-CN"/>
        </w:rPr>
        <w:t>将</w:t>
      </w:r>
      <w:r>
        <w:rPr>
          <w:rFonts w:hint="default" w:ascii="仿宋" w:hAnsi="仿宋" w:eastAsia="仿宋" w:cs="仿宋"/>
          <w:color w:val="auto"/>
          <w:sz w:val="28"/>
          <w:szCs w:val="28"/>
          <w:highlight w:val="none"/>
          <w:u w:val="none"/>
          <w:lang w:eastAsia="zh-CN"/>
        </w:rPr>
        <w:t>所有资料原件、复印件列清单、目录移交甲方</w:t>
      </w:r>
      <w:r>
        <w:rPr>
          <w:rFonts w:hint="eastAsia" w:ascii="仿宋" w:hAnsi="仿宋" w:eastAsia="仿宋" w:cs="仿宋"/>
          <w:color w:val="auto"/>
          <w:sz w:val="28"/>
          <w:szCs w:val="28"/>
          <w:highlight w:val="none"/>
          <w:u w:val="none"/>
          <w:lang w:val="en-US" w:eastAsia="zh-CN"/>
        </w:rPr>
        <w:t>后</w:t>
      </w:r>
      <w:r>
        <w:rPr>
          <w:rFonts w:hint="default" w:ascii="仿宋" w:hAnsi="仿宋" w:eastAsia="仿宋" w:cs="仿宋"/>
          <w:color w:val="auto"/>
          <w:sz w:val="28"/>
          <w:szCs w:val="28"/>
          <w:highlight w:val="none"/>
          <w:u w:val="none"/>
          <w:lang w:eastAsia="zh-CN"/>
        </w:rPr>
        <w:t>，</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甲乙双方办理</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本</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工程结算，双方就结算金额达成书面一致</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且乙方开具金额等于结算总价100%的发票给甲方</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后，甲方付至结算总价的</w:t>
      </w: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97</w:t>
      </w:r>
      <w:r>
        <w:rPr>
          <w:rFonts w:hint="eastAsia" w:ascii="仿宋" w:hAnsi="仿宋" w:eastAsia="仿宋" w:cs="仿宋"/>
          <w:b w:val="0"/>
          <w:bCs w:val="0"/>
          <w:i w:val="0"/>
          <w:iCs w:val="0"/>
          <w:color w:val="000000" w:themeColor="text1"/>
          <w:sz w:val="28"/>
          <w:szCs w:val="28"/>
          <w:highlight w:val="none"/>
          <w:u w:val="none"/>
          <w14:textFill>
            <w14:solidFill>
              <w14:schemeClr w14:val="tx1"/>
            </w14:solidFill>
          </w14:textFill>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含乙方工人工资</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w:t>
      </w:r>
      <w:r>
        <w:rPr>
          <w:rFonts w:hint="eastAsia" w:ascii="仿宋" w:hAnsi="仿宋" w:eastAsia="仿宋" w:cs="仿宋"/>
          <w:i w:val="0"/>
          <w:iCs w:val="0"/>
          <w:color w:val="000000" w:themeColor="text1"/>
          <w:kern w:val="2"/>
          <w:sz w:val="28"/>
          <w:szCs w:val="28"/>
          <w:highlight w:val="none"/>
          <w:lang w:val="en-US" w:eastAsia="zh-CN" w:bidi="ar-SA"/>
          <w14:textFill>
            <w14:solidFill>
              <w14:schemeClr w14:val="tx1"/>
            </w14:solidFill>
          </w14:textFill>
        </w:rPr>
        <w:t>。</w:t>
      </w:r>
    </w:p>
    <w:p w14:paraId="60E86C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eastAsia="zh-CN"/>
        </w:rPr>
        <w:t>8.</w:t>
      </w:r>
      <w:r>
        <w:rPr>
          <w:rFonts w:hint="eastAsia" w:ascii="仿宋" w:hAnsi="仿宋" w:eastAsia="仿宋" w:cs="仿宋"/>
          <w:b w:val="0"/>
          <w:bCs w:val="0"/>
          <w:i w:val="0"/>
          <w:iCs w:val="0"/>
          <w:color w:val="auto"/>
          <w:sz w:val="28"/>
          <w:szCs w:val="28"/>
          <w:highlight w:val="none"/>
          <w:lang w:val="en-US" w:eastAsia="zh-CN"/>
        </w:rPr>
        <w:t>1.11</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shd w:val="clear" w:color="auto" w:fill="auto"/>
          <w:lang w:val="en-US" w:eastAsia="zh-CN"/>
        </w:rPr>
        <w:t>含乙方工人工资</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r>
        <w:rPr>
          <w:rFonts w:hint="eastAsia" w:ascii="仿宋" w:hAnsi="仿宋" w:eastAsia="仿宋" w:cs="仿宋"/>
          <w:b w:val="0"/>
          <w:bCs w:val="0"/>
          <w:i w:val="0"/>
          <w:iCs w:val="0"/>
          <w:color w:val="auto"/>
          <w:sz w:val="28"/>
          <w:szCs w:val="28"/>
          <w:highlight w:val="none"/>
        </w:rPr>
        <w:t>。</w:t>
      </w:r>
    </w:p>
    <w:p w14:paraId="65CF7985">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2B86BFD5">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0865BDD9">
      <w:pPr>
        <w:keepNext w:val="0"/>
        <w:keepLines w:val="0"/>
        <w:pageBreakBefore w:val="0"/>
        <w:widowControl w:val="0"/>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14:textFill>
            <w14:solidFill>
              <w14:schemeClr w14:val="tx1"/>
            </w14:solidFill>
          </w14:textFill>
        </w:rPr>
        <w:sym w:font="Wingdings 2" w:char="00A3"/>
      </w:r>
      <w:r>
        <w:rPr>
          <w:rFonts w:hint="eastAsia" w:ascii="仿宋" w:hAnsi="仿宋" w:eastAsia="仿宋" w:cs="仿宋"/>
          <w:b/>
          <w:bCs/>
          <w:i w:val="0"/>
          <w:iCs w:val="0"/>
          <w:color w:val="000000" w:themeColor="text1"/>
          <w:sz w:val="28"/>
          <w:szCs w:val="28"/>
          <w:highlight w:val="none"/>
          <w:lang w:val="en-US" w:eastAsia="zh-CN"/>
          <w14:textFill>
            <w14:solidFill>
              <w14:schemeClr w14:val="tx1"/>
            </w14:solidFill>
          </w14:textFill>
        </w:rPr>
        <w:t>8.1付款方式二</w:t>
      </w:r>
    </w:p>
    <w:p w14:paraId="79091D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000000" w:themeColor="text1"/>
          <w:sz w:val="28"/>
          <w:szCs w:val="28"/>
          <w:highlight w:val="none"/>
          <w:u w:val="single"/>
          <w:lang w:val="en-US" w:eastAsia="zh-CN"/>
          <w14:textFill>
            <w14:solidFill>
              <w14:schemeClr w14:val="tx1"/>
            </w14:solidFill>
          </w14:textFill>
        </w:rPr>
      </w:pPr>
      <w:r>
        <w:rPr>
          <w:rFonts w:hint="eastAsia" w:ascii="仿宋" w:hAnsi="仿宋" w:eastAsia="仿宋" w:cs="仿宋"/>
          <w:b/>
          <w:bCs/>
          <w:i w:val="0"/>
          <w:iCs w:val="0"/>
          <w:color w:val="000000" w:themeColor="text1"/>
          <w:sz w:val="28"/>
          <w:szCs w:val="28"/>
          <w:highlight w:val="none"/>
          <w:u w:val="single"/>
          <w:shd w:val="clear" w:color="auto" w:fill="auto"/>
          <w:lang w:val="en-US" w:eastAsia="zh-CN"/>
          <w14:textFill>
            <w14:solidFill>
              <w14:schemeClr w14:val="tx1"/>
            </w14:solidFill>
          </w14:textFill>
        </w:rPr>
        <w:t>（如定标结果的付款方式与上述“8.1条付款方式一”不一致，则将定标结果的付款方式填写在此处作为合同付款方式。 ）</w:t>
      </w:r>
    </w:p>
    <w:p w14:paraId="36ED66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30BFC0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w:t>
      </w:r>
      <w:r>
        <w:rPr>
          <w:rFonts w:hint="eastAsia" w:ascii="仿宋" w:hAnsi="仿宋" w:eastAsia="仿宋" w:cs="仿宋"/>
          <w:b w:val="0"/>
          <w:bCs w:val="0"/>
          <w:i w:val="0"/>
          <w:iCs w:val="0"/>
          <w:color w:val="auto"/>
          <w:sz w:val="28"/>
          <w:szCs w:val="28"/>
          <w:highlight w:val="none"/>
          <w:lang w:val="en-US" w:eastAsia="zh-CN"/>
        </w:rPr>
        <w:t>给甲方</w:t>
      </w:r>
      <w:r>
        <w:rPr>
          <w:rFonts w:hint="eastAsia" w:ascii="仿宋" w:hAnsi="仿宋" w:eastAsia="仿宋" w:cs="仿宋"/>
          <w:b w:val="0"/>
          <w:bCs w:val="0"/>
          <w:i w:val="0"/>
          <w:iCs w:val="0"/>
          <w:color w:val="auto"/>
          <w:sz w:val="28"/>
          <w:szCs w:val="28"/>
          <w:highlight w:val="none"/>
        </w:rPr>
        <w:t>（开票内容须与合同内容一致，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5E60B7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提供齐全</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款项审批资料（包括《建筑工人工资表》等）给甲方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F12059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1B68B3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53AEF9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1C81F6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3B0FC0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1499FD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2F5A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083A06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p w14:paraId="7BB61872">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4" w:name="_Toc693"/>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双方责任和权利</w:t>
      </w:r>
      <w:bookmarkEnd w:id="31"/>
      <w:bookmarkEnd w:id="34"/>
    </w:p>
    <w:p w14:paraId="5B548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6D284B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0D0E0A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5911606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b w:val="0"/>
          <w:bCs w:val="0"/>
          <w:i w:val="0"/>
          <w:iCs w:val="0"/>
          <w:color w:val="auto"/>
          <w:sz w:val="28"/>
          <w:szCs w:val="28"/>
          <w:highlight w:val="none"/>
          <w:shd w:val="clear" w:color="auto" w:fill="auto"/>
          <w:lang w:val="en-US" w:eastAsia="zh-CN"/>
        </w:rPr>
        <w:t>若乙方原因导致其工人工资不能及时发放，工人发生停工或静坐、闹事等不良行为的，甲方有权按本合同相关条款（如第十五章等）向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778200B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0CEE16F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14:textFill>
            <w14:solidFill>
              <w14:schemeClr w14:val="tx1"/>
            </w14:solidFill>
          </w14:textFill>
        </w:rPr>
      </w:pPr>
      <w:bookmarkStart w:id="35" w:name="_Toc12475"/>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1.5为乙方</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员工办理人脸识别进场资料，</w:t>
      </w:r>
      <w:r>
        <w:rPr>
          <w:rFonts w:hint="eastAsia" w:ascii="仿宋" w:hAnsi="仿宋" w:eastAsia="仿宋" w:cs="仿宋"/>
          <w:i w:val="0"/>
          <w:iCs w:val="0"/>
          <w:color w:val="000000" w:themeColor="text1"/>
          <w:sz w:val="28"/>
          <w:szCs w:val="28"/>
          <w:highlight w:val="none"/>
          <w14:textFill>
            <w14:solidFill>
              <w14:schemeClr w14:val="tx1"/>
            </w14:solidFill>
          </w14:textFill>
        </w:rPr>
        <w:t>督促乙方及其工人遵章守纪、按章操作，强化现场安全防护工作。</w:t>
      </w:r>
    </w:p>
    <w:p w14:paraId="778BB95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6</w:t>
      </w:r>
      <w:r>
        <w:rPr>
          <w:rFonts w:hint="eastAsia" w:ascii="仿宋" w:hAnsi="仿宋" w:eastAsia="仿宋" w:cs="仿宋"/>
          <w:i w:val="0"/>
          <w:iCs w:val="0"/>
          <w:color w:val="000000" w:themeColor="text1"/>
          <w:sz w:val="28"/>
          <w:szCs w:val="28"/>
          <w:highlight w:val="none"/>
          <w14:textFill>
            <w14:solidFill>
              <w14:schemeClr w14:val="tx1"/>
            </w14:solidFill>
          </w14:textFill>
        </w:rPr>
        <w:t>甲方有权根据</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本项目</w:t>
      </w:r>
      <w:r>
        <w:rPr>
          <w:rFonts w:hint="eastAsia" w:ascii="仿宋" w:hAnsi="仿宋" w:eastAsia="仿宋" w:cs="仿宋"/>
          <w:b w:val="0"/>
          <w:bCs w:val="0"/>
          <w:i w:val="0"/>
          <w:iCs w:val="0"/>
          <w:color w:val="000000" w:themeColor="text1"/>
          <w:sz w:val="28"/>
          <w:szCs w:val="28"/>
          <w:highlight w:val="none"/>
          <w14:textFill>
            <w14:solidFill>
              <w14:schemeClr w14:val="tx1"/>
            </w14:solidFill>
          </w14:textFill>
        </w:rPr>
        <w:t>总体情况安排</w:t>
      </w:r>
      <w:r>
        <w:rPr>
          <w:rFonts w:hint="eastAsia" w:ascii="仿宋" w:hAnsi="仿宋" w:eastAsia="仿宋" w:cs="仿宋"/>
          <w:b w:val="0"/>
          <w:bCs w:val="0"/>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b w:val="0"/>
          <w:bCs w:val="0"/>
          <w:i w:val="0"/>
          <w:iCs w:val="0"/>
          <w:color w:val="000000" w:themeColor="text1"/>
          <w:sz w:val="28"/>
          <w:szCs w:val="28"/>
          <w:highlight w:val="none"/>
          <w:lang w:val="en-US" w:eastAsia="zh-CN"/>
          <w14:textFill>
            <w14:solidFill>
              <w14:schemeClr w14:val="tx1"/>
            </w14:solidFill>
          </w14:textFill>
        </w:rPr>
        <w:t>调整本工程</w:t>
      </w:r>
      <w:r>
        <w:rPr>
          <w:rFonts w:hint="eastAsia" w:ascii="仿宋" w:hAnsi="仿宋" w:eastAsia="仿宋" w:cs="仿宋"/>
          <w:i w:val="0"/>
          <w:iCs w:val="0"/>
          <w:color w:val="000000" w:themeColor="text1"/>
          <w:sz w:val="28"/>
          <w:szCs w:val="28"/>
          <w:highlight w:val="none"/>
          <w14:textFill>
            <w14:solidFill>
              <w14:schemeClr w14:val="tx1"/>
            </w14:solidFill>
          </w14:textFill>
        </w:rPr>
        <w:t>工期，规定乙方先做某部位后做某部位，何时增加工人何时减少工人，乙方必须服从调动及安排</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否则乙方每次向甲方承担违约金人民币十万元</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6965A0AC">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7</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甲方有权对乙方在施工中出现的不符合设计图纸、违反施工规范和安全操作规程、材料浪费等违规行为强行制止，并要求乙方在规定时间内按要求整改，同时有权根据具体情况对乙方进行扣款处理。</w:t>
      </w:r>
    </w:p>
    <w:p w14:paraId="25BF64D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8</w:t>
      </w:r>
      <w:r>
        <w:rPr>
          <w:rFonts w:hint="eastAsia" w:ascii="仿宋" w:hAnsi="仿宋" w:eastAsia="仿宋" w:cs="仿宋"/>
          <w:i w:val="0"/>
          <w:iCs w:val="0"/>
          <w:color w:val="000000" w:themeColor="text1"/>
          <w:sz w:val="28"/>
          <w:szCs w:val="28"/>
          <w:highlight w:val="none"/>
          <w14:textFill>
            <w14:solidFill>
              <w14:schemeClr w14:val="tx1"/>
            </w14:solidFill>
          </w14:textFill>
        </w:rPr>
        <w:t>甲方有权对乙方及其人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进行技术考核</w:t>
      </w: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14:textFill>
            <w14:solidFill>
              <w14:schemeClr w14:val="tx1"/>
            </w14:solidFill>
          </w14:textFill>
        </w:rPr>
        <w:t>考核不合格的人</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员</w:t>
      </w:r>
      <w:r>
        <w:rPr>
          <w:rFonts w:hint="eastAsia" w:ascii="仿宋" w:hAnsi="仿宋" w:eastAsia="仿宋" w:cs="仿宋"/>
          <w:i w:val="0"/>
          <w:iCs w:val="0"/>
          <w:color w:val="000000" w:themeColor="text1"/>
          <w:sz w:val="28"/>
          <w:szCs w:val="28"/>
          <w:highlight w:val="none"/>
          <w14:textFill>
            <w14:solidFill>
              <w14:schemeClr w14:val="tx1"/>
            </w14:solidFill>
          </w14:textFill>
        </w:rPr>
        <w:t>不能上岗</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且乙方按甲方要求调换合格人员接替上岗</w:t>
      </w:r>
      <w:r>
        <w:rPr>
          <w:rFonts w:hint="eastAsia" w:ascii="仿宋" w:hAnsi="仿宋" w:eastAsia="仿宋" w:cs="仿宋"/>
          <w:i w:val="0"/>
          <w:iCs w:val="0"/>
          <w:color w:val="000000" w:themeColor="text1"/>
          <w:sz w:val="28"/>
          <w:szCs w:val="28"/>
          <w:highlight w:val="none"/>
          <w14:textFill>
            <w14:solidFill>
              <w14:schemeClr w14:val="tx1"/>
            </w14:solidFill>
          </w14:textFill>
        </w:rPr>
        <w:t>。</w:t>
      </w:r>
    </w:p>
    <w:p w14:paraId="6D3D166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000000" w:themeColor="text1"/>
          <w:sz w:val="28"/>
          <w:szCs w:val="28"/>
          <w:highlight w:val="none"/>
          <w14:textFill>
            <w14:solidFill>
              <w14:schemeClr w14:val="tx1"/>
            </w14:solidFill>
          </w14:textFill>
        </w:rPr>
        <w:t>1.</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3040ACCF">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58919BD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5FF7399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069F6C4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对乙方不按合同约定时间向甲方申报其工人工资资料等行为，甲方有权对乙方收取违约金，每逾期一天的违约金不少于伍佰元/人（按乙方在本项目工作的人数计）。</w:t>
      </w:r>
    </w:p>
    <w:p w14:paraId="6E4103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1E4572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383254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6F07891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4AC95D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784FBB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30EDAE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410A91A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6FFDA25E">
      <w:pPr>
        <w:keepNext w:val="0"/>
        <w:keepLines w:val="0"/>
        <w:pageBreakBefore w:val="0"/>
        <w:widowControl w:val="0"/>
        <w:kinsoku/>
        <w:wordWrap/>
        <w:overflowPunct/>
        <w:topLinePunct w:val="0"/>
        <w:autoSpaceDE/>
        <w:autoSpaceDN/>
        <w:bidi w:val="0"/>
        <w:adjustRightInd/>
        <w:snapToGrid w:val="0"/>
        <w:spacing w:line="360" w:lineRule="auto"/>
        <w:ind w:left="0" w:leftChars="0" w:right="84" w:rightChars="40" w:firstLine="551" w:firstLineChars="197"/>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567EF0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9.2.9乙方须如实主动申报及发放工人工资，甲方有权核对，如发现乙方弄虚作假，甲方暂停支付乙方合同款。</w:t>
      </w:r>
    </w:p>
    <w:p w14:paraId="5D0B1C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561F99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5DA3866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31978C9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3E98813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68A8BFA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2EBA98C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5D1B5231">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7944333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6FB44D5A">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35750076">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49476B74">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1AA42128">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34D930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624B992E">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0AEC2B7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6B75C490">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4E228BD6">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22CB17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sz w:val="27"/>
          <w:szCs w:val="27"/>
          <w:highlight w:val="cyan"/>
          <w:lang w:val="en-US" w:eastAsia="zh-CN"/>
        </w:rPr>
      </w:pPr>
      <w:r>
        <w:rPr>
          <w:rFonts w:hint="eastAsia" w:ascii="仿宋" w:hAnsi="仿宋" w:eastAsia="仿宋" w:cs="仿宋"/>
          <w:sz w:val="27"/>
          <w:szCs w:val="27"/>
          <w:highlight w:val="none"/>
          <w:lang w:val="en-US" w:eastAsia="zh-CN"/>
        </w:rPr>
        <w:t>9.2.28乙方组织施工人员进场时，须</w:t>
      </w:r>
      <w:r>
        <w:rPr>
          <w:rFonts w:hint="eastAsia" w:ascii="仿宋" w:hAnsi="仿宋" w:eastAsia="仿宋" w:cs="仿宋"/>
          <w:sz w:val="27"/>
          <w:szCs w:val="27"/>
          <w:highlight w:val="none"/>
          <w:u w:val="none"/>
          <w:lang w:val="en-US" w:eastAsia="zh-CN"/>
        </w:rPr>
        <w:t>提供《技术工人素质承诺书》（</w:t>
      </w:r>
      <w:r>
        <w:rPr>
          <w:rFonts w:hint="eastAsia" w:ascii="仿宋" w:hAnsi="仿宋" w:eastAsia="仿宋" w:cs="仿宋"/>
          <w:sz w:val="27"/>
          <w:szCs w:val="27"/>
          <w:highlight w:val="none"/>
          <w:lang w:val="en-US" w:eastAsia="zh-CN"/>
        </w:rPr>
        <w:t>格式</w:t>
      </w:r>
      <w:r>
        <w:rPr>
          <w:rFonts w:hint="eastAsia" w:ascii="仿宋" w:hAnsi="仿宋" w:eastAsia="仿宋" w:cs="仿宋"/>
          <w:sz w:val="27"/>
          <w:szCs w:val="27"/>
          <w:highlight w:val="none"/>
          <w:u w:val="none"/>
          <w:lang w:val="en-US" w:eastAsia="zh-CN"/>
        </w:rPr>
        <w:t>详见</w:t>
      </w:r>
      <w:r>
        <w:rPr>
          <w:rFonts w:hint="eastAsia" w:ascii="仿宋" w:hAnsi="仿宋" w:eastAsia="仿宋" w:cs="仿宋"/>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adjustRightInd w:val="0"/>
        <w:spacing w:line="360" w:lineRule="auto"/>
        <w:ind w:left="-197" w:leftChars="-94" w:right="-578" w:rightChars="-275" w:firstLine="560"/>
        <w:rPr>
          <w:rFonts w:hint="eastAsia" w:ascii="仿宋_GB2312" w:hAnsi="仿宋_GB2312" w:eastAsia="仿宋_GB2312" w:cs="仿宋_GB2312"/>
          <w:color w:val="auto"/>
          <w:sz w:val="28"/>
          <w:szCs w:val="28"/>
          <w:highlight w:val="none"/>
          <w:shd w:val="clear" w:color="auto" w:fill="auto"/>
          <w:lang w:val="en-US" w:eastAsia="zh-CN"/>
        </w:rPr>
      </w:pPr>
      <w:r>
        <w:rPr>
          <w:rFonts w:hint="eastAsia" w:ascii="仿宋_GB2312" w:hAnsi="仿宋_GB2312" w:eastAsia="仿宋_GB2312" w:cs="仿宋_GB2312"/>
          <w:color w:val="auto"/>
          <w:sz w:val="28"/>
          <w:szCs w:val="28"/>
          <w:highlight w:val="none"/>
          <w:shd w:val="clear" w:color="auto" w:fill="auto"/>
          <w:lang w:val="en-US" w:eastAsia="zh-CN"/>
        </w:rPr>
        <w:t>9.2.29乙方与第三人签订的劳动、租赁、买卖等一切合同，与甲方无关。乙方在施工期间发生的与第三方一切合同债务，由乙方负全责处理并承担责任。</w:t>
      </w:r>
    </w:p>
    <w:p w14:paraId="4A4CA490">
      <w:pPr>
        <w:adjustRightInd w:val="0"/>
        <w:spacing w:line="360" w:lineRule="auto"/>
        <w:ind w:left="-197" w:leftChars="-94" w:right="-578" w:rightChars="-275" w:firstLine="560"/>
        <w:rPr>
          <w:rFonts w:hint="eastAsia"/>
          <w:lang w:val="en-US" w:eastAsia="zh-CN"/>
        </w:rPr>
      </w:pPr>
      <w:r>
        <w:rPr>
          <w:rFonts w:hint="eastAsia" w:ascii="仿宋_GB2312" w:hAnsi="仿宋_GB2312" w:eastAsia="仿宋_GB2312" w:cs="仿宋_GB2312"/>
          <w:color w:val="auto"/>
          <w:sz w:val="28"/>
          <w:szCs w:val="28"/>
          <w:highlight w:val="none"/>
          <w:shd w:val="clear" w:color="auto" w:fill="auto"/>
          <w:lang w:val="en-US" w:eastAsia="zh-CN"/>
        </w:rPr>
        <w:t>9.2.30乙方与第三方发生的任何经济往来、债务纠纷均与甲方无关。乙方须保证所供应材料无权属上的瑕疵或无知识产权的争议，若因此对甲方造成损失，则由乙方负全责赔偿。</w:t>
      </w:r>
    </w:p>
    <w:p w14:paraId="07FEC735">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6" w:name="_Toc30824"/>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安全生产、文明施工要求</w:t>
      </w:r>
      <w:bookmarkEnd w:id="35"/>
      <w:bookmarkEnd w:id="36"/>
    </w:p>
    <w:p w14:paraId="0C2FF815">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bookmarkStart w:id="37" w:name="_Toc8911"/>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10.1甲方应对乙方进场的施工人员进行安全教育。</w:t>
      </w:r>
    </w:p>
    <w:p w14:paraId="5CB99363">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u w:val="none"/>
          <w:lang w:val="en-US" w:eastAsia="zh-CN"/>
          <w14:textFill>
            <w14:solidFill>
              <w14:schemeClr w14:val="tx1"/>
            </w14:solidFill>
          </w14:textFill>
        </w:rPr>
        <w:t>10.2甲方不得违反《建设工程安全生产管理条例》（有更新版本则按最新版本执行）的规定要求乙方违章施工。因甲方指挥失误导致的安全事故由甲方承担相应责任和费用。</w:t>
      </w:r>
    </w:p>
    <w:p w14:paraId="21643FEA">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3EC7990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04A42737">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39154072">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10.6乙方每天施工过程中须做到工完场清，乙方造成的垃圾由乙方负责清理外运至甲方指定地点，相关费用已含于第六章约定的合同价中，甲方无需另行计费给乙方。</w:t>
      </w:r>
    </w:p>
    <w:p w14:paraId="3F83315D">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38" w:name="_Toc16118"/>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甲供材料设备</w:t>
      </w:r>
      <w:bookmarkEnd w:id="37"/>
      <w:bookmarkEnd w:id="38"/>
    </w:p>
    <w:p w14:paraId="34049D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pPr>
      <w:bookmarkStart w:id="39" w:name="_Toc24023"/>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11.</w:t>
      </w:r>
      <w:r>
        <w:rPr>
          <w:rFonts w:hint="eastAsia" w:ascii="仿宋" w:hAnsi="仿宋" w:eastAsia="仿宋" w:cs="仿宋"/>
          <w:i w:val="0"/>
          <w:iCs w:val="0"/>
          <w:color w:val="000000" w:themeColor="text1"/>
          <w:sz w:val="28"/>
          <w:szCs w:val="28"/>
          <w:highlight w:val="none"/>
          <w14:textFill>
            <w14:solidFill>
              <w14:schemeClr w14:val="tx1"/>
            </w14:solidFill>
          </w14:textFill>
        </w:rPr>
        <w:t>1乙方在施工现场使用各种资源都必须按</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甲方</w:t>
      </w:r>
      <w:r>
        <w:rPr>
          <w:rFonts w:hint="eastAsia" w:ascii="仿宋" w:hAnsi="仿宋" w:eastAsia="仿宋" w:cs="仿宋"/>
          <w:i w:val="0"/>
          <w:iCs w:val="0"/>
          <w:color w:val="000000" w:themeColor="text1"/>
          <w:sz w:val="28"/>
          <w:szCs w:val="28"/>
          <w:highlight w:val="none"/>
          <w14:textFill>
            <w14:solidFill>
              <w14:schemeClr w14:val="tx1"/>
            </w14:solidFill>
          </w14:textFill>
        </w:rPr>
        <w:t>规定办理租用、借用、领用手续。</w:t>
      </w:r>
    </w:p>
    <w:p w14:paraId="766F7AA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11.</w:t>
      </w:r>
      <w:r>
        <w:rPr>
          <w:rFonts w:hint="eastAsia" w:ascii="仿宋" w:hAnsi="仿宋" w:eastAsia="仿宋" w:cs="仿宋"/>
          <w:i w:val="0"/>
          <w:iCs w:val="0"/>
          <w:color w:val="000000" w:themeColor="text1"/>
          <w:sz w:val="28"/>
          <w:szCs w:val="28"/>
          <w:highlight w:val="none"/>
          <w14:textFill>
            <w14:solidFill>
              <w14:schemeClr w14:val="tx1"/>
            </w14:solidFill>
          </w14:textFill>
        </w:rPr>
        <w:t>2乙方</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对</w:t>
      </w:r>
      <w:r>
        <w:rPr>
          <w:rFonts w:hint="eastAsia" w:ascii="仿宋" w:hAnsi="仿宋" w:eastAsia="仿宋" w:cs="仿宋"/>
          <w:i w:val="0"/>
          <w:iCs w:val="0"/>
          <w:color w:val="000000" w:themeColor="text1"/>
          <w:sz w:val="28"/>
          <w:szCs w:val="28"/>
          <w:highlight w:val="none"/>
          <w14:textFill>
            <w14:solidFill>
              <w14:schemeClr w14:val="tx1"/>
            </w14:solidFill>
          </w14:textFill>
        </w:rPr>
        <w:t>周转材料、建筑材料和施工机具</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应</w:t>
      </w:r>
      <w:r>
        <w:rPr>
          <w:rFonts w:hint="eastAsia" w:ascii="仿宋" w:hAnsi="仿宋" w:eastAsia="仿宋" w:cs="仿宋"/>
          <w:i w:val="0"/>
          <w:iCs w:val="0"/>
          <w:color w:val="000000" w:themeColor="text1"/>
          <w:sz w:val="28"/>
          <w:szCs w:val="28"/>
          <w:highlight w:val="none"/>
          <w14:textFill>
            <w14:solidFill>
              <w14:schemeClr w14:val="tx1"/>
            </w14:solidFill>
          </w14:textFill>
        </w:rPr>
        <w:t>做到限额合理使用、工完场清，对机具</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负责</w:t>
      </w:r>
      <w:r>
        <w:rPr>
          <w:rFonts w:hint="eastAsia" w:ascii="仿宋" w:hAnsi="仿宋" w:eastAsia="仿宋" w:cs="仿宋"/>
          <w:i w:val="0"/>
          <w:iCs w:val="0"/>
          <w:color w:val="000000" w:themeColor="text1"/>
          <w:sz w:val="28"/>
          <w:szCs w:val="28"/>
          <w:highlight w:val="none"/>
          <w14:textFill>
            <w14:solidFill>
              <w14:schemeClr w14:val="tx1"/>
            </w14:solidFill>
          </w14:textFill>
        </w:rPr>
        <w:t>正常保养维护。</w:t>
      </w:r>
    </w:p>
    <w:p w14:paraId="6247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14:textFill>
            <w14:solidFill>
              <w14:schemeClr w14:val="tx1"/>
            </w14:solidFill>
          </w14:textFill>
        </w:rPr>
      </w:pPr>
      <w:r>
        <w:rPr>
          <w:rFonts w:hint="eastAsia" w:ascii="仿宋" w:hAnsi="仿宋" w:eastAsia="仿宋" w:cs="仿宋"/>
          <w:i w:val="0"/>
          <w:iCs w:val="0"/>
          <w:color w:val="000000" w:themeColor="text1"/>
          <w:sz w:val="28"/>
          <w:szCs w:val="28"/>
          <w:highlight w:val="none"/>
          <w:lang w:eastAsia="zh-CN"/>
          <w14:textFill>
            <w14:solidFill>
              <w14:schemeClr w14:val="tx1"/>
            </w14:solidFill>
          </w14:textFill>
        </w:rPr>
        <w:t>11.</w:t>
      </w:r>
      <w:r>
        <w:rPr>
          <w:rFonts w:hint="eastAsia" w:ascii="仿宋" w:hAnsi="仿宋" w:eastAsia="仿宋" w:cs="仿宋"/>
          <w:i w:val="0"/>
          <w:iCs w:val="0"/>
          <w:color w:val="000000" w:themeColor="text1"/>
          <w:sz w:val="28"/>
          <w:szCs w:val="28"/>
          <w:highlight w:val="none"/>
          <w14:textFill>
            <w14:solidFill>
              <w14:schemeClr w14:val="tx1"/>
            </w14:solidFill>
          </w14:textFill>
        </w:rPr>
        <w:t>3</w:t>
      </w:r>
      <w:r>
        <w:rPr>
          <w:rFonts w:hint="eastAsia" w:ascii="仿宋" w:hAnsi="仿宋" w:eastAsia="仿宋" w:cs="仿宋"/>
          <w:i w:val="0"/>
          <w:iCs w:val="0"/>
          <w:color w:val="000000" w:themeColor="text1"/>
          <w:sz w:val="28"/>
          <w:szCs w:val="28"/>
          <w:highlight w:val="none"/>
          <w:lang w:val="en-US" w:eastAsia="zh-CN"/>
          <w14:textFill>
            <w14:solidFill>
              <w14:schemeClr w14:val="tx1"/>
            </w14:solidFill>
          </w14:textFill>
        </w:rPr>
        <w:t>甲供材</w:t>
      </w:r>
      <w:r>
        <w:rPr>
          <w:rFonts w:hint="eastAsia" w:ascii="仿宋" w:hAnsi="仿宋" w:eastAsia="仿宋" w:cs="仿宋"/>
          <w:i w:val="0"/>
          <w:iCs w:val="0"/>
          <w:color w:val="000000" w:themeColor="text1"/>
          <w:sz w:val="28"/>
          <w:szCs w:val="28"/>
          <w:highlight w:val="none"/>
          <w14:textFill>
            <w14:solidFill>
              <w14:schemeClr w14:val="tx1"/>
            </w14:solidFill>
          </w14:textFill>
        </w:rPr>
        <w:t>损耗率</w:t>
      </w:r>
    </w:p>
    <w:p w14:paraId="4CB452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11.3.1乙方使用的甲供材数量以甲方出入库单显示的为准，乙方参加甲供材的验收、签收与出库。甲供材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1</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2044C60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default" w:ascii="仿宋" w:hAnsi="仿宋" w:eastAsia="仿宋" w:cs="仿宋"/>
          <w:b w:val="0"/>
          <w:bCs w:val="0"/>
          <w:i w:val="0"/>
          <w:iCs w:val="0"/>
          <w:color w:val="auto"/>
          <w:sz w:val="28"/>
          <w:szCs w:val="28"/>
          <w:highlight w:val="none"/>
          <w:u w:val="single"/>
          <w:lang w:val="en-US"/>
        </w:rPr>
      </w:pPr>
      <w:r>
        <w:rPr>
          <w:rFonts w:hint="eastAsia" w:ascii="仿宋" w:hAnsi="仿宋" w:eastAsia="仿宋" w:cs="仿宋"/>
          <w:b w:val="0"/>
          <w:bCs w:val="0"/>
          <w:i w:val="0"/>
          <w:iCs w:val="0"/>
          <w:color w:val="auto"/>
          <w:sz w:val="28"/>
          <w:szCs w:val="28"/>
          <w:highlight w:val="none"/>
          <w:lang w:val="en-US" w:eastAsia="zh-CN"/>
        </w:rPr>
        <w:t>11.3.2甲供材损耗率计算公式：（实际使用量-竣工图计算量</w:t>
      </w:r>
      <w:r>
        <w:rPr>
          <w:rFonts w:hint="eastAsia" w:ascii="仿宋" w:hAnsi="仿宋" w:eastAsia="仿宋" w:cs="仿宋"/>
          <w:b w:val="0"/>
          <w:bCs w:val="0"/>
          <w:i w:val="0"/>
          <w:iCs w:val="0"/>
          <w:color w:val="auto"/>
          <w:sz w:val="28"/>
          <w:szCs w:val="28"/>
          <w:highlight w:val="none"/>
          <w:lang w:val="en-US" w:eastAsia="zh-CN"/>
        </w:rPr>
        <w:t>-废料出售金额/钢筋购进单价）/竣工图计算量</w:t>
      </w:r>
      <w:r>
        <w:rPr>
          <w:rFonts w:hint="eastAsia" w:ascii="仿宋" w:hAnsi="仿宋" w:eastAsia="仿宋" w:cs="仿宋"/>
          <w:b w:val="0"/>
          <w:bCs w:val="0"/>
          <w:i w:val="0"/>
          <w:iCs w:val="0"/>
          <w:color w:val="auto"/>
          <w:sz w:val="28"/>
          <w:szCs w:val="28"/>
          <w:highlight w:val="none"/>
          <w:u w:val="none"/>
          <w:lang w:val="en-US" w:eastAsia="zh-CN"/>
        </w:rPr>
        <w:t>。</w:t>
      </w:r>
      <w:bookmarkStart w:id="76" w:name="_GoBack"/>
      <w:bookmarkEnd w:id="76"/>
    </w:p>
    <w:p w14:paraId="122E39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477B44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01BF4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62D0B6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265B35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11.8劳保用品配置标准具体实施及费用收取标准、办法：</w:t>
      </w:r>
    </w:p>
    <w:p w14:paraId="0394A37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11.8.1本工程配置黄色的安全帽、荧光黄色的反光背心，款式按甲方颁布的《劳保用品配置标准及司旗款式》（V2022）制度执行。</w:t>
      </w:r>
    </w:p>
    <w:p w14:paraId="78A07C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11.8.2甲方提供安全帽20元/顶、反光背心15元/件，按乙方实际领取数量的对应金额在结算时进行扣除。</w:t>
      </w:r>
    </w:p>
    <w:p w14:paraId="33516FBA">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0" w:name="_Toc13194"/>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验收及保修</w:t>
      </w:r>
      <w:bookmarkEnd w:id="39"/>
      <w:bookmarkEnd w:id="40"/>
    </w:p>
    <w:p w14:paraId="7B239A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12.</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p>
    <w:p w14:paraId="285705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sym w:font="Wingdings" w:char="00FE"/>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任一</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组团</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内容全部完工，乙方自检符合质量要求后提请甲方及</w:t>
      </w:r>
      <w:r>
        <w:rPr>
          <w:rFonts w:hint="eastAsia" w:ascii="仿宋" w:hAnsi="仿宋" w:eastAsia="仿宋" w:cs="仿宋"/>
          <w:b w:val="0"/>
          <w:bCs w:val="0"/>
          <w:i w:val="0"/>
          <w:iCs w:val="0"/>
          <w:color w:val="000000" w:themeColor="text1"/>
          <w:sz w:val="28"/>
          <w:szCs w:val="28"/>
          <w:highlight w:val="none"/>
          <w:shd w:val="clear" w:color="auto" w:fill="auto"/>
          <w:lang w:eastAsia="zh-CN"/>
          <w14:textFill>
            <w14:solidFill>
              <w14:schemeClr w14:val="tx1"/>
            </w14:solidFill>
          </w14:textFill>
        </w:rPr>
        <w:t>建设单位</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组织验收，经</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建设行政主管部门、监理、</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甲方及</w:t>
      </w:r>
      <w:r>
        <w:rPr>
          <w:rFonts w:hint="eastAsia" w:ascii="仿宋" w:hAnsi="仿宋" w:eastAsia="仿宋" w:cs="仿宋"/>
          <w:b w:val="0"/>
          <w:bCs w:val="0"/>
          <w:i w:val="0"/>
          <w:iCs w:val="0"/>
          <w:color w:val="000000" w:themeColor="text1"/>
          <w:sz w:val="28"/>
          <w:szCs w:val="28"/>
          <w:highlight w:val="none"/>
          <w:shd w:val="clear" w:color="auto" w:fill="auto"/>
          <w:lang w:eastAsia="zh-CN"/>
          <w14:textFill>
            <w14:solidFill>
              <w14:schemeClr w14:val="tx1"/>
            </w14:solidFill>
          </w14:textFill>
        </w:rPr>
        <w:t>建设单位</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验收合格后，移交给</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使用</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之</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日为</w:t>
      </w:r>
      <w:r>
        <w:rPr>
          <w:rFonts w:hint="eastAsia" w:ascii="仿宋" w:hAnsi="仿宋" w:eastAsia="仿宋" w:cs="仿宋"/>
          <w:b w:val="0"/>
          <w:bCs w:val="0"/>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该组团</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内容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完工</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日</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p>
    <w:p w14:paraId="655CEA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sym w:font="Wingdings 2" w:char="00A3"/>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全部完工，乙方自检符合质量要求后提请甲方及</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建设单位</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组织验收，经</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政府主管部门、监理、</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甲方及</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建设单位</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验收合格后，移交给</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甲方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使用</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日为</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完工</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日</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p>
    <w:bookmarkEnd w:id="32"/>
    <w:bookmarkEnd w:id="33"/>
    <w:p w14:paraId="5EF4A3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eastAsia="zh-CN"/>
        </w:rPr>
      </w:pPr>
      <w:bookmarkStart w:id="41" w:name="_Toc18983"/>
      <w:bookmarkStart w:id="42" w:name="_Toc7101"/>
      <w:bookmarkStart w:id="43" w:name="_Toc8898"/>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保修期内，乙方对</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出现的质量问题免费进行维修或更换；</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保修内容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各部位、部件、整体或单件的损坏、脱落、开裂、变形等，均由乙方无偿保修。</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本工程</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sym w:font="Wingdings" w:char="00FE"/>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任一</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组团内容/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sym w:font="Wingdings 2" w:char="00A3"/>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全部</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内容的保修期</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为</w:t>
      </w:r>
      <w:r>
        <w:rPr>
          <w:rFonts w:hint="eastAsia" w:ascii="仿宋" w:hAnsi="仿宋" w:eastAsia="仿宋" w:cs="仿宋"/>
          <w:b w:val="0"/>
          <w:bCs w:val="0"/>
          <w:i w:val="0"/>
          <w:iCs w:val="0"/>
          <w:color w:val="auto"/>
          <w:sz w:val="28"/>
          <w:szCs w:val="28"/>
          <w:highlight w:val="none"/>
          <w:u w:val="singl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rPr>
        <w:t>年</w:t>
      </w:r>
      <w:r>
        <w:rPr>
          <w:rFonts w:hint="eastAsia" w:ascii="仿宋" w:hAnsi="仿宋" w:eastAsia="仿宋" w:cs="仿宋"/>
          <w:b w:val="0"/>
          <w:bCs w:val="0"/>
          <w:i w:val="0"/>
          <w:iCs w:val="0"/>
          <w:color w:val="auto"/>
          <w:sz w:val="28"/>
          <w:szCs w:val="28"/>
          <w:highlight w:val="none"/>
          <w:shd w:val="clear" w:color="auto" w:fill="auto"/>
          <w:lang w:val="en-US" w:eastAsia="zh-CN"/>
        </w:rPr>
        <w:t>（国家或甲方与本项目建设单位另有更长保修期限规定的，从其规定)，保修期自</w:t>
      </w:r>
      <w:r>
        <w:rPr>
          <w:rFonts w:hint="eastAsia" w:ascii="仿宋" w:hAnsi="仿宋" w:eastAsia="仿宋" w:cs="仿宋"/>
          <w:b w:val="0"/>
          <w:bCs w:val="0"/>
          <w:i w:val="0"/>
          <w:iCs w:val="0"/>
          <w:color w:val="auto"/>
          <w:sz w:val="28"/>
          <w:szCs w:val="28"/>
          <w:highlight w:val="none"/>
          <w:u w:val="single"/>
          <w:shd w:val="clear" w:color="auto" w:fill="auto"/>
          <w:lang w:val="en-US" w:eastAsia="zh-CN"/>
        </w:rPr>
        <w:t>竣工验收合格并交付建设单位使用</w:t>
      </w:r>
      <w:r>
        <w:rPr>
          <w:rFonts w:hint="eastAsia" w:ascii="仿宋" w:hAnsi="仿宋" w:eastAsia="仿宋" w:cs="仿宋"/>
          <w:b w:val="0"/>
          <w:bCs w:val="0"/>
          <w:i w:val="0"/>
          <w:iCs w:val="0"/>
          <w:color w:val="auto"/>
          <w:sz w:val="28"/>
          <w:szCs w:val="28"/>
          <w:highlight w:val="none"/>
          <w:shd w:val="clear" w:color="auto" w:fill="auto"/>
          <w:lang w:val="en-US" w:eastAsia="zh-CN"/>
        </w:rPr>
        <w:t>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52C923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4692D74">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3E8B4B8D">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5保修期</w:t>
      </w:r>
      <w:r>
        <w:rPr>
          <w:rFonts w:hint="eastAsia" w:ascii="仿宋" w:hAnsi="仿宋" w:eastAsia="仿宋" w:cs="仿宋"/>
          <w:i w:val="0"/>
          <w:iCs w:val="0"/>
          <w:color w:val="auto"/>
          <w:sz w:val="28"/>
          <w:szCs w:val="28"/>
          <w:highlight w:val="none"/>
          <w:shd w:val="clear" w:color="auto" w:fill="auto"/>
          <w:lang w:val="en-US" w:eastAsia="zh-CN"/>
        </w:rPr>
        <w:t>届</w:t>
      </w:r>
      <w:r>
        <w:rPr>
          <w:rFonts w:hint="eastAsia" w:ascii="仿宋" w:hAnsi="仿宋" w:eastAsia="仿宋" w:cs="仿宋"/>
          <w:i w:val="0"/>
          <w:iCs w:val="0"/>
          <w:color w:val="auto"/>
          <w:sz w:val="28"/>
          <w:szCs w:val="28"/>
          <w:highlight w:val="none"/>
          <w:shd w:val="clear" w:color="auto" w:fill="auto"/>
        </w:rPr>
        <w:t>满</w:t>
      </w:r>
      <w:r>
        <w:rPr>
          <w:rFonts w:hint="eastAsia" w:ascii="仿宋" w:hAnsi="仿宋" w:eastAsia="仿宋" w:cs="仿宋"/>
          <w:i w:val="0"/>
          <w:iCs w:val="0"/>
          <w:color w:val="auto"/>
          <w:sz w:val="28"/>
          <w:szCs w:val="28"/>
          <w:highlight w:val="none"/>
          <w:shd w:val="clear" w:color="auto" w:fill="auto"/>
          <w:lang w:val="en-US" w:eastAsia="zh-CN"/>
        </w:rPr>
        <w:t>后第一周内</w:t>
      </w:r>
      <w:r>
        <w:rPr>
          <w:rFonts w:hint="eastAsia" w:ascii="仿宋" w:hAnsi="仿宋" w:eastAsia="仿宋" w:cs="仿宋"/>
          <w:i w:val="0"/>
          <w:iCs w:val="0"/>
          <w:color w:val="auto"/>
          <w:sz w:val="28"/>
          <w:szCs w:val="28"/>
          <w:highlight w:val="none"/>
          <w:shd w:val="clear" w:color="auto" w:fill="auto"/>
        </w:rPr>
        <w:t>，由甲方组织乙方等相关单位人员</w:t>
      </w:r>
      <w:r>
        <w:rPr>
          <w:rFonts w:hint="eastAsia" w:ascii="仿宋" w:hAnsi="仿宋" w:eastAsia="仿宋" w:cs="仿宋"/>
          <w:i w:val="0"/>
          <w:iCs w:val="0"/>
          <w:color w:val="auto"/>
          <w:sz w:val="28"/>
          <w:szCs w:val="28"/>
          <w:highlight w:val="none"/>
          <w:shd w:val="clear" w:color="auto" w:fill="auto"/>
          <w:lang w:val="en-US" w:eastAsia="zh-CN"/>
        </w:rPr>
        <w:t>进行保修</w:t>
      </w:r>
      <w:r>
        <w:rPr>
          <w:rFonts w:hint="eastAsia" w:ascii="仿宋" w:hAnsi="仿宋" w:eastAsia="仿宋" w:cs="仿宋"/>
          <w:i w:val="0"/>
          <w:iCs w:val="0"/>
          <w:color w:val="auto"/>
          <w:sz w:val="28"/>
          <w:szCs w:val="28"/>
          <w:highlight w:val="none"/>
          <w:shd w:val="clear" w:color="auto" w:fill="auto"/>
        </w:rPr>
        <w:t>验收，验收合格后由甲方出具《保修验收合格报告》作为</w:t>
      </w:r>
      <w:r>
        <w:rPr>
          <w:rFonts w:hint="eastAsia" w:ascii="仿宋" w:hAnsi="仿宋" w:eastAsia="仿宋" w:cs="仿宋"/>
          <w:i w:val="0"/>
          <w:iCs w:val="0"/>
          <w:color w:val="auto"/>
          <w:sz w:val="28"/>
          <w:szCs w:val="28"/>
          <w:highlight w:val="none"/>
          <w:shd w:val="clear" w:color="auto" w:fill="auto"/>
          <w:lang w:eastAsia="zh-CN"/>
        </w:rPr>
        <w:t>保修金</w:t>
      </w:r>
      <w:r>
        <w:rPr>
          <w:rFonts w:hint="eastAsia" w:ascii="仿宋" w:hAnsi="仿宋" w:eastAsia="仿宋" w:cs="仿宋"/>
          <w:i w:val="0"/>
          <w:iCs w:val="0"/>
          <w:color w:val="auto"/>
          <w:sz w:val="28"/>
          <w:szCs w:val="28"/>
          <w:highlight w:val="none"/>
          <w:shd w:val="clear" w:color="auto" w:fill="auto"/>
        </w:rPr>
        <w:t>支付凭证，若验收不通过，由乙方整改后</w:t>
      </w:r>
      <w:r>
        <w:rPr>
          <w:rFonts w:hint="eastAsia" w:ascii="仿宋" w:hAnsi="仿宋" w:eastAsia="仿宋" w:cs="仿宋"/>
          <w:i w:val="0"/>
          <w:iCs w:val="0"/>
          <w:color w:val="auto"/>
          <w:sz w:val="28"/>
          <w:szCs w:val="28"/>
          <w:highlight w:val="none"/>
          <w:shd w:val="clear" w:color="auto" w:fill="auto"/>
          <w:lang w:val="en-US" w:eastAsia="zh-CN"/>
        </w:rPr>
        <w:t>再次</w:t>
      </w:r>
      <w:r>
        <w:rPr>
          <w:rFonts w:hint="eastAsia" w:ascii="仿宋" w:hAnsi="仿宋" w:eastAsia="仿宋" w:cs="仿宋"/>
          <w:i w:val="0"/>
          <w:iCs w:val="0"/>
          <w:color w:val="auto"/>
          <w:sz w:val="28"/>
          <w:szCs w:val="28"/>
          <w:highlight w:val="none"/>
          <w:shd w:val="clear" w:color="auto" w:fill="auto"/>
        </w:rPr>
        <w:t>验收，相关费用由乙方负责。本工程</w:t>
      </w:r>
      <w:r>
        <w:rPr>
          <w:rFonts w:hint="eastAsia" w:ascii="仿宋" w:hAnsi="仿宋" w:eastAsia="仿宋" w:cs="仿宋"/>
          <w:i w:val="0"/>
          <w:iCs w:val="0"/>
          <w:color w:val="auto"/>
          <w:sz w:val="28"/>
          <w:szCs w:val="28"/>
          <w:highlight w:val="none"/>
          <w:shd w:val="clear" w:color="auto" w:fill="auto"/>
          <w:lang w:val="en-US" w:eastAsia="zh-CN"/>
        </w:rPr>
        <w:t>整改一次后才</w:t>
      </w:r>
      <w:r>
        <w:rPr>
          <w:rFonts w:hint="eastAsia" w:ascii="仿宋" w:hAnsi="仿宋" w:eastAsia="仿宋" w:cs="仿宋"/>
          <w:i w:val="0"/>
          <w:iCs w:val="0"/>
          <w:color w:val="auto"/>
          <w:sz w:val="28"/>
          <w:szCs w:val="28"/>
          <w:highlight w:val="none"/>
          <w:shd w:val="clear" w:color="auto" w:fill="auto"/>
        </w:rPr>
        <w:t>通过验收的，</w:t>
      </w:r>
      <w:r>
        <w:rPr>
          <w:rFonts w:hint="eastAsia" w:ascii="仿宋" w:hAnsi="仿宋" w:eastAsia="仿宋" w:cs="仿宋"/>
          <w:i w:val="0"/>
          <w:iCs w:val="0"/>
          <w:color w:val="auto"/>
          <w:sz w:val="28"/>
          <w:szCs w:val="28"/>
          <w:highlight w:val="none"/>
          <w:shd w:val="clear" w:color="auto" w:fill="auto"/>
          <w:lang w:eastAsia="zh-CN"/>
        </w:rPr>
        <w:t>保修期</w:t>
      </w:r>
      <w:r>
        <w:rPr>
          <w:rFonts w:hint="eastAsia" w:ascii="仿宋" w:hAnsi="仿宋" w:eastAsia="仿宋" w:cs="仿宋"/>
          <w:i w:val="0"/>
          <w:iCs w:val="0"/>
          <w:color w:val="auto"/>
          <w:sz w:val="28"/>
          <w:szCs w:val="28"/>
          <w:highlight w:val="none"/>
          <w:shd w:val="clear" w:color="auto" w:fill="auto"/>
        </w:rPr>
        <w:t>按乙方整改天数顺延，</w:t>
      </w:r>
      <w:r>
        <w:rPr>
          <w:rFonts w:hint="eastAsia" w:ascii="仿宋" w:hAnsi="仿宋" w:eastAsia="仿宋" w:cs="仿宋"/>
          <w:i w:val="0"/>
          <w:iCs w:val="0"/>
          <w:color w:val="auto"/>
          <w:sz w:val="28"/>
          <w:szCs w:val="28"/>
          <w:highlight w:val="none"/>
          <w:shd w:val="clear" w:color="auto" w:fill="auto"/>
          <w:lang w:val="en-US" w:eastAsia="zh-CN"/>
        </w:rPr>
        <w:t>整改两次</w:t>
      </w:r>
      <w:r>
        <w:rPr>
          <w:rFonts w:hint="eastAsia" w:ascii="仿宋" w:hAnsi="仿宋" w:eastAsia="仿宋" w:cs="仿宋"/>
          <w:i w:val="0"/>
          <w:iCs w:val="0"/>
          <w:color w:val="auto"/>
          <w:sz w:val="28"/>
          <w:szCs w:val="28"/>
          <w:highlight w:val="none"/>
          <w:shd w:val="clear" w:color="auto" w:fill="auto"/>
        </w:rPr>
        <w:t>以上</w:t>
      </w:r>
      <w:r>
        <w:rPr>
          <w:rFonts w:hint="eastAsia" w:ascii="仿宋" w:hAnsi="仿宋" w:eastAsia="仿宋" w:cs="仿宋"/>
          <w:i w:val="0"/>
          <w:iCs w:val="0"/>
          <w:color w:val="auto"/>
          <w:sz w:val="28"/>
          <w:szCs w:val="28"/>
          <w:highlight w:val="none"/>
          <w:shd w:val="clear" w:color="auto" w:fill="auto"/>
          <w:lang w:val="en-US" w:eastAsia="zh-CN"/>
        </w:rPr>
        <w:t>才</w:t>
      </w:r>
      <w:r>
        <w:rPr>
          <w:rFonts w:hint="eastAsia" w:ascii="仿宋" w:hAnsi="仿宋" w:eastAsia="仿宋" w:cs="仿宋"/>
          <w:i w:val="0"/>
          <w:iCs w:val="0"/>
          <w:color w:val="auto"/>
          <w:sz w:val="28"/>
          <w:szCs w:val="28"/>
          <w:highlight w:val="none"/>
          <w:shd w:val="clear" w:color="auto" w:fill="auto"/>
        </w:rPr>
        <w:t>验收合格的，</w:t>
      </w:r>
      <w:r>
        <w:rPr>
          <w:rFonts w:hint="eastAsia" w:ascii="仿宋" w:hAnsi="仿宋" w:eastAsia="仿宋" w:cs="仿宋"/>
          <w:i w:val="0"/>
          <w:iCs w:val="0"/>
          <w:color w:val="auto"/>
          <w:sz w:val="28"/>
          <w:szCs w:val="28"/>
          <w:highlight w:val="none"/>
          <w:shd w:val="clear" w:color="auto" w:fill="auto"/>
          <w:lang w:eastAsia="zh-CN"/>
        </w:rPr>
        <w:t>保修期</w:t>
      </w:r>
      <w:r>
        <w:rPr>
          <w:rFonts w:hint="eastAsia" w:ascii="仿宋" w:hAnsi="仿宋" w:eastAsia="仿宋" w:cs="仿宋"/>
          <w:i w:val="0"/>
          <w:iCs w:val="0"/>
          <w:color w:val="auto"/>
          <w:sz w:val="28"/>
          <w:szCs w:val="28"/>
          <w:highlight w:val="none"/>
          <w:shd w:val="clear" w:color="auto" w:fill="auto"/>
        </w:rPr>
        <w:t>自验收合格之日起顺延一年。</w:t>
      </w:r>
    </w:p>
    <w:p w14:paraId="274BC32E">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12.6</w:t>
      </w:r>
      <w:r>
        <w:rPr>
          <w:rFonts w:hint="eastAsia" w:ascii="仿宋" w:hAnsi="仿宋" w:eastAsia="仿宋" w:cs="仿宋"/>
          <w:color w:val="auto"/>
          <w:sz w:val="28"/>
          <w:szCs w:val="28"/>
          <w:highlight w:val="none"/>
          <w:lang w:val="en-US" w:eastAsia="zh-CN"/>
        </w:rPr>
        <w:t xml:space="preserve">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7B68EFC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4" w:name="_Toc32644"/>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保险</w:t>
      </w:r>
      <w:bookmarkEnd w:id="41"/>
      <w:bookmarkEnd w:id="42"/>
      <w:bookmarkEnd w:id="43"/>
      <w:bookmarkEnd w:id="44"/>
    </w:p>
    <w:p w14:paraId="0E340E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109015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7926"/>
      <w:bookmarkStart w:id="46" w:name="_Toc12559"/>
      <w:bookmarkStart w:id="47" w:name="_Toc31086"/>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7C1905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13.3</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须为其属下</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人员</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财产、现场各种施工设施、设备、材料</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购买</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保险，</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相关</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费用已含在</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本</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约定的合同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价</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格</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中</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无需甲方另行支付给乙方</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各种</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原因</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导致乙方需要</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延长保险期所需增加的保险费由乙方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自行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承担</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其费用已包含在本合同约定价格内，乙方人员或</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因乙方原因造成任何事故(包括第三方人员在内)</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导致的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损失、赔偿、补偿等责任</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和费用</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由乙方承担。</w:t>
      </w:r>
    </w:p>
    <w:p w14:paraId="14D2F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甲乙双方在签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订</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各自的保险合同时，其第三方责任险应将对方互相视为第三方。</w:t>
      </w:r>
    </w:p>
    <w:p w14:paraId="268248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13.</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1C5392F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13.6无论甲乙任何一方有无按照本合同约定办理相关保险事宜，乙方人员或因乙方原因导致在本项目范围内发生的伤亡事故，均由乙方承担责任和费用。</w:t>
      </w:r>
    </w:p>
    <w:p w14:paraId="3B406A45">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48" w:name="_Toc22308"/>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奖罚条款</w:t>
      </w:r>
      <w:bookmarkEnd w:id="45"/>
      <w:bookmarkEnd w:id="46"/>
      <w:bookmarkEnd w:id="47"/>
      <w:bookmarkEnd w:id="48"/>
    </w:p>
    <w:p w14:paraId="62C444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6486"/>
      <w:bookmarkStart w:id="50" w:name="_Toc28593"/>
      <w:bookmarkStart w:id="51" w:name="_Toc27044"/>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73407B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7B0C4F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686E48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095A3B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548D8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25B3F7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0FA0E36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31457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7E00E0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6FD4E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7C8EC0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6930A8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14.2.1.3乙方发生偷工减料、以次充好、弄虚作假等情形。</w:t>
      </w:r>
    </w:p>
    <w:p w14:paraId="58A59F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因下列情况导致的甲方损失均由乙方赔偿（包括但不限于因逾期完工而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p>
    <w:p w14:paraId="4E2D40F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①因乙方施工质量事故造成的</w:t>
      </w:r>
      <w:r>
        <w:rPr>
          <w:rFonts w:hint="eastAsia" w:ascii="仿宋" w:hAnsi="仿宋" w:eastAsia="仿宋" w:cs="仿宋"/>
          <w:b w:val="0"/>
          <w:bCs w:val="0"/>
          <w:i w:val="0"/>
          <w:iCs w:val="0"/>
          <w:color w:val="auto"/>
          <w:sz w:val="28"/>
          <w:szCs w:val="28"/>
          <w:highlight w:val="none"/>
          <w:shd w:val="clear" w:color="auto" w:fill="auto"/>
        </w:rPr>
        <w:t>损失</w:t>
      </w:r>
      <w:r>
        <w:rPr>
          <w:rFonts w:hint="eastAsia" w:ascii="仿宋" w:hAnsi="仿宋" w:eastAsia="仿宋" w:cs="仿宋"/>
          <w:i w:val="0"/>
          <w:iCs w:val="0"/>
          <w:color w:val="auto"/>
          <w:sz w:val="28"/>
          <w:szCs w:val="28"/>
          <w:highlight w:val="none"/>
          <w:shd w:val="clear" w:color="auto" w:fill="auto"/>
        </w:rPr>
        <w:t>；</w:t>
      </w:r>
    </w:p>
    <w:p w14:paraId="5E2F094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t>②因乙方中途退场造成的损失</w:t>
      </w:r>
      <w:r>
        <w:rPr>
          <w:rFonts w:hint="eastAsia" w:ascii="仿宋" w:hAnsi="仿宋" w:eastAsia="仿宋" w:cs="仿宋"/>
          <w:i w:val="0"/>
          <w:iCs w:val="0"/>
          <w:color w:val="auto"/>
          <w:sz w:val="28"/>
          <w:szCs w:val="28"/>
          <w:highlight w:val="none"/>
          <w:shd w:val="clear" w:color="auto" w:fill="auto"/>
          <w:lang w:eastAsia="zh-CN"/>
        </w:rPr>
        <w:t>；</w:t>
      </w:r>
    </w:p>
    <w:p w14:paraId="3F82B8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③乙方发生偷工减料、以次充好、弄虚作假等情形。</w:t>
      </w:r>
    </w:p>
    <w:p w14:paraId="2A2744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795E12F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10D0E1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37698B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78FC34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45FB15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6E56C8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04AC7C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3A5E37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522D27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7655A3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6B48D8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1C4EEE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480604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046114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4423C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0D5D0E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3E45FA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3D557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4AA641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57EE5E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35205A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3D7C02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12DDB369">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3198"/>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63AF22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2734"/>
      <w:bookmarkStart w:id="54" w:name="_Toc10430"/>
      <w:bookmarkStart w:id="55" w:name="_Toc20177"/>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3D49AC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522030E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6B5807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7246CD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w:char="00FE"/>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08AF72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01F16A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2187FE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49BFFF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5A979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332061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28B3EF6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59E687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70A2C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5EF5B54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2AA150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62557D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7A64C3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5250F91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6" w:name="_Toc29346"/>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廉洁条款</w:t>
      </w:r>
      <w:bookmarkEnd w:id="53"/>
      <w:bookmarkEnd w:id="54"/>
      <w:bookmarkEnd w:id="55"/>
      <w:bookmarkEnd w:id="56"/>
    </w:p>
    <w:p w14:paraId="6EF153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1乙方在与甲方合作期间（包括本</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招标、签订、履行期间），不得向甲方职员提供请吃、送礼、旅游、色情服务、行贿、回扣或其他好处，如有违反，乙方每次向甲方支付</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w:char="00FE"/>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合同暂定总价/</w:t>
      </w:r>
      <w:r>
        <w:rPr>
          <w:rFonts w:hint="eastAsia" w:ascii="仿宋" w:hAnsi="仿宋" w:eastAsia="仿宋" w:cs="仿宋"/>
          <w:i w:val="0"/>
          <w:iCs w:val="0"/>
          <w:color w:val="000000" w:themeColor="text1"/>
          <w:kern w:val="0"/>
          <w:sz w:val="28"/>
          <w:szCs w:val="28"/>
          <w:highlight w:val="none"/>
          <w:u w:val="single"/>
          <w:shd w:val="clear" w:color="auto" w:fill="auto"/>
          <w14:textFill>
            <w14:solidFill>
              <w14:schemeClr w14:val="tx1"/>
            </w14:solidFill>
          </w14:textFill>
        </w:rPr>
        <w:sym w:font="Wingdings 2" w:char="00A3"/>
      </w:r>
      <w:r>
        <w:rPr>
          <w:rFonts w:hint="eastAsia" w:ascii="仿宋" w:hAnsi="仿宋" w:eastAsia="仿宋" w:cs="仿宋"/>
          <w:i w:val="0"/>
          <w:iCs w:val="0"/>
          <w:color w:val="000000" w:themeColor="text1"/>
          <w:kern w:val="0"/>
          <w:sz w:val="28"/>
          <w:szCs w:val="28"/>
          <w:highlight w:val="none"/>
          <w:u w:val="single"/>
          <w:shd w:val="clear" w:color="auto" w:fill="auto"/>
          <w:lang w:val="en-US" w:eastAsia="zh-CN"/>
          <w14:textFill>
            <w14:solidFill>
              <w14:schemeClr w14:val="tx1"/>
            </w14:solidFill>
          </w14:textFill>
        </w:rPr>
        <w:t>合同总价</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的10％作为违约金（甲方可从任意一笔合同款中扣款），造成甲方经济或其他损失的，乙方全额赔偿</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甲方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w:t>
      </w:r>
    </w:p>
    <w:p w14:paraId="4A846E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A7FC8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16.</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3 如甲方发现乙方可能存在违反廉洁条款的行为时，甲方有权暂扣违约金/争议工程款/处罚款等对应等额的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合同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款，直至调查完毕后根据调查结果再作处理，甲方暂不付款的行为不视为甲方违约。</w:t>
      </w:r>
    </w:p>
    <w:p w14:paraId="4E8A455D">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57" w:name="_Toc7932"/>
      <w:bookmarkStart w:id="58" w:name="_Toc15001"/>
      <w:bookmarkStart w:id="59" w:name="_Toc11790"/>
      <w:bookmarkStart w:id="60" w:name="_Toc32223"/>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其他</w:t>
      </w:r>
      <w:bookmarkEnd w:id="57"/>
      <w:bookmarkEnd w:id="58"/>
      <w:bookmarkEnd w:id="59"/>
      <w:bookmarkEnd w:id="60"/>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 xml:space="preserve"> </w:t>
      </w:r>
    </w:p>
    <w:p w14:paraId="09ECCB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0847B33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shd w:val="clear" w:color="auto" w:fill="auto"/>
        </w:rPr>
        <w:t>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w:t>
      </w:r>
      <w:r>
        <w:rPr>
          <w:rFonts w:hint="eastAsia" w:ascii="仿宋_GB2312" w:hAnsi="仿宋_GB2312" w:eastAsia="仿宋_GB2312" w:cs="仿宋_GB2312"/>
          <w:i w:val="0"/>
          <w:iCs w:val="0"/>
          <w:color w:val="auto"/>
          <w:sz w:val="28"/>
          <w:szCs w:val="28"/>
          <w:highlight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shd w:val="clear" w:color="auto" w:fill="auto"/>
        </w:rPr>
        <w:t>执行联系人变更的，甲方将以书面形式通知乙方。</w:t>
      </w:r>
    </w:p>
    <w:p w14:paraId="4653C5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7DEA3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1F2C9A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乙方对</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乙方</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授权代表</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及乙方现场负责人的</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行为均予认可并承担一切责任。乙方如需更换授权</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或现场负责人</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w:t>
      </w: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须</w:t>
      </w:r>
      <w:r>
        <w:rPr>
          <w:rFonts w:hint="eastAsia" w:ascii="仿宋" w:hAnsi="仿宋" w:eastAsia="仿宋" w:cs="仿宋"/>
          <w:b w:val="0"/>
          <w:bCs w:val="0"/>
          <w:i w:val="0"/>
          <w:iCs w:val="0"/>
          <w:color w:val="000000" w:themeColor="text1"/>
          <w:sz w:val="28"/>
          <w:szCs w:val="28"/>
          <w:highlight w:val="none"/>
          <w:shd w:val="clear" w:color="auto" w:fill="auto"/>
          <w14:textFill>
            <w14:solidFill>
              <w14:schemeClr w14:val="tx1"/>
            </w14:solidFill>
          </w14:textFill>
        </w:rPr>
        <w:t>提前三个工作日书面报经甲方同意，否则不得更换。</w:t>
      </w:r>
    </w:p>
    <w:p w14:paraId="06646B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566435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6E8B5F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2E2FD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3E07ADD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35918D3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3E4146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1E53A6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6D6447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4</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本合同条款</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互为矛盾</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的，</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按</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最有利于甲方的条款执行。</w:t>
      </w:r>
    </w:p>
    <w:p w14:paraId="5A3BFF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5</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本合同未尽事宜，须经</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甲乙</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双方协商</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一致后</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签订补充协议</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进行明确。</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补充协议与本合同具有同等法律效力。</w:t>
      </w:r>
    </w:p>
    <w:p w14:paraId="35067C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6与</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相关的</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争议，</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甲乙</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双方</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应首先</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友好协商解决，</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协商</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不成则由任一方提交甲方所在地的人民法院诉讼处理。法院送达的文书以合同签章处所列地址为有效地址</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以</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邮寄方式送达的，通过邮政特快专递寄出第三日视为送达</w:t>
      </w: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w:t>
      </w:r>
    </w:p>
    <w:p w14:paraId="0CD3C3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pPr>
      <w:r>
        <w:rPr>
          <w:rFonts w:hint="eastAsia" w:ascii="仿宋" w:hAnsi="仿宋" w:eastAsia="仿宋" w:cs="仿宋"/>
          <w:b w:val="0"/>
          <w:bCs w:val="0"/>
          <w:i w:val="0"/>
          <w:iCs w:val="0"/>
          <w:color w:val="000000" w:themeColor="text1"/>
          <w:sz w:val="28"/>
          <w:szCs w:val="28"/>
          <w:highlight w:val="none"/>
          <w:shd w:val="clear" w:color="auto" w:fill="auto"/>
          <w:lang w:val="en-US" w:eastAsia="zh-CN"/>
          <w14:textFill>
            <w14:solidFill>
              <w14:schemeClr w14:val="tx1"/>
            </w14:solidFill>
          </w14:textFill>
        </w:rPr>
        <w:t>17.7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030357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r>
        <w:rPr>
          <w:rFonts w:hint="eastAsia" w:ascii="仿宋" w:hAnsi="仿宋" w:eastAsia="仿宋" w:cs="仿宋"/>
          <w:i w:val="0"/>
          <w:iCs w:val="0"/>
          <w:color w:val="000000" w:themeColor="text1"/>
          <w:sz w:val="28"/>
          <w:szCs w:val="28"/>
          <w:highlight w:val="none"/>
          <w:shd w:val="clear" w:color="auto" w:fill="auto"/>
          <w:lang w:eastAsia="zh-CN"/>
          <w14:textFill>
            <w14:solidFill>
              <w14:schemeClr w14:val="tx1"/>
            </w14:solidFill>
          </w14:textFill>
        </w:rPr>
        <w:t>17.</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8</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本合同一式</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二</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份，甲</w:t>
      </w: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乙双方各执一</w:t>
      </w:r>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份，均具同等效力。</w:t>
      </w:r>
    </w:p>
    <w:p w14:paraId="149DCB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000000" w:themeColor="text1"/>
          <w:sz w:val="28"/>
          <w:szCs w:val="28"/>
          <w:highlight w:val="none"/>
          <w:shd w:val="clear" w:color="auto" w:fill="auto"/>
          <w:lang w:val="en-US" w:eastAsia="zh-CN"/>
          <w14:textFill>
            <w14:solidFill>
              <w14:schemeClr w14:val="tx1"/>
            </w14:solidFill>
          </w14:textFill>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255E50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17.10甲乙双方均确认已经审阅并理解本合同的全部条款，且已经就条款相关的任何疑问得到满意的解释，并确认本合同的条款为双方本着诚信互利的原则友好协商一致的结果，不属于任何一方的格式条款。</w:t>
      </w:r>
    </w:p>
    <w:p w14:paraId="6E5786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在竣工结算款（保修金除外）支付完毕、乙方向甲方交付竣工工程，双方履行完合同义务、责任（保修责任除外）之日，本合同（保修条款除外）自动终止。</w:t>
      </w:r>
    </w:p>
    <w:p w14:paraId="3C6E20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2ED0F1D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2C2B925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452498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10ED8F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2DF97D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383B2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430FB4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pPr>
      <w:bookmarkStart w:id="61" w:name="_Toc29294"/>
      <w:bookmarkStart w:id="62" w:name="_Toc20006"/>
      <w:r>
        <w:rPr>
          <w:rFonts w:hint="eastAsia" w:ascii="仿宋" w:hAnsi="仿宋" w:eastAsia="仿宋" w:cs="仿宋"/>
          <w:i w:val="0"/>
          <w:iCs w:val="0"/>
          <w:color w:val="000000" w:themeColor="text1"/>
          <w:sz w:val="28"/>
          <w:szCs w:val="28"/>
          <w:highlight w:val="none"/>
          <w:shd w:val="clear" w:color="auto" w:fill="auto"/>
          <w14:textFill>
            <w14:solidFill>
              <w14:schemeClr w14:val="tx1"/>
            </w14:solidFill>
          </w14:textFill>
        </w:rPr>
        <w:t>【以下无正文】</w:t>
      </w:r>
      <w:bookmarkEnd w:id="61"/>
      <w:bookmarkEnd w:id="62"/>
      <w:bookmarkStart w:id="63" w:name="_Toc30304"/>
    </w:p>
    <w:p w14:paraId="289A50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pPr>
      <w:bookmarkStart w:id="64" w:name="_Toc17935"/>
      <w:bookmarkStart w:id="65" w:name="_Toc17115"/>
      <w:r>
        <w:rPr>
          <w:rFonts w:hint="eastAsia" w:ascii="仿宋" w:hAnsi="仿宋" w:eastAsia="仿宋" w:cs="仿宋"/>
          <w:b/>
          <w:bCs/>
          <w:i w:val="0"/>
          <w:iCs w:val="0"/>
          <w:color w:val="000000" w:themeColor="text1"/>
          <w:sz w:val="28"/>
          <w:szCs w:val="28"/>
          <w:highlight w:val="none"/>
          <w:shd w:val="clear" w:color="auto" w:fill="auto"/>
          <w:lang w:val="en-US" w:eastAsia="zh-CN"/>
          <w14:textFill>
            <w14:solidFill>
              <w14:schemeClr w14:val="tx1"/>
            </w14:solidFill>
          </w14:textFill>
        </w:rPr>
        <w:t>合同附件：</w:t>
      </w:r>
      <w:bookmarkEnd w:id="64"/>
      <w:bookmarkEnd w:id="65"/>
    </w:p>
    <w:bookmarkEnd w:id="63"/>
    <w:p w14:paraId="7B517F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0A945E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C36F6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BDD092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5B8520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4993D8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CC7BA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6DD88F0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383A0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499256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2A3DB8C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40CB8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7177A1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附件十三《工程量清单》另页；</w:t>
      </w:r>
    </w:p>
    <w:p w14:paraId="494B57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附件十四《施工图纸》另页。</w:t>
      </w:r>
    </w:p>
    <w:p w14:paraId="7DF76442">
      <w:pPr>
        <w:pStyle w:val="14"/>
        <w:keepNext w:val="0"/>
        <w:keepLines w:val="0"/>
        <w:pageBreakBefore w:val="0"/>
        <w:kinsoku/>
        <w:wordWrap/>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0577968D">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p>
    <w:p w14:paraId="60A7059F">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p>
    <w:p w14:paraId="002A44B6">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p>
    <w:p w14:paraId="4351E94F">
      <w:pPr>
        <w:keepNext w:val="0"/>
        <w:keepLines w:val="0"/>
        <w:pageBreakBefore w:val="0"/>
        <w:widowControl w:val="0"/>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甲方(盖章):东莞市中泰建安工程有限公司    乙方(盖章):  </w:t>
      </w:r>
    </w:p>
    <w:p w14:paraId="616F2C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签约代表:                             </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 签约代表:</w:t>
      </w:r>
    </w:p>
    <w:p w14:paraId="08EF7C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纳税号：91441900732168546R               纳税号：</w:t>
      </w:r>
    </w:p>
    <w:p w14:paraId="38D3608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账  号：</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548000013639239</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账  号：</w:t>
      </w:r>
    </w:p>
    <w:p w14:paraId="340C8B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开户行：</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东莞银行股份有限公司元美支行</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     开户行：               </w:t>
      </w:r>
    </w:p>
    <w:p w14:paraId="3F1832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地 址：广东省东莞市南城街道鸿福路</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地  址：</w:t>
      </w:r>
    </w:p>
    <w:p w14:paraId="30937C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106号1栋1712室01</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                               </w:t>
      </w:r>
    </w:p>
    <w:p w14:paraId="5893345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pP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电  话：0769-22</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311322</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仿宋" w:hAnsi="仿宋" w:eastAsia="仿宋" w:cs="仿宋"/>
          <w:b/>
          <w:bCs/>
          <w:i w:val="0"/>
          <w:iCs w:val="0"/>
          <w:color w:val="000000" w:themeColor="text1"/>
          <w:sz w:val="24"/>
          <w:szCs w:val="24"/>
          <w:highlight w:val="none"/>
          <w:shd w:val="clear" w:color="auto" w:fill="auto"/>
          <w14:textFill>
            <w14:solidFill>
              <w14:schemeClr w14:val="tx1"/>
            </w14:solidFill>
          </w14:textFill>
        </w:rPr>
        <w:t>电  话:</w:t>
      </w:r>
    </w:p>
    <w:p w14:paraId="22C638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i w:val="0"/>
          <w:iCs w:val="0"/>
          <w:color w:val="auto"/>
          <w:sz w:val="24"/>
          <w:szCs w:val="24"/>
          <w:highlight w:val="none"/>
          <w:shd w:val="clear" w:color="auto" w:fill="auto"/>
          <w:lang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4064BEDF">
      <w:pPr>
        <w:pStyle w:val="14"/>
        <w:ind w:left="0" w:leftChars="0" w:firstLine="0" w:firstLineChars="0"/>
        <w:rPr>
          <w:rFonts w:hint="eastAsia" w:ascii="仿宋" w:hAnsi="仿宋" w:eastAsia="仿宋" w:cs="仿宋"/>
          <w:b/>
          <w:bCs w:val="0"/>
          <w:color w:val="auto"/>
          <w:sz w:val="40"/>
          <w:szCs w:val="40"/>
          <w:highlight w:val="none"/>
          <w:shd w:val="clear" w:color="auto" w:fill="auto"/>
          <w:lang w:val="en-US" w:eastAsia="zh-CN"/>
        </w:rPr>
      </w:pPr>
    </w:p>
    <w:p w14:paraId="5FBC5658">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71C9ED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6768C7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8A97D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789CBB8">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C779486">
      <w:pPr>
        <w:ind w:left="0" w:leftChars="0" w:firstLine="0" w:firstLineChars="0"/>
        <w:jc w:val="both"/>
        <w:rPr>
          <w:rFonts w:hint="eastAsia" w:ascii="仿宋" w:hAnsi="仿宋" w:eastAsia="仿宋" w:cs="仿宋"/>
          <w:b/>
          <w:bCs w:val="0"/>
          <w:color w:val="auto"/>
          <w:sz w:val="40"/>
          <w:szCs w:val="40"/>
          <w:highlight w:val="none"/>
          <w:shd w:val="clear" w:color="auto" w:fill="auto"/>
          <w:lang w:val="en-US" w:eastAsia="zh-CN"/>
        </w:rPr>
      </w:pPr>
    </w:p>
    <w:p w14:paraId="088CCA43">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65311825">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66" w:name="_Toc21156"/>
      <w:bookmarkStart w:id="67" w:name="_Toc9945"/>
      <w:bookmarkStart w:id="68" w:name="_Toc19900"/>
      <w:bookmarkStart w:id="69" w:name="_Toc12135"/>
      <w:bookmarkStart w:id="70" w:name="_Toc2087"/>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5B4646B9">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399B121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576278B7">
      <w:pP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6"/>
    <w:bookmarkEnd w:id="67"/>
    <w:bookmarkEnd w:id="68"/>
    <w:bookmarkEnd w:id="69"/>
    <w:bookmarkEnd w:id="70"/>
    <w:p w14:paraId="43FECCDA">
      <w:pPr>
        <w:ind w:left="0" w:leftChars="0" w:firstLine="0" w:firstLineChars="0"/>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28DC1E3D">
      <w:pPr>
        <w:ind w:left="0" w:leftChars="0" w:firstLine="0" w:firstLineChars="0"/>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767F93B6">
      <w:pPr>
        <w:ind w:left="0" w:leftChars="0" w:firstLine="7228" w:firstLineChars="18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2DC0E084">
      <w:pPr>
        <w:tabs>
          <w:tab w:val="left" w:pos="2205"/>
          <w:tab w:val="left" w:pos="2760"/>
        </w:tabs>
        <w:adjustRightInd w:val="0"/>
        <w:snapToGrid w:val="0"/>
        <w:spacing w:line="240" w:lineRule="auto"/>
        <w:ind w:right="-578" w:rightChars="-275"/>
        <w:jc w:val="center"/>
        <w:outlineLvl w:val="0"/>
        <w:rPr>
          <w:rFonts w:hint="eastAsia" w:ascii="仿宋" w:hAnsi="仿宋" w:eastAsia="仿宋" w:cs="仿宋"/>
          <w:b/>
          <w:bCs/>
          <w:i w:val="0"/>
          <w:iCs w:val="0"/>
          <w:color w:val="auto"/>
          <w:sz w:val="40"/>
          <w:szCs w:val="40"/>
          <w:highlight w:val="none"/>
          <w:lang w:val="en-US" w:eastAsia="zh-CN"/>
        </w:rPr>
      </w:pPr>
      <w:bookmarkStart w:id="71" w:name="_Toc13431"/>
      <w:bookmarkStart w:id="72" w:name="_Toc23801"/>
      <w:r>
        <w:rPr>
          <w:rFonts w:hint="eastAsia" w:ascii="仿宋" w:hAnsi="仿宋" w:eastAsia="仿宋" w:cs="仿宋"/>
          <w:b/>
          <w:bCs/>
          <w:i w:val="0"/>
          <w:iCs w:val="0"/>
          <w:color w:val="auto"/>
          <w:sz w:val="40"/>
          <w:szCs w:val="40"/>
          <w:highlight w:val="none"/>
          <w:lang w:val="en-US" w:eastAsia="zh-CN"/>
        </w:rPr>
        <w:t>出 险 声 明 函</w:t>
      </w:r>
      <w:bookmarkEnd w:id="71"/>
      <w:bookmarkEnd w:id="72"/>
      <w:r>
        <w:rPr>
          <w:rFonts w:hint="eastAsia" w:ascii="仿宋" w:hAnsi="仿宋" w:eastAsia="仿宋" w:cs="仿宋"/>
          <w:b/>
          <w:bCs/>
          <w:i w:val="0"/>
          <w:iCs w:val="0"/>
          <w:color w:val="auto"/>
          <w:sz w:val="40"/>
          <w:szCs w:val="40"/>
          <w:highlight w:val="none"/>
          <w:lang w:val="en-US" w:eastAsia="zh-CN"/>
        </w:rPr>
        <w:t xml:space="preserve"> </w:t>
      </w:r>
    </w:p>
    <w:p w14:paraId="2F7410AA">
      <w:pPr>
        <w:tabs>
          <w:tab w:val="left" w:pos="2205"/>
          <w:tab w:val="left" w:pos="2760"/>
        </w:tabs>
        <w:adjustRightInd w:val="0"/>
        <w:snapToGrid w:val="0"/>
        <w:spacing w:line="240" w:lineRule="auto"/>
        <w:ind w:right="-578" w:rightChars="-275"/>
        <w:jc w:val="center"/>
        <w:outlineLvl w:val="0"/>
        <w:rPr>
          <w:rFonts w:hint="eastAsia" w:ascii="仿宋" w:hAnsi="仿宋" w:eastAsia="仿宋" w:cs="仿宋"/>
          <w:b/>
          <w:bCs/>
          <w:i w:val="0"/>
          <w:iCs w:val="0"/>
          <w:color w:val="auto"/>
          <w:sz w:val="40"/>
          <w:szCs w:val="40"/>
          <w:highlight w:val="none"/>
          <w:lang w:val="en-US" w:eastAsia="zh-CN"/>
        </w:rPr>
      </w:pPr>
    </w:p>
    <w:p w14:paraId="13BE0531">
      <w:pPr>
        <w:keepNext w:val="0"/>
        <w:keepLines w:val="0"/>
        <w:pageBreakBefore w:val="0"/>
        <w:widowControl w:val="0"/>
        <w:kinsoku/>
        <w:wordWrap/>
        <w:overflowPunct/>
        <w:topLinePunct w:val="0"/>
        <w:autoSpaceDE/>
        <w:autoSpaceDN/>
        <w:bidi w:val="0"/>
        <w:adjustRightInd/>
        <w:snapToGrid/>
        <w:spacing w:line="480" w:lineRule="exact"/>
        <w:ind w:firstLineChars="0"/>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致：东莞市中泰建安工程有限公司（以下简称“贵司”）</w:t>
      </w:r>
    </w:p>
    <w:p w14:paraId="4B825068">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u w:val="none"/>
          <w:shd w:val="clear" w:color="auto" w:fill="auto"/>
          <w:lang w:val="en-US" w:eastAsia="zh-CN"/>
        </w:rPr>
        <w:t>项目（</w:t>
      </w:r>
      <w:r>
        <w:rPr>
          <w:rFonts w:hint="eastAsia" w:ascii="仿宋" w:hAnsi="仿宋" w:eastAsia="仿宋" w:cs="仿宋"/>
          <w:color w:val="auto"/>
          <w:sz w:val="24"/>
          <w:szCs w:val="24"/>
          <w:highlight w:val="none"/>
          <w:shd w:val="clear" w:color="auto" w:fill="auto"/>
          <w:lang w:val="en-US" w:eastAsia="zh-CN"/>
        </w:rPr>
        <w:t>以下简称“本项目”）</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工程施工合同</w:t>
      </w:r>
      <w:r>
        <w:rPr>
          <w:rFonts w:hint="eastAsia" w:ascii="仿宋" w:hAnsi="仿宋" w:eastAsia="仿宋" w:cs="仿宋"/>
          <w:color w:val="auto"/>
          <w:sz w:val="24"/>
          <w:szCs w:val="24"/>
          <w:highlight w:val="none"/>
          <w:u w:val="single"/>
          <w:shd w:val="clear" w:color="auto" w:fill="auto"/>
          <w:lang w:val="en-US" w:eastAsia="zh-CN"/>
        </w:rPr>
        <w:t>》</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员工在本项目施工时发生了安全事故，我司特作如下声明：</w:t>
      </w:r>
    </w:p>
    <w:p w14:paraId="7ADCA347">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本</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7EE57198">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建立了劳动关系，我司仍须按劳动合同承担该员工雇用期间应承担的用人责任。</w:t>
      </w:r>
    </w:p>
    <w:p w14:paraId="00FC7FA0">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w:t>
      </w:r>
      <w:r>
        <w:rPr>
          <w:rFonts w:hint="eastAsia" w:ascii="仿宋" w:hAnsi="仿宋" w:eastAsia="仿宋" w:cs="仿宋"/>
          <w:color w:val="auto"/>
          <w:sz w:val="24"/>
          <w:szCs w:val="24"/>
          <w:highlight w:val="none"/>
          <w:shd w:val="clear" w:color="auto" w:fill="auto"/>
        </w:rPr>
        <w:t>现</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0D60A979">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的损失我司赔偿全部损失，且我司自愿向贵司支付金额等于本次工伤/亡事故全部费用1.5倍的违约金。</w:t>
      </w:r>
    </w:p>
    <w:p w14:paraId="2DB2EF24">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5、我司法定代表人对上述可能发生的全部债务和贵司为实现该等债权支出的所有费用承担连带保证责任，保证期间为三年。</w:t>
      </w:r>
    </w:p>
    <w:p w14:paraId="7960813C">
      <w:pPr>
        <w:keepNext w:val="0"/>
        <w:keepLines w:val="0"/>
        <w:pageBreakBefore w:val="0"/>
        <w:widowControl w:val="0"/>
        <w:numPr>
          <w:ilvl w:val="0"/>
          <w:numId w:val="0"/>
        </w:numPr>
        <w:kinsoku/>
        <w:wordWrap/>
        <w:overflowPunct/>
        <w:topLinePunct w:val="0"/>
        <w:autoSpaceDE/>
        <w:autoSpaceDN/>
        <w:bidi w:val="0"/>
        <w:adjustRightInd/>
        <w:snapToGrid/>
        <w:spacing w:after="171" w:afterLines="50" w:line="50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43DE6868">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37EDE1E2">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法定代表人签章：</w:t>
      </w:r>
    </w:p>
    <w:p w14:paraId="228A1A5E">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632BCA">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4608CE2">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14"/>
        <w:rPr>
          <w:rFonts w:hint="eastAsia"/>
          <w:highlight w:val="none"/>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14"/>
        <w:rPr>
          <w:color w:val="auto"/>
          <w:sz w:val="32"/>
          <w:szCs w:val="32"/>
          <w:highlight w:val="none"/>
        </w:rPr>
      </w:pPr>
    </w:p>
    <w:p w14:paraId="3F602560">
      <w:pPr>
        <w:pStyle w:val="14"/>
        <w:rPr>
          <w:color w:val="auto"/>
          <w:sz w:val="32"/>
          <w:szCs w:val="32"/>
          <w:highlight w:val="none"/>
        </w:rPr>
      </w:pPr>
    </w:p>
    <w:tbl>
      <w:tblPr>
        <w:tblStyle w:val="16"/>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FD1EB23">
      <w:pPr>
        <w:pStyle w:val="14"/>
        <w:rPr>
          <w:rFonts w:hint="eastAsia"/>
          <w:highlight w:val="none"/>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4B996E8F">
        <w:tblPrEx>
          <w:tblCellMar>
            <w:top w:w="15" w:type="dxa"/>
            <w:left w:w="15" w:type="dxa"/>
            <w:bottom w:w="15" w:type="dxa"/>
            <w:right w:w="15" w:type="dxa"/>
          </w:tblCellMar>
        </w:tblPrEx>
        <w:trPr>
          <w:trHeight w:val="1306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73" w:name="_Toc32764"/>
            <w:bookmarkStart w:id="74" w:name="_Toc12138"/>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3"/>
            <w:bookmarkEnd w:id="74"/>
          </w:p>
          <w:tbl>
            <w:tblPr>
              <w:tblStyle w:val="3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098F10C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6C6880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14"/>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14"/>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14"/>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7"/>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04D7D85">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24E60C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3"/>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09E26DB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4386458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14"/>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14"/>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14"/>
        <w:rPr>
          <w:rFonts w:hint="eastAsia"/>
          <w:color w:val="auto"/>
          <w:highlight w:val="none"/>
          <w:lang w:val="en-US" w:eastAsia="zh-CN"/>
        </w:rPr>
      </w:pPr>
    </w:p>
    <w:p w14:paraId="787EE787">
      <w:pPr>
        <w:pStyle w:val="14"/>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14"/>
        <w:rPr>
          <w:rFonts w:hint="default"/>
          <w:color w:val="auto"/>
          <w:highlight w:val="none"/>
          <w:lang w:val="en-US" w:eastAsia="zh-CN"/>
        </w:rPr>
      </w:pPr>
    </w:p>
    <w:p w14:paraId="5F5F018E">
      <w:pPr>
        <w:pStyle w:val="14"/>
        <w:rPr>
          <w:rFonts w:hint="default"/>
          <w:color w:val="auto"/>
          <w:highlight w:val="none"/>
          <w:lang w:val="en-US" w:eastAsia="zh-CN"/>
        </w:rPr>
      </w:pPr>
    </w:p>
    <w:p w14:paraId="05B5226A">
      <w:pPr>
        <w:pStyle w:val="14"/>
        <w:rPr>
          <w:rFonts w:hint="default"/>
          <w:color w:val="auto"/>
          <w:highlight w:val="none"/>
          <w:lang w:val="en-US" w:eastAsia="zh-CN"/>
        </w:rPr>
      </w:pPr>
    </w:p>
    <w:p w14:paraId="6D8BC9D5">
      <w:pPr>
        <w:pStyle w:val="14"/>
        <w:rPr>
          <w:rFonts w:hint="default"/>
          <w:color w:val="auto"/>
          <w:highlight w:val="none"/>
          <w:lang w:val="en-US" w:eastAsia="zh-CN"/>
        </w:rPr>
      </w:pPr>
    </w:p>
    <w:p w14:paraId="7559F1B5">
      <w:pPr>
        <w:pStyle w:val="14"/>
        <w:rPr>
          <w:rFonts w:hint="default"/>
          <w:color w:val="auto"/>
          <w:highlight w:val="none"/>
          <w:lang w:val="en-US" w:eastAsia="zh-CN"/>
        </w:rPr>
      </w:pPr>
    </w:p>
    <w:p w14:paraId="4D8F8553">
      <w:pPr>
        <w:pStyle w:val="14"/>
        <w:rPr>
          <w:rFonts w:hint="default"/>
          <w:color w:val="auto"/>
          <w:highlight w:val="none"/>
          <w:lang w:val="en-US" w:eastAsia="zh-CN"/>
        </w:rPr>
      </w:pPr>
    </w:p>
    <w:p w14:paraId="3A728F48">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14"/>
        <w:rPr>
          <w:rFonts w:hint="eastAsia"/>
          <w:color w:val="auto"/>
          <w:highlight w:val="none"/>
          <w:lang w:val="en-US" w:eastAsia="zh-CN"/>
        </w:rPr>
      </w:pPr>
    </w:p>
    <w:p w14:paraId="1DE51A0C">
      <w:pPr>
        <w:pStyle w:val="14"/>
        <w:rPr>
          <w:rFonts w:hint="eastAsia"/>
          <w:color w:val="auto"/>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14"/>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139CD6D5">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268257C2">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668C1672">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29E705E3">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06670885">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14"/>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3"/>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14"/>
        <w:rPr>
          <w:rFonts w:hint="default"/>
          <w:color w:val="auto"/>
          <w:highlight w:val="none"/>
          <w:lang w:val="en-US" w:eastAsia="zh-CN"/>
        </w:rPr>
      </w:pPr>
    </w:p>
    <w:p w14:paraId="04CD7765">
      <w:pPr>
        <w:rPr>
          <w:rFonts w:hint="eastAsia"/>
          <w:b/>
          <w:bCs/>
          <w:highlight w:val="none"/>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14"/>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14"/>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highlight w:val="none"/>
          <w:u w:val="single"/>
        </w:rPr>
      </w:pPr>
      <w:r>
        <w:rPr>
          <w:rFonts w:hint="eastAsia" w:ascii="宋体" w:hAnsi="宋体" w:cs="宋体"/>
          <w:sz w:val="36"/>
          <w:szCs w:val="36"/>
          <w:highlight w:val="none"/>
          <w:u w:val="single"/>
          <w:lang w:val="en-US" w:eastAsia="zh-CN"/>
        </w:rPr>
        <w:t xml:space="preserve"> XXXXXXXX工程</w:t>
      </w:r>
      <w:r>
        <w:rPr>
          <w:rFonts w:hint="eastAsia" w:ascii="宋体" w:hAnsi="宋体" w:eastAsia="宋体" w:cs="宋体"/>
          <w:sz w:val="36"/>
          <w:szCs w:val="36"/>
          <w:highlight w:val="none"/>
        </w:rPr>
        <w:t>结算资料目录</w:t>
      </w:r>
    </w:p>
    <w:p w14:paraId="11493457">
      <w:pPr>
        <w:ind w:firstLine="960" w:firstLineChars="400"/>
        <w:rPr>
          <w:rFonts w:hint="eastAsia"/>
          <w:sz w:val="24"/>
          <w:highlight w:val="none"/>
        </w:rPr>
      </w:pPr>
    </w:p>
    <w:p w14:paraId="24986842">
      <w:pPr>
        <w:ind w:firstLine="960" w:firstLineChars="400"/>
        <w:rPr>
          <w:rFonts w:hint="eastAsia"/>
          <w:sz w:val="24"/>
          <w:highlight w:val="none"/>
          <w:u w:val="single"/>
          <w:lang w:eastAsia="zh-CN"/>
        </w:rPr>
      </w:pPr>
      <w:r>
        <w:rPr>
          <w:rFonts w:hint="eastAsia"/>
          <w:sz w:val="24"/>
          <w:highlight w:val="none"/>
        </w:rPr>
        <w:t>填表日期:</w:t>
      </w:r>
      <w:r>
        <w:rPr>
          <w:rFonts w:hint="eastAsia"/>
          <w:sz w:val="24"/>
          <w:highlight w:val="none"/>
          <w:u w:val="single"/>
        </w:rPr>
        <w:t xml:space="preserve"> </w:t>
      </w:r>
      <w:r>
        <w:rPr>
          <w:rFonts w:hint="eastAsia"/>
          <w:sz w:val="24"/>
          <w:highlight w:val="none"/>
          <w:u w:val="single"/>
          <w:lang w:val="en-US" w:eastAsia="zh-CN"/>
        </w:rPr>
        <w:t xml:space="preserve">     </w:t>
      </w:r>
      <w:r>
        <w:rPr>
          <w:rFonts w:hint="eastAsia"/>
          <w:sz w:val="24"/>
          <w:highlight w:val="none"/>
          <w:u w:val="single"/>
          <w:lang w:eastAsia="zh-CN"/>
        </w:rPr>
        <w:t>年</w:t>
      </w:r>
      <w:r>
        <w:rPr>
          <w:rFonts w:hint="eastAsia"/>
          <w:sz w:val="24"/>
          <w:highlight w:val="none"/>
          <w:u w:val="single"/>
          <w:lang w:val="en-US" w:eastAsia="zh-CN"/>
        </w:rPr>
        <w:t xml:space="preserve">    </w:t>
      </w:r>
      <w:r>
        <w:rPr>
          <w:rFonts w:hint="eastAsia"/>
          <w:sz w:val="24"/>
          <w:highlight w:val="none"/>
          <w:u w:val="single"/>
          <w:lang w:eastAsia="zh-CN"/>
        </w:rPr>
        <w:t>月</w:t>
      </w:r>
      <w:r>
        <w:rPr>
          <w:rFonts w:hint="eastAsia"/>
          <w:sz w:val="24"/>
          <w:highlight w:val="none"/>
          <w:u w:val="single"/>
          <w:lang w:val="en-US" w:eastAsia="zh-CN"/>
        </w:rPr>
        <w:t xml:space="preserve">    </w:t>
      </w:r>
      <w:r>
        <w:rPr>
          <w:rFonts w:hint="eastAsia"/>
          <w:sz w:val="24"/>
          <w:highlight w:val="none"/>
          <w:u w:val="single"/>
          <w:lang w:eastAsia="zh-CN"/>
        </w:rPr>
        <w:t>日</w:t>
      </w:r>
      <w:r>
        <w:rPr>
          <w:rFonts w:hint="eastAsia"/>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highlight w:val="none"/>
              </w:rPr>
            </w:pPr>
            <w:r>
              <w:rPr>
                <w:rFonts w:hint="eastAsia"/>
                <w:b/>
                <w:sz w:val="24"/>
                <w:highlight w:val="none"/>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highlight w:val="none"/>
              </w:rPr>
            </w:pPr>
            <w:r>
              <w:rPr>
                <w:rFonts w:hint="eastAsia"/>
                <w:b/>
                <w:sz w:val="24"/>
                <w:highlight w:val="none"/>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highlight w:val="none"/>
              </w:rPr>
            </w:pPr>
            <w:r>
              <w:rPr>
                <w:rFonts w:hint="eastAsia"/>
                <w:b/>
                <w:sz w:val="24"/>
                <w:highlight w:val="none"/>
                <w:lang w:eastAsia="zh-CN"/>
              </w:rPr>
              <w:t>份</w:t>
            </w:r>
            <w:r>
              <w:rPr>
                <w:rFonts w:hint="eastAsia"/>
                <w:b/>
                <w:sz w:val="24"/>
                <w:highlight w:val="none"/>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highlight w:val="none"/>
              </w:rPr>
            </w:pPr>
            <w:r>
              <w:rPr>
                <w:rFonts w:hint="eastAsia"/>
                <w:b/>
                <w:sz w:val="24"/>
                <w:highlight w:val="none"/>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highlight w:val="none"/>
                <w:lang w:val="en-US" w:eastAsia="zh-CN"/>
              </w:rPr>
            </w:pPr>
            <w:r>
              <w:rPr>
                <w:rFonts w:hint="eastAsia"/>
                <w:b/>
                <w:bCs/>
                <w:sz w:val="24"/>
                <w:highlight w:val="none"/>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highlight w:val="none"/>
                <w:lang w:eastAsia="zh-CN"/>
              </w:rPr>
            </w:pPr>
            <w:r>
              <w:rPr>
                <w:rFonts w:hint="eastAsia" w:eastAsia="宋体"/>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highlight w:val="none"/>
                <w:lang w:eastAsia="zh-CN"/>
              </w:rPr>
            </w:pPr>
            <w:r>
              <w:rPr>
                <w:rFonts w:hint="eastAsia"/>
                <w:b w:val="0"/>
                <w:bCs/>
                <w:sz w:val="24"/>
                <w:highlight w:val="none"/>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highlight w:val="none"/>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highlight w:val="none"/>
                <w:lang w:eastAsia="zh-CN"/>
              </w:rPr>
            </w:pPr>
            <w:r>
              <w:rPr>
                <w:rFonts w:hint="eastAsia"/>
                <w:sz w:val="24"/>
                <w:highlight w:val="none"/>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highlight w:val="none"/>
                <w:lang w:val="en-US" w:eastAsia="zh-CN"/>
              </w:rPr>
            </w:pPr>
            <w:r>
              <w:rPr>
                <w:rFonts w:hint="eastAsia"/>
                <w:sz w:val="24"/>
                <w:highlight w:val="none"/>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highlight w:val="none"/>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highlight w:val="none"/>
                <w:lang w:eastAsia="zh-CN"/>
              </w:rPr>
            </w:pPr>
            <w:r>
              <w:rPr>
                <w:rFonts w:hint="eastAsia"/>
                <w:sz w:val="24"/>
                <w:highlight w:val="none"/>
                <w:lang w:eastAsia="zh-CN"/>
              </w:rPr>
              <w:t>3</w:t>
            </w:r>
          </w:p>
        </w:tc>
        <w:tc>
          <w:tcPr>
            <w:tcW w:w="4263" w:type="dxa"/>
            <w:gridSpan w:val="2"/>
            <w:tcBorders>
              <w:top w:val="nil"/>
            </w:tcBorders>
            <w:noWrap w:val="0"/>
            <w:vAlign w:val="center"/>
          </w:tcPr>
          <w:p w14:paraId="580FD584">
            <w:pPr>
              <w:spacing w:line="440" w:lineRule="atLeast"/>
              <w:rPr>
                <w:rFonts w:hint="eastAsia" w:eastAsia="宋体"/>
                <w:sz w:val="24"/>
                <w:highlight w:val="none"/>
                <w:lang w:val="en-US" w:eastAsia="zh-CN"/>
              </w:rPr>
            </w:pPr>
            <w:r>
              <w:rPr>
                <w:rFonts w:hint="eastAsia"/>
                <w:sz w:val="24"/>
                <w:highlight w:val="none"/>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highlight w:val="none"/>
                <w:lang w:eastAsia="zh-CN"/>
              </w:rPr>
            </w:pPr>
            <w:r>
              <w:rPr>
                <w:rFonts w:hint="eastAsia"/>
                <w:sz w:val="24"/>
                <w:highlight w:val="none"/>
                <w:lang w:eastAsia="zh-CN"/>
              </w:rPr>
              <w:t>1</w:t>
            </w:r>
          </w:p>
        </w:tc>
        <w:tc>
          <w:tcPr>
            <w:tcW w:w="2643" w:type="dxa"/>
            <w:tcBorders>
              <w:top w:val="nil"/>
            </w:tcBorders>
            <w:noWrap w:val="0"/>
            <w:vAlign w:val="center"/>
          </w:tcPr>
          <w:p w14:paraId="0A2813CC">
            <w:pPr>
              <w:spacing w:line="440" w:lineRule="atLeast"/>
              <w:jc w:val="center"/>
              <w:rPr>
                <w:rFonts w:hint="eastAsia"/>
                <w:sz w:val="24"/>
                <w:highlight w:val="none"/>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highlight w:val="none"/>
                <w:lang w:val="en-US" w:eastAsia="zh-CN"/>
              </w:rPr>
            </w:pPr>
            <w:r>
              <w:rPr>
                <w:rFonts w:hint="eastAsia"/>
                <w:sz w:val="24"/>
                <w:highlight w:val="none"/>
                <w:lang w:val="en-US" w:eastAsia="zh-CN"/>
              </w:rPr>
              <w:t>4</w:t>
            </w:r>
          </w:p>
          <w:p w14:paraId="6E5FD724">
            <w:pPr>
              <w:spacing w:line="440" w:lineRule="atLeast"/>
              <w:jc w:val="center"/>
              <w:rPr>
                <w:rFonts w:hint="eastAsia"/>
                <w:sz w:val="24"/>
                <w:highlight w:val="none"/>
                <w:lang w:val="en-US" w:eastAsia="zh-CN"/>
              </w:rPr>
            </w:pPr>
          </w:p>
          <w:p w14:paraId="7DDBC5BF">
            <w:pPr>
              <w:spacing w:line="440" w:lineRule="atLeast"/>
              <w:jc w:val="center"/>
              <w:rPr>
                <w:rFonts w:hint="default"/>
                <w:sz w:val="24"/>
                <w:highlight w:val="none"/>
                <w:lang w:val="en-US" w:eastAsia="zh-CN"/>
              </w:rPr>
            </w:pPr>
          </w:p>
        </w:tc>
        <w:tc>
          <w:tcPr>
            <w:tcW w:w="4263" w:type="dxa"/>
            <w:gridSpan w:val="2"/>
            <w:tcBorders>
              <w:top w:val="nil"/>
            </w:tcBorders>
            <w:noWrap w:val="0"/>
            <w:vAlign w:val="center"/>
          </w:tcPr>
          <w:p w14:paraId="1FA761AB">
            <w:pPr>
              <w:spacing w:line="440" w:lineRule="atLeast"/>
              <w:rPr>
                <w:rFonts w:hint="eastAsia"/>
                <w:sz w:val="24"/>
                <w:highlight w:val="none"/>
                <w:lang w:val="en-US" w:eastAsia="zh-CN"/>
              </w:rPr>
            </w:pPr>
            <w:r>
              <w:rPr>
                <w:rFonts w:hint="eastAsia"/>
                <w:sz w:val="24"/>
                <w:highlight w:val="none"/>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790CE63">
            <w:pPr>
              <w:spacing w:line="440" w:lineRule="atLeast"/>
              <w:jc w:val="center"/>
              <w:rPr>
                <w:rFonts w:hint="eastAsia"/>
                <w:sz w:val="24"/>
                <w:highlight w:val="none"/>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highlight w:val="none"/>
                <w:lang w:val="en-US" w:eastAsia="zh-CN"/>
              </w:rPr>
            </w:pPr>
            <w:r>
              <w:rPr>
                <w:rFonts w:hint="eastAsia"/>
                <w:b/>
                <w:bCs/>
                <w:sz w:val="24"/>
                <w:highlight w:val="none"/>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highlight w:val="none"/>
                <w:lang w:val="en-US" w:eastAsia="zh-CN"/>
              </w:rPr>
            </w:pPr>
            <w:r>
              <w:rPr>
                <w:rFonts w:hint="eastAsia"/>
                <w:sz w:val="24"/>
                <w:highlight w:val="none"/>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highlight w:val="none"/>
                <w:lang w:val="en-US" w:eastAsia="zh-CN"/>
              </w:rPr>
            </w:pPr>
            <w:r>
              <w:rPr>
                <w:rFonts w:hint="eastAsia"/>
                <w:kern w:val="2"/>
                <w:sz w:val="24"/>
                <w:highlight w:val="none"/>
                <w:lang w:val="en-US" w:eastAsia="zh-CN"/>
              </w:rPr>
              <w:t>封面</w:t>
            </w:r>
          </w:p>
        </w:tc>
        <w:tc>
          <w:tcPr>
            <w:tcW w:w="734" w:type="dxa"/>
            <w:tcBorders>
              <w:top w:val="nil"/>
            </w:tcBorders>
            <w:noWrap w:val="0"/>
            <w:vAlign w:val="center"/>
          </w:tcPr>
          <w:p w14:paraId="3CCBD15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C78867C">
            <w:pPr>
              <w:spacing w:line="440" w:lineRule="atLeast"/>
              <w:jc w:val="center"/>
              <w:rPr>
                <w:rFonts w:hint="default"/>
                <w:sz w:val="24"/>
                <w:highlight w:val="none"/>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764E06EB">
            <w:pPr>
              <w:spacing w:line="440" w:lineRule="atLeast"/>
              <w:jc w:val="center"/>
              <w:rPr>
                <w:rFonts w:hint="default"/>
                <w:sz w:val="24"/>
                <w:highlight w:val="none"/>
                <w:lang w:val="en-US" w:eastAsia="zh-CN"/>
              </w:rPr>
            </w:pPr>
            <w:r>
              <w:rPr>
                <w:rFonts w:hint="eastAsia"/>
                <w:sz w:val="24"/>
                <w:highlight w:val="none"/>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highlight w:val="none"/>
                <w:lang w:val="en-US" w:eastAsia="zh-CN"/>
              </w:rPr>
            </w:pPr>
            <w:r>
              <w:rPr>
                <w:rFonts w:hint="eastAsia"/>
                <w:sz w:val="24"/>
                <w:highlight w:val="none"/>
                <w:lang w:val="en-US" w:eastAsia="zh-CN"/>
              </w:rPr>
              <w:t>目录</w:t>
            </w:r>
          </w:p>
        </w:tc>
        <w:tc>
          <w:tcPr>
            <w:tcW w:w="734" w:type="dxa"/>
            <w:tcBorders>
              <w:top w:val="nil"/>
            </w:tcBorders>
            <w:noWrap w:val="0"/>
            <w:vAlign w:val="center"/>
          </w:tcPr>
          <w:p w14:paraId="6BADCA93">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91AAF79">
            <w:pPr>
              <w:spacing w:line="440" w:lineRule="atLeast"/>
              <w:jc w:val="center"/>
              <w:rPr>
                <w:rFonts w:hint="eastAsia"/>
                <w:sz w:val="24"/>
                <w:highlight w:val="none"/>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394D6B1F">
            <w:pPr>
              <w:spacing w:line="440" w:lineRule="atLeast"/>
              <w:jc w:val="center"/>
              <w:rPr>
                <w:rFonts w:hint="default"/>
                <w:sz w:val="24"/>
                <w:highlight w:val="none"/>
                <w:lang w:val="en-US" w:eastAsia="zh-CN"/>
              </w:rPr>
            </w:pPr>
            <w:r>
              <w:rPr>
                <w:rFonts w:hint="eastAsia"/>
                <w:sz w:val="24"/>
                <w:highlight w:val="none"/>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highlight w:val="none"/>
                <w:lang w:val="en-US" w:eastAsia="zh-CN"/>
              </w:rPr>
            </w:pPr>
            <w:r>
              <w:rPr>
                <w:rFonts w:hint="eastAsia"/>
                <w:sz w:val="24"/>
                <w:highlight w:val="none"/>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highlight w:val="none"/>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highlight w:val="none"/>
                <w:lang w:val="en-US" w:eastAsia="zh-CN"/>
              </w:rPr>
            </w:pPr>
          </w:p>
        </w:tc>
        <w:tc>
          <w:tcPr>
            <w:tcW w:w="495" w:type="dxa"/>
            <w:tcBorders>
              <w:top w:val="nil"/>
            </w:tcBorders>
            <w:noWrap w:val="0"/>
            <w:vAlign w:val="center"/>
          </w:tcPr>
          <w:p w14:paraId="09987F6F">
            <w:pPr>
              <w:spacing w:line="440" w:lineRule="atLeast"/>
              <w:jc w:val="center"/>
              <w:rPr>
                <w:rFonts w:hint="default"/>
                <w:sz w:val="24"/>
                <w:highlight w:val="none"/>
                <w:lang w:val="en-US" w:eastAsia="zh-CN"/>
              </w:rPr>
            </w:pPr>
            <w:r>
              <w:rPr>
                <w:rFonts w:hint="eastAsia"/>
                <w:sz w:val="24"/>
                <w:highlight w:val="none"/>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highlight w:val="none"/>
                <w:lang w:val="en-US" w:eastAsia="zh-CN"/>
              </w:rPr>
            </w:pPr>
            <w:r>
              <w:rPr>
                <w:rFonts w:hint="eastAsia"/>
                <w:sz w:val="24"/>
                <w:highlight w:val="none"/>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52A0E03">
            <w:pPr>
              <w:spacing w:line="440" w:lineRule="atLeast"/>
              <w:jc w:val="center"/>
              <w:rPr>
                <w:rFonts w:hint="eastAsia"/>
                <w:sz w:val="24"/>
                <w:highlight w:val="none"/>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highlight w:val="none"/>
                <w:lang w:val="en-US" w:eastAsia="zh-CN"/>
              </w:rPr>
            </w:pPr>
          </w:p>
        </w:tc>
        <w:tc>
          <w:tcPr>
            <w:tcW w:w="495" w:type="dxa"/>
            <w:tcBorders>
              <w:top w:val="nil"/>
            </w:tcBorders>
            <w:noWrap w:val="0"/>
            <w:vAlign w:val="center"/>
          </w:tcPr>
          <w:p w14:paraId="6BE1A157">
            <w:pPr>
              <w:spacing w:line="440" w:lineRule="atLeast"/>
              <w:jc w:val="center"/>
              <w:rPr>
                <w:rFonts w:hint="default"/>
                <w:sz w:val="24"/>
                <w:highlight w:val="none"/>
                <w:lang w:val="en-US" w:eastAsia="zh-CN"/>
              </w:rPr>
            </w:pPr>
            <w:r>
              <w:rPr>
                <w:rFonts w:hint="eastAsia"/>
                <w:sz w:val="24"/>
                <w:highlight w:val="none"/>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highlight w:val="none"/>
                <w:lang w:val="en-US" w:eastAsia="zh-CN"/>
              </w:rPr>
            </w:pPr>
            <w:r>
              <w:rPr>
                <w:rFonts w:hint="eastAsia"/>
                <w:sz w:val="24"/>
                <w:highlight w:val="none"/>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highlight w:val="none"/>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highlight w:val="none"/>
                <w:lang w:val="en-US" w:eastAsia="zh-CN"/>
              </w:rPr>
            </w:pPr>
          </w:p>
        </w:tc>
        <w:tc>
          <w:tcPr>
            <w:tcW w:w="495" w:type="dxa"/>
            <w:tcBorders>
              <w:top w:val="nil"/>
            </w:tcBorders>
            <w:noWrap w:val="0"/>
            <w:vAlign w:val="center"/>
          </w:tcPr>
          <w:p w14:paraId="18D569B7">
            <w:pPr>
              <w:spacing w:line="440" w:lineRule="atLeast"/>
              <w:jc w:val="center"/>
              <w:rPr>
                <w:rFonts w:hint="default"/>
                <w:sz w:val="24"/>
                <w:highlight w:val="none"/>
                <w:lang w:val="en-US" w:eastAsia="zh-CN"/>
              </w:rPr>
            </w:pPr>
            <w:r>
              <w:rPr>
                <w:rFonts w:hint="eastAsia"/>
                <w:sz w:val="24"/>
                <w:highlight w:val="none"/>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highlight w:val="none"/>
                <w:lang w:val="en-US" w:eastAsia="zh-CN"/>
              </w:rPr>
            </w:pPr>
            <w:r>
              <w:rPr>
                <w:rFonts w:hint="eastAsia"/>
                <w:sz w:val="24"/>
                <w:highlight w:val="none"/>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highlight w:val="none"/>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highlight w:val="none"/>
                <w:lang w:val="en-US" w:eastAsia="zh-CN"/>
              </w:rPr>
            </w:pPr>
          </w:p>
        </w:tc>
        <w:tc>
          <w:tcPr>
            <w:tcW w:w="495" w:type="dxa"/>
            <w:tcBorders>
              <w:top w:val="nil"/>
            </w:tcBorders>
            <w:noWrap w:val="0"/>
            <w:vAlign w:val="center"/>
          </w:tcPr>
          <w:p w14:paraId="501BB1BB">
            <w:pPr>
              <w:spacing w:line="440" w:lineRule="atLeast"/>
              <w:jc w:val="center"/>
              <w:rPr>
                <w:rFonts w:hint="default"/>
                <w:sz w:val="24"/>
                <w:highlight w:val="none"/>
                <w:lang w:val="en-US" w:eastAsia="zh-CN"/>
              </w:rPr>
            </w:pPr>
            <w:r>
              <w:rPr>
                <w:rFonts w:hint="eastAsia"/>
                <w:sz w:val="24"/>
                <w:highlight w:val="none"/>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工程结算支付证明单</w:t>
            </w:r>
          </w:p>
          <w:p w14:paraId="19F62F4C">
            <w:pPr>
              <w:tabs>
                <w:tab w:val="left" w:pos="1138"/>
              </w:tabs>
              <w:spacing w:line="440" w:lineRule="atLeast"/>
              <w:rPr>
                <w:rFonts w:hint="eastAsia"/>
                <w:sz w:val="24"/>
                <w:highlight w:val="none"/>
                <w:lang w:val="en-US" w:eastAsia="zh-CN"/>
              </w:rPr>
            </w:pPr>
          </w:p>
        </w:tc>
        <w:tc>
          <w:tcPr>
            <w:tcW w:w="734" w:type="dxa"/>
            <w:tcBorders>
              <w:top w:val="nil"/>
            </w:tcBorders>
            <w:noWrap w:val="0"/>
            <w:vAlign w:val="center"/>
          </w:tcPr>
          <w:p w14:paraId="49C8741C">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5DCB68E1">
            <w:pPr>
              <w:spacing w:line="440" w:lineRule="atLeast"/>
              <w:jc w:val="center"/>
              <w:rPr>
                <w:rFonts w:hint="eastAsia"/>
                <w:sz w:val="24"/>
                <w:highlight w:val="none"/>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highlight w:val="none"/>
                <w:lang w:val="en-US" w:eastAsia="zh-CN"/>
              </w:rPr>
            </w:pPr>
          </w:p>
        </w:tc>
        <w:tc>
          <w:tcPr>
            <w:tcW w:w="495" w:type="dxa"/>
            <w:tcBorders>
              <w:top w:val="nil"/>
            </w:tcBorders>
            <w:noWrap w:val="0"/>
            <w:vAlign w:val="center"/>
          </w:tcPr>
          <w:p w14:paraId="0C06C6E9">
            <w:pPr>
              <w:spacing w:line="440" w:lineRule="atLeast"/>
              <w:jc w:val="center"/>
              <w:rPr>
                <w:rFonts w:hint="default"/>
                <w:sz w:val="24"/>
                <w:highlight w:val="none"/>
                <w:lang w:val="en-US" w:eastAsia="zh-CN"/>
              </w:rPr>
            </w:pPr>
            <w:r>
              <w:rPr>
                <w:rFonts w:hint="eastAsia"/>
                <w:sz w:val="24"/>
                <w:highlight w:val="none"/>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highlight w:val="none"/>
                <w:lang w:val="en-US" w:eastAsia="zh-CN"/>
              </w:rPr>
            </w:pPr>
            <w:r>
              <w:rPr>
                <w:rFonts w:hint="eastAsia"/>
                <w:sz w:val="24"/>
                <w:highlight w:val="none"/>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highlight w:val="none"/>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highlight w:val="none"/>
                <w:lang w:val="en-US" w:eastAsia="zh-CN"/>
              </w:rPr>
            </w:pPr>
          </w:p>
        </w:tc>
        <w:tc>
          <w:tcPr>
            <w:tcW w:w="495" w:type="dxa"/>
            <w:tcBorders>
              <w:top w:val="nil"/>
            </w:tcBorders>
            <w:noWrap w:val="0"/>
            <w:vAlign w:val="center"/>
          </w:tcPr>
          <w:p w14:paraId="038D1426">
            <w:pPr>
              <w:spacing w:line="440" w:lineRule="atLeast"/>
              <w:jc w:val="center"/>
              <w:rPr>
                <w:rFonts w:hint="default"/>
                <w:sz w:val="24"/>
                <w:highlight w:val="none"/>
                <w:lang w:val="en-US" w:eastAsia="zh-CN"/>
              </w:rPr>
            </w:pPr>
            <w:r>
              <w:rPr>
                <w:rFonts w:hint="eastAsia"/>
                <w:sz w:val="24"/>
                <w:highlight w:val="none"/>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highlight w:val="none"/>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highlight w:val="none"/>
                <w:lang w:val="en-US" w:eastAsia="zh-CN"/>
              </w:rPr>
            </w:pPr>
          </w:p>
        </w:tc>
        <w:tc>
          <w:tcPr>
            <w:tcW w:w="495" w:type="dxa"/>
            <w:tcBorders>
              <w:top w:val="nil"/>
            </w:tcBorders>
            <w:noWrap w:val="0"/>
            <w:vAlign w:val="center"/>
          </w:tcPr>
          <w:p w14:paraId="41622D14">
            <w:pPr>
              <w:spacing w:line="440" w:lineRule="atLeast"/>
              <w:jc w:val="center"/>
              <w:rPr>
                <w:rFonts w:hint="default"/>
                <w:sz w:val="24"/>
                <w:highlight w:val="none"/>
                <w:lang w:val="en-US" w:eastAsia="zh-CN"/>
              </w:rPr>
            </w:pPr>
            <w:r>
              <w:rPr>
                <w:rFonts w:hint="eastAsia"/>
                <w:sz w:val="24"/>
                <w:highlight w:val="none"/>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1F1A5A40">
            <w:pPr>
              <w:spacing w:line="440" w:lineRule="atLeast"/>
              <w:jc w:val="center"/>
              <w:rPr>
                <w:rFonts w:hint="eastAsia"/>
                <w:sz w:val="24"/>
                <w:highlight w:val="none"/>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highlight w:val="none"/>
                <w:lang w:val="en-US" w:eastAsia="zh-CN"/>
              </w:rPr>
            </w:pPr>
          </w:p>
        </w:tc>
        <w:tc>
          <w:tcPr>
            <w:tcW w:w="495" w:type="dxa"/>
            <w:tcBorders>
              <w:top w:val="nil"/>
            </w:tcBorders>
            <w:noWrap w:val="0"/>
            <w:vAlign w:val="center"/>
          </w:tcPr>
          <w:p w14:paraId="5E4F8273">
            <w:pPr>
              <w:spacing w:line="440" w:lineRule="atLeast"/>
              <w:jc w:val="center"/>
              <w:rPr>
                <w:rFonts w:hint="default"/>
                <w:sz w:val="24"/>
                <w:highlight w:val="none"/>
                <w:lang w:val="en-US" w:eastAsia="zh-CN"/>
              </w:rPr>
            </w:pPr>
            <w:r>
              <w:rPr>
                <w:rFonts w:hint="eastAsia"/>
                <w:sz w:val="24"/>
                <w:highlight w:val="none"/>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highlight w:val="none"/>
                <w:lang w:val="en-US" w:eastAsia="zh-CN"/>
              </w:rPr>
            </w:pPr>
            <w:r>
              <w:rPr>
                <w:rFonts w:hint="eastAsia"/>
                <w:kern w:val="2"/>
                <w:sz w:val="24"/>
                <w:highlight w:val="none"/>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highlight w:val="none"/>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highlight w:val="none"/>
                <w:lang w:val="en-US" w:eastAsia="zh-CN"/>
              </w:rPr>
            </w:pPr>
          </w:p>
        </w:tc>
        <w:tc>
          <w:tcPr>
            <w:tcW w:w="495" w:type="dxa"/>
            <w:noWrap w:val="0"/>
            <w:vAlign w:val="center"/>
          </w:tcPr>
          <w:p w14:paraId="2F688172">
            <w:pPr>
              <w:spacing w:line="440" w:lineRule="atLeast"/>
              <w:jc w:val="center"/>
              <w:rPr>
                <w:rFonts w:hint="default"/>
                <w:sz w:val="24"/>
                <w:highlight w:val="none"/>
                <w:lang w:val="en-US" w:eastAsia="zh-CN"/>
              </w:rPr>
            </w:pPr>
            <w:r>
              <w:rPr>
                <w:rFonts w:hint="eastAsia"/>
                <w:sz w:val="24"/>
                <w:highlight w:val="none"/>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highlight w:val="none"/>
                <w:lang w:val="en-US" w:eastAsia="zh-CN"/>
              </w:rPr>
            </w:pPr>
            <w:r>
              <w:rPr>
                <w:rFonts w:hint="eastAsia"/>
                <w:kern w:val="2"/>
                <w:sz w:val="24"/>
                <w:highlight w:val="none"/>
                <w:lang w:val="en-US" w:eastAsia="zh-CN"/>
              </w:rPr>
              <w:t>结算</w:t>
            </w:r>
            <w:r>
              <w:rPr>
                <w:rFonts w:hint="eastAsia" w:eastAsia="宋体"/>
                <w:kern w:val="2"/>
                <w:sz w:val="24"/>
                <w:highlight w:val="none"/>
                <w:lang w:val="en-US" w:eastAsia="zh-CN"/>
              </w:rPr>
              <w:t>资料</w:t>
            </w:r>
          </w:p>
        </w:tc>
        <w:tc>
          <w:tcPr>
            <w:tcW w:w="734" w:type="dxa"/>
            <w:noWrap w:val="0"/>
            <w:vAlign w:val="center"/>
          </w:tcPr>
          <w:p w14:paraId="306B2F78">
            <w:pPr>
              <w:spacing w:line="440" w:lineRule="atLeast"/>
              <w:jc w:val="center"/>
              <w:rPr>
                <w:rFonts w:hint="default" w:eastAsia="宋体"/>
                <w:kern w:val="2"/>
                <w:sz w:val="24"/>
                <w:highlight w:val="none"/>
                <w:lang w:val="en-US" w:eastAsia="zh-CN"/>
              </w:rPr>
            </w:pPr>
            <w:r>
              <w:rPr>
                <w:rFonts w:hint="eastAsia"/>
                <w:sz w:val="24"/>
                <w:highlight w:val="none"/>
                <w:lang w:val="en-US" w:eastAsia="zh-CN"/>
              </w:rPr>
              <w:t>1</w:t>
            </w:r>
          </w:p>
        </w:tc>
        <w:tc>
          <w:tcPr>
            <w:tcW w:w="2643" w:type="dxa"/>
            <w:noWrap w:val="0"/>
            <w:vAlign w:val="center"/>
          </w:tcPr>
          <w:p w14:paraId="27066D81">
            <w:pPr>
              <w:spacing w:line="440" w:lineRule="atLeast"/>
              <w:jc w:val="center"/>
              <w:rPr>
                <w:rFonts w:hint="eastAsia" w:eastAsia="宋体"/>
                <w:kern w:val="2"/>
                <w:sz w:val="24"/>
                <w:highlight w:val="none"/>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highlight w:val="none"/>
                <w:lang w:val="en-US" w:eastAsia="zh-CN"/>
              </w:rPr>
            </w:pPr>
          </w:p>
        </w:tc>
        <w:tc>
          <w:tcPr>
            <w:tcW w:w="495" w:type="dxa"/>
            <w:noWrap w:val="0"/>
            <w:vAlign w:val="center"/>
          </w:tcPr>
          <w:p w14:paraId="637CCF18">
            <w:pPr>
              <w:spacing w:line="440" w:lineRule="atLeast"/>
              <w:jc w:val="center"/>
              <w:rPr>
                <w:rFonts w:hint="default"/>
                <w:sz w:val="24"/>
                <w:highlight w:val="none"/>
                <w:lang w:val="en-US" w:eastAsia="zh-CN"/>
              </w:rPr>
            </w:pPr>
            <w:r>
              <w:rPr>
                <w:rFonts w:hint="eastAsia"/>
                <w:sz w:val="24"/>
                <w:highlight w:val="none"/>
                <w:lang w:val="en-US" w:eastAsia="zh-CN"/>
              </w:rPr>
              <w:t>13</w:t>
            </w:r>
          </w:p>
        </w:tc>
        <w:tc>
          <w:tcPr>
            <w:tcW w:w="4263" w:type="dxa"/>
            <w:gridSpan w:val="2"/>
            <w:noWrap w:val="0"/>
            <w:vAlign w:val="center"/>
          </w:tcPr>
          <w:p w14:paraId="6894B3E4">
            <w:pPr>
              <w:spacing w:line="440" w:lineRule="atLeast"/>
              <w:rPr>
                <w:rFonts w:hint="default" w:eastAsia="宋体"/>
                <w:kern w:val="2"/>
                <w:sz w:val="24"/>
                <w:highlight w:val="none"/>
                <w:lang w:val="en-US" w:eastAsia="zh-CN"/>
              </w:rPr>
            </w:pPr>
            <w:r>
              <w:rPr>
                <w:rFonts w:hint="eastAsia"/>
                <w:kern w:val="2"/>
                <w:sz w:val="24"/>
                <w:highlight w:val="none"/>
                <w:lang w:val="en-US" w:eastAsia="zh-CN"/>
              </w:rPr>
              <w:t>其他相关资料</w:t>
            </w:r>
          </w:p>
        </w:tc>
        <w:tc>
          <w:tcPr>
            <w:tcW w:w="734" w:type="dxa"/>
            <w:noWrap w:val="0"/>
            <w:vAlign w:val="center"/>
          </w:tcPr>
          <w:p w14:paraId="4723C718">
            <w:pPr>
              <w:spacing w:line="440" w:lineRule="atLeast"/>
              <w:jc w:val="center"/>
              <w:rPr>
                <w:rFonts w:hint="default" w:eastAsia="宋体"/>
                <w:kern w:val="2"/>
                <w:sz w:val="24"/>
                <w:highlight w:val="none"/>
                <w:lang w:val="en-US" w:eastAsia="zh-CN"/>
              </w:rPr>
            </w:pPr>
          </w:p>
        </w:tc>
        <w:tc>
          <w:tcPr>
            <w:tcW w:w="2643" w:type="dxa"/>
            <w:noWrap w:val="0"/>
            <w:vAlign w:val="center"/>
          </w:tcPr>
          <w:p w14:paraId="3F8A44A2">
            <w:pPr>
              <w:spacing w:line="440" w:lineRule="atLeast"/>
              <w:jc w:val="center"/>
              <w:rPr>
                <w:rFonts w:hint="eastAsia" w:eastAsia="宋体"/>
                <w:kern w:val="2"/>
                <w:sz w:val="24"/>
                <w:highlight w:val="none"/>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highlight w:val="none"/>
                <w:lang w:val="en-US" w:eastAsia="zh-CN"/>
              </w:rPr>
            </w:pPr>
          </w:p>
        </w:tc>
        <w:tc>
          <w:tcPr>
            <w:tcW w:w="495" w:type="dxa"/>
            <w:noWrap w:val="0"/>
            <w:vAlign w:val="center"/>
          </w:tcPr>
          <w:p w14:paraId="05625A38">
            <w:pPr>
              <w:spacing w:line="440" w:lineRule="atLeast"/>
              <w:jc w:val="center"/>
              <w:rPr>
                <w:rFonts w:hint="default" w:eastAsia="宋体"/>
                <w:kern w:val="2"/>
                <w:sz w:val="24"/>
                <w:highlight w:val="none"/>
                <w:lang w:val="en-US" w:eastAsia="zh-CN"/>
              </w:rPr>
            </w:pPr>
          </w:p>
        </w:tc>
        <w:tc>
          <w:tcPr>
            <w:tcW w:w="4263" w:type="dxa"/>
            <w:gridSpan w:val="2"/>
            <w:noWrap w:val="0"/>
            <w:vAlign w:val="center"/>
          </w:tcPr>
          <w:p w14:paraId="5087707A">
            <w:pPr>
              <w:spacing w:line="440" w:lineRule="atLeast"/>
              <w:rPr>
                <w:rFonts w:hint="eastAsia" w:eastAsia="宋体"/>
                <w:kern w:val="2"/>
                <w:sz w:val="24"/>
                <w:highlight w:val="none"/>
                <w:lang w:val="en-US" w:eastAsia="zh-CN"/>
              </w:rPr>
            </w:pPr>
          </w:p>
        </w:tc>
        <w:tc>
          <w:tcPr>
            <w:tcW w:w="734" w:type="dxa"/>
            <w:noWrap w:val="0"/>
            <w:vAlign w:val="center"/>
          </w:tcPr>
          <w:p w14:paraId="72AF970F">
            <w:pPr>
              <w:spacing w:line="440" w:lineRule="atLeast"/>
              <w:jc w:val="center"/>
              <w:rPr>
                <w:rFonts w:hint="eastAsia" w:eastAsia="宋体"/>
                <w:kern w:val="2"/>
                <w:sz w:val="24"/>
                <w:highlight w:val="none"/>
                <w:lang w:val="en-US" w:eastAsia="zh-CN"/>
              </w:rPr>
            </w:pPr>
          </w:p>
        </w:tc>
        <w:tc>
          <w:tcPr>
            <w:tcW w:w="2643" w:type="dxa"/>
            <w:noWrap w:val="0"/>
            <w:vAlign w:val="center"/>
          </w:tcPr>
          <w:p w14:paraId="5A1FCF3D">
            <w:pPr>
              <w:spacing w:line="440" w:lineRule="atLeast"/>
              <w:jc w:val="center"/>
              <w:rPr>
                <w:rFonts w:hint="eastAsia" w:eastAsia="宋体"/>
                <w:kern w:val="2"/>
                <w:sz w:val="24"/>
                <w:highlight w:val="none"/>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highlight w:val="none"/>
                <w:lang w:val="en-US" w:eastAsia="zh-CN"/>
              </w:rPr>
            </w:pPr>
            <w:r>
              <w:rPr>
                <w:rFonts w:hint="eastAsia"/>
                <w:sz w:val="24"/>
                <w:highlight w:val="none"/>
                <w:lang w:val="en-US" w:eastAsia="zh-CN"/>
              </w:rPr>
              <w:t>14</w:t>
            </w:r>
          </w:p>
        </w:tc>
        <w:tc>
          <w:tcPr>
            <w:tcW w:w="1681" w:type="dxa"/>
            <w:vMerge w:val="restart"/>
            <w:noWrap w:val="0"/>
            <w:vAlign w:val="center"/>
          </w:tcPr>
          <w:p w14:paraId="49044026">
            <w:pPr>
              <w:spacing w:line="440" w:lineRule="atLeast"/>
              <w:jc w:val="center"/>
              <w:rPr>
                <w:rFonts w:hint="eastAsia"/>
                <w:sz w:val="24"/>
                <w:highlight w:val="none"/>
              </w:rPr>
            </w:pPr>
            <w:r>
              <w:rPr>
                <w:rFonts w:hint="eastAsia"/>
                <w:sz w:val="24"/>
                <w:highlight w:val="none"/>
              </w:rPr>
              <w:t>总结意见</w:t>
            </w:r>
          </w:p>
        </w:tc>
        <w:tc>
          <w:tcPr>
            <w:tcW w:w="2582" w:type="dxa"/>
            <w:noWrap w:val="0"/>
            <w:vAlign w:val="center"/>
          </w:tcPr>
          <w:p w14:paraId="3829687E">
            <w:pPr>
              <w:spacing w:line="440" w:lineRule="atLeast"/>
              <w:jc w:val="center"/>
              <w:rPr>
                <w:rFonts w:hint="eastAsia"/>
                <w:sz w:val="24"/>
                <w:highlight w:val="none"/>
              </w:rPr>
            </w:pPr>
            <w:r>
              <w:rPr>
                <w:rFonts w:hint="eastAsia"/>
                <w:sz w:val="24"/>
                <w:highlight w:val="none"/>
              </w:rPr>
              <w:t>个人</w:t>
            </w:r>
          </w:p>
        </w:tc>
        <w:tc>
          <w:tcPr>
            <w:tcW w:w="734" w:type="dxa"/>
            <w:noWrap w:val="0"/>
            <w:vAlign w:val="center"/>
          </w:tcPr>
          <w:p w14:paraId="7732E610">
            <w:pPr>
              <w:spacing w:line="240" w:lineRule="auto"/>
              <w:jc w:val="center"/>
              <w:rPr>
                <w:rFonts w:hint="eastAsia"/>
                <w:sz w:val="24"/>
                <w:highlight w:val="none"/>
              </w:rPr>
            </w:pPr>
          </w:p>
        </w:tc>
        <w:tc>
          <w:tcPr>
            <w:tcW w:w="2643" w:type="dxa"/>
            <w:noWrap w:val="0"/>
            <w:vAlign w:val="center"/>
          </w:tcPr>
          <w:p w14:paraId="2FBC5917">
            <w:pPr>
              <w:spacing w:line="440" w:lineRule="atLeast"/>
              <w:jc w:val="center"/>
              <w:rPr>
                <w:rFonts w:hint="eastAsia"/>
                <w:sz w:val="24"/>
                <w:highlight w:val="none"/>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highlight w:val="none"/>
              </w:rPr>
            </w:pPr>
          </w:p>
        </w:tc>
        <w:tc>
          <w:tcPr>
            <w:tcW w:w="1681" w:type="dxa"/>
            <w:vMerge w:val="continue"/>
            <w:noWrap w:val="0"/>
            <w:vAlign w:val="center"/>
          </w:tcPr>
          <w:p w14:paraId="201D8E8F">
            <w:pPr>
              <w:spacing w:line="440" w:lineRule="atLeast"/>
              <w:jc w:val="center"/>
              <w:rPr>
                <w:rFonts w:hint="eastAsia"/>
                <w:sz w:val="24"/>
                <w:highlight w:val="none"/>
              </w:rPr>
            </w:pPr>
          </w:p>
        </w:tc>
        <w:tc>
          <w:tcPr>
            <w:tcW w:w="2582" w:type="dxa"/>
            <w:noWrap w:val="0"/>
            <w:vAlign w:val="center"/>
          </w:tcPr>
          <w:p w14:paraId="77EED6F4">
            <w:pPr>
              <w:spacing w:line="440" w:lineRule="atLeast"/>
              <w:jc w:val="center"/>
              <w:rPr>
                <w:rFonts w:hint="eastAsia"/>
                <w:sz w:val="24"/>
                <w:highlight w:val="none"/>
              </w:rPr>
            </w:pPr>
            <w:r>
              <w:rPr>
                <w:rFonts w:hint="eastAsia"/>
                <w:sz w:val="24"/>
                <w:highlight w:val="none"/>
              </w:rPr>
              <w:t>部门</w:t>
            </w:r>
          </w:p>
        </w:tc>
        <w:tc>
          <w:tcPr>
            <w:tcW w:w="734" w:type="dxa"/>
            <w:noWrap w:val="0"/>
            <w:vAlign w:val="center"/>
          </w:tcPr>
          <w:p w14:paraId="25B5B967">
            <w:pPr>
              <w:spacing w:line="440" w:lineRule="atLeast"/>
              <w:jc w:val="center"/>
              <w:rPr>
                <w:rFonts w:hint="eastAsia"/>
                <w:sz w:val="24"/>
                <w:highlight w:val="none"/>
              </w:rPr>
            </w:pPr>
          </w:p>
        </w:tc>
        <w:tc>
          <w:tcPr>
            <w:tcW w:w="2643" w:type="dxa"/>
            <w:noWrap w:val="0"/>
            <w:vAlign w:val="center"/>
          </w:tcPr>
          <w:p w14:paraId="29C5EED8">
            <w:pPr>
              <w:spacing w:line="440" w:lineRule="atLeast"/>
              <w:jc w:val="center"/>
              <w:rPr>
                <w:rFonts w:hint="eastAsia"/>
                <w:sz w:val="24"/>
                <w:highlight w:val="none"/>
              </w:rPr>
            </w:pPr>
          </w:p>
        </w:tc>
      </w:tr>
    </w:tbl>
    <w:p w14:paraId="3196D44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55ADB50">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75"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5"/>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保证</w:t>
      </w:r>
      <w:r>
        <w:rPr>
          <w:rFonts w:hint="default" w:ascii="宋体" w:hAnsi="宋体" w:cs="宋体"/>
          <w:sz w:val="24"/>
          <w:szCs w:val="24"/>
          <w:highlight w:val="none"/>
          <w:u w:val="none"/>
          <w:lang w:val="en-US" w:eastAsia="zh-CN"/>
        </w:rPr>
        <w:t>责任</w:t>
      </w:r>
      <w:r>
        <w:rPr>
          <w:rFonts w:hint="eastAsia" w:ascii="宋体" w:hAnsi="宋体" w:cs="宋体"/>
          <w:sz w:val="24"/>
          <w:szCs w:val="24"/>
          <w:highlight w:val="none"/>
          <w:u w:val="none"/>
          <w:lang w:val="en-US" w:eastAsia="zh-CN"/>
        </w:rPr>
        <w:t>，保证期间为三年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14"/>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14"/>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14"/>
        <w:shd w:val="clear"/>
        <w:rPr>
          <w:rFonts w:hint="eastAsia"/>
          <w:color w:val="auto"/>
          <w:highlight w:val="none"/>
          <w:lang w:val="en-US" w:eastAsia="zh-CN"/>
        </w:rPr>
      </w:pPr>
    </w:p>
    <w:p w14:paraId="2A030237">
      <w:pPr>
        <w:pStyle w:val="14"/>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87E82">
    <w:pPr>
      <w:pStyle w:val="9"/>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33D1C">
    <w:pPr>
      <w:pStyle w:val="9"/>
    </w:pPr>
  </w:p>
  <w:p w14:paraId="6A7A9949">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3517">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7DA5B">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47DA5B">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38953FB3">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21B8F">
    <w:pPr>
      <w:pStyle w:val="9"/>
    </w:pPr>
  </w:p>
  <w:p w14:paraId="774F377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F0C20">
    <w:pPr>
      <w:pStyle w:val="10"/>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01AE9"/>
    <w:rsid w:val="00133387"/>
    <w:rsid w:val="00190047"/>
    <w:rsid w:val="00203180"/>
    <w:rsid w:val="00203CC0"/>
    <w:rsid w:val="00213CF6"/>
    <w:rsid w:val="002D269B"/>
    <w:rsid w:val="00387CA6"/>
    <w:rsid w:val="003F5F2A"/>
    <w:rsid w:val="005373E8"/>
    <w:rsid w:val="00592882"/>
    <w:rsid w:val="006730BA"/>
    <w:rsid w:val="008102F1"/>
    <w:rsid w:val="00895C57"/>
    <w:rsid w:val="008B2377"/>
    <w:rsid w:val="008B3493"/>
    <w:rsid w:val="009224FE"/>
    <w:rsid w:val="009450A4"/>
    <w:rsid w:val="009530E3"/>
    <w:rsid w:val="00AE31A0"/>
    <w:rsid w:val="00B35E9C"/>
    <w:rsid w:val="00B52690"/>
    <w:rsid w:val="00B970C4"/>
    <w:rsid w:val="00BC3A1F"/>
    <w:rsid w:val="00BF7D50"/>
    <w:rsid w:val="00C01140"/>
    <w:rsid w:val="00C14B6F"/>
    <w:rsid w:val="00C70D2C"/>
    <w:rsid w:val="00C80754"/>
    <w:rsid w:val="00C85F20"/>
    <w:rsid w:val="00C94BA8"/>
    <w:rsid w:val="00CA1002"/>
    <w:rsid w:val="00CB30A1"/>
    <w:rsid w:val="00D25D47"/>
    <w:rsid w:val="00DF5360"/>
    <w:rsid w:val="00E1609D"/>
    <w:rsid w:val="00E178E3"/>
    <w:rsid w:val="00ED202F"/>
    <w:rsid w:val="00F36BB2"/>
    <w:rsid w:val="011E0CCE"/>
    <w:rsid w:val="013730A5"/>
    <w:rsid w:val="0147153B"/>
    <w:rsid w:val="014A3A81"/>
    <w:rsid w:val="015639C6"/>
    <w:rsid w:val="015765E3"/>
    <w:rsid w:val="016A5229"/>
    <w:rsid w:val="01813F60"/>
    <w:rsid w:val="01B100B6"/>
    <w:rsid w:val="01B5752C"/>
    <w:rsid w:val="01B6046E"/>
    <w:rsid w:val="01B96DFD"/>
    <w:rsid w:val="01BF37C7"/>
    <w:rsid w:val="01C04E49"/>
    <w:rsid w:val="01D26D8C"/>
    <w:rsid w:val="01ED2783"/>
    <w:rsid w:val="01FF0067"/>
    <w:rsid w:val="02031E05"/>
    <w:rsid w:val="0204402C"/>
    <w:rsid w:val="02072A78"/>
    <w:rsid w:val="020C62E0"/>
    <w:rsid w:val="021C600F"/>
    <w:rsid w:val="0226102C"/>
    <w:rsid w:val="0227136C"/>
    <w:rsid w:val="022C24DE"/>
    <w:rsid w:val="02315D47"/>
    <w:rsid w:val="02391BF0"/>
    <w:rsid w:val="024C0DD3"/>
    <w:rsid w:val="024E1742"/>
    <w:rsid w:val="024F7C95"/>
    <w:rsid w:val="02587777"/>
    <w:rsid w:val="026954E1"/>
    <w:rsid w:val="027F2F56"/>
    <w:rsid w:val="02820350"/>
    <w:rsid w:val="02854A8C"/>
    <w:rsid w:val="028873DB"/>
    <w:rsid w:val="029307AF"/>
    <w:rsid w:val="02994018"/>
    <w:rsid w:val="029E016E"/>
    <w:rsid w:val="02B63659"/>
    <w:rsid w:val="02BF77F6"/>
    <w:rsid w:val="02C02766"/>
    <w:rsid w:val="02D55869"/>
    <w:rsid w:val="02D768EE"/>
    <w:rsid w:val="02DA124D"/>
    <w:rsid w:val="02E1776D"/>
    <w:rsid w:val="02FE1B0B"/>
    <w:rsid w:val="02FF1990"/>
    <w:rsid w:val="03253AFD"/>
    <w:rsid w:val="032F2286"/>
    <w:rsid w:val="033E696D"/>
    <w:rsid w:val="034B4BE6"/>
    <w:rsid w:val="03630182"/>
    <w:rsid w:val="036A59B4"/>
    <w:rsid w:val="036D65A5"/>
    <w:rsid w:val="037E320E"/>
    <w:rsid w:val="03800D34"/>
    <w:rsid w:val="038225EE"/>
    <w:rsid w:val="0394445D"/>
    <w:rsid w:val="03C52BEB"/>
    <w:rsid w:val="03DB41BC"/>
    <w:rsid w:val="03FF434E"/>
    <w:rsid w:val="041E4304"/>
    <w:rsid w:val="04332207"/>
    <w:rsid w:val="04340622"/>
    <w:rsid w:val="0439572B"/>
    <w:rsid w:val="043B10FF"/>
    <w:rsid w:val="04562C00"/>
    <w:rsid w:val="047970B6"/>
    <w:rsid w:val="04856793"/>
    <w:rsid w:val="04910D1F"/>
    <w:rsid w:val="0495080F"/>
    <w:rsid w:val="049F343C"/>
    <w:rsid w:val="04AB1DE0"/>
    <w:rsid w:val="04B35139"/>
    <w:rsid w:val="04B476F2"/>
    <w:rsid w:val="04CE3287"/>
    <w:rsid w:val="04D53318"/>
    <w:rsid w:val="04DA0918"/>
    <w:rsid w:val="04DF3C4E"/>
    <w:rsid w:val="04E6106A"/>
    <w:rsid w:val="04E77D7D"/>
    <w:rsid w:val="04EB042F"/>
    <w:rsid w:val="04FB7762"/>
    <w:rsid w:val="04FF3EDA"/>
    <w:rsid w:val="050128A7"/>
    <w:rsid w:val="05121E5F"/>
    <w:rsid w:val="0513728D"/>
    <w:rsid w:val="051C4A8C"/>
    <w:rsid w:val="052027CE"/>
    <w:rsid w:val="05216546"/>
    <w:rsid w:val="052314C8"/>
    <w:rsid w:val="05234E03"/>
    <w:rsid w:val="05237BC9"/>
    <w:rsid w:val="053022E6"/>
    <w:rsid w:val="053C6A73"/>
    <w:rsid w:val="054E09BE"/>
    <w:rsid w:val="05654685"/>
    <w:rsid w:val="05657FDC"/>
    <w:rsid w:val="05685C35"/>
    <w:rsid w:val="056B1570"/>
    <w:rsid w:val="0575419C"/>
    <w:rsid w:val="05756411"/>
    <w:rsid w:val="058663AA"/>
    <w:rsid w:val="059B1E55"/>
    <w:rsid w:val="05A101F3"/>
    <w:rsid w:val="05AB5E10"/>
    <w:rsid w:val="05AF3F7C"/>
    <w:rsid w:val="05CC1FBD"/>
    <w:rsid w:val="05D56967"/>
    <w:rsid w:val="05E732EC"/>
    <w:rsid w:val="05F17CC7"/>
    <w:rsid w:val="05FA2136"/>
    <w:rsid w:val="06007F0A"/>
    <w:rsid w:val="06293905"/>
    <w:rsid w:val="062C51A3"/>
    <w:rsid w:val="063150E1"/>
    <w:rsid w:val="063454A1"/>
    <w:rsid w:val="06530982"/>
    <w:rsid w:val="066F5090"/>
    <w:rsid w:val="06706AD8"/>
    <w:rsid w:val="067D155B"/>
    <w:rsid w:val="069074E0"/>
    <w:rsid w:val="06976105"/>
    <w:rsid w:val="06A66D03"/>
    <w:rsid w:val="06BA7326"/>
    <w:rsid w:val="06C5725D"/>
    <w:rsid w:val="06D31393"/>
    <w:rsid w:val="06DC2F7F"/>
    <w:rsid w:val="06E94BA8"/>
    <w:rsid w:val="06ED4932"/>
    <w:rsid w:val="06F832D7"/>
    <w:rsid w:val="071716FC"/>
    <w:rsid w:val="07181283"/>
    <w:rsid w:val="072307B7"/>
    <w:rsid w:val="07245E7A"/>
    <w:rsid w:val="073F4A62"/>
    <w:rsid w:val="07513FB1"/>
    <w:rsid w:val="07580BE5"/>
    <w:rsid w:val="075D56E6"/>
    <w:rsid w:val="07602D27"/>
    <w:rsid w:val="07740BAF"/>
    <w:rsid w:val="07966D78"/>
    <w:rsid w:val="07987B4D"/>
    <w:rsid w:val="079B438E"/>
    <w:rsid w:val="07B07EF9"/>
    <w:rsid w:val="07B436A2"/>
    <w:rsid w:val="07B9513E"/>
    <w:rsid w:val="07C02047"/>
    <w:rsid w:val="07E01DA1"/>
    <w:rsid w:val="07E13D6B"/>
    <w:rsid w:val="07E31891"/>
    <w:rsid w:val="07EA0E72"/>
    <w:rsid w:val="07F41CF0"/>
    <w:rsid w:val="07F61040"/>
    <w:rsid w:val="07FC5C21"/>
    <w:rsid w:val="081B54CF"/>
    <w:rsid w:val="081B70BC"/>
    <w:rsid w:val="083A6C4A"/>
    <w:rsid w:val="083E11BD"/>
    <w:rsid w:val="085547A4"/>
    <w:rsid w:val="085C7B8E"/>
    <w:rsid w:val="08626C5A"/>
    <w:rsid w:val="086C4388"/>
    <w:rsid w:val="086C67B0"/>
    <w:rsid w:val="086C6BDE"/>
    <w:rsid w:val="08783C2B"/>
    <w:rsid w:val="088272FC"/>
    <w:rsid w:val="089112ED"/>
    <w:rsid w:val="08A116F6"/>
    <w:rsid w:val="08A6123D"/>
    <w:rsid w:val="08AA0E33"/>
    <w:rsid w:val="08B374B6"/>
    <w:rsid w:val="08BC34BB"/>
    <w:rsid w:val="08D04EA3"/>
    <w:rsid w:val="08F24A3C"/>
    <w:rsid w:val="08F75BBB"/>
    <w:rsid w:val="08FA1588"/>
    <w:rsid w:val="08FF2325"/>
    <w:rsid w:val="090207D6"/>
    <w:rsid w:val="0935436E"/>
    <w:rsid w:val="094E3682"/>
    <w:rsid w:val="09595544"/>
    <w:rsid w:val="0966378D"/>
    <w:rsid w:val="09757AB5"/>
    <w:rsid w:val="09760B9C"/>
    <w:rsid w:val="09976DD7"/>
    <w:rsid w:val="099A1CCF"/>
    <w:rsid w:val="09A432A2"/>
    <w:rsid w:val="09A56C91"/>
    <w:rsid w:val="09A82D92"/>
    <w:rsid w:val="09B5611F"/>
    <w:rsid w:val="09C46844"/>
    <w:rsid w:val="09C94AB7"/>
    <w:rsid w:val="09DC0C8E"/>
    <w:rsid w:val="09E22A5D"/>
    <w:rsid w:val="09E87633"/>
    <w:rsid w:val="09EA01E1"/>
    <w:rsid w:val="09F204B1"/>
    <w:rsid w:val="09FB1114"/>
    <w:rsid w:val="09FB55B8"/>
    <w:rsid w:val="09FB7366"/>
    <w:rsid w:val="09FC6C3A"/>
    <w:rsid w:val="09FF6F98"/>
    <w:rsid w:val="0A0106F5"/>
    <w:rsid w:val="0A122902"/>
    <w:rsid w:val="0A2118B5"/>
    <w:rsid w:val="0A2763AD"/>
    <w:rsid w:val="0A2B151B"/>
    <w:rsid w:val="0A300AD6"/>
    <w:rsid w:val="0A423889"/>
    <w:rsid w:val="0A454A85"/>
    <w:rsid w:val="0A5922DF"/>
    <w:rsid w:val="0A5B68AD"/>
    <w:rsid w:val="0A60366D"/>
    <w:rsid w:val="0A682522"/>
    <w:rsid w:val="0A6A44EC"/>
    <w:rsid w:val="0A746B6C"/>
    <w:rsid w:val="0A7964DD"/>
    <w:rsid w:val="0A8D3DBE"/>
    <w:rsid w:val="0A9A5DF0"/>
    <w:rsid w:val="0ACE6829"/>
    <w:rsid w:val="0AD55A2E"/>
    <w:rsid w:val="0AD62B48"/>
    <w:rsid w:val="0AD8742C"/>
    <w:rsid w:val="0AE931D4"/>
    <w:rsid w:val="0AFA3582"/>
    <w:rsid w:val="0B1F0E32"/>
    <w:rsid w:val="0B266E4D"/>
    <w:rsid w:val="0B2B3C7B"/>
    <w:rsid w:val="0B3B3792"/>
    <w:rsid w:val="0B590DB3"/>
    <w:rsid w:val="0B5A4560"/>
    <w:rsid w:val="0B662F05"/>
    <w:rsid w:val="0B70650A"/>
    <w:rsid w:val="0B7A69B0"/>
    <w:rsid w:val="0B907F82"/>
    <w:rsid w:val="0BAC0749"/>
    <w:rsid w:val="0BAE5A66"/>
    <w:rsid w:val="0BB41AAC"/>
    <w:rsid w:val="0BB45F68"/>
    <w:rsid w:val="0BB93035"/>
    <w:rsid w:val="0BBF1DEA"/>
    <w:rsid w:val="0BD92D6E"/>
    <w:rsid w:val="0BD95485"/>
    <w:rsid w:val="0BDB7D38"/>
    <w:rsid w:val="0BF202F5"/>
    <w:rsid w:val="0C0270CA"/>
    <w:rsid w:val="0C125258"/>
    <w:rsid w:val="0C177688"/>
    <w:rsid w:val="0C1D2B00"/>
    <w:rsid w:val="0C4D2770"/>
    <w:rsid w:val="0C540FAF"/>
    <w:rsid w:val="0C711B61"/>
    <w:rsid w:val="0C8A49D1"/>
    <w:rsid w:val="0C963376"/>
    <w:rsid w:val="0C9B273A"/>
    <w:rsid w:val="0CB06EE4"/>
    <w:rsid w:val="0CBC5C8A"/>
    <w:rsid w:val="0CC04DC6"/>
    <w:rsid w:val="0CC30467"/>
    <w:rsid w:val="0CC9374C"/>
    <w:rsid w:val="0CCA5228"/>
    <w:rsid w:val="0CCC4E25"/>
    <w:rsid w:val="0CD16548"/>
    <w:rsid w:val="0CD55E13"/>
    <w:rsid w:val="0CE1709F"/>
    <w:rsid w:val="0CE40585"/>
    <w:rsid w:val="0D006A41"/>
    <w:rsid w:val="0D0352B5"/>
    <w:rsid w:val="0D0522AA"/>
    <w:rsid w:val="0D077DD0"/>
    <w:rsid w:val="0D093B48"/>
    <w:rsid w:val="0D186481"/>
    <w:rsid w:val="0D1F46AC"/>
    <w:rsid w:val="0D2B7F62"/>
    <w:rsid w:val="0D3C6E98"/>
    <w:rsid w:val="0D421949"/>
    <w:rsid w:val="0D4536A9"/>
    <w:rsid w:val="0D723345"/>
    <w:rsid w:val="0D735465"/>
    <w:rsid w:val="0D8B6C53"/>
    <w:rsid w:val="0D904269"/>
    <w:rsid w:val="0D9553DC"/>
    <w:rsid w:val="0D964F5E"/>
    <w:rsid w:val="0DAE068F"/>
    <w:rsid w:val="0DAE649D"/>
    <w:rsid w:val="0DB37F58"/>
    <w:rsid w:val="0DBB3044"/>
    <w:rsid w:val="0DC83A03"/>
    <w:rsid w:val="0DCD2DC7"/>
    <w:rsid w:val="0DD04666"/>
    <w:rsid w:val="0DD51C7C"/>
    <w:rsid w:val="0DD56120"/>
    <w:rsid w:val="0DD95C10"/>
    <w:rsid w:val="0DF30354"/>
    <w:rsid w:val="0DF51C0D"/>
    <w:rsid w:val="0DFE67C9"/>
    <w:rsid w:val="0E060087"/>
    <w:rsid w:val="0E0D6E79"/>
    <w:rsid w:val="0E0F1632"/>
    <w:rsid w:val="0E167E23"/>
    <w:rsid w:val="0E2055ED"/>
    <w:rsid w:val="0E236E8B"/>
    <w:rsid w:val="0E2844A2"/>
    <w:rsid w:val="0E327659"/>
    <w:rsid w:val="0E331933"/>
    <w:rsid w:val="0E40102B"/>
    <w:rsid w:val="0E4741D7"/>
    <w:rsid w:val="0E4806A0"/>
    <w:rsid w:val="0E5205B9"/>
    <w:rsid w:val="0E5533B0"/>
    <w:rsid w:val="0E575B4B"/>
    <w:rsid w:val="0E625C06"/>
    <w:rsid w:val="0E69444D"/>
    <w:rsid w:val="0E6D6359"/>
    <w:rsid w:val="0E753A46"/>
    <w:rsid w:val="0E855450"/>
    <w:rsid w:val="0EA63619"/>
    <w:rsid w:val="0EC341CA"/>
    <w:rsid w:val="0EC73CBB"/>
    <w:rsid w:val="0EDD34DE"/>
    <w:rsid w:val="0EE626FA"/>
    <w:rsid w:val="0EFD148A"/>
    <w:rsid w:val="0F0F5CAE"/>
    <w:rsid w:val="0F2509E1"/>
    <w:rsid w:val="0F303EC9"/>
    <w:rsid w:val="0F3050A6"/>
    <w:rsid w:val="0F355C93"/>
    <w:rsid w:val="0F465E76"/>
    <w:rsid w:val="0F672DA8"/>
    <w:rsid w:val="0F706264"/>
    <w:rsid w:val="0F7200CA"/>
    <w:rsid w:val="0F7A2285"/>
    <w:rsid w:val="0F99589E"/>
    <w:rsid w:val="0F9A1418"/>
    <w:rsid w:val="0FA17752"/>
    <w:rsid w:val="0FB2122A"/>
    <w:rsid w:val="0FB22358"/>
    <w:rsid w:val="0FCB16D9"/>
    <w:rsid w:val="0FDC5544"/>
    <w:rsid w:val="0FED3A67"/>
    <w:rsid w:val="0FF02D9D"/>
    <w:rsid w:val="0FF9577E"/>
    <w:rsid w:val="102E38C6"/>
    <w:rsid w:val="10352EA6"/>
    <w:rsid w:val="104D5DC3"/>
    <w:rsid w:val="10615A49"/>
    <w:rsid w:val="1064493C"/>
    <w:rsid w:val="106B7F9E"/>
    <w:rsid w:val="108674CF"/>
    <w:rsid w:val="109220A6"/>
    <w:rsid w:val="10922D88"/>
    <w:rsid w:val="1093034E"/>
    <w:rsid w:val="109B152E"/>
    <w:rsid w:val="109E0A4B"/>
    <w:rsid w:val="10A145F0"/>
    <w:rsid w:val="10A14840"/>
    <w:rsid w:val="10A23752"/>
    <w:rsid w:val="10AA61E9"/>
    <w:rsid w:val="10C973FC"/>
    <w:rsid w:val="10D601E5"/>
    <w:rsid w:val="10D80992"/>
    <w:rsid w:val="11167533"/>
    <w:rsid w:val="11243FFF"/>
    <w:rsid w:val="112A33E4"/>
    <w:rsid w:val="113174E1"/>
    <w:rsid w:val="113718BF"/>
    <w:rsid w:val="11395884"/>
    <w:rsid w:val="11407F98"/>
    <w:rsid w:val="11557E4D"/>
    <w:rsid w:val="11564991"/>
    <w:rsid w:val="11565855"/>
    <w:rsid w:val="11665A0D"/>
    <w:rsid w:val="1188642D"/>
    <w:rsid w:val="118934A9"/>
    <w:rsid w:val="118B7221"/>
    <w:rsid w:val="11D01CF9"/>
    <w:rsid w:val="11EB7CC0"/>
    <w:rsid w:val="11F67404"/>
    <w:rsid w:val="11FA1551"/>
    <w:rsid w:val="11FC5536"/>
    <w:rsid w:val="12077CFA"/>
    <w:rsid w:val="1209447B"/>
    <w:rsid w:val="121B43BF"/>
    <w:rsid w:val="122149CB"/>
    <w:rsid w:val="12271A49"/>
    <w:rsid w:val="122907E8"/>
    <w:rsid w:val="122C7D0D"/>
    <w:rsid w:val="12352D67"/>
    <w:rsid w:val="124205D1"/>
    <w:rsid w:val="125E4936"/>
    <w:rsid w:val="12635AA8"/>
    <w:rsid w:val="12696E37"/>
    <w:rsid w:val="126C7966"/>
    <w:rsid w:val="126E62DF"/>
    <w:rsid w:val="12745F08"/>
    <w:rsid w:val="127952CC"/>
    <w:rsid w:val="128B3251"/>
    <w:rsid w:val="129245E0"/>
    <w:rsid w:val="129701D5"/>
    <w:rsid w:val="129E6AAA"/>
    <w:rsid w:val="12A2465F"/>
    <w:rsid w:val="12A30FD7"/>
    <w:rsid w:val="12AA36D7"/>
    <w:rsid w:val="12B91B6C"/>
    <w:rsid w:val="12CD386A"/>
    <w:rsid w:val="12D50362"/>
    <w:rsid w:val="12DA70DC"/>
    <w:rsid w:val="12EA45C0"/>
    <w:rsid w:val="12F901BB"/>
    <w:rsid w:val="130F3E82"/>
    <w:rsid w:val="13165211"/>
    <w:rsid w:val="132337F3"/>
    <w:rsid w:val="13286CF2"/>
    <w:rsid w:val="132E143F"/>
    <w:rsid w:val="133A2D10"/>
    <w:rsid w:val="13471AD0"/>
    <w:rsid w:val="134753CA"/>
    <w:rsid w:val="134C2851"/>
    <w:rsid w:val="134C478E"/>
    <w:rsid w:val="136441CE"/>
    <w:rsid w:val="13781A27"/>
    <w:rsid w:val="13826402"/>
    <w:rsid w:val="13845E89"/>
    <w:rsid w:val="13877EBC"/>
    <w:rsid w:val="13985C26"/>
    <w:rsid w:val="13A66595"/>
    <w:rsid w:val="13B14F39"/>
    <w:rsid w:val="13BB36C2"/>
    <w:rsid w:val="13BD743A"/>
    <w:rsid w:val="14092680"/>
    <w:rsid w:val="14096B23"/>
    <w:rsid w:val="140B2B2E"/>
    <w:rsid w:val="1425120F"/>
    <w:rsid w:val="14301B15"/>
    <w:rsid w:val="1433594E"/>
    <w:rsid w:val="14564D5E"/>
    <w:rsid w:val="14661880"/>
    <w:rsid w:val="14726477"/>
    <w:rsid w:val="147306A9"/>
    <w:rsid w:val="14870CC8"/>
    <w:rsid w:val="148E7ADC"/>
    <w:rsid w:val="1492781C"/>
    <w:rsid w:val="149375E5"/>
    <w:rsid w:val="1499025C"/>
    <w:rsid w:val="149B6797"/>
    <w:rsid w:val="149D66D9"/>
    <w:rsid w:val="149D7870"/>
    <w:rsid w:val="14B678F8"/>
    <w:rsid w:val="14C41530"/>
    <w:rsid w:val="14E07884"/>
    <w:rsid w:val="14ED3D4F"/>
    <w:rsid w:val="14F15522"/>
    <w:rsid w:val="14F2410F"/>
    <w:rsid w:val="15005A28"/>
    <w:rsid w:val="150337D5"/>
    <w:rsid w:val="1504174F"/>
    <w:rsid w:val="151C7F6C"/>
    <w:rsid w:val="152E4A94"/>
    <w:rsid w:val="152F6751"/>
    <w:rsid w:val="15303D7D"/>
    <w:rsid w:val="1546345F"/>
    <w:rsid w:val="1553452D"/>
    <w:rsid w:val="15542020"/>
    <w:rsid w:val="156156EE"/>
    <w:rsid w:val="15694E32"/>
    <w:rsid w:val="156F29B6"/>
    <w:rsid w:val="15793835"/>
    <w:rsid w:val="157E0E4B"/>
    <w:rsid w:val="158263AD"/>
    <w:rsid w:val="158F501B"/>
    <w:rsid w:val="159452FD"/>
    <w:rsid w:val="15A9794A"/>
    <w:rsid w:val="15AC2665"/>
    <w:rsid w:val="15B036FB"/>
    <w:rsid w:val="15B14B22"/>
    <w:rsid w:val="15B3427D"/>
    <w:rsid w:val="15B34F99"/>
    <w:rsid w:val="15BA33B1"/>
    <w:rsid w:val="15CD0276"/>
    <w:rsid w:val="15D12640"/>
    <w:rsid w:val="15DB3A80"/>
    <w:rsid w:val="15E16D7A"/>
    <w:rsid w:val="15E46F00"/>
    <w:rsid w:val="15FE0734"/>
    <w:rsid w:val="16041350"/>
    <w:rsid w:val="16096967"/>
    <w:rsid w:val="16151C72"/>
    <w:rsid w:val="161A23FF"/>
    <w:rsid w:val="161F43DC"/>
    <w:rsid w:val="16290B92"/>
    <w:rsid w:val="16297009"/>
    <w:rsid w:val="16343A70"/>
    <w:rsid w:val="16411B20"/>
    <w:rsid w:val="16431E4A"/>
    <w:rsid w:val="165A3666"/>
    <w:rsid w:val="165C2217"/>
    <w:rsid w:val="167069E6"/>
    <w:rsid w:val="167D7D71"/>
    <w:rsid w:val="169E5ECA"/>
    <w:rsid w:val="16A3500D"/>
    <w:rsid w:val="16A90B55"/>
    <w:rsid w:val="16B36AE1"/>
    <w:rsid w:val="16C15493"/>
    <w:rsid w:val="16CE195E"/>
    <w:rsid w:val="16E3540A"/>
    <w:rsid w:val="16E42F30"/>
    <w:rsid w:val="16ED4897"/>
    <w:rsid w:val="16FE0496"/>
    <w:rsid w:val="170C1FD1"/>
    <w:rsid w:val="172A0C99"/>
    <w:rsid w:val="173454C2"/>
    <w:rsid w:val="17483152"/>
    <w:rsid w:val="174C7453"/>
    <w:rsid w:val="17577BA6"/>
    <w:rsid w:val="1776370C"/>
    <w:rsid w:val="17822E75"/>
    <w:rsid w:val="17872239"/>
    <w:rsid w:val="178E01B7"/>
    <w:rsid w:val="17937E9B"/>
    <w:rsid w:val="17974B90"/>
    <w:rsid w:val="179A1DCD"/>
    <w:rsid w:val="17A15E0B"/>
    <w:rsid w:val="17AA312D"/>
    <w:rsid w:val="17AF1790"/>
    <w:rsid w:val="17BF5E77"/>
    <w:rsid w:val="17D336D0"/>
    <w:rsid w:val="17D3547E"/>
    <w:rsid w:val="17DE3E23"/>
    <w:rsid w:val="17E53404"/>
    <w:rsid w:val="17EC5092"/>
    <w:rsid w:val="17FB753C"/>
    <w:rsid w:val="180C6BE2"/>
    <w:rsid w:val="1811244B"/>
    <w:rsid w:val="18116655"/>
    <w:rsid w:val="18174183"/>
    <w:rsid w:val="18185587"/>
    <w:rsid w:val="18187335"/>
    <w:rsid w:val="181D494B"/>
    <w:rsid w:val="183A3210"/>
    <w:rsid w:val="183B7D55"/>
    <w:rsid w:val="183C2E3A"/>
    <w:rsid w:val="183D3240"/>
    <w:rsid w:val="18416A30"/>
    <w:rsid w:val="186E09C7"/>
    <w:rsid w:val="18937310"/>
    <w:rsid w:val="189E4F3F"/>
    <w:rsid w:val="18A55444"/>
    <w:rsid w:val="18CB6A1D"/>
    <w:rsid w:val="18F030EF"/>
    <w:rsid w:val="18F14B85"/>
    <w:rsid w:val="18F224FA"/>
    <w:rsid w:val="18F41B50"/>
    <w:rsid w:val="18FC77C6"/>
    <w:rsid w:val="190D49C0"/>
    <w:rsid w:val="191D4341"/>
    <w:rsid w:val="19206CA1"/>
    <w:rsid w:val="19265A82"/>
    <w:rsid w:val="1938288F"/>
    <w:rsid w:val="19390F3A"/>
    <w:rsid w:val="193C34F7"/>
    <w:rsid w:val="1946511A"/>
    <w:rsid w:val="195919B3"/>
    <w:rsid w:val="19597C05"/>
    <w:rsid w:val="195C7136"/>
    <w:rsid w:val="19650358"/>
    <w:rsid w:val="19705D48"/>
    <w:rsid w:val="197762DD"/>
    <w:rsid w:val="19786A87"/>
    <w:rsid w:val="198B5F6F"/>
    <w:rsid w:val="198D45F0"/>
    <w:rsid w:val="19A05834"/>
    <w:rsid w:val="19A1648E"/>
    <w:rsid w:val="19B1359D"/>
    <w:rsid w:val="19B24E93"/>
    <w:rsid w:val="19B25567"/>
    <w:rsid w:val="19B7455F"/>
    <w:rsid w:val="19C31523"/>
    <w:rsid w:val="19C72DC1"/>
    <w:rsid w:val="19DB061A"/>
    <w:rsid w:val="19DB4ABE"/>
    <w:rsid w:val="19F65454"/>
    <w:rsid w:val="1A015E61"/>
    <w:rsid w:val="1A0667DD"/>
    <w:rsid w:val="1A1B00A3"/>
    <w:rsid w:val="1A1B4EBB"/>
    <w:rsid w:val="1A366BD3"/>
    <w:rsid w:val="1A393593"/>
    <w:rsid w:val="1A402B73"/>
    <w:rsid w:val="1A705206"/>
    <w:rsid w:val="1A766342"/>
    <w:rsid w:val="1A7F369B"/>
    <w:rsid w:val="1A903AFB"/>
    <w:rsid w:val="1A9A324D"/>
    <w:rsid w:val="1AA05DF4"/>
    <w:rsid w:val="1AA475A6"/>
    <w:rsid w:val="1AB34498"/>
    <w:rsid w:val="1ABD2416"/>
    <w:rsid w:val="1AC11F06"/>
    <w:rsid w:val="1ACC0721"/>
    <w:rsid w:val="1ADD6614"/>
    <w:rsid w:val="1AE44224"/>
    <w:rsid w:val="1AF06347"/>
    <w:rsid w:val="1B022F94"/>
    <w:rsid w:val="1B310517"/>
    <w:rsid w:val="1B3C1FFD"/>
    <w:rsid w:val="1B5F25A5"/>
    <w:rsid w:val="1B8536B2"/>
    <w:rsid w:val="1B875333"/>
    <w:rsid w:val="1B9118D8"/>
    <w:rsid w:val="1B952E08"/>
    <w:rsid w:val="1BA16335"/>
    <w:rsid w:val="1BA57132"/>
    <w:rsid w:val="1BA6218E"/>
    <w:rsid w:val="1BAD5FE6"/>
    <w:rsid w:val="1BB13D28"/>
    <w:rsid w:val="1BCE59A7"/>
    <w:rsid w:val="1BD52BA2"/>
    <w:rsid w:val="1BDF0508"/>
    <w:rsid w:val="1BE177E6"/>
    <w:rsid w:val="1BE4073B"/>
    <w:rsid w:val="1BEA2D97"/>
    <w:rsid w:val="1BEE6D2B"/>
    <w:rsid w:val="1BF3662A"/>
    <w:rsid w:val="1BF5598D"/>
    <w:rsid w:val="1BFC57E2"/>
    <w:rsid w:val="1C116575"/>
    <w:rsid w:val="1C183DA8"/>
    <w:rsid w:val="1C2E5379"/>
    <w:rsid w:val="1C305105"/>
    <w:rsid w:val="1C3B33BF"/>
    <w:rsid w:val="1C427076"/>
    <w:rsid w:val="1C4A1A87"/>
    <w:rsid w:val="1C547B70"/>
    <w:rsid w:val="1C6620A2"/>
    <w:rsid w:val="1C686D38"/>
    <w:rsid w:val="1C6F654A"/>
    <w:rsid w:val="1C700BEF"/>
    <w:rsid w:val="1C7B17FA"/>
    <w:rsid w:val="1C896A53"/>
    <w:rsid w:val="1C972259"/>
    <w:rsid w:val="1C9D20E2"/>
    <w:rsid w:val="1CA05B4B"/>
    <w:rsid w:val="1CB11B06"/>
    <w:rsid w:val="1CB3762C"/>
    <w:rsid w:val="1CBF2781"/>
    <w:rsid w:val="1CC306E9"/>
    <w:rsid w:val="1CCA5E18"/>
    <w:rsid w:val="1CCE43A0"/>
    <w:rsid w:val="1CD70D11"/>
    <w:rsid w:val="1CDF09E4"/>
    <w:rsid w:val="1CF42E6E"/>
    <w:rsid w:val="1CF70848"/>
    <w:rsid w:val="1CFC3D4D"/>
    <w:rsid w:val="1D085BCA"/>
    <w:rsid w:val="1D104A7F"/>
    <w:rsid w:val="1D1074B6"/>
    <w:rsid w:val="1D183933"/>
    <w:rsid w:val="1D366756"/>
    <w:rsid w:val="1D3C4BFB"/>
    <w:rsid w:val="1D444728"/>
    <w:rsid w:val="1D6A28C6"/>
    <w:rsid w:val="1D7711E5"/>
    <w:rsid w:val="1D8D5398"/>
    <w:rsid w:val="1DA21E6C"/>
    <w:rsid w:val="1DB775F0"/>
    <w:rsid w:val="1DC36C05"/>
    <w:rsid w:val="1DC85749"/>
    <w:rsid w:val="1DD26A50"/>
    <w:rsid w:val="1DDC2BB3"/>
    <w:rsid w:val="1DDC3DDA"/>
    <w:rsid w:val="1DEB0CCB"/>
    <w:rsid w:val="1DF81251"/>
    <w:rsid w:val="1DFB128B"/>
    <w:rsid w:val="1DFD1E7A"/>
    <w:rsid w:val="1E052B8D"/>
    <w:rsid w:val="1E0D7210"/>
    <w:rsid w:val="1E22708F"/>
    <w:rsid w:val="1E2D2F17"/>
    <w:rsid w:val="1E481B8A"/>
    <w:rsid w:val="1E4C5F8A"/>
    <w:rsid w:val="1E641526"/>
    <w:rsid w:val="1E6B19BE"/>
    <w:rsid w:val="1E8A02A3"/>
    <w:rsid w:val="1E8E2C79"/>
    <w:rsid w:val="1E933BB9"/>
    <w:rsid w:val="1EBA2359"/>
    <w:rsid w:val="1ECA6EAF"/>
    <w:rsid w:val="1ECE2E43"/>
    <w:rsid w:val="1EE518CA"/>
    <w:rsid w:val="1EF1268E"/>
    <w:rsid w:val="1EFE4EDD"/>
    <w:rsid w:val="1F026649"/>
    <w:rsid w:val="1F1464D9"/>
    <w:rsid w:val="1F176598"/>
    <w:rsid w:val="1F177114"/>
    <w:rsid w:val="1F2111C5"/>
    <w:rsid w:val="1F2B5BA0"/>
    <w:rsid w:val="1F3A1C48"/>
    <w:rsid w:val="1F417171"/>
    <w:rsid w:val="1F437CC6"/>
    <w:rsid w:val="1F444EB4"/>
    <w:rsid w:val="1F470500"/>
    <w:rsid w:val="1F4F074B"/>
    <w:rsid w:val="1F5A6485"/>
    <w:rsid w:val="1F6D6E09"/>
    <w:rsid w:val="1F7E6617"/>
    <w:rsid w:val="1F881E32"/>
    <w:rsid w:val="1F8D23B7"/>
    <w:rsid w:val="1FB45B95"/>
    <w:rsid w:val="1FC3519E"/>
    <w:rsid w:val="1FF57B15"/>
    <w:rsid w:val="20032679"/>
    <w:rsid w:val="202076CF"/>
    <w:rsid w:val="202D3B9A"/>
    <w:rsid w:val="20305F21"/>
    <w:rsid w:val="203B28A1"/>
    <w:rsid w:val="204A474C"/>
    <w:rsid w:val="20542ED4"/>
    <w:rsid w:val="205B0707"/>
    <w:rsid w:val="2063580D"/>
    <w:rsid w:val="20644136"/>
    <w:rsid w:val="20695B32"/>
    <w:rsid w:val="207848CC"/>
    <w:rsid w:val="207B343E"/>
    <w:rsid w:val="20801F1B"/>
    <w:rsid w:val="20931C4F"/>
    <w:rsid w:val="20994D8B"/>
    <w:rsid w:val="209E23A2"/>
    <w:rsid w:val="20B35E4D"/>
    <w:rsid w:val="20BB73F7"/>
    <w:rsid w:val="20BE2A44"/>
    <w:rsid w:val="20C53DD2"/>
    <w:rsid w:val="20D364EF"/>
    <w:rsid w:val="20DB1848"/>
    <w:rsid w:val="20DC29B8"/>
    <w:rsid w:val="20DE6C42"/>
    <w:rsid w:val="20E64474"/>
    <w:rsid w:val="20E95E3C"/>
    <w:rsid w:val="20EF2BFD"/>
    <w:rsid w:val="2118371F"/>
    <w:rsid w:val="21260D15"/>
    <w:rsid w:val="212C2C54"/>
    <w:rsid w:val="212C428E"/>
    <w:rsid w:val="2144119B"/>
    <w:rsid w:val="21472A39"/>
    <w:rsid w:val="215D109F"/>
    <w:rsid w:val="215E090F"/>
    <w:rsid w:val="21613AFB"/>
    <w:rsid w:val="2164771A"/>
    <w:rsid w:val="216A13BE"/>
    <w:rsid w:val="21735A99"/>
    <w:rsid w:val="2177331E"/>
    <w:rsid w:val="21837F15"/>
    <w:rsid w:val="219758A1"/>
    <w:rsid w:val="219A78C7"/>
    <w:rsid w:val="21A8557E"/>
    <w:rsid w:val="21AF23CC"/>
    <w:rsid w:val="21B2350C"/>
    <w:rsid w:val="21C66054"/>
    <w:rsid w:val="21CB366A"/>
    <w:rsid w:val="21CE3BBD"/>
    <w:rsid w:val="21D02A2F"/>
    <w:rsid w:val="21E40288"/>
    <w:rsid w:val="21E9116B"/>
    <w:rsid w:val="21F00857"/>
    <w:rsid w:val="220B1CB9"/>
    <w:rsid w:val="220F05CF"/>
    <w:rsid w:val="22205764"/>
    <w:rsid w:val="22244B28"/>
    <w:rsid w:val="223236E9"/>
    <w:rsid w:val="2251620F"/>
    <w:rsid w:val="225275BA"/>
    <w:rsid w:val="225E003A"/>
    <w:rsid w:val="22600256"/>
    <w:rsid w:val="226650A3"/>
    <w:rsid w:val="226F5DFE"/>
    <w:rsid w:val="227B299A"/>
    <w:rsid w:val="227E692E"/>
    <w:rsid w:val="228243B0"/>
    <w:rsid w:val="228E4923"/>
    <w:rsid w:val="228F6446"/>
    <w:rsid w:val="22910410"/>
    <w:rsid w:val="22AA7385"/>
    <w:rsid w:val="22AE65BE"/>
    <w:rsid w:val="22B63195"/>
    <w:rsid w:val="22DB079D"/>
    <w:rsid w:val="22E5250A"/>
    <w:rsid w:val="22F369D5"/>
    <w:rsid w:val="22F616B5"/>
    <w:rsid w:val="22FD0E5C"/>
    <w:rsid w:val="230778C7"/>
    <w:rsid w:val="231A510B"/>
    <w:rsid w:val="23256DAA"/>
    <w:rsid w:val="233660B1"/>
    <w:rsid w:val="235B4B0E"/>
    <w:rsid w:val="235F406A"/>
    <w:rsid w:val="236A7616"/>
    <w:rsid w:val="236F7F68"/>
    <w:rsid w:val="2373007C"/>
    <w:rsid w:val="2374647C"/>
    <w:rsid w:val="237C3267"/>
    <w:rsid w:val="239043DF"/>
    <w:rsid w:val="23953F30"/>
    <w:rsid w:val="239F4588"/>
    <w:rsid w:val="23A21A79"/>
    <w:rsid w:val="23A86B40"/>
    <w:rsid w:val="23BC326A"/>
    <w:rsid w:val="23BD72DF"/>
    <w:rsid w:val="23C0729E"/>
    <w:rsid w:val="23CD4FD9"/>
    <w:rsid w:val="23DA1E7B"/>
    <w:rsid w:val="23DE58D7"/>
    <w:rsid w:val="23E629DD"/>
    <w:rsid w:val="23E7405F"/>
    <w:rsid w:val="23EA5501"/>
    <w:rsid w:val="23F17C88"/>
    <w:rsid w:val="23F37D3B"/>
    <w:rsid w:val="240D1EC8"/>
    <w:rsid w:val="24156E1F"/>
    <w:rsid w:val="243E45C7"/>
    <w:rsid w:val="24467C80"/>
    <w:rsid w:val="2475240E"/>
    <w:rsid w:val="247955FF"/>
    <w:rsid w:val="248024EA"/>
    <w:rsid w:val="24861ACA"/>
    <w:rsid w:val="248C2223"/>
    <w:rsid w:val="248E0E6D"/>
    <w:rsid w:val="24961E78"/>
    <w:rsid w:val="249A6459"/>
    <w:rsid w:val="249F7859"/>
    <w:rsid w:val="24AA57B9"/>
    <w:rsid w:val="24B56686"/>
    <w:rsid w:val="24B672B1"/>
    <w:rsid w:val="24D665AE"/>
    <w:rsid w:val="24F079E9"/>
    <w:rsid w:val="24F627AC"/>
    <w:rsid w:val="25201F1F"/>
    <w:rsid w:val="254C15F2"/>
    <w:rsid w:val="25560C22"/>
    <w:rsid w:val="255B2F57"/>
    <w:rsid w:val="256A6BDA"/>
    <w:rsid w:val="256E456D"/>
    <w:rsid w:val="258A399C"/>
    <w:rsid w:val="25B34B41"/>
    <w:rsid w:val="25C72EDE"/>
    <w:rsid w:val="25DD4448"/>
    <w:rsid w:val="25F16477"/>
    <w:rsid w:val="26086C3B"/>
    <w:rsid w:val="261849A4"/>
    <w:rsid w:val="261920D8"/>
    <w:rsid w:val="261B0492"/>
    <w:rsid w:val="26254703"/>
    <w:rsid w:val="26415CA9"/>
    <w:rsid w:val="26420893"/>
    <w:rsid w:val="26492DAF"/>
    <w:rsid w:val="264D0AF2"/>
    <w:rsid w:val="26571970"/>
    <w:rsid w:val="26655E3B"/>
    <w:rsid w:val="26895E8C"/>
    <w:rsid w:val="269B185D"/>
    <w:rsid w:val="26A86F43"/>
    <w:rsid w:val="26CE057C"/>
    <w:rsid w:val="26DC30FF"/>
    <w:rsid w:val="26DD00C8"/>
    <w:rsid w:val="26E75394"/>
    <w:rsid w:val="270513CC"/>
    <w:rsid w:val="270B4948"/>
    <w:rsid w:val="270D0281"/>
    <w:rsid w:val="271E7A90"/>
    <w:rsid w:val="271F4C0C"/>
    <w:rsid w:val="27215AAC"/>
    <w:rsid w:val="2723400E"/>
    <w:rsid w:val="2736727F"/>
    <w:rsid w:val="273E668C"/>
    <w:rsid w:val="274041B2"/>
    <w:rsid w:val="27594AEA"/>
    <w:rsid w:val="27612E83"/>
    <w:rsid w:val="27637EA1"/>
    <w:rsid w:val="27767BD4"/>
    <w:rsid w:val="27A309F6"/>
    <w:rsid w:val="27B800C2"/>
    <w:rsid w:val="27B8643F"/>
    <w:rsid w:val="27C132F1"/>
    <w:rsid w:val="27C50696"/>
    <w:rsid w:val="27CB7D80"/>
    <w:rsid w:val="27CD1F54"/>
    <w:rsid w:val="27D35027"/>
    <w:rsid w:val="27D86AE1"/>
    <w:rsid w:val="27DD7C53"/>
    <w:rsid w:val="27E014F2"/>
    <w:rsid w:val="27F954F9"/>
    <w:rsid w:val="281F201A"/>
    <w:rsid w:val="28373258"/>
    <w:rsid w:val="283F090E"/>
    <w:rsid w:val="2844798D"/>
    <w:rsid w:val="285C14C0"/>
    <w:rsid w:val="28691716"/>
    <w:rsid w:val="2897692D"/>
    <w:rsid w:val="28977E99"/>
    <w:rsid w:val="28A621BD"/>
    <w:rsid w:val="28C64B8B"/>
    <w:rsid w:val="28CD5F1A"/>
    <w:rsid w:val="28D366FF"/>
    <w:rsid w:val="28D9669A"/>
    <w:rsid w:val="28DF697D"/>
    <w:rsid w:val="28FB65E3"/>
    <w:rsid w:val="291458F7"/>
    <w:rsid w:val="291A2B97"/>
    <w:rsid w:val="292A2C02"/>
    <w:rsid w:val="292A511A"/>
    <w:rsid w:val="29794A73"/>
    <w:rsid w:val="297B7724"/>
    <w:rsid w:val="2982260A"/>
    <w:rsid w:val="29826D04"/>
    <w:rsid w:val="29982084"/>
    <w:rsid w:val="29B6075C"/>
    <w:rsid w:val="29B64C00"/>
    <w:rsid w:val="29D532D8"/>
    <w:rsid w:val="29E47F3B"/>
    <w:rsid w:val="29EE6148"/>
    <w:rsid w:val="29FB219D"/>
    <w:rsid w:val="29FB2613"/>
    <w:rsid w:val="2A1132FB"/>
    <w:rsid w:val="2A157B78"/>
    <w:rsid w:val="2A166FA8"/>
    <w:rsid w:val="2A1713D6"/>
    <w:rsid w:val="2A1D4C7F"/>
    <w:rsid w:val="2A4B5348"/>
    <w:rsid w:val="2A5306A1"/>
    <w:rsid w:val="2A5A558B"/>
    <w:rsid w:val="2A662182"/>
    <w:rsid w:val="2A663F30"/>
    <w:rsid w:val="2A6B59EA"/>
    <w:rsid w:val="2A6B5E3C"/>
    <w:rsid w:val="2A8D5961"/>
    <w:rsid w:val="2A957654"/>
    <w:rsid w:val="2AD92954"/>
    <w:rsid w:val="2AEA2DB3"/>
    <w:rsid w:val="2AEC6B2B"/>
    <w:rsid w:val="2B055119"/>
    <w:rsid w:val="2B0652D0"/>
    <w:rsid w:val="2B0B4446"/>
    <w:rsid w:val="2B0B5F38"/>
    <w:rsid w:val="2B230BF3"/>
    <w:rsid w:val="2B471FB3"/>
    <w:rsid w:val="2B4D6E9E"/>
    <w:rsid w:val="2B6E0B76"/>
    <w:rsid w:val="2B6E5792"/>
    <w:rsid w:val="2B88437A"/>
    <w:rsid w:val="2B88534B"/>
    <w:rsid w:val="2B8F5C02"/>
    <w:rsid w:val="2B8F7FBD"/>
    <w:rsid w:val="2BA14649"/>
    <w:rsid w:val="2BB4516F"/>
    <w:rsid w:val="2BCD2F8E"/>
    <w:rsid w:val="2BE55328"/>
    <w:rsid w:val="2BF73439"/>
    <w:rsid w:val="2BFE5BDA"/>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901738"/>
    <w:rsid w:val="2C926E94"/>
    <w:rsid w:val="2C9651E0"/>
    <w:rsid w:val="2CA034F5"/>
    <w:rsid w:val="2CA25BEC"/>
    <w:rsid w:val="2CA64AB8"/>
    <w:rsid w:val="2CAC5B63"/>
    <w:rsid w:val="2CBA4A07"/>
    <w:rsid w:val="2CBE4367"/>
    <w:rsid w:val="2CC118F2"/>
    <w:rsid w:val="2CD34A44"/>
    <w:rsid w:val="2CD47877"/>
    <w:rsid w:val="2CD5029F"/>
    <w:rsid w:val="2CE101E6"/>
    <w:rsid w:val="2CEB1DDF"/>
    <w:rsid w:val="2CF00E40"/>
    <w:rsid w:val="2CF96C08"/>
    <w:rsid w:val="2CFF066C"/>
    <w:rsid w:val="2D00167F"/>
    <w:rsid w:val="2D0363AE"/>
    <w:rsid w:val="2D1265F1"/>
    <w:rsid w:val="2D2360D5"/>
    <w:rsid w:val="2D3575D7"/>
    <w:rsid w:val="2D392A9A"/>
    <w:rsid w:val="2D3C366E"/>
    <w:rsid w:val="2D3F2720"/>
    <w:rsid w:val="2D4401F7"/>
    <w:rsid w:val="2D5D6575"/>
    <w:rsid w:val="2D6459D3"/>
    <w:rsid w:val="2D6A3D37"/>
    <w:rsid w:val="2D6A73B2"/>
    <w:rsid w:val="2D8017AD"/>
    <w:rsid w:val="2D8F7C42"/>
    <w:rsid w:val="2D9214E0"/>
    <w:rsid w:val="2D9968CA"/>
    <w:rsid w:val="2DA3549B"/>
    <w:rsid w:val="2DA90D03"/>
    <w:rsid w:val="2DB43204"/>
    <w:rsid w:val="2DB54923"/>
    <w:rsid w:val="2DB72CF5"/>
    <w:rsid w:val="2DBF6A28"/>
    <w:rsid w:val="2DC31151"/>
    <w:rsid w:val="2DC75DE6"/>
    <w:rsid w:val="2DCD0A11"/>
    <w:rsid w:val="2DD04934"/>
    <w:rsid w:val="2DD45655"/>
    <w:rsid w:val="2DDB4BC1"/>
    <w:rsid w:val="2DEC0BF0"/>
    <w:rsid w:val="2DF301D1"/>
    <w:rsid w:val="2E0D1DA7"/>
    <w:rsid w:val="2E0F2B31"/>
    <w:rsid w:val="2E165C6D"/>
    <w:rsid w:val="2E220AB6"/>
    <w:rsid w:val="2E255EB0"/>
    <w:rsid w:val="2E3A7D96"/>
    <w:rsid w:val="2E422F06"/>
    <w:rsid w:val="2E4427DA"/>
    <w:rsid w:val="2E5642BC"/>
    <w:rsid w:val="2E5C5D76"/>
    <w:rsid w:val="2E5D389C"/>
    <w:rsid w:val="2E630C84"/>
    <w:rsid w:val="2E641B42"/>
    <w:rsid w:val="2E70537D"/>
    <w:rsid w:val="2E7110E4"/>
    <w:rsid w:val="2E84600A"/>
    <w:rsid w:val="2E956466"/>
    <w:rsid w:val="2EA15273"/>
    <w:rsid w:val="2EBF37A7"/>
    <w:rsid w:val="2EBF4B0B"/>
    <w:rsid w:val="2ED15BFD"/>
    <w:rsid w:val="2ED26038"/>
    <w:rsid w:val="2ED86F63"/>
    <w:rsid w:val="2EED10C4"/>
    <w:rsid w:val="2EF7784D"/>
    <w:rsid w:val="2EF87AE6"/>
    <w:rsid w:val="2EFA10EB"/>
    <w:rsid w:val="2EFA558F"/>
    <w:rsid w:val="2EFB21A9"/>
    <w:rsid w:val="2F0361F1"/>
    <w:rsid w:val="2F1A353B"/>
    <w:rsid w:val="2F3C1703"/>
    <w:rsid w:val="2F3E4F4E"/>
    <w:rsid w:val="2F407445"/>
    <w:rsid w:val="2F544C9F"/>
    <w:rsid w:val="2F5702EB"/>
    <w:rsid w:val="2F6B1FE9"/>
    <w:rsid w:val="2F6F0666"/>
    <w:rsid w:val="2F860BD0"/>
    <w:rsid w:val="2F904E2B"/>
    <w:rsid w:val="2F927575"/>
    <w:rsid w:val="2F9C6646"/>
    <w:rsid w:val="2FEF49C8"/>
    <w:rsid w:val="2FF574A1"/>
    <w:rsid w:val="300246FB"/>
    <w:rsid w:val="30110DE2"/>
    <w:rsid w:val="30156A33"/>
    <w:rsid w:val="301D42EF"/>
    <w:rsid w:val="30240B15"/>
    <w:rsid w:val="30250D25"/>
    <w:rsid w:val="3025488D"/>
    <w:rsid w:val="30287BA1"/>
    <w:rsid w:val="302B0671"/>
    <w:rsid w:val="30336292"/>
    <w:rsid w:val="30342B2E"/>
    <w:rsid w:val="3044084D"/>
    <w:rsid w:val="30466CDD"/>
    <w:rsid w:val="3049749F"/>
    <w:rsid w:val="30523F22"/>
    <w:rsid w:val="30644D23"/>
    <w:rsid w:val="30656A38"/>
    <w:rsid w:val="30823A8E"/>
    <w:rsid w:val="30894E1C"/>
    <w:rsid w:val="308B0B94"/>
    <w:rsid w:val="308E3881"/>
    <w:rsid w:val="30B05F05"/>
    <w:rsid w:val="30CD3408"/>
    <w:rsid w:val="30CF4EA4"/>
    <w:rsid w:val="30D20571"/>
    <w:rsid w:val="30F57DBC"/>
    <w:rsid w:val="30FA3624"/>
    <w:rsid w:val="30FE1366"/>
    <w:rsid w:val="31002A27"/>
    <w:rsid w:val="310A4AEB"/>
    <w:rsid w:val="310D2023"/>
    <w:rsid w:val="311F12DD"/>
    <w:rsid w:val="312D6BEE"/>
    <w:rsid w:val="313308E4"/>
    <w:rsid w:val="3133745D"/>
    <w:rsid w:val="314D7BF8"/>
    <w:rsid w:val="31540C39"/>
    <w:rsid w:val="31595C72"/>
    <w:rsid w:val="316365F0"/>
    <w:rsid w:val="3163741B"/>
    <w:rsid w:val="31857392"/>
    <w:rsid w:val="318E1BB8"/>
    <w:rsid w:val="319475D5"/>
    <w:rsid w:val="319976C6"/>
    <w:rsid w:val="319A711F"/>
    <w:rsid w:val="31A15954"/>
    <w:rsid w:val="31A16107"/>
    <w:rsid w:val="31C854D0"/>
    <w:rsid w:val="31CC4FC0"/>
    <w:rsid w:val="31D840B5"/>
    <w:rsid w:val="31DE1ECC"/>
    <w:rsid w:val="31E87920"/>
    <w:rsid w:val="31FE2EEA"/>
    <w:rsid w:val="320643AF"/>
    <w:rsid w:val="32130E41"/>
    <w:rsid w:val="321D006A"/>
    <w:rsid w:val="3228125A"/>
    <w:rsid w:val="322841C1"/>
    <w:rsid w:val="322D6302"/>
    <w:rsid w:val="323846D6"/>
    <w:rsid w:val="32396EB1"/>
    <w:rsid w:val="323C6422"/>
    <w:rsid w:val="32427031"/>
    <w:rsid w:val="32562ADC"/>
    <w:rsid w:val="326F46E0"/>
    <w:rsid w:val="32713DBA"/>
    <w:rsid w:val="3277206D"/>
    <w:rsid w:val="327A3BC6"/>
    <w:rsid w:val="327D450D"/>
    <w:rsid w:val="327F745D"/>
    <w:rsid w:val="3284589B"/>
    <w:rsid w:val="328E671A"/>
    <w:rsid w:val="32990C1B"/>
    <w:rsid w:val="32B314D7"/>
    <w:rsid w:val="32C24615"/>
    <w:rsid w:val="32CB013A"/>
    <w:rsid w:val="32D3412D"/>
    <w:rsid w:val="32E4458C"/>
    <w:rsid w:val="32E8120D"/>
    <w:rsid w:val="32F347CF"/>
    <w:rsid w:val="32F848CB"/>
    <w:rsid w:val="32FA4F54"/>
    <w:rsid w:val="32FD11AA"/>
    <w:rsid w:val="33007B2E"/>
    <w:rsid w:val="330306C4"/>
    <w:rsid w:val="330B1B18"/>
    <w:rsid w:val="331F10B7"/>
    <w:rsid w:val="331F746E"/>
    <w:rsid w:val="333368B2"/>
    <w:rsid w:val="33372EAB"/>
    <w:rsid w:val="3341378C"/>
    <w:rsid w:val="334868C9"/>
    <w:rsid w:val="334C66DF"/>
    <w:rsid w:val="335C4122"/>
    <w:rsid w:val="335D1989"/>
    <w:rsid w:val="33786E01"/>
    <w:rsid w:val="337A0A4C"/>
    <w:rsid w:val="337A388B"/>
    <w:rsid w:val="33911204"/>
    <w:rsid w:val="33AF3D68"/>
    <w:rsid w:val="33AF6666"/>
    <w:rsid w:val="33BE6F4E"/>
    <w:rsid w:val="33C63C91"/>
    <w:rsid w:val="33CB572B"/>
    <w:rsid w:val="33CE657B"/>
    <w:rsid w:val="33EA3E24"/>
    <w:rsid w:val="33EC7B9C"/>
    <w:rsid w:val="33F627C9"/>
    <w:rsid w:val="33FB0977"/>
    <w:rsid w:val="34034EE6"/>
    <w:rsid w:val="340824FC"/>
    <w:rsid w:val="340842AA"/>
    <w:rsid w:val="34160775"/>
    <w:rsid w:val="341847E7"/>
    <w:rsid w:val="34192013"/>
    <w:rsid w:val="341C53BA"/>
    <w:rsid w:val="34237336"/>
    <w:rsid w:val="342C131A"/>
    <w:rsid w:val="34312EC5"/>
    <w:rsid w:val="344A041F"/>
    <w:rsid w:val="34560A62"/>
    <w:rsid w:val="34565015"/>
    <w:rsid w:val="34661EED"/>
    <w:rsid w:val="347831DE"/>
    <w:rsid w:val="347C39A8"/>
    <w:rsid w:val="34825E0A"/>
    <w:rsid w:val="34847DD4"/>
    <w:rsid w:val="34853B4C"/>
    <w:rsid w:val="34A35D81"/>
    <w:rsid w:val="34AE30A3"/>
    <w:rsid w:val="34B34723"/>
    <w:rsid w:val="34C92940"/>
    <w:rsid w:val="34E36401"/>
    <w:rsid w:val="34E41339"/>
    <w:rsid w:val="34EB6364"/>
    <w:rsid w:val="34F565DC"/>
    <w:rsid w:val="35044A71"/>
    <w:rsid w:val="350A44D8"/>
    <w:rsid w:val="35132F06"/>
    <w:rsid w:val="351C2F84"/>
    <w:rsid w:val="35246B7C"/>
    <w:rsid w:val="35321AF4"/>
    <w:rsid w:val="35373099"/>
    <w:rsid w:val="3538296D"/>
    <w:rsid w:val="35474341"/>
    <w:rsid w:val="354E440C"/>
    <w:rsid w:val="355157DD"/>
    <w:rsid w:val="355C0417"/>
    <w:rsid w:val="357C1D59"/>
    <w:rsid w:val="358A766C"/>
    <w:rsid w:val="358B2CE3"/>
    <w:rsid w:val="358C26FA"/>
    <w:rsid w:val="359232E4"/>
    <w:rsid w:val="35A95FA6"/>
    <w:rsid w:val="35BA7D9E"/>
    <w:rsid w:val="35BC7A10"/>
    <w:rsid w:val="35BE2E72"/>
    <w:rsid w:val="35C228C2"/>
    <w:rsid w:val="35C32BDC"/>
    <w:rsid w:val="35CD1307"/>
    <w:rsid w:val="35D5640E"/>
    <w:rsid w:val="35F66AB0"/>
    <w:rsid w:val="35FA6C29"/>
    <w:rsid w:val="35FB7088"/>
    <w:rsid w:val="36132D44"/>
    <w:rsid w:val="363F7DC0"/>
    <w:rsid w:val="364610BA"/>
    <w:rsid w:val="36724494"/>
    <w:rsid w:val="3679649B"/>
    <w:rsid w:val="367D0F7F"/>
    <w:rsid w:val="36826C31"/>
    <w:rsid w:val="36874501"/>
    <w:rsid w:val="368C11C2"/>
    <w:rsid w:val="368F0CBF"/>
    <w:rsid w:val="368F22D7"/>
    <w:rsid w:val="36903D75"/>
    <w:rsid w:val="36916FED"/>
    <w:rsid w:val="369E0892"/>
    <w:rsid w:val="36A4475E"/>
    <w:rsid w:val="36A469C4"/>
    <w:rsid w:val="36A521D9"/>
    <w:rsid w:val="36C26992"/>
    <w:rsid w:val="36D53534"/>
    <w:rsid w:val="36E6671B"/>
    <w:rsid w:val="36EE59D9"/>
    <w:rsid w:val="36F02599"/>
    <w:rsid w:val="36F55EAA"/>
    <w:rsid w:val="370F0532"/>
    <w:rsid w:val="371F2036"/>
    <w:rsid w:val="372B09DB"/>
    <w:rsid w:val="372B3383"/>
    <w:rsid w:val="373D25EF"/>
    <w:rsid w:val="374A6C65"/>
    <w:rsid w:val="37625508"/>
    <w:rsid w:val="376B702A"/>
    <w:rsid w:val="376E70A4"/>
    <w:rsid w:val="37763F45"/>
    <w:rsid w:val="3784095E"/>
    <w:rsid w:val="37895E9F"/>
    <w:rsid w:val="3790195F"/>
    <w:rsid w:val="3791691B"/>
    <w:rsid w:val="37E2728D"/>
    <w:rsid w:val="37E40B8A"/>
    <w:rsid w:val="37EA2644"/>
    <w:rsid w:val="37EB1F18"/>
    <w:rsid w:val="38044D88"/>
    <w:rsid w:val="3806031D"/>
    <w:rsid w:val="381E554F"/>
    <w:rsid w:val="382C513A"/>
    <w:rsid w:val="382E36E1"/>
    <w:rsid w:val="38393E83"/>
    <w:rsid w:val="38417D8A"/>
    <w:rsid w:val="3842422E"/>
    <w:rsid w:val="384F06F9"/>
    <w:rsid w:val="38526F7A"/>
    <w:rsid w:val="385B0E4C"/>
    <w:rsid w:val="387A2F34"/>
    <w:rsid w:val="387C555A"/>
    <w:rsid w:val="387E2D8D"/>
    <w:rsid w:val="388365F5"/>
    <w:rsid w:val="389C521D"/>
    <w:rsid w:val="38A93F0E"/>
    <w:rsid w:val="38B67A98"/>
    <w:rsid w:val="38C70CF9"/>
    <w:rsid w:val="38C764E2"/>
    <w:rsid w:val="38E31074"/>
    <w:rsid w:val="38E3730A"/>
    <w:rsid w:val="38E52970"/>
    <w:rsid w:val="38EA21D0"/>
    <w:rsid w:val="38F372D7"/>
    <w:rsid w:val="38F65019"/>
    <w:rsid w:val="38F66DC7"/>
    <w:rsid w:val="38F848ED"/>
    <w:rsid w:val="38FB43DD"/>
    <w:rsid w:val="38FF58F8"/>
    <w:rsid w:val="390239BE"/>
    <w:rsid w:val="390A65B9"/>
    <w:rsid w:val="391159AF"/>
    <w:rsid w:val="39286102"/>
    <w:rsid w:val="393618B9"/>
    <w:rsid w:val="39475874"/>
    <w:rsid w:val="394B2D10"/>
    <w:rsid w:val="39641F82"/>
    <w:rsid w:val="39684912"/>
    <w:rsid w:val="397441F3"/>
    <w:rsid w:val="3979412A"/>
    <w:rsid w:val="398919E9"/>
    <w:rsid w:val="398E55A6"/>
    <w:rsid w:val="399A4863"/>
    <w:rsid w:val="39A16C97"/>
    <w:rsid w:val="39A24859"/>
    <w:rsid w:val="39A56B84"/>
    <w:rsid w:val="39A77BB2"/>
    <w:rsid w:val="39AD5743"/>
    <w:rsid w:val="39BE5B37"/>
    <w:rsid w:val="39CD1EE3"/>
    <w:rsid w:val="39CD78A2"/>
    <w:rsid w:val="39D1471A"/>
    <w:rsid w:val="39ED6FFB"/>
    <w:rsid w:val="39F80F3D"/>
    <w:rsid w:val="39FC21BB"/>
    <w:rsid w:val="3A053765"/>
    <w:rsid w:val="3A1F19CA"/>
    <w:rsid w:val="3A2B484E"/>
    <w:rsid w:val="3A445910"/>
    <w:rsid w:val="3A455B54"/>
    <w:rsid w:val="3A4B3142"/>
    <w:rsid w:val="3A81200E"/>
    <w:rsid w:val="3A8256A6"/>
    <w:rsid w:val="3A846FC3"/>
    <w:rsid w:val="3A850402"/>
    <w:rsid w:val="3A8521B0"/>
    <w:rsid w:val="3A9C399E"/>
    <w:rsid w:val="3AA52E29"/>
    <w:rsid w:val="3AA91B3C"/>
    <w:rsid w:val="3AB13D20"/>
    <w:rsid w:val="3ABB7AA2"/>
    <w:rsid w:val="3AD1189A"/>
    <w:rsid w:val="3AD62A0C"/>
    <w:rsid w:val="3AD9074E"/>
    <w:rsid w:val="3AFD68A7"/>
    <w:rsid w:val="3B1654FE"/>
    <w:rsid w:val="3B1F45BC"/>
    <w:rsid w:val="3B2016DE"/>
    <w:rsid w:val="3B255741"/>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D80550"/>
    <w:rsid w:val="3BDD1B6F"/>
    <w:rsid w:val="3BE56E1B"/>
    <w:rsid w:val="3BED2DB3"/>
    <w:rsid w:val="3C0454A1"/>
    <w:rsid w:val="3C1403C6"/>
    <w:rsid w:val="3C1A2DCC"/>
    <w:rsid w:val="3C215F09"/>
    <w:rsid w:val="3C436B55"/>
    <w:rsid w:val="3C595E61"/>
    <w:rsid w:val="3C5A5699"/>
    <w:rsid w:val="3C622D83"/>
    <w:rsid w:val="3C6947A2"/>
    <w:rsid w:val="3C722AD6"/>
    <w:rsid w:val="3C7324DC"/>
    <w:rsid w:val="3C885F88"/>
    <w:rsid w:val="3CAA7145"/>
    <w:rsid w:val="3CB74ABF"/>
    <w:rsid w:val="3CC0618E"/>
    <w:rsid w:val="3CC1149A"/>
    <w:rsid w:val="3CC35212"/>
    <w:rsid w:val="3CC828E4"/>
    <w:rsid w:val="3CD14C56"/>
    <w:rsid w:val="3CD16A44"/>
    <w:rsid w:val="3CD25455"/>
    <w:rsid w:val="3CD65AAE"/>
    <w:rsid w:val="3CD87391"/>
    <w:rsid w:val="3CE73A29"/>
    <w:rsid w:val="3CF81438"/>
    <w:rsid w:val="3D1D70A7"/>
    <w:rsid w:val="3D211F38"/>
    <w:rsid w:val="3D2263DC"/>
    <w:rsid w:val="3D2C1009"/>
    <w:rsid w:val="3D385C00"/>
    <w:rsid w:val="3D4356F0"/>
    <w:rsid w:val="3D481C94"/>
    <w:rsid w:val="3D4A148F"/>
    <w:rsid w:val="3D4E5423"/>
    <w:rsid w:val="3D502922"/>
    <w:rsid w:val="3D5567B2"/>
    <w:rsid w:val="3D5A545D"/>
    <w:rsid w:val="3D605157"/>
    <w:rsid w:val="3D6407A3"/>
    <w:rsid w:val="3DA62EC6"/>
    <w:rsid w:val="3DAA0180"/>
    <w:rsid w:val="3DE60DD6"/>
    <w:rsid w:val="3DEA0B3C"/>
    <w:rsid w:val="3E004349"/>
    <w:rsid w:val="3E0F7B1D"/>
    <w:rsid w:val="3E234AB8"/>
    <w:rsid w:val="3E2F6F09"/>
    <w:rsid w:val="3E32264F"/>
    <w:rsid w:val="3E4009FD"/>
    <w:rsid w:val="3E444130"/>
    <w:rsid w:val="3E524A87"/>
    <w:rsid w:val="3E5C1BAD"/>
    <w:rsid w:val="3E6D3CFD"/>
    <w:rsid w:val="3E9230EE"/>
    <w:rsid w:val="3E9B58E4"/>
    <w:rsid w:val="3E9E4378"/>
    <w:rsid w:val="3E9F6F17"/>
    <w:rsid w:val="3EA173B6"/>
    <w:rsid w:val="3EA37CD2"/>
    <w:rsid w:val="3EC00F56"/>
    <w:rsid w:val="3ED570D4"/>
    <w:rsid w:val="3EDB4A95"/>
    <w:rsid w:val="3EDF3E59"/>
    <w:rsid w:val="3EE06168"/>
    <w:rsid w:val="3EE85404"/>
    <w:rsid w:val="3EF07B5F"/>
    <w:rsid w:val="3F141725"/>
    <w:rsid w:val="3F1B1335"/>
    <w:rsid w:val="3F200257"/>
    <w:rsid w:val="3F286DBF"/>
    <w:rsid w:val="3F3E3276"/>
    <w:rsid w:val="3F461678"/>
    <w:rsid w:val="3F487C50"/>
    <w:rsid w:val="3F5C4CEB"/>
    <w:rsid w:val="3F7140F5"/>
    <w:rsid w:val="3F7E4562"/>
    <w:rsid w:val="3F892743"/>
    <w:rsid w:val="3F8D1475"/>
    <w:rsid w:val="3F975C22"/>
    <w:rsid w:val="3FA034D3"/>
    <w:rsid w:val="3FA70E1B"/>
    <w:rsid w:val="3FB5178A"/>
    <w:rsid w:val="3FBD063E"/>
    <w:rsid w:val="3FC574F3"/>
    <w:rsid w:val="3FC64109"/>
    <w:rsid w:val="3FC90D91"/>
    <w:rsid w:val="3FCC47F7"/>
    <w:rsid w:val="3FCC77A7"/>
    <w:rsid w:val="3FD65247"/>
    <w:rsid w:val="3FD81621"/>
    <w:rsid w:val="3FDB385A"/>
    <w:rsid w:val="3FDF1BB6"/>
    <w:rsid w:val="3FDF6807"/>
    <w:rsid w:val="3FE23C01"/>
    <w:rsid w:val="3FE3145D"/>
    <w:rsid w:val="3FE71217"/>
    <w:rsid w:val="3FF102E8"/>
    <w:rsid w:val="3FFF4431"/>
    <w:rsid w:val="40061FE5"/>
    <w:rsid w:val="400E0CEC"/>
    <w:rsid w:val="401979A4"/>
    <w:rsid w:val="4022565B"/>
    <w:rsid w:val="402266F3"/>
    <w:rsid w:val="402967D6"/>
    <w:rsid w:val="403629A3"/>
    <w:rsid w:val="403B122D"/>
    <w:rsid w:val="404B007A"/>
    <w:rsid w:val="405A7C3B"/>
    <w:rsid w:val="405B7334"/>
    <w:rsid w:val="405C70C5"/>
    <w:rsid w:val="40624D42"/>
    <w:rsid w:val="406B3BF6"/>
    <w:rsid w:val="40822062"/>
    <w:rsid w:val="40B65678"/>
    <w:rsid w:val="40BE01CA"/>
    <w:rsid w:val="40C31C84"/>
    <w:rsid w:val="40CD2BBC"/>
    <w:rsid w:val="40CE74E8"/>
    <w:rsid w:val="40D05B99"/>
    <w:rsid w:val="40D55514"/>
    <w:rsid w:val="40D7128C"/>
    <w:rsid w:val="40DE086C"/>
    <w:rsid w:val="40FE0F0E"/>
    <w:rsid w:val="410D4CAE"/>
    <w:rsid w:val="41210759"/>
    <w:rsid w:val="41390199"/>
    <w:rsid w:val="41561B7B"/>
    <w:rsid w:val="415D5C35"/>
    <w:rsid w:val="415F2382"/>
    <w:rsid w:val="41601281"/>
    <w:rsid w:val="41644CA3"/>
    <w:rsid w:val="416B7C26"/>
    <w:rsid w:val="417C604D"/>
    <w:rsid w:val="417E7959"/>
    <w:rsid w:val="418238EE"/>
    <w:rsid w:val="41B31CF9"/>
    <w:rsid w:val="41BE1E20"/>
    <w:rsid w:val="41C47F76"/>
    <w:rsid w:val="41D63FBD"/>
    <w:rsid w:val="41DF75B5"/>
    <w:rsid w:val="41F8595E"/>
    <w:rsid w:val="41F8770C"/>
    <w:rsid w:val="42091919"/>
    <w:rsid w:val="421568CA"/>
    <w:rsid w:val="42162288"/>
    <w:rsid w:val="422229DB"/>
    <w:rsid w:val="422F2C0A"/>
    <w:rsid w:val="426254CD"/>
    <w:rsid w:val="427C658F"/>
    <w:rsid w:val="42937956"/>
    <w:rsid w:val="429477FF"/>
    <w:rsid w:val="42980EEF"/>
    <w:rsid w:val="42997BDD"/>
    <w:rsid w:val="42AC4D28"/>
    <w:rsid w:val="42B60CBA"/>
    <w:rsid w:val="42BA4570"/>
    <w:rsid w:val="42C43A92"/>
    <w:rsid w:val="42D94C11"/>
    <w:rsid w:val="42DB62DB"/>
    <w:rsid w:val="42DE612D"/>
    <w:rsid w:val="42F40D87"/>
    <w:rsid w:val="431052A5"/>
    <w:rsid w:val="43157031"/>
    <w:rsid w:val="431F6F1A"/>
    <w:rsid w:val="43204D6E"/>
    <w:rsid w:val="432E4410"/>
    <w:rsid w:val="432F3754"/>
    <w:rsid w:val="433760D0"/>
    <w:rsid w:val="433E0C67"/>
    <w:rsid w:val="434171A0"/>
    <w:rsid w:val="434F476D"/>
    <w:rsid w:val="43530C9D"/>
    <w:rsid w:val="4359067E"/>
    <w:rsid w:val="43661D30"/>
    <w:rsid w:val="436C09A1"/>
    <w:rsid w:val="436E0D52"/>
    <w:rsid w:val="436F047F"/>
    <w:rsid w:val="436F39FE"/>
    <w:rsid w:val="436F7EA2"/>
    <w:rsid w:val="43863FBF"/>
    <w:rsid w:val="438751EB"/>
    <w:rsid w:val="438F11EC"/>
    <w:rsid w:val="43BA63BC"/>
    <w:rsid w:val="43D862A1"/>
    <w:rsid w:val="43E56FFE"/>
    <w:rsid w:val="43F95ABC"/>
    <w:rsid w:val="44071DF4"/>
    <w:rsid w:val="44094377"/>
    <w:rsid w:val="44120A94"/>
    <w:rsid w:val="441822E7"/>
    <w:rsid w:val="441E71D2"/>
    <w:rsid w:val="442347E8"/>
    <w:rsid w:val="44384517"/>
    <w:rsid w:val="445114EF"/>
    <w:rsid w:val="445B2639"/>
    <w:rsid w:val="44676DCB"/>
    <w:rsid w:val="44803B8C"/>
    <w:rsid w:val="44894274"/>
    <w:rsid w:val="448C05DF"/>
    <w:rsid w:val="44A53DC8"/>
    <w:rsid w:val="44BD6AC2"/>
    <w:rsid w:val="44BF320C"/>
    <w:rsid w:val="44C475B0"/>
    <w:rsid w:val="44C77869"/>
    <w:rsid w:val="44D51F86"/>
    <w:rsid w:val="44E70410"/>
    <w:rsid w:val="44F010A7"/>
    <w:rsid w:val="44FA2AC6"/>
    <w:rsid w:val="450A6DA6"/>
    <w:rsid w:val="450E5B4A"/>
    <w:rsid w:val="451E1B7F"/>
    <w:rsid w:val="451F76A5"/>
    <w:rsid w:val="452B604A"/>
    <w:rsid w:val="45363083"/>
    <w:rsid w:val="453C0257"/>
    <w:rsid w:val="45406B12"/>
    <w:rsid w:val="455730F1"/>
    <w:rsid w:val="455A06DD"/>
    <w:rsid w:val="455C6204"/>
    <w:rsid w:val="45790EBA"/>
    <w:rsid w:val="458662BF"/>
    <w:rsid w:val="458F482B"/>
    <w:rsid w:val="45B10696"/>
    <w:rsid w:val="45BC36A1"/>
    <w:rsid w:val="45C02C36"/>
    <w:rsid w:val="45D43FEC"/>
    <w:rsid w:val="45DA2E00"/>
    <w:rsid w:val="45EF1111"/>
    <w:rsid w:val="45F51402"/>
    <w:rsid w:val="460C7409"/>
    <w:rsid w:val="460D74FE"/>
    <w:rsid w:val="461E376F"/>
    <w:rsid w:val="461F5657"/>
    <w:rsid w:val="46366582"/>
    <w:rsid w:val="463F1478"/>
    <w:rsid w:val="464A2500"/>
    <w:rsid w:val="464C0026"/>
    <w:rsid w:val="465D4CB9"/>
    <w:rsid w:val="46B207DF"/>
    <w:rsid w:val="46B53E1D"/>
    <w:rsid w:val="46B86825"/>
    <w:rsid w:val="46CA191C"/>
    <w:rsid w:val="46EA07B2"/>
    <w:rsid w:val="46F506BE"/>
    <w:rsid w:val="46F82CC1"/>
    <w:rsid w:val="46FA3FBB"/>
    <w:rsid w:val="4703337B"/>
    <w:rsid w:val="470471FE"/>
    <w:rsid w:val="47150D60"/>
    <w:rsid w:val="471E65B1"/>
    <w:rsid w:val="471F1784"/>
    <w:rsid w:val="47242D51"/>
    <w:rsid w:val="473311E6"/>
    <w:rsid w:val="47347438"/>
    <w:rsid w:val="473F7B8B"/>
    <w:rsid w:val="474074AC"/>
    <w:rsid w:val="475A2341"/>
    <w:rsid w:val="4760647F"/>
    <w:rsid w:val="476B4E24"/>
    <w:rsid w:val="478B2DD0"/>
    <w:rsid w:val="478D0F2A"/>
    <w:rsid w:val="479F2308"/>
    <w:rsid w:val="47A72EC9"/>
    <w:rsid w:val="47B2035D"/>
    <w:rsid w:val="47B6609F"/>
    <w:rsid w:val="47B71E17"/>
    <w:rsid w:val="47C34C6C"/>
    <w:rsid w:val="47CA7D9C"/>
    <w:rsid w:val="47CC40D8"/>
    <w:rsid w:val="47CD2511"/>
    <w:rsid w:val="47CF53B3"/>
    <w:rsid w:val="47D26C51"/>
    <w:rsid w:val="47E15213"/>
    <w:rsid w:val="48082673"/>
    <w:rsid w:val="480E3260"/>
    <w:rsid w:val="482B2E93"/>
    <w:rsid w:val="48401E0D"/>
    <w:rsid w:val="48480CC1"/>
    <w:rsid w:val="484D0086"/>
    <w:rsid w:val="48597B07"/>
    <w:rsid w:val="48691B36"/>
    <w:rsid w:val="48741AB6"/>
    <w:rsid w:val="487B1097"/>
    <w:rsid w:val="48877A3B"/>
    <w:rsid w:val="488B4C1A"/>
    <w:rsid w:val="488C0CE1"/>
    <w:rsid w:val="488F68F0"/>
    <w:rsid w:val="489C2DB7"/>
    <w:rsid w:val="489E1D09"/>
    <w:rsid w:val="48A028AB"/>
    <w:rsid w:val="48BD520B"/>
    <w:rsid w:val="48BF71D5"/>
    <w:rsid w:val="48C1039E"/>
    <w:rsid w:val="48E23A51"/>
    <w:rsid w:val="48EB1D78"/>
    <w:rsid w:val="48FC3F85"/>
    <w:rsid w:val="490023BE"/>
    <w:rsid w:val="49024B59"/>
    <w:rsid w:val="490270C2"/>
    <w:rsid w:val="491D3EFC"/>
    <w:rsid w:val="491F1A22"/>
    <w:rsid w:val="493666B5"/>
    <w:rsid w:val="494877A6"/>
    <w:rsid w:val="49560ABE"/>
    <w:rsid w:val="495C0DBE"/>
    <w:rsid w:val="49641B2B"/>
    <w:rsid w:val="49663358"/>
    <w:rsid w:val="49724393"/>
    <w:rsid w:val="497C0C22"/>
    <w:rsid w:val="497F6965"/>
    <w:rsid w:val="498A333C"/>
    <w:rsid w:val="49975BE8"/>
    <w:rsid w:val="49A10689"/>
    <w:rsid w:val="49C425C9"/>
    <w:rsid w:val="49D24CE6"/>
    <w:rsid w:val="49DF5043"/>
    <w:rsid w:val="49EF3581"/>
    <w:rsid w:val="49F66C27"/>
    <w:rsid w:val="49F70BF1"/>
    <w:rsid w:val="49F97714"/>
    <w:rsid w:val="49FA5FEB"/>
    <w:rsid w:val="4A0774FB"/>
    <w:rsid w:val="4A1C69A8"/>
    <w:rsid w:val="4A282B58"/>
    <w:rsid w:val="4A2C2648"/>
    <w:rsid w:val="4A372D9B"/>
    <w:rsid w:val="4A38723F"/>
    <w:rsid w:val="4A451346"/>
    <w:rsid w:val="4A5676C5"/>
    <w:rsid w:val="4A5A4C2D"/>
    <w:rsid w:val="4A791606"/>
    <w:rsid w:val="4AA541A9"/>
    <w:rsid w:val="4AB94E26"/>
    <w:rsid w:val="4AC24D5B"/>
    <w:rsid w:val="4AD3077D"/>
    <w:rsid w:val="4B0A0ABA"/>
    <w:rsid w:val="4B0E61F2"/>
    <w:rsid w:val="4B173822"/>
    <w:rsid w:val="4B1F5D09"/>
    <w:rsid w:val="4B21248D"/>
    <w:rsid w:val="4B27582B"/>
    <w:rsid w:val="4B292D44"/>
    <w:rsid w:val="4B2B3A38"/>
    <w:rsid w:val="4B313C8F"/>
    <w:rsid w:val="4B3814C1"/>
    <w:rsid w:val="4B4439C2"/>
    <w:rsid w:val="4B5856BF"/>
    <w:rsid w:val="4B5952D1"/>
    <w:rsid w:val="4B5F75CB"/>
    <w:rsid w:val="4B6D633F"/>
    <w:rsid w:val="4B766DDB"/>
    <w:rsid w:val="4B797CFE"/>
    <w:rsid w:val="4B840262"/>
    <w:rsid w:val="4B96714B"/>
    <w:rsid w:val="4BA95F1B"/>
    <w:rsid w:val="4BB16CD5"/>
    <w:rsid w:val="4BB250A2"/>
    <w:rsid w:val="4BB5666E"/>
    <w:rsid w:val="4BB708DA"/>
    <w:rsid w:val="4BB723FD"/>
    <w:rsid w:val="4BDE5BC4"/>
    <w:rsid w:val="4BEE2F77"/>
    <w:rsid w:val="4BF776DC"/>
    <w:rsid w:val="4BFD14B6"/>
    <w:rsid w:val="4C0F1BEA"/>
    <w:rsid w:val="4C2368AC"/>
    <w:rsid w:val="4C2C7B3F"/>
    <w:rsid w:val="4C3103EA"/>
    <w:rsid w:val="4C3C28EB"/>
    <w:rsid w:val="4C5E6D05"/>
    <w:rsid w:val="4C7F2E42"/>
    <w:rsid w:val="4C87625C"/>
    <w:rsid w:val="4C940979"/>
    <w:rsid w:val="4C9D62FF"/>
    <w:rsid w:val="4CA43D84"/>
    <w:rsid w:val="4CA56323"/>
    <w:rsid w:val="4CB83257"/>
    <w:rsid w:val="4CDB2104"/>
    <w:rsid w:val="4CF66F3E"/>
    <w:rsid w:val="4CFB4554"/>
    <w:rsid w:val="4D0478AD"/>
    <w:rsid w:val="4D0A4797"/>
    <w:rsid w:val="4D187642"/>
    <w:rsid w:val="4D2553D4"/>
    <w:rsid w:val="4D2F41FE"/>
    <w:rsid w:val="4D50262D"/>
    <w:rsid w:val="4D537EEC"/>
    <w:rsid w:val="4D553C64"/>
    <w:rsid w:val="4D56422A"/>
    <w:rsid w:val="4D5D6FBD"/>
    <w:rsid w:val="4D5E4D14"/>
    <w:rsid w:val="4D6F3B43"/>
    <w:rsid w:val="4D712FDA"/>
    <w:rsid w:val="4D746E8E"/>
    <w:rsid w:val="4D800456"/>
    <w:rsid w:val="4D862070"/>
    <w:rsid w:val="4D92310A"/>
    <w:rsid w:val="4D9A6A17"/>
    <w:rsid w:val="4D9D385D"/>
    <w:rsid w:val="4DC4703C"/>
    <w:rsid w:val="4DCD7C9F"/>
    <w:rsid w:val="4DE17BEE"/>
    <w:rsid w:val="4DE84AD8"/>
    <w:rsid w:val="4DE90850"/>
    <w:rsid w:val="4E091180"/>
    <w:rsid w:val="4E1A6C5C"/>
    <w:rsid w:val="4E1C0C26"/>
    <w:rsid w:val="4E1E6324"/>
    <w:rsid w:val="4E291587"/>
    <w:rsid w:val="4E2D45B1"/>
    <w:rsid w:val="4E2D4BE1"/>
    <w:rsid w:val="4E450FE2"/>
    <w:rsid w:val="4E4F4B57"/>
    <w:rsid w:val="4E5C1A72"/>
    <w:rsid w:val="4E615284"/>
    <w:rsid w:val="4E704ACE"/>
    <w:rsid w:val="4E7421FE"/>
    <w:rsid w:val="4E7E368F"/>
    <w:rsid w:val="4E957E81"/>
    <w:rsid w:val="4EA64556"/>
    <w:rsid w:val="4EAD29E4"/>
    <w:rsid w:val="4EC310A1"/>
    <w:rsid w:val="4ED1637D"/>
    <w:rsid w:val="4F043B94"/>
    <w:rsid w:val="4F0E67C1"/>
    <w:rsid w:val="4F1813ED"/>
    <w:rsid w:val="4F1B205A"/>
    <w:rsid w:val="4F22226C"/>
    <w:rsid w:val="4F2A7373"/>
    <w:rsid w:val="4F2E5442"/>
    <w:rsid w:val="4F2F1144"/>
    <w:rsid w:val="4F30313F"/>
    <w:rsid w:val="4F3E7013"/>
    <w:rsid w:val="4F52580A"/>
    <w:rsid w:val="4F5D2FAF"/>
    <w:rsid w:val="4F686A2C"/>
    <w:rsid w:val="4F691C49"/>
    <w:rsid w:val="4F6A776F"/>
    <w:rsid w:val="4F702FD7"/>
    <w:rsid w:val="4F707F08"/>
    <w:rsid w:val="4F9273F2"/>
    <w:rsid w:val="4FAB400F"/>
    <w:rsid w:val="4FBA0B14"/>
    <w:rsid w:val="4FC21359"/>
    <w:rsid w:val="4FCD7190"/>
    <w:rsid w:val="4FD277EE"/>
    <w:rsid w:val="4FDA7D75"/>
    <w:rsid w:val="4FE439C5"/>
    <w:rsid w:val="4FF57980"/>
    <w:rsid w:val="500B71A4"/>
    <w:rsid w:val="501E6ED7"/>
    <w:rsid w:val="501F49FD"/>
    <w:rsid w:val="5035087B"/>
    <w:rsid w:val="503F6BF8"/>
    <w:rsid w:val="5052092F"/>
    <w:rsid w:val="50762D6A"/>
    <w:rsid w:val="507765E7"/>
    <w:rsid w:val="507C775A"/>
    <w:rsid w:val="50816CB4"/>
    <w:rsid w:val="508D5E0B"/>
    <w:rsid w:val="508F1B83"/>
    <w:rsid w:val="50942CF5"/>
    <w:rsid w:val="50954B90"/>
    <w:rsid w:val="50B25281"/>
    <w:rsid w:val="50B33BB9"/>
    <w:rsid w:val="50C23D07"/>
    <w:rsid w:val="50D6330E"/>
    <w:rsid w:val="50D74B77"/>
    <w:rsid w:val="50DB373D"/>
    <w:rsid w:val="50E579F5"/>
    <w:rsid w:val="50E87836"/>
    <w:rsid w:val="50EA500B"/>
    <w:rsid w:val="50F57C05"/>
    <w:rsid w:val="50F83282"/>
    <w:rsid w:val="50FB4B23"/>
    <w:rsid w:val="50FE10CD"/>
    <w:rsid w:val="50FF7D4E"/>
    <w:rsid w:val="51173459"/>
    <w:rsid w:val="5119144D"/>
    <w:rsid w:val="512322CB"/>
    <w:rsid w:val="51265C7E"/>
    <w:rsid w:val="512B2ED3"/>
    <w:rsid w:val="513D7B66"/>
    <w:rsid w:val="514814EC"/>
    <w:rsid w:val="5153670D"/>
    <w:rsid w:val="5157474A"/>
    <w:rsid w:val="51586419"/>
    <w:rsid w:val="515F1555"/>
    <w:rsid w:val="516235CF"/>
    <w:rsid w:val="51644DBE"/>
    <w:rsid w:val="517D5E7F"/>
    <w:rsid w:val="51A72EFC"/>
    <w:rsid w:val="51A83B47"/>
    <w:rsid w:val="51AC22C1"/>
    <w:rsid w:val="51B17E6B"/>
    <w:rsid w:val="51C70EA9"/>
    <w:rsid w:val="51CB2747"/>
    <w:rsid w:val="51CD131C"/>
    <w:rsid w:val="51D6014D"/>
    <w:rsid w:val="51DB032E"/>
    <w:rsid w:val="51EB4B97"/>
    <w:rsid w:val="51EE6435"/>
    <w:rsid w:val="51EF091F"/>
    <w:rsid w:val="5201260D"/>
    <w:rsid w:val="52072F1E"/>
    <w:rsid w:val="5217644D"/>
    <w:rsid w:val="522D1654"/>
    <w:rsid w:val="52302970"/>
    <w:rsid w:val="52373528"/>
    <w:rsid w:val="523C1C8B"/>
    <w:rsid w:val="523C5EA4"/>
    <w:rsid w:val="523F4EE3"/>
    <w:rsid w:val="524620FA"/>
    <w:rsid w:val="524B1ADA"/>
    <w:rsid w:val="5274360D"/>
    <w:rsid w:val="52756B57"/>
    <w:rsid w:val="52972F71"/>
    <w:rsid w:val="52A3052D"/>
    <w:rsid w:val="52B24B47"/>
    <w:rsid w:val="52BF7DD2"/>
    <w:rsid w:val="52D7511B"/>
    <w:rsid w:val="52DA5E34"/>
    <w:rsid w:val="52E57838"/>
    <w:rsid w:val="52EB2107"/>
    <w:rsid w:val="530A3743"/>
    <w:rsid w:val="53285977"/>
    <w:rsid w:val="53395DD6"/>
    <w:rsid w:val="53422EDD"/>
    <w:rsid w:val="5347038D"/>
    <w:rsid w:val="534A6CD4"/>
    <w:rsid w:val="534E7AD3"/>
    <w:rsid w:val="538B4884"/>
    <w:rsid w:val="539D45B7"/>
    <w:rsid w:val="53A63921"/>
    <w:rsid w:val="53AC47FA"/>
    <w:rsid w:val="53C625EC"/>
    <w:rsid w:val="53CC5791"/>
    <w:rsid w:val="53CF39F7"/>
    <w:rsid w:val="53D95D45"/>
    <w:rsid w:val="53DA1367"/>
    <w:rsid w:val="53EB53BD"/>
    <w:rsid w:val="53F8359B"/>
    <w:rsid w:val="5429409D"/>
    <w:rsid w:val="54505185"/>
    <w:rsid w:val="545671EC"/>
    <w:rsid w:val="54611097"/>
    <w:rsid w:val="547A6DAD"/>
    <w:rsid w:val="5487370E"/>
    <w:rsid w:val="54976F8D"/>
    <w:rsid w:val="54C4758E"/>
    <w:rsid w:val="54CD0728"/>
    <w:rsid w:val="54CD4A28"/>
    <w:rsid w:val="54D15F1A"/>
    <w:rsid w:val="54D264E2"/>
    <w:rsid w:val="54D65699"/>
    <w:rsid w:val="54E01D6C"/>
    <w:rsid w:val="54E47B17"/>
    <w:rsid w:val="54E9481D"/>
    <w:rsid w:val="54EE2F1E"/>
    <w:rsid w:val="54F226E1"/>
    <w:rsid w:val="54FC530D"/>
    <w:rsid w:val="55094443"/>
    <w:rsid w:val="55222FC6"/>
    <w:rsid w:val="554127C0"/>
    <w:rsid w:val="554675C1"/>
    <w:rsid w:val="55560EC1"/>
    <w:rsid w:val="5579695E"/>
    <w:rsid w:val="557D19A9"/>
    <w:rsid w:val="55AB2097"/>
    <w:rsid w:val="55B87486"/>
    <w:rsid w:val="55C470D8"/>
    <w:rsid w:val="55CE6CAA"/>
    <w:rsid w:val="55DF5DA8"/>
    <w:rsid w:val="55EF136D"/>
    <w:rsid w:val="55F55C55"/>
    <w:rsid w:val="55F623B5"/>
    <w:rsid w:val="56001C9A"/>
    <w:rsid w:val="560069AF"/>
    <w:rsid w:val="56156687"/>
    <w:rsid w:val="56177EC9"/>
    <w:rsid w:val="561D378D"/>
    <w:rsid w:val="561D553B"/>
    <w:rsid w:val="5635492A"/>
    <w:rsid w:val="566D0271"/>
    <w:rsid w:val="5684052B"/>
    <w:rsid w:val="568D0913"/>
    <w:rsid w:val="56921A85"/>
    <w:rsid w:val="569752EE"/>
    <w:rsid w:val="569976E5"/>
    <w:rsid w:val="56BD24A9"/>
    <w:rsid w:val="56E16569"/>
    <w:rsid w:val="56EB521A"/>
    <w:rsid w:val="56ED7603"/>
    <w:rsid w:val="56F25D16"/>
    <w:rsid w:val="56F72230"/>
    <w:rsid w:val="56F770C8"/>
    <w:rsid w:val="56F95FA8"/>
    <w:rsid w:val="570F0DAD"/>
    <w:rsid w:val="57136DC9"/>
    <w:rsid w:val="571C1C97"/>
    <w:rsid w:val="571E3EBF"/>
    <w:rsid w:val="57342B3C"/>
    <w:rsid w:val="57394670"/>
    <w:rsid w:val="57407733"/>
    <w:rsid w:val="57413F62"/>
    <w:rsid w:val="57443D1C"/>
    <w:rsid w:val="5745332D"/>
    <w:rsid w:val="574B4248"/>
    <w:rsid w:val="5769056B"/>
    <w:rsid w:val="576D2C29"/>
    <w:rsid w:val="57713D91"/>
    <w:rsid w:val="57715B3F"/>
    <w:rsid w:val="5774562F"/>
    <w:rsid w:val="577949F3"/>
    <w:rsid w:val="579730CB"/>
    <w:rsid w:val="5798124F"/>
    <w:rsid w:val="579B705F"/>
    <w:rsid w:val="57AF2B0B"/>
    <w:rsid w:val="57CD43E4"/>
    <w:rsid w:val="57F246BE"/>
    <w:rsid w:val="57F624E8"/>
    <w:rsid w:val="57F648EB"/>
    <w:rsid w:val="57F87988"/>
    <w:rsid w:val="58044C05"/>
    <w:rsid w:val="58076EED"/>
    <w:rsid w:val="5809221B"/>
    <w:rsid w:val="5814296E"/>
    <w:rsid w:val="582B03E3"/>
    <w:rsid w:val="5856515A"/>
    <w:rsid w:val="585F0D52"/>
    <w:rsid w:val="586525C2"/>
    <w:rsid w:val="586557AC"/>
    <w:rsid w:val="5867455C"/>
    <w:rsid w:val="586C27AA"/>
    <w:rsid w:val="587A5C94"/>
    <w:rsid w:val="58823D7B"/>
    <w:rsid w:val="588875E4"/>
    <w:rsid w:val="588B42F5"/>
    <w:rsid w:val="588D4BFA"/>
    <w:rsid w:val="58A81A34"/>
    <w:rsid w:val="58C139D3"/>
    <w:rsid w:val="58C47EF0"/>
    <w:rsid w:val="58C93758"/>
    <w:rsid w:val="58D52C93"/>
    <w:rsid w:val="58D740C7"/>
    <w:rsid w:val="58DE3013"/>
    <w:rsid w:val="58DE5456"/>
    <w:rsid w:val="590925F5"/>
    <w:rsid w:val="590C5CE8"/>
    <w:rsid w:val="59133EE4"/>
    <w:rsid w:val="591A3FB4"/>
    <w:rsid w:val="59262959"/>
    <w:rsid w:val="59306FCE"/>
    <w:rsid w:val="5939268C"/>
    <w:rsid w:val="593C217C"/>
    <w:rsid w:val="59464DA9"/>
    <w:rsid w:val="5952374E"/>
    <w:rsid w:val="595F6B3C"/>
    <w:rsid w:val="59617E35"/>
    <w:rsid w:val="596E25BB"/>
    <w:rsid w:val="59722042"/>
    <w:rsid w:val="59777658"/>
    <w:rsid w:val="59796F2C"/>
    <w:rsid w:val="597C7E8C"/>
    <w:rsid w:val="598839CF"/>
    <w:rsid w:val="59901BF4"/>
    <w:rsid w:val="59970B04"/>
    <w:rsid w:val="599E0ACF"/>
    <w:rsid w:val="59A246D5"/>
    <w:rsid w:val="59AD3D34"/>
    <w:rsid w:val="59B03888"/>
    <w:rsid w:val="59B17620"/>
    <w:rsid w:val="59B94803"/>
    <w:rsid w:val="59C45FD8"/>
    <w:rsid w:val="59C503C4"/>
    <w:rsid w:val="59F91818"/>
    <w:rsid w:val="5A0A04CC"/>
    <w:rsid w:val="5A1504F5"/>
    <w:rsid w:val="5A172243"/>
    <w:rsid w:val="5A196ED2"/>
    <w:rsid w:val="5A1A070F"/>
    <w:rsid w:val="5A3317D1"/>
    <w:rsid w:val="5A395B76"/>
    <w:rsid w:val="5A3F0176"/>
    <w:rsid w:val="5A432F55"/>
    <w:rsid w:val="5A5878B5"/>
    <w:rsid w:val="5A5F6122"/>
    <w:rsid w:val="5A604A46"/>
    <w:rsid w:val="5A9658BC"/>
    <w:rsid w:val="5A972841"/>
    <w:rsid w:val="5AA2093F"/>
    <w:rsid w:val="5AA817FD"/>
    <w:rsid w:val="5AA95EA4"/>
    <w:rsid w:val="5ABA3CA0"/>
    <w:rsid w:val="5ABA55DA"/>
    <w:rsid w:val="5AD63E09"/>
    <w:rsid w:val="5AFD6421"/>
    <w:rsid w:val="5B123195"/>
    <w:rsid w:val="5B1376AE"/>
    <w:rsid w:val="5B223606"/>
    <w:rsid w:val="5B266C40"/>
    <w:rsid w:val="5B2A61DA"/>
    <w:rsid w:val="5B4332B6"/>
    <w:rsid w:val="5B4B66A7"/>
    <w:rsid w:val="5B5E0F00"/>
    <w:rsid w:val="5B783F08"/>
    <w:rsid w:val="5B9C5154"/>
    <w:rsid w:val="5B9E7C72"/>
    <w:rsid w:val="5BA87F9D"/>
    <w:rsid w:val="5BAF4E87"/>
    <w:rsid w:val="5BCA3A6F"/>
    <w:rsid w:val="5BDE39BF"/>
    <w:rsid w:val="5BE65C1B"/>
    <w:rsid w:val="5BF07808"/>
    <w:rsid w:val="5BF50108"/>
    <w:rsid w:val="5BFD68E7"/>
    <w:rsid w:val="5BFE196B"/>
    <w:rsid w:val="5C022007"/>
    <w:rsid w:val="5C03267F"/>
    <w:rsid w:val="5C1271C4"/>
    <w:rsid w:val="5C1832FE"/>
    <w:rsid w:val="5C225659"/>
    <w:rsid w:val="5C3942BD"/>
    <w:rsid w:val="5C3B496D"/>
    <w:rsid w:val="5C5A3EA2"/>
    <w:rsid w:val="5C675762"/>
    <w:rsid w:val="5C682BEC"/>
    <w:rsid w:val="5C773E55"/>
    <w:rsid w:val="5C7834CB"/>
    <w:rsid w:val="5C8136C1"/>
    <w:rsid w:val="5C8C341B"/>
    <w:rsid w:val="5C9A1694"/>
    <w:rsid w:val="5C9D1184"/>
    <w:rsid w:val="5C9D73D6"/>
    <w:rsid w:val="5CA41938"/>
    <w:rsid w:val="5CA7123C"/>
    <w:rsid w:val="5CAE15E3"/>
    <w:rsid w:val="5CC42BB4"/>
    <w:rsid w:val="5CC826A5"/>
    <w:rsid w:val="5CC85DD9"/>
    <w:rsid w:val="5CD31049"/>
    <w:rsid w:val="5CDC7EFE"/>
    <w:rsid w:val="5CF039A9"/>
    <w:rsid w:val="5CF77950"/>
    <w:rsid w:val="5D101956"/>
    <w:rsid w:val="5D425DBD"/>
    <w:rsid w:val="5D441D14"/>
    <w:rsid w:val="5D5E4DB7"/>
    <w:rsid w:val="5D607E3D"/>
    <w:rsid w:val="5D6D00EA"/>
    <w:rsid w:val="5D91325D"/>
    <w:rsid w:val="5D951D1B"/>
    <w:rsid w:val="5D972077"/>
    <w:rsid w:val="5DAE426C"/>
    <w:rsid w:val="5DAF467E"/>
    <w:rsid w:val="5DBD7190"/>
    <w:rsid w:val="5DCD04E0"/>
    <w:rsid w:val="5DD03A54"/>
    <w:rsid w:val="5DD15BF4"/>
    <w:rsid w:val="5DD25BBB"/>
    <w:rsid w:val="5DDE3802"/>
    <w:rsid w:val="5E192411"/>
    <w:rsid w:val="5E1D1CEB"/>
    <w:rsid w:val="5E23390B"/>
    <w:rsid w:val="5E311C0C"/>
    <w:rsid w:val="5E484A2E"/>
    <w:rsid w:val="5E6A5C9B"/>
    <w:rsid w:val="5E7423B8"/>
    <w:rsid w:val="5E84084D"/>
    <w:rsid w:val="5E860D80"/>
    <w:rsid w:val="5E895C8E"/>
    <w:rsid w:val="5E9020F1"/>
    <w:rsid w:val="5E9D546B"/>
    <w:rsid w:val="5EA7453C"/>
    <w:rsid w:val="5EAC6109"/>
    <w:rsid w:val="5EC155FD"/>
    <w:rsid w:val="5ED15115"/>
    <w:rsid w:val="5ED510A9"/>
    <w:rsid w:val="5EEC01A1"/>
    <w:rsid w:val="5EF07DFC"/>
    <w:rsid w:val="5F20216B"/>
    <w:rsid w:val="5F261904"/>
    <w:rsid w:val="5F2913F5"/>
    <w:rsid w:val="5F36439B"/>
    <w:rsid w:val="5F386FE1"/>
    <w:rsid w:val="5F463D55"/>
    <w:rsid w:val="5F573883"/>
    <w:rsid w:val="5F5923D9"/>
    <w:rsid w:val="5F755A2A"/>
    <w:rsid w:val="5F814D8D"/>
    <w:rsid w:val="5F8959EF"/>
    <w:rsid w:val="5F8B1768"/>
    <w:rsid w:val="5F920D48"/>
    <w:rsid w:val="5FA36AB1"/>
    <w:rsid w:val="5FA40A7B"/>
    <w:rsid w:val="5FB07420"/>
    <w:rsid w:val="5FC04410"/>
    <w:rsid w:val="5FC652C4"/>
    <w:rsid w:val="5FC845C3"/>
    <w:rsid w:val="5FCB6F0A"/>
    <w:rsid w:val="5FDA449D"/>
    <w:rsid w:val="5FDB26EF"/>
    <w:rsid w:val="5FE62E42"/>
    <w:rsid w:val="601C6864"/>
    <w:rsid w:val="601F4747"/>
    <w:rsid w:val="602F6597"/>
    <w:rsid w:val="60392E2E"/>
    <w:rsid w:val="6052321D"/>
    <w:rsid w:val="605962B8"/>
    <w:rsid w:val="605E6E7C"/>
    <w:rsid w:val="60685D35"/>
    <w:rsid w:val="60696BC9"/>
    <w:rsid w:val="607B7A2E"/>
    <w:rsid w:val="607F790E"/>
    <w:rsid w:val="608508AD"/>
    <w:rsid w:val="608C1C3B"/>
    <w:rsid w:val="60A24FBB"/>
    <w:rsid w:val="60A42170"/>
    <w:rsid w:val="60B71BF9"/>
    <w:rsid w:val="60C5514D"/>
    <w:rsid w:val="60C95281"/>
    <w:rsid w:val="60E5134B"/>
    <w:rsid w:val="60F860B5"/>
    <w:rsid w:val="60FD45FF"/>
    <w:rsid w:val="61016185"/>
    <w:rsid w:val="6110461A"/>
    <w:rsid w:val="611A0FF5"/>
    <w:rsid w:val="611F485D"/>
    <w:rsid w:val="612B3202"/>
    <w:rsid w:val="613B0F6B"/>
    <w:rsid w:val="61475B62"/>
    <w:rsid w:val="616008F1"/>
    <w:rsid w:val="618172C6"/>
    <w:rsid w:val="61847169"/>
    <w:rsid w:val="618625DD"/>
    <w:rsid w:val="61903065"/>
    <w:rsid w:val="61932B55"/>
    <w:rsid w:val="61946F98"/>
    <w:rsid w:val="61B7149D"/>
    <w:rsid w:val="61CE16E2"/>
    <w:rsid w:val="61E0223F"/>
    <w:rsid w:val="61E34544"/>
    <w:rsid w:val="61ED7BB9"/>
    <w:rsid w:val="620852F1"/>
    <w:rsid w:val="621048C9"/>
    <w:rsid w:val="6210694A"/>
    <w:rsid w:val="621231A6"/>
    <w:rsid w:val="621641CF"/>
    <w:rsid w:val="62210161"/>
    <w:rsid w:val="623F6839"/>
    <w:rsid w:val="626F711E"/>
    <w:rsid w:val="62861F1F"/>
    <w:rsid w:val="629139EC"/>
    <w:rsid w:val="62917095"/>
    <w:rsid w:val="6292559B"/>
    <w:rsid w:val="629450F2"/>
    <w:rsid w:val="629E099C"/>
    <w:rsid w:val="62A16A87"/>
    <w:rsid w:val="62A52FE9"/>
    <w:rsid w:val="62CF7FE7"/>
    <w:rsid w:val="62D94CCA"/>
    <w:rsid w:val="62EB468F"/>
    <w:rsid w:val="63163A3E"/>
    <w:rsid w:val="631D2A8C"/>
    <w:rsid w:val="632C14B3"/>
    <w:rsid w:val="63462575"/>
    <w:rsid w:val="63493E13"/>
    <w:rsid w:val="63516E2C"/>
    <w:rsid w:val="635A06CC"/>
    <w:rsid w:val="635A1B7D"/>
    <w:rsid w:val="63666773"/>
    <w:rsid w:val="63735C0C"/>
    <w:rsid w:val="63744A2C"/>
    <w:rsid w:val="638B7F88"/>
    <w:rsid w:val="63936E3D"/>
    <w:rsid w:val="639B185C"/>
    <w:rsid w:val="63A64DC2"/>
    <w:rsid w:val="63A66B70"/>
    <w:rsid w:val="63A90E76"/>
    <w:rsid w:val="63B55005"/>
    <w:rsid w:val="63CB5CCC"/>
    <w:rsid w:val="63D175D1"/>
    <w:rsid w:val="63E77BF1"/>
    <w:rsid w:val="63E87188"/>
    <w:rsid w:val="63EB4ECB"/>
    <w:rsid w:val="63F975E8"/>
    <w:rsid w:val="63FA3360"/>
    <w:rsid w:val="63FA6EBC"/>
    <w:rsid w:val="63FC42C9"/>
    <w:rsid w:val="640A2615"/>
    <w:rsid w:val="640B731B"/>
    <w:rsid w:val="641038BF"/>
    <w:rsid w:val="641073AB"/>
    <w:rsid w:val="641745A0"/>
    <w:rsid w:val="643C1C36"/>
    <w:rsid w:val="643F0D73"/>
    <w:rsid w:val="645549D5"/>
    <w:rsid w:val="645C36D2"/>
    <w:rsid w:val="645E38EF"/>
    <w:rsid w:val="6461518D"/>
    <w:rsid w:val="64754794"/>
    <w:rsid w:val="64824B18"/>
    <w:rsid w:val="64881976"/>
    <w:rsid w:val="64942E6C"/>
    <w:rsid w:val="64A003B6"/>
    <w:rsid w:val="64AD03D2"/>
    <w:rsid w:val="64AE3CB5"/>
    <w:rsid w:val="64B27658"/>
    <w:rsid w:val="64B90B25"/>
    <w:rsid w:val="64C244AC"/>
    <w:rsid w:val="64CD637E"/>
    <w:rsid w:val="64DC03FF"/>
    <w:rsid w:val="64F125C5"/>
    <w:rsid w:val="64F425BA"/>
    <w:rsid w:val="650D6603"/>
    <w:rsid w:val="65202952"/>
    <w:rsid w:val="65210C32"/>
    <w:rsid w:val="652225D5"/>
    <w:rsid w:val="652F2B95"/>
    <w:rsid w:val="65311E05"/>
    <w:rsid w:val="65451957"/>
    <w:rsid w:val="654A79CF"/>
    <w:rsid w:val="654C29EB"/>
    <w:rsid w:val="65562818"/>
    <w:rsid w:val="65637788"/>
    <w:rsid w:val="659770B8"/>
    <w:rsid w:val="65A17F37"/>
    <w:rsid w:val="65A7398A"/>
    <w:rsid w:val="65B46366"/>
    <w:rsid w:val="65BD63F3"/>
    <w:rsid w:val="65CC4888"/>
    <w:rsid w:val="65D025CA"/>
    <w:rsid w:val="65D5373C"/>
    <w:rsid w:val="65EC0334"/>
    <w:rsid w:val="65F570CF"/>
    <w:rsid w:val="660D4F89"/>
    <w:rsid w:val="662A7F2C"/>
    <w:rsid w:val="66320B8F"/>
    <w:rsid w:val="663B553E"/>
    <w:rsid w:val="663E7534"/>
    <w:rsid w:val="663F63C8"/>
    <w:rsid w:val="665054B9"/>
    <w:rsid w:val="6662369D"/>
    <w:rsid w:val="66661757"/>
    <w:rsid w:val="66661AB5"/>
    <w:rsid w:val="666C3A5C"/>
    <w:rsid w:val="6672542F"/>
    <w:rsid w:val="66763171"/>
    <w:rsid w:val="667C005C"/>
    <w:rsid w:val="66976C44"/>
    <w:rsid w:val="669B7B39"/>
    <w:rsid w:val="66AC7A81"/>
    <w:rsid w:val="66AE4D0B"/>
    <w:rsid w:val="66B21639"/>
    <w:rsid w:val="66B5494D"/>
    <w:rsid w:val="66B84695"/>
    <w:rsid w:val="66CD637B"/>
    <w:rsid w:val="66D103A8"/>
    <w:rsid w:val="66DE0D17"/>
    <w:rsid w:val="66EA5461"/>
    <w:rsid w:val="66EF6A80"/>
    <w:rsid w:val="66F9345B"/>
    <w:rsid w:val="66F96425"/>
    <w:rsid w:val="66F978FF"/>
    <w:rsid w:val="66FB71D3"/>
    <w:rsid w:val="670C5884"/>
    <w:rsid w:val="670D5158"/>
    <w:rsid w:val="670F7122"/>
    <w:rsid w:val="671719FB"/>
    <w:rsid w:val="67317F0F"/>
    <w:rsid w:val="674212A6"/>
    <w:rsid w:val="67461D48"/>
    <w:rsid w:val="67472418"/>
    <w:rsid w:val="67486190"/>
    <w:rsid w:val="674A6CAF"/>
    <w:rsid w:val="676034DA"/>
    <w:rsid w:val="67694A84"/>
    <w:rsid w:val="676A4358"/>
    <w:rsid w:val="67784CC7"/>
    <w:rsid w:val="67784F2E"/>
    <w:rsid w:val="678A67A9"/>
    <w:rsid w:val="678F1925"/>
    <w:rsid w:val="67942577"/>
    <w:rsid w:val="67A83750"/>
    <w:rsid w:val="67A92539"/>
    <w:rsid w:val="67CA4EF1"/>
    <w:rsid w:val="67CD115B"/>
    <w:rsid w:val="67D61178"/>
    <w:rsid w:val="67DF4D46"/>
    <w:rsid w:val="67E20393"/>
    <w:rsid w:val="67EC2FBF"/>
    <w:rsid w:val="67F76A7E"/>
    <w:rsid w:val="67F86871"/>
    <w:rsid w:val="67FC2F18"/>
    <w:rsid w:val="682A4C80"/>
    <w:rsid w:val="683926A8"/>
    <w:rsid w:val="684352D5"/>
    <w:rsid w:val="684D1CB0"/>
    <w:rsid w:val="685C277F"/>
    <w:rsid w:val="6864524C"/>
    <w:rsid w:val="686F7E78"/>
    <w:rsid w:val="687927CB"/>
    <w:rsid w:val="687E455F"/>
    <w:rsid w:val="687E630D"/>
    <w:rsid w:val="688B0A2A"/>
    <w:rsid w:val="68A5389A"/>
    <w:rsid w:val="68AA5354"/>
    <w:rsid w:val="68AD274F"/>
    <w:rsid w:val="68AF3CA2"/>
    <w:rsid w:val="68BB130F"/>
    <w:rsid w:val="68CB0E27"/>
    <w:rsid w:val="68CC560D"/>
    <w:rsid w:val="68E1064A"/>
    <w:rsid w:val="68E97265"/>
    <w:rsid w:val="68EF0FB9"/>
    <w:rsid w:val="68F77E6E"/>
    <w:rsid w:val="690600B1"/>
    <w:rsid w:val="69064A37"/>
    <w:rsid w:val="691E189E"/>
    <w:rsid w:val="69236596"/>
    <w:rsid w:val="692635EB"/>
    <w:rsid w:val="69342E70"/>
    <w:rsid w:val="693B41FE"/>
    <w:rsid w:val="6945507D"/>
    <w:rsid w:val="6951757E"/>
    <w:rsid w:val="69561384"/>
    <w:rsid w:val="69660F5D"/>
    <w:rsid w:val="697274F4"/>
    <w:rsid w:val="69775165"/>
    <w:rsid w:val="69807E63"/>
    <w:rsid w:val="698C05B6"/>
    <w:rsid w:val="69B144C0"/>
    <w:rsid w:val="69B230A2"/>
    <w:rsid w:val="69B31FE7"/>
    <w:rsid w:val="69B95123"/>
    <w:rsid w:val="69E2224C"/>
    <w:rsid w:val="69F819AA"/>
    <w:rsid w:val="6A132A85"/>
    <w:rsid w:val="6A136F29"/>
    <w:rsid w:val="6A18461F"/>
    <w:rsid w:val="6A187723"/>
    <w:rsid w:val="6A1D1B56"/>
    <w:rsid w:val="6A1D2B18"/>
    <w:rsid w:val="6A240B29"/>
    <w:rsid w:val="6A3A2708"/>
    <w:rsid w:val="6A5437CA"/>
    <w:rsid w:val="6A595414"/>
    <w:rsid w:val="6A5A4A67"/>
    <w:rsid w:val="6A5C61DA"/>
    <w:rsid w:val="6A6E7FF3"/>
    <w:rsid w:val="6A700C09"/>
    <w:rsid w:val="6A756A74"/>
    <w:rsid w:val="6A7662E0"/>
    <w:rsid w:val="6A7A2B04"/>
    <w:rsid w:val="6A8E3BBF"/>
    <w:rsid w:val="6AA67D9D"/>
    <w:rsid w:val="6AAD6A36"/>
    <w:rsid w:val="6AC57AA5"/>
    <w:rsid w:val="6ACD0E86"/>
    <w:rsid w:val="6AD71D05"/>
    <w:rsid w:val="6AE91C23"/>
    <w:rsid w:val="6AFF0D33"/>
    <w:rsid w:val="6B1D5B77"/>
    <w:rsid w:val="6B2721FB"/>
    <w:rsid w:val="6B3259D5"/>
    <w:rsid w:val="6B3B6738"/>
    <w:rsid w:val="6B3D24B0"/>
    <w:rsid w:val="6B3F08AA"/>
    <w:rsid w:val="6B40098D"/>
    <w:rsid w:val="6B5C6196"/>
    <w:rsid w:val="6B5E1177"/>
    <w:rsid w:val="6B685053"/>
    <w:rsid w:val="6B7D4F86"/>
    <w:rsid w:val="6B7F4739"/>
    <w:rsid w:val="6B8A4FC9"/>
    <w:rsid w:val="6B9A5FD4"/>
    <w:rsid w:val="6BA75B7B"/>
    <w:rsid w:val="6BA76D5E"/>
    <w:rsid w:val="6BC67FC5"/>
    <w:rsid w:val="6BF80185"/>
    <w:rsid w:val="6C033F85"/>
    <w:rsid w:val="6C042FCD"/>
    <w:rsid w:val="6C167EC9"/>
    <w:rsid w:val="6C20148A"/>
    <w:rsid w:val="6C255926"/>
    <w:rsid w:val="6C44786E"/>
    <w:rsid w:val="6C501D6F"/>
    <w:rsid w:val="6C91013B"/>
    <w:rsid w:val="6C9431CC"/>
    <w:rsid w:val="6CAB1AEE"/>
    <w:rsid w:val="6CAE2F39"/>
    <w:rsid w:val="6CAF10DA"/>
    <w:rsid w:val="6CB513FE"/>
    <w:rsid w:val="6CBB03BB"/>
    <w:rsid w:val="6CC26200"/>
    <w:rsid w:val="6CDA06B8"/>
    <w:rsid w:val="6CE90CE7"/>
    <w:rsid w:val="6D0715F8"/>
    <w:rsid w:val="6D221DD5"/>
    <w:rsid w:val="6D3F1FD7"/>
    <w:rsid w:val="6D426B56"/>
    <w:rsid w:val="6D4B2536"/>
    <w:rsid w:val="6D505108"/>
    <w:rsid w:val="6D627806"/>
    <w:rsid w:val="6D7E290C"/>
    <w:rsid w:val="6D855097"/>
    <w:rsid w:val="6D8753E6"/>
    <w:rsid w:val="6D8B1D1F"/>
    <w:rsid w:val="6D920165"/>
    <w:rsid w:val="6DAA360F"/>
    <w:rsid w:val="6DB63E53"/>
    <w:rsid w:val="6DBB5AC1"/>
    <w:rsid w:val="6DC36570"/>
    <w:rsid w:val="6DCC3677"/>
    <w:rsid w:val="6DCF4F15"/>
    <w:rsid w:val="6DE52764"/>
    <w:rsid w:val="6DED24B1"/>
    <w:rsid w:val="6E0468F3"/>
    <w:rsid w:val="6E0F7A08"/>
    <w:rsid w:val="6E22598D"/>
    <w:rsid w:val="6E38263C"/>
    <w:rsid w:val="6E526272"/>
    <w:rsid w:val="6E565636"/>
    <w:rsid w:val="6E573B2B"/>
    <w:rsid w:val="6E7D0394"/>
    <w:rsid w:val="6E7F4B8D"/>
    <w:rsid w:val="6E94481B"/>
    <w:rsid w:val="6EA2373C"/>
    <w:rsid w:val="6EA63EC8"/>
    <w:rsid w:val="6EB8009F"/>
    <w:rsid w:val="6ED0776A"/>
    <w:rsid w:val="6ED749C9"/>
    <w:rsid w:val="6EDF387E"/>
    <w:rsid w:val="6EE05E54"/>
    <w:rsid w:val="6F0357BE"/>
    <w:rsid w:val="6F093D91"/>
    <w:rsid w:val="6F0B01CF"/>
    <w:rsid w:val="6F241291"/>
    <w:rsid w:val="6F5002D8"/>
    <w:rsid w:val="6F6519BC"/>
    <w:rsid w:val="6F6F075E"/>
    <w:rsid w:val="6F7658CB"/>
    <w:rsid w:val="6F887A72"/>
    <w:rsid w:val="6F976FBE"/>
    <w:rsid w:val="6FA0008C"/>
    <w:rsid w:val="6FA359EB"/>
    <w:rsid w:val="6FA537AE"/>
    <w:rsid w:val="6FAF14A2"/>
    <w:rsid w:val="6FB42615"/>
    <w:rsid w:val="6FC35064"/>
    <w:rsid w:val="6FC36CFC"/>
    <w:rsid w:val="6FCA63E4"/>
    <w:rsid w:val="6FD26F3F"/>
    <w:rsid w:val="6FDF03DB"/>
    <w:rsid w:val="6FF218DD"/>
    <w:rsid w:val="6FF42BE0"/>
    <w:rsid w:val="6FFC41AF"/>
    <w:rsid w:val="70345611"/>
    <w:rsid w:val="704C4F43"/>
    <w:rsid w:val="705362D1"/>
    <w:rsid w:val="7055204A"/>
    <w:rsid w:val="705924EF"/>
    <w:rsid w:val="705A140E"/>
    <w:rsid w:val="705C1557"/>
    <w:rsid w:val="706C2EEF"/>
    <w:rsid w:val="70707EDF"/>
    <w:rsid w:val="70710506"/>
    <w:rsid w:val="70761F1B"/>
    <w:rsid w:val="70792DB0"/>
    <w:rsid w:val="708C1ED2"/>
    <w:rsid w:val="70BD199D"/>
    <w:rsid w:val="70C60851"/>
    <w:rsid w:val="70CB230C"/>
    <w:rsid w:val="70E32593"/>
    <w:rsid w:val="70E801A2"/>
    <w:rsid w:val="70EA43C9"/>
    <w:rsid w:val="70F133F4"/>
    <w:rsid w:val="70F76C5D"/>
    <w:rsid w:val="70F96386"/>
    <w:rsid w:val="7104581E"/>
    <w:rsid w:val="7113156F"/>
    <w:rsid w:val="71132E62"/>
    <w:rsid w:val="711C2B67"/>
    <w:rsid w:val="711D41EA"/>
    <w:rsid w:val="71222297"/>
    <w:rsid w:val="71285068"/>
    <w:rsid w:val="712D7C1F"/>
    <w:rsid w:val="713F23B2"/>
    <w:rsid w:val="714348B5"/>
    <w:rsid w:val="71554590"/>
    <w:rsid w:val="715805E5"/>
    <w:rsid w:val="715874AB"/>
    <w:rsid w:val="715D01AD"/>
    <w:rsid w:val="71960E01"/>
    <w:rsid w:val="719941B8"/>
    <w:rsid w:val="719E357C"/>
    <w:rsid w:val="71A87F57"/>
    <w:rsid w:val="71BD1788"/>
    <w:rsid w:val="71C50B09"/>
    <w:rsid w:val="71F31C95"/>
    <w:rsid w:val="72115F01"/>
    <w:rsid w:val="722515A8"/>
    <w:rsid w:val="722A3ED7"/>
    <w:rsid w:val="72361A07"/>
    <w:rsid w:val="723979C9"/>
    <w:rsid w:val="723B0DCB"/>
    <w:rsid w:val="724118AE"/>
    <w:rsid w:val="72545C55"/>
    <w:rsid w:val="727265AC"/>
    <w:rsid w:val="727B1B10"/>
    <w:rsid w:val="727D13E4"/>
    <w:rsid w:val="728A58AF"/>
    <w:rsid w:val="72A526E9"/>
    <w:rsid w:val="72BF41FF"/>
    <w:rsid w:val="72C619A7"/>
    <w:rsid w:val="72C95059"/>
    <w:rsid w:val="72D71070"/>
    <w:rsid w:val="72D80D10"/>
    <w:rsid w:val="72DA4A88"/>
    <w:rsid w:val="72EC1039"/>
    <w:rsid w:val="72F13B80"/>
    <w:rsid w:val="72F84F0E"/>
    <w:rsid w:val="72FF4E06"/>
    <w:rsid w:val="73004C2C"/>
    <w:rsid w:val="7304330F"/>
    <w:rsid w:val="731C6E4F"/>
    <w:rsid w:val="732E5FCC"/>
    <w:rsid w:val="73337CF4"/>
    <w:rsid w:val="733817AF"/>
    <w:rsid w:val="73412411"/>
    <w:rsid w:val="734463A5"/>
    <w:rsid w:val="734819F2"/>
    <w:rsid w:val="73520AC2"/>
    <w:rsid w:val="7358775B"/>
    <w:rsid w:val="73784AC8"/>
    <w:rsid w:val="73840550"/>
    <w:rsid w:val="739509AF"/>
    <w:rsid w:val="73A34E7A"/>
    <w:rsid w:val="73BA729E"/>
    <w:rsid w:val="73C052CC"/>
    <w:rsid w:val="73C179F6"/>
    <w:rsid w:val="73D46BDF"/>
    <w:rsid w:val="73D93AC9"/>
    <w:rsid w:val="73DC3547"/>
    <w:rsid w:val="73ED2599"/>
    <w:rsid w:val="73F90F3E"/>
    <w:rsid w:val="740D6797"/>
    <w:rsid w:val="74113F05"/>
    <w:rsid w:val="74163F16"/>
    <w:rsid w:val="741836F5"/>
    <w:rsid w:val="741C69DA"/>
    <w:rsid w:val="742424F5"/>
    <w:rsid w:val="7431692A"/>
    <w:rsid w:val="743539AC"/>
    <w:rsid w:val="7439758C"/>
    <w:rsid w:val="744103B3"/>
    <w:rsid w:val="7450221E"/>
    <w:rsid w:val="74566390"/>
    <w:rsid w:val="74803110"/>
    <w:rsid w:val="7481774B"/>
    <w:rsid w:val="748778FB"/>
    <w:rsid w:val="748E78D8"/>
    <w:rsid w:val="749F595E"/>
    <w:rsid w:val="74AA2238"/>
    <w:rsid w:val="74DF0134"/>
    <w:rsid w:val="74DF0225"/>
    <w:rsid w:val="74E27C24"/>
    <w:rsid w:val="74E92D60"/>
    <w:rsid w:val="74F87650"/>
    <w:rsid w:val="75114065"/>
    <w:rsid w:val="75183646"/>
    <w:rsid w:val="751A5610"/>
    <w:rsid w:val="751A7DE7"/>
    <w:rsid w:val="751F54AB"/>
    <w:rsid w:val="7539539D"/>
    <w:rsid w:val="75502DDF"/>
    <w:rsid w:val="75644ADD"/>
    <w:rsid w:val="75695C4F"/>
    <w:rsid w:val="758A3D23"/>
    <w:rsid w:val="759248B8"/>
    <w:rsid w:val="75930F1E"/>
    <w:rsid w:val="759C7DD3"/>
    <w:rsid w:val="759D28B3"/>
    <w:rsid w:val="75A153E9"/>
    <w:rsid w:val="75BF3AC1"/>
    <w:rsid w:val="75CB6E7D"/>
    <w:rsid w:val="75CD61DE"/>
    <w:rsid w:val="75EA3234"/>
    <w:rsid w:val="75ED3231"/>
    <w:rsid w:val="75F05AFC"/>
    <w:rsid w:val="75FC2C73"/>
    <w:rsid w:val="76047756"/>
    <w:rsid w:val="76155660"/>
    <w:rsid w:val="761B33ED"/>
    <w:rsid w:val="761E5D99"/>
    <w:rsid w:val="761F03BE"/>
    <w:rsid w:val="76257DC8"/>
    <w:rsid w:val="762B1157"/>
    <w:rsid w:val="764A5A81"/>
    <w:rsid w:val="765207D6"/>
    <w:rsid w:val="766111DA"/>
    <w:rsid w:val="76612DCA"/>
    <w:rsid w:val="766528BB"/>
    <w:rsid w:val="766D176F"/>
    <w:rsid w:val="766F54E7"/>
    <w:rsid w:val="767415B3"/>
    <w:rsid w:val="7675226A"/>
    <w:rsid w:val="767B20DE"/>
    <w:rsid w:val="767B7C93"/>
    <w:rsid w:val="769413F2"/>
    <w:rsid w:val="7694586D"/>
    <w:rsid w:val="769B452E"/>
    <w:rsid w:val="76A52FA5"/>
    <w:rsid w:val="76B4739E"/>
    <w:rsid w:val="76B80C3C"/>
    <w:rsid w:val="76C75323"/>
    <w:rsid w:val="76CC293A"/>
    <w:rsid w:val="76D11CFE"/>
    <w:rsid w:val="76D1655C"/>
    <w:rsid w:val="76D25D41"/>
    <w:rsid w:val="76D90BB3"/>
    <w:rsid w:val="76E666DE"/>
    <w:rsid w:val="76E72AA0"/>
    <w:rsid w:val="76ED63C6"/>
    <w:rsid w:val="76F51E90"/>
    <w:rsid w:val="7701090C"/>
    <w:rsid w:val="77040325"/>
    <w:rsid w:val="770A361D"/>
    <w:rsid w:val="77151797"/>
    <w:rsid w:val="771A711A"/>
    <w:rsid w:val="771D4F43"/>
    <w:rsid w:val="77212C85"/>
    <w:rsid w:val="772A600E"/>
    <w:rsid w:val="773329B9"/>
    <w:rsid w:val="77336515"/>
    <w:rsid w:val="77362975"/>
    <w:rsid w:val="77391F81"/>
    <w:rsid w:val="773927F3"/>
    <w:rsid w:val="773C5143"/>
    <w:rsid w:val="77444BC6"/>
    <w:rsid w:val="775546DD"/>
    <w:rsid w:val="77577349"/>
    <w:rsid w:val="7758241F"/>
    <w:rsid w:val="775A6197"/>
    <w:rsid w:val="777C4360"/>
    <w:rsid w:val="778E4093"/>
    <w:rsid w:val="778F6531"/>
    <w:rsid w:val="77955421"/>
    <w:rsid w:val="77A411C1"/>
    <w:rsid w:val="77B238DE"/>
    <w:rsid w:val="77E37F3B"/>
    <w:rsid w:val="77F71C38"/>
    <w:rsid w:val="780D57F6"/>
    <w:rsid w:val="78106856"/>
    <w:rsid w:val="781E4FE7"/>
    <w:rsid w:val="78224A61"/>
    <w:rsid w:val="78250206"/>
    <w:rsid w:val="783C5D84"/>
    <w:rsid w:val="78623556"/>
    <w:rsid w:val="786820CA"/>
    <w:rsid w:val="7884096A"/>
    <w:rsid w:val="78850FF2"/>
    <w:rsid w:val="789524E8"/>
    <w:rsid w:val="789E20B4"/>
    <w:rsid w:val="78A27DF6"/>
    <w:rsid w:val="78A53442"/>
    <w:rsid w:val="78A71B34"/>
    <w:rsid w:val="78B611AB"/>
    <w:rsid w:val="78CA10FB"/>
    <w:rsid w:val="78DF26B6"/>
    <w:rsid w:val="78E03E67"/>
    <w:rsid w:val="78E8332F"/>
    <w:rsid w:val="78EE119A"/>
    <w:rsid w:val="78F06D68"/>
    <w:rsid w:val="78F55DA6"/>
    <w:rsid w:val="790E2D96"/>
    <w:rsid w:val="790E548B"/>
    <w:rsid w:val="79206F6D"/>
    <w:rsid w:val="79236E7C"/>
    <w:rsid w:val="792720A9"/>
    <w:rsid w:val="792A1B99"/>
    <w:rsid w:val="794013BD"/>
    <w:rsid w:val="7945446C"/>
    <w:rsid w:val="79494E01"/>
    <w:rsid w:val="795C36FA"/>
    <w:rsid w:val="7965310B"/>
    <w:rsid w:val="796B1B89"/>
    <w:rsid w:val="797B008A"/>
    <w:rsid w:val="797F39F5"/>
    <w:rsid w:val="798516DF"/>
    <w:rsid w:val="798C015E"/>
    <w:rsid w:val="79921C19"/>
    <w:rsid w:val="79BA5396"/>
    <w:rsid w:val="79C618C2"/>
    <w:rsid w:val="79D37D72"/>
    <w:rsid w:val="79D73ACF"/>
    <w:rsid w:val="79E46056"/>
    <w:rsid w:val="7A0643B5"/>
    <w:rsid w:val="7A08012D"/>
    <w:rsid w:val="7A097A01"/>
    <w:rsid w:val="7A0C534E"/>
    <w:rsid w:val="7A0F1B11"/>
    <w:rsid w:val="7A222CE3"/>
    <w:rsid w:val="7A2A00A3"/>
    <w:rsid w:val="7A2B639B"/>
    <w:rsid w:val="7A4961A5"/>
    <w:rsid w:val="7A4C4796"/>
    <w:rsid w:val="7A735C4D"/>
    <w:rsid w:val="7A8B1E85"/>
    <w:rsid w:val="7A8B6668"/>
    <w:rsid w:val="7A8C2B0C"/>
    <w:rsid w:val="7A8E7C8A"/>
    <w:rsid w:val="7A9F01F0"/>
    <w:rsid w:val="7AE9326F"/>
    <w:rsid w:val="7AEE5B78"/>
    <w:rsid w:val="7AFD610D"/>
    <w:rsid w:val="7B0152A5"/>
    <w:rsid w:val="7B112B38"/>
    <w:rsid w:val="7B2A5E81"/>
    <w:rsid w:val="7B2C7E4B"/>
    <w:rsid w:val="7B2F16E9"/>
    <w:rsid w:val="7B4A6374"/>
    <w:rsid w:val="7B542C01"/>
    <w:rsid w:val="7B5B274E"/>
    <w:rsid w:val="7B7567C0"/>
    <w:rsid w:val="7B7B66DC"/>
    <w:rsid w:val="7B7D2454"/>
    <w:rsid w:val="7B7E25C3"/>
    <w:rsid w:val="7B857A66"/>
    <w:rsid w:val="7B9072BC"/>
    <w:rsid w:val="7B944A08"/>
    <w:rsid w:val="7B9B28DB"/>
    <w:rsid w:val="7B9D0138"/>
    <w:rsid w:val="7B9F57C7"/>
    <w:rsid w:val="7BA31E1F"/>
    <w:rsid w:val="7BBD6CF5"/>
    <w:rsid w:val="7BE67FFA"/>
    <w:rsid w:val="7C0634F8"/>
    <w:rsid w:val="7C0C24B6"/>
    <w:rsid w:val="7C2470D1"/>
    <w:rsid w:val="7C266648"/>
    <w:rsid w:val="7C2823C0"/>
    <w:rsid w:val="7C370855"/>
    <w:rsid w:val="7C563402"/>
    <w:rsid w:val="7C5B09E8"/>
    <w:rsid w:val="7C5E2286"/>
    <w:rsid w:val="7C6670E8"/>
    <w:rsid w:val="7C686C61"/>
    <w:rsid w:val="7C765D1B"/>
    <w:rsid w:val="7C7B659E"/>
    <w:rsid w:val="7C7E0232"/>
    <w:rsid w:val="7C8C231D"/>
    <w:rsid w:val="7C8E36D7"/>
    <w:rsid w:val="7C9712F4"/>
    <w:rsid w:val="7C9B0FDB"/>
    <w:rsid w:val="7CA73951"/>
    <w:rsid w:val="7CA828C1"/>
    <w:rsid w:val="7CBA4D6C"/>
    <w:rsid w:val="7CC85951"/>
    <w:rsid w:val="7CCC5441"/>
    <w:rsid w:val="7CD23C7F"/>
    <w:rsid w:val="7CD24BAE"/>
    <w:rsid w:val="7CE56503"/>
    <w:rsid w:val="7D033147"/>
    <w:rsid w:val="7D1066E2"/>
    <w:rsid w:val="7D1B3CD3"/>
    <w:rsid w:val="7D227CB6"/>
    <w:rsid w:val="7D261A7C"/>
    <w:rsid w:val="7D300C5A"/>
    <w:rsid w:val="7D3134F6"/>
    <w:rsid w:val="7D3139AC"/>
    <w:rsid w:val="7D4C0330"/>
    <w:rsid w:val="7D5B4D5A"/>
    <w:rsid w:val="7D811B7B"/>
    <w:rsid w:val="7D836171"/>
    <w:rsid w:val="7DA76118"/>
    <w:rsid w:val="7DA97531"/>
    <w:rsid w:val="7DAD3FC0"/>
    <w:rsid w:val="7DB619DD"/>
    <w:rsid w:val="7DB84FA7"/>
    <w:rsid w:val="7DBA0B43"/>
    <w:rsid w:val="7DC832D7"/>
    <w:rsid w:val="7DDB3462"/>
    <w:rsid w:val="7DE642E1"/>
    <w:rsid w:val="7DE84C60"/>
    <w:rsid w:val="7E002EC9"/>
    <w:rsid w:val="7E0155BF"/>
    <w:rsid w:val="7E105A66"/>
    <w:rsid w:val="7E1773F8"/>
    <w:rsid w:val="7E1C7D03"/>
    <w:rsid w:val="7E3C2A2D"/>
    <w:rsid w:val="7E3E4800"/>
    <w:rsid w:val="7E584AB3"/>
    <w:rsid w:val="7E696CC0"/>
    <w:rsid w:val="7E7919BB"/>
    <w:rsid w:val="7E7B41B8"/>
    <w:rsid w:val="7E7E276B"/>
    <w:rsid w:val="7E7F0292"/>
    <w:rsid w:val="7E835AFC"/>
    <w:rsid w:val="7E851714"/>
    <w:rsid w:val="7E851E20"/>
    <w:rsid w:val="7E88060D"/>
    <w:rsid w:val="7E891110"/>
    <w:rsid w:val="7E966D9F"/>
    <w:rsid w:val="7E987B34"/>
    <w:rsid w:val="7EA45F4A"/>
    <w:rsid w:val="7EB663A9"/>
    <w:rsid w:val="7EE02B0F"/>
    <w:rsid w:val="7EE94CE8"/>
    <w:rsid w:val="7EF16259"/>
    <w:rsid w:val="7EF163A6"/>
    <w:rsid w:val="7EFB200E"/>
    <w:rsid w:val="7F0D7FB9"/>
    <w:rsid w:val="7F115666"/>
    <w:rsid w:val="7F2B0D53"/>
    <w:rsid w:val="7F2C666B"/>
    <w:rsid w:val="7F2D3A41"/>
    <w:rsid w:val="7F435763"/>
    <w:rsid w:val="7F452A07"/>
    <w:rsid w:val="7F4946CE"/>
    <w:rsid w:val="7F4E65E2"/>
    <w:rsid w:val="7F537F26"/>
    <w:rsid w:val="7F6851CA"/>
    <w:rsid w:val="7F6A7194"/>
    <w:rsid w:val="7F7F5D5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25"/>
    <w:autoRedefine/>
    <w:qFormat/>
    <w:uiPriority w:val="0"/>
    <w:pPr>
      <w:jc w:val="left"/>
    </w:pPr>
  </w:style>
  <w:style w:type="paragraph" w:styleId="5">
    <w:name w:val="Body Text"/>
    <w:basedOn w:val="1"/>
    <w:autoRedefine/>
    <w:qFormat/>
    <w:uiPriority w:val="1624"/>
    <w:pPr>
      <w:spacing w:line="360" w:lineRule="auto"/>
      <w:ind w:right="72"/>
    </w:pPr>
    <w:rPr>
      <w:sz w:val="24"/>
      <w:szCs w:val="24"/>
    </w:rPr>
  </w:style>
  <w:style w:type="paragraph" w:styleId="6">
    <w:name w:val="Body Text Indent"/>
    <w:basedOn w:val="1"/>
    <w:autoRedefine/>
    <w:qFormat/>
    <w:uiPriority w:val="0"/>
    <w:pPr>
      <w:tabs>
        <w:tab w:val="left" w:pos="840"/>
      </w:tabs>
      <w:snapToGrid w:val="0"/>
      <w:spacing w:line="300" w:lineRule="exact"/>
      <w:ind w:left="630" w:leftChars="300"/>
    </w:pPr>
  </w:style>
  <w:style w:type="paragraph" w:styleId="7">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8">
    <w:name w:val="Balloon Text"/>
    <w:basedOn w:val="1"/>
    <w:link w:val="24"/>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4"/>
    <w:next w:val="4"/>
    <w:link w:val="26"/>
    <w:autoRedefine/>
    <w:qFormat/>
    <w:uiPriority w:val="0"/>
    <w:rPr>
      <w:b/>
      <w:bCs/>
    </w:rPr>
  </w:style>
  <w:style w:type="paragraph" w:styleId="14">
    <w:name w:val="Body Text First Indent 2"/>
    <w:basedOn w:val="6"/>
    <w:autoRedefine/>
    <w:qFormat/>
    <w:uiPriority w:val="0"/>
    <w:pPr>
      <w:ind w:firstLine="420" w:firstLineChars="200"/>
    </w:pPr>
    <w:rPr>
      <w:rFonts w:ascii="Calibri" w:hAnsi="Calibri"/>
      <w:szCs w:val="22"/>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autoRedefine/>
    <w:qFormat/>
    <w:uiPriority w:val="0"/>
  </w:style>
  <w:style w:type="character" w:styleId="20">
    <w:name w:val="FollowedHyperlink"/>
    <w:basedOn w:val="17"/>
    <w:autoRedefine/>
    <w:qFormat/>
    <w:uiPriority w:val="0"/>
    <w:rPr>
      <w:color w:val="000000"/>
      <w:u w:val="single"/>
    </w:rPr>
  </w:style>
  <w:style w:type="character" w:styleId="21">
    <w:name w:val="Emphasis"/>
    <w:basedOn w:val="17"/>
    <w:autoRedefine/>
    <w:qFormat/>
    <w:uiPriority w:val="0"/>
    <w:rPr>
      <w:i/>
    </w:rPr>
  </w:style>
  <w:style w:type="character" w:styleId="22">
    <w:name w:val="Hyperlink"/>
    <w:basedOn w:val="17"/>
    <w:autoRedefine/>
    <w:qFormat/>
    <w:uiPriority w:val="0"/>
    <w:rPr>
      <w:color w:val="000000"/>
      <w:u w:val="single"/>
    </w:rPr>
  </w:style>
  <w:style w:type="character" w:styleId="23">
    <w:name w:val="annotation reference"/>
    <w:basedOn w:val="17"/>
    <w:autoRedefine/>
    <w:qFormat/>
    <w:uiPriority w:val="0"/>
    <w:rPr>
      <w:sz w:val="21"/>
      <w:szCs w:val="21"/>
    </w:rPr>
  </w:style>
  <w:style w:type="character" w:customStyle="1" w:styleId="24">
    <w:name w:val="批注框文本 Char"/>
    <w:basedOn w:val="17"/>
    <w:link w:val="8"/>
    <w:autoRedefine/>
    <w:qFormat/>
    <w:uiPriority w:val="0"/>
    <w:rPr>
      <w:rFonts w:ascii="Times New Roman" w:hAnsi="Times New Roman"/>
      <w:kern w:val="2"/>
      <w:sz w:val="18"/>
      <w:szCs w:val="18"/>
    </w:rPr>
  </w:style>
  <w:style w:type="character" w:customStyle="1" w:styleId="25">
    <w:name w:val="批注文字 Char"/>
    <w:basedOn w:val="17"/>
    <w:link w:val="4"/>
    <w:autoRedefine/>
    <w:qFormat/>
    <w:uiPriority w:val="0"/>
    <w:rPr>
      <w:rFonts w:ascii="Times New Roman" w:hAnsi="Times New Roman"/>
      <w:kern w:val="2"/>
      <w:sz w:val="21"/>
      <w:szCs w:val="22"/>
    </w:rPr>
  </w:style>
  <w:style w:type="character" w:customStyle="1" w:styleId="26">
    <w:name w:val="批注主题 Char"/>
    <w:basedOn w:val="25"/>
    <w:link w:val="13"/>
    <w:autoRedefine/>
    <w:qFormat/>
    <w:uiPriority w:val="0"/>
  </w:style>
  <w:style w:type="character" w:customStyle="1" w:styleId="27">
    <w:name w:val="font51"/>
    <w:basedOn w:val="17"/>
    <w:autoRedefine/>
    <w:qFormat/>
    <w:uiPriority w:val="0"/>
    <w:rPr>
      <w:rFonts w:hint="eastAsia" w:ascii="宋体" w:hAnsi="宋体" w:eastAsia="宋体" w:cs="宋体"/>
      <w:color w:val="000000"/>
      <w:sz w:val="20"/>
      <w:szCs w:val="20"/>
      <w:u w:val="none"/>
    </w:rPr>
  </w:style>
  <w:style w:type="paragraph" w:customStyle="1" w:styleId="28">
    <w:name w:val="WPSOffice手动目录 1"/>
    <w:autoRedefine/>
    <w:qFormat/>
    <w:uiPriority w:val="0"/>
    <w:pPr>
      <w:ind w:leftChars="0"/>
    </w:pPr>
    <w:rPr>
      <w:rFonts w:ascii="Times New Roman" w:hAnsi="Times New Roman" w:eastAsia="宋体" w:cs="Times New Roman"/>
      <w:sz w:val="20"/>
      <w:szCs w:val="20"/>
    </w:rPr>
  </w:style>
  <w:style w:type="character" w:customStyle="1" w:styleId="29">
    <w:name w:val="font31"/>
    <w:basedOn w:val="17"/>
    <w:autoRedefine/>
    <w:qFormat/>
    <w:uiPriority w:val="0"/>
    <w:rPr>
      <w:rFonts w:hint="eastAsia" w:ascii="宋体" w:hAnsi="宋体" w:eastAsia="宋体" w:cs="宋体"/>
      <w:color w:val="000000"/>
      <w:sz w:val="20"/>
      <w:szCs w:val="20"/>
      <w:u w:val="none"/>
    </w:rPr>
  </w:style>
  <w:style w:type="character" w:customStyle="1" w:styleId="30">
    <w:name w:val="font21"/>
    <w:autoRedefine/>
    <w:qFormat/>
    <w:uiPriority w:val="0"/>
    <w:rPr>
      <w:rFonts w:hint="eastAsia" w:ascii="宋体" w:hAnsi="宋体" w:eastAsia="宋体" w:cs="宋体"/>
      <w:color w:val="000000"/>
      <w:sz w:val="20"/>
      <w:szCs w:val="20"/>
      <w:u w:val="none"/>
    </w:rPr>
  </w:style>
  <w:style w:type="character" w:customStyle="1" w:styleId="31">
    <w:name w:val="font41"/>
    <w:basedOn w:val="17"/>
    <w:autoRedefine/>
    <w:qFormat/>
    <w:uiPriority w:val="0"/>
    <w:rPr>
      <w:rFonts w:hint="eastAsia" w:ascii="宋体" w:hAnsi="宋体" w:eastAsia="宋体" w:cs="宋体"/>
      <w:b/>
      <w:bCs/>
      <w:color w:val="000000"/>
      <w:sz w:val="18"/>
      <w:szCs w:val="18"/>
      <w:u w:val="none"/>
    </w:rPr>
  </w:style>
  <w:style w:type="character" w:customStyle="1" w:styleId="32">
    <w:name w:val="font11"/>
    <w:basedOn w:val="17"/>
    <w:autoRedefine/>
    <w:qFormat/>
    <w:uiPriority w:val="0"/>
    <w:rPr>
      <w:rFonts w:hint="eastAsia" w:ascii="仿宋" w:hAnsi="仿宋" w:eastAsia="仿宋" w:cs="仿宋"/>
      <w:color w:val="000000"/>
      <w:sz w:val="28"/>
      <w:szCs w:val="28"/>
      <w:u w:val="none"/>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character" w:customStyle="1" w:styleId="34">
    <w:name w:val="href"/>
    <w:basedOn w:val="17"/>
    <w:autoRedefine/>
    <w:qFormat/>
    <w:uiPriority w:val="0"/>
    <w:rPr>
      <w:color w:val="0000FF"/>
      <w:u w:val="single"/>
    </w:rPr>
  </w:style>
  <w:style w:type="character" w:customStyle="1" w:styleId="35">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61</Pages>
  <Words>31933</Words>
  <Characters>33778</Characters>
  <Lines>1</Lines>
  <Paragraphs>1</Paragraphs>
  <TotalTime>3</TotalTime>
  <ScaleCrop>false</ScaleCrop>
  <LinksUpToDate>false</LinksUpToDate>
  <CharactersWithSpaces>35895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2024-08-24T08:21:16Z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6F8778D6B5844FF6ACB02D1B4E9B2667_13</vt:lpwstr>
  </property>
</Properties>
</file>