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139C3">
      <w:pPr>
        <w:jc w:val="both"/>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color w:val="auto"/>
          <w:kern w:val="0"/>
          <w:sz w:val="24"/>
          <w:szCs w:val="24"/>
          <w:highlight w:val="none"/>
          <w:shd w:val="clear" w:color="auto" w:fill="auto"/>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10"/>
                    <a:stretch>
                      <a:fillRect/>
                    </a:stretch>
                  </pic:blipFill>
                  <pic:spPr>
                    <a:xfrm>
                      <a:off x="0" y="0"/>
                      <a:ext cx="4288790" cy="690245"/>
                    </a:xfrm>
                    <a:prstGeom prst="rect">
                      <a:avLst/>
                    </a:prstGeom>
                    <a:noFill/>
                    <a:ln>
                      <a:noFill/>
                    </a:ln>
                  </pic:spPr>
                </pic:pic>
              </a:graphicData>
            </a:graphic>
          </wp:anchor>
        </w:drawing>
      </w:r>
      <w:r>
        <w:rPr>
          <w:rFonts w:hint="eastAsia" w:ascii="仿宋_GB2312" w:hAnsi="仿宋_GB2312" w:eastAsia="仿宋_GB2312" w:cs="仿宋_GB2312"/>
          <w:color w:val="auto"/>
          <w:highlight w:val="none"/>
          <w:shd w:val="clear" w:color="auto" w:fill="auto"/>
          <w:lang w:val="en-US" w:eastAsia="zh-CN"/>
        </w:rPr>
        <w:t xml:space="preserve"> </w:t>
      </w:r>
    </w:p>
    <w:p w14:paraId="12593E0A">
      <w:pPr>
        <w:jc w:val="both"/>
        <w:rPr>
          <w:rFonts w:hint="eastAsia" w:ascii="仿宋_GB2312" w:hAnsi="仿宋_GB2312" w:eastAsia="仿宋_GB2312" w:cs="仿宋_GB2312"/>
          <w:color w:val="auto"/>
          <w:highlight w:val="none"/>
          <w:shd w:val="clear" w:color="auto" w:fill="auto"/>
          <w:lang w:val="en-US" w:eastAsia="zh-CN"/>
        </w:rPr>
      </w:pPr>
    </w:p>
    <w:p w14:paraId="6BFC2234">
      <w:pPr>
        <w:jc w:val="both"/>
        <w:rPr>
          <w:rFonts w:hint="eastAsia" w:ascii="仿宋_GB2312" w:hAnsi="仿宋_GB2312" w:eastAsia="仿宋_GB2312" w:cs="仿宋_GB2312"/>
          <w:color w:val="auto"/>
          <w:highlight w:val="none"/>
          <w:shd w:val="clear" w:color="auto" w:fill="auto"/>
          <w:lang w:val="en-US" w:eastAsia="zh-CN"/>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609BEDFC">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A地块工程模板作业</w:t>
      </w:r>
    </w:p>
    <w:p w14:paraId="4DE3AF6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p>
    <w:p w14:paraId="6AD009C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施</w:t>
      </w:r>
    </w:p>
    <w:p w14:paraId="702CF6E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工</w:t>
      </w:r>
    </w:p>
    <w:p w14:paraId="1BD2040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合</w:t>
      </w:r>
    </w:p>
    <w:p w14:paraId="5E874F7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同</w:t>
      </w:r>
    </w:p>
    <w:p w14:paraId="7CC229C3">
      <w:pPr>
        <w:jc w:val="both"/>
        <w:rPr>
          <w:rFonts w:hint="eastAsia" w:ascii="仿宋_GB2312" w:hAnsi="仿宋_GB2312" w:eastAsia="仿宋_GB2312" w:cs="仿宋_GB2312"/>
          <w:b/>
          <w:bCs/>
          <w:color w:val="auto"/>
          <w:sz w:val="24"/>
          <w:szCs w:val="28"/>
          <w:highlight w:val="none"/>
          <w:shd w:val="clear" w:color="auto" w:fill="auto"/>
          <w:lang w:val="en-US" w:eastAsia="zh-CN"/>
        </w:rPr>
      </w:pPr>
      <w:r>
        <w:rPr>
          <w:rFonts w:hint="eastAsia" w:ascii="仿宋_GB2312" w:hAnsi="仿宋_GB2312" w:eastAsia="仿宋_GB2312" w:cs="仿宋_GB2312"/>
          <w:b/>
          <w:bCs/>
          <w:color w:val="auto"/>
          <w:sz w:val="24"/>
          <w:szCs w:val="28"/>
          <w:highlight w:val="none"/>
          <w:shd w:val="clear" w:color="auto" w:fill="auto"/>
          <w:lang w:val="en-US" w:eastAsia="zh-CN"/>
        </w:rPr>
        <w:t xml:space="preserve"> </w:t>
      </w:r>
    </w:p>
    <w:p w14:paraId="58A32FDE">
      <w:pPr>
        <w:jc w:val="both"/>
        <w:rPr>
          <w:rFonts w:hint="eastAsia" w:ascii="仿宋_GB2312" w:hAnsi="仿宋_GB2312" w:eastAsia="仿宋_GB2312" w:cs="仿宋_GB2312"/>
          <w:b/>
          <w:bCs/>
          <w:color w:val="auto"/>
          <w:sz w:val="24"/>
          <w:szCs w:val="28"/>
          <w:highlight w:val="none"/>
          <w:shd w:val="clear" w:color="auto" w:fill="auto"/>
          <w:lang w:val="en-US" w:eastAsia="zh-CN"/>
        </w:rPr>
      </w:pPr>
    </w:p>
    <w:p w14:paraId="578B2C84">
      <w:pPr>
        <w:jc w:val="both"/>
        <w:rPr>
          <w:rFonts w:hint="eastAsia" w:ascii="仿宋_GB2312" w:hAnsi="仿宋_GB2312" w:eastAsia="仿宋_GB2312" w:cs="仿宋_GB2312"/>
          <w:color w:val="auto"/>
          <w:highlight w:val="none"/>
          <w:shd w:val="clear" w:color="auto" w:fill="auto"/>
          <w:lang w:val="en-US" w:eastAsia="zh-CN"/>
        </w:rPr>
      </w:pPr>
    </w:p>
    <w:p w14:paraId="503E1CC1">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合同编号：</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ZTJA-SG-NJXM-2024- </w:t>
      </w:r>
    </w:p>
    <w:p w14:paraId="522317C0">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甲方（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发包</w:t>
      </w:r>
      <w:r>
        <w:rPr>
          <w:rFonts w:hint="eastAsia" w:ascii="仿宋_GB2312" w:hAnsi="仿宋_GB2312" w:eastAsia="仿宋_GB2312" w:cs="仿宋_GB2312"/>
          <w:b w:val="0"/>
          <w:bCs w:val="0"/>
          <w:color w:val="auto"/>
          <w:sz w:val="28"/>
          <w:szCs w:val="28"/>
          <w:highlight w:val="none"/>
          <w:shd w:val="clear" w:color="auto" w:fill="auto"/>
          <w:lang w:val="en-US" w:eastAsia="zh-CN"/>
        </w:rPr>
        <w:t>方）：东莞市中泰建安工程有限公司</w:t>
      </w:r>
    </w:p>
    <w:p w14:paraId="176F3F2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 xml:space="preserve">乙方（承包方）： </w:t>
      </w:r>
    </w:p>
    <w:p w14:paraId="7EDE3509">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color w:val="auto"/>
          <w:sz w:val="28"/>
          <w:szCs w:val="28"/>
          <w:highlight w:val="none"/>
          <w:u w:val="none"/>
          <w:shd w:val="clear" w:color="auto" w:fill="auto"/>
          <w:lang w:val="en-US" w:eastAsia="zh-CN"/>
        </w:rPr>
        <w:t>签订日期：202</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4</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年</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月</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日</w:t>
      </w:r>
    </w:p>
    <w:p w14:paraId="77BA0E1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bCs/>
          <w:color w:val="auto"/>
          <w:kern w:val="2"/>
          <w:sz w:val="32"/>
          <w:szCs w:val="32"/>
          <w:highlight w:val="none"/>
          <w:u w:val="none"/>
          <w:shd w:val="clear" w:color="auto" w:fill="auto"/>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_GB2312" w:hAnsi="仿宋_GB2312" w:eastAsia="仿宋_GB2312" w:cs="仿宋_GB2312"/>
          <w:b w:val="0"/>
          <w:bCs w:val="0"/>
          <w:color w:val="auto"/>
          <w:sz w:val="28"/>
          <w:szCs w:val="28"/>
          <w:highlight w:val="none"/>
          <w:u w:val="none"/>
          <w:shd w:val="clear" w:color="auto" w:fill="auto"/>
          <w:lang w:val="en-US" w:eastAsia="zh-CN"/>
        </w:rPr>
        <w:t>签订地点：广东东莞南城。</w:t>
      </w:r>
    </w:p>
    <w:sdt>
      <w:sdtPr>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id w:val="147469943"/>
        <w15:color w:val="DBDBDB"/>
        <w:docPartObj>
          <w:docPartGallery w:val="Table of Contents"/>
          <w:docPartUnique/>
        </w:docPartObj>
      </w:sdtPr>
      <w:sdtEndPr>
        <w:rPr>
          <w:rFonts w:hint="eastAsia" w:ascii="仿宋_GB2312" w:hAnsi="仿宋_GB2312" w:eastAsia="仿宋_GB2312" w:cs="仿宋_GB2312"/>
          <w:b/>
          <w:bCs w:val="0"/>
          <w:i w:val="0"/>
          <w:iCs w:val="0"/>
          <w:color w:val="auto"/>
          <w:kern w:val="0"/>
          <w:sz w:val="48"/>
          <w:szCs w:val="48"/>
          <w:highlight w:val="none"/>
          <w:shd w:val="clear" w:color="auto" w:fill="auto"/>
          <w:lang w:val="en-US" w:eastAsia="zh-CN" w:bidi="ar-SA"/>
        </w:rPr>
      </w:sdtEndPr>
      <w:sdtContent>
        <w:p w14:paraId="36FA6754">
          <w:pPr>
            <w:pStyle w:val="10"/>
            <w:keepNext w:val="0"/>
            <w:keepLines w:val="0"/>
            <w:pageBreakBefore w:val="0"/>
            <w:widowControl w:val="0"/>
            <w:tabs>
              <w:tab w:val="right" w:leader="dot" w:pos="8504"/>
            </w:tabs>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pPr>
          <w:r>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t>目录</w:t>
          </w:r>
        </w:p>
        <w:p w14:paraId="3765B3D8">
          <w:pPr>
            <w:rPr>
              <w:rFonts w:hint="eastAsia"/>
              <w:color w:val="auto"/>
              <w:sz w:val="24"/>
              <w:szCs w:val="28"/>
              <w:highlight w:val="none"/>
              <w:lang w:val="en-US" w:eastAsia="zh-CN"/>
            </w:rPr>
          </w:pPr>
        </w:p>
        <w:p w14:paraId="0E5D428E">
          <w:pPr>
            <w:pStyle w:val="10"/>
            <w:tabs>
              <w:tab w:val="right" w:leader="dot" w:pos="9184"/>
            </w:tabs>
            <w:rPr>
              <w:sz w:val="24"/>
              <w:szCs w:val="28"/>
            </w:rPr>
          </w:pP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fldChar w:fldCharType="begin"/>
          </w: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instrText xml:space="preserve">TOC \o "1-1" \h \u </w:instrText>
          </w: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fldChar w:fldCharType="separate"/>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_Toc30262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第一章</w:t>
          </w:r>
          <w:r>
            <w:rPr>
              <w:rFonts w:hint="eastAsia" w:ascii="仿宋_GB2312" w:hAnsi="仿宋_GB2312" w:eastAsia="仿宋_GB2312" w:cs="仿宋_GB2312"/>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_Toc30262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3A55B34">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_Toc24602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第二章、承包方式</w:t>
          </w:r>
          <w:r>
            <w:rPr>
              <w:sz w:val="24"/>
              <w:szCs w:val="28"/>
            </w:rPr>
            <w:tab/>
          </w:r>
          <w:r>
            <w:rPr>
              <w:sz w:val="24"/>
              <w:szCs w:val="28"/>
            </w:rPr>
            <w:fldChar w:fldCharType="begin"/>
          </w:r>
          <w:r>
            <w:rPr>
              <w:sz w:val="24"/>
              <w:szCs w:val="28"/>
            </w:rPr>
            <w:instrText xml:space="preserve"> PAGEREF _Toc24602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734CAB7A">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_Toc28500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第三章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bCs/>
              <w:i w:val="0"/>
              <w:iCs w:val="0"/>
              <w:kern w:val="0"/>
              <w:sz w:val="24"/>
              <w:szCs w:val="36"/>
              <w:highlight w:val="none"/>
              <w:shd w:val="clear" w:color="auto" w:fill="auto"/>
            </w:rPr>
            <w:t>承包范围</w:t>
          </w:r>
          <w:r>
            <w:rPr>
              <w:rFonts w:hint="eastAsia" w:ascii="仿宋_GB2312" w:hAnsi="仿宋_GB2312" w:eastAsia="仿宋_GB2312" w:cs="仿宋_GB2312"/>
              <w:bCs/>
              <w:i w:val="0"/>
              <w:iCs w:val="0"/>
              <w:kern w:val="0"/>
              <w:sz w:val="24"/>
              <w:szCs w:val="36"/>
              <w:highlight w:val="none"/>
              <w:shd w:val="clear" w:color="auto" w:fill="auto"/>
              <w:lang w:eastAsia="zh-CN"/>
            </w:rPr>
            <w:t>及主要工程内容</w:t>
          </w:r>
          <w:r>
            <w:rPr>
              <w:sz w:val="24"/>
              <w:szCs w:val="28"/>
            </w:rPr>
            <w:tab/>
          </w:r>
          <w:r>
            <w:rPr>
              <w:sz w:val="24"/>
              <w:szCs w:val="28"/>
            </w:rPr>
            <w:fldChar w:fldCharType="begin"/>
          </w:r>
          <w:r>
            <w:rPr>
              <w:sz w:val="24"/>
              <w:szCs w:val="28"/>
            </w:rPr>
            <w:instrText xml:space="preserve"> PAGEREF _Toc28500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C8078BC">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_Toc8679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四</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、工期</w:t>
          </w:r>
          <w:r>
            <w:rPr>
              <w:sz w:val="24"/>
              <w:szCs w:val="28"/>
            </w:rPr>
            <w:tab/>
          </w:r>
          <w:r>
            <w:rPr>
              <w:sz w:val="24"/>
              <w:szCs w:val="28"/>
            </w:rPr>
            <w:fldChar w:fldCharType="begin"/>
          </w:r>
          <w:r>
            <w:rPr>
              <w:sz w:val="24"/>
              <w:szCs w:val="28"/>
            </w:rPr>
            <w:instrText xml:space="preserve"> PAGEREF _Toc8679 \h </w:instrText>
          </w:r>
          <w:r>
            <w:rPr>
              <w:sz w:val="24"/>
              <w:szCs w:val="28"/>
            </w:rPr>
            <w:fldChar w:fldCharType="separate"/>
          </w:r>
          <w:r>
            <w:rPr>
              <w:sz w:val="24"/>
              <w:szCs w:val="28"/>
            </w:rPr>
            <w:t>4</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2973B1EA">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_Toc21660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第五章、工程质量标准</w:t>
          </w:r>
          <w:r>
            <w:rPr>
              <w:sz w:val="24"/>
              <w:szCs w:val="28"/>
            </w:rPr>
            <w:tab/>
          </w:r>
          <w:r>
            <w:rPr>
              <w:sz w:val="24"/>
              <w:szCs w:val="28"/>
            </w:rPr>
            <w:fldChar w:fldCharType="begin"/>
          </w:r>
          <w:r>
            <w:rPr>
              <w:sz w:val="24"/>
              <w:szCs w:val="28"/>
            </w:rPr>
            <w:instrText xml:space="preserve"> PAGEREF _Toc21660 \h </w:instrText>
          </w:r>
          <w:r>
            <w:rPr>
              <w:sz w:val="24"/>
              <w:szCs w:val="28"/>
            </w:rPr>
            <w:fldChar w:fldCharType="separate"/>
          </w:r>
          <w:r>
            <w:rPr>
              <w:sz w:val="24"/>
              <w:szCs w:val="28"/>
            </w:rPr>
            <w:t>6</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6D19555">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_Toc23462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六</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、合同价款</w:t>
          </w:r>
          <w:r>
            <w:rPr>
              <w:sz w:val="24"/>
              <w:szCs w:val="28"/>
            </w:rPr>
            <w:tab/>
          </w:r>
          <w:r>
            <w:rPr>
              <w:sz w:val="24"/>
              <w:szCs w:val="28"/>
            </w:rPr>
            <w:fldChar w:fldCharType="begin"/>
          </w:r>
          <w:r>
            <w:rPr>
              <w:sz w:val="24"/>
              <w:szCs w:val="28"/>
            </w:rPr>
            <w:instrText xml:space="preserve"> PAGEREF _Toc23462 \h </w:instrText>
          </w:r>
          <w:r>
            <w:rPr>
              <w:sz w:val="24"/>
              <w:szCs w:val="28"/>
            </w:rPr>
            <w:fldChar w:fldCharType="separate"/>
          </w:r>
          <w:r>
            <w:rPr>
              <w:sz w:val="24"/>
              <w:szCs w:val="28"/>
            </w:rPr>
            <w:t>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B6DE9EF">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_Toc11707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第七章、计量计价方式及结算方式</w:t>
          </w:r>
          <w:r>
            <w:rPr>
              <w:sz w:val="24"/>
              <w:szCs w:val="28"/>
            </w:rPr>
            <w:tab/>
          </w:r>
          <w:r>
            <w:rPr>
              <w:sz w:val="24"/>
              <w:szCs w:val="28"/>
            </w:rPr>
            <w:fldChar w:fldCharType="begin"/>
          </w:r>
          <w:r>
            <w:rPr>
              <w:sz w:val="24"/>
              <w:szCs w:val="28"/>
            </w:rPr>
            <w:instrText xml:space="preserve"> PAGEREF _Toc11707 \h </w:instrText>
          </w:r>
          <w:r>
            <w:rPr>
              <w:sz w:val="24"/>
              <w:szCs w:val="28"/>
            </w:rPr>
            <w:fldChar w:fldCharType="separate"/>
          </w:r>
          <w:r>
            <w:rPr>
              <w:sz w:val="24"/>
              <w:szCs w:val="28"/>
            </w:rPr>
            <w:t>11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B54C847">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_Toc29650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eastAsia="zh-CN"/>
            </w:rPr>
            <w:t>第八章、</w:t>
          </w:r>
          <w:r>
            <w:rPr>
              <w:rFonts w:hint="eastAsia" w:ascii="仿宋_GB2312" w:hAnsi="仿宋_GB2312" w:eastAsia="仿宋_GB2312" w:cs="仿宋_GB2312"/>
              <w:bCs/>
              <w:i w:val="0"/>
              <w:iCs w:val="0"/>
              <w:sz w:val="24"/>
              <w:szCs w:val="36"/>
              <w:highlight w:val="none"/>
              <w:shd w:val="clear" w:color="auto" w:fill="auto"/>
            </w:rPr>
            <w:t>付款方式</w:t>
          </w:r>
          <w:r>
            <w:rPr>
              <w:rFonts w:hint="eastAsia" w:ascii="仿宋_GB2312" w:hAnsi="仿宋_GB2312" w:eastAsia="仿宋_GB2312" w:cs="仿宋_GB2312"/>
              <w:bCs/>
              <w:i w:val="0"/>
              <w:iCs w:val="0"/>
              <w:sz w:val="24"/>
              <w:szCs w:val="36"/>
              <w:highlight w:val="none"/>
              <w:shd w:val="clear" w:color="auto" w:fill="auto"/>
              <w:lang w:eastAsia="zh-CN"/>
            </w:rPr>
            <w:t>（</w:t>
          </w:r>
          <w:r>
            <w:rPr>
              <w:rFonts w:hint="eastAsia" w:ascii="仿宋_GB2312" w:hAnsi="仿宋_GB2312" w:eastAsia="仿宋_GB2312" w:cs="仿宋_GB2312"/>
              <w:bCs/>
              <w:i w:val="0"/>
              <w:iCs w:val="0"/>
              <w:sz w:val="24"/>
              <w:szCs w:val="36"/>
              <w:highlight w:val="none"/>
              <w:shd w:val="clear" w:color="auto" w:fill="auto"/>
              <w:lang w:val="en-US" w:eastAsia="zh-CN"/>
            </w:rPr>
            <w:t>每个组团独立付款</w:t>
          </w:r>
          <w:r>
            <w:rPr>
              <w:rFonts w:hint="eastAsia" w:ascii="仿宋_GB2312" w:hAnsi="仿宋_GB2312" w:eastAsia="仿宋_GB2312" w:cs="仿宋_GB2312"/>
              <w:bCs/>
              <w:i w:val="0"/>
              <w:iCs w:val="0"/>
              <w:sz w:val="24"/>
              <w:szCs w:val="36"/>
              <w:highlight w:val="none"/>
              <w:shd w:val="clear" w:color="auto" w:fill="auto"/>
              <w:lang w:eastAsia="zh-CN"/>
            </w:rPr>
            <w:t>）</w:t>
          </w:r>
          <w:r>
            <w:rPr>
              <w:sz w:val="24"/>
              <w:szCs w:val="28"/>
            </w:rPr>
            <w:tab/>
          </w:r>
          <w:r>
            <w:rPr>
              <w:sz w:val="24"/>
              <w:szCs w:val="28"/>
            </w:rPr>
            <w:fldChar w:fldCharType="begin"/>
          </w:r>
          <w:r>
            <w:rPr>
              <w:sz w:val="24"/>
              <w:szCs w:val="28"/>
            </w:rPr>
            <w:instrText xml:space="preserve"> PAGEREF _Toc29650 \h </w:instrText>
          </w:r>
          <w:r>
            <w:rPr>
              <w:sz w:val="24"/>
              <w:szCs w:val="28"/>
            </w:rPr>
            <w:fldChar w:fldCharType="separate"/>
          </w:r>
          <w:r>
            <w:rPr>
              <w:sz w:val="24"/>
              <w:szCs w:val="28"/>
            </w:rPr>
            <w:t>17</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7E9E3CA">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_Toc22206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九</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bCs/>
              <w:i w:val="0"/>
              <w:iCs w:val="0"/>
              <w:kern w:val="0"/>
              <w:sz w:val="24"/>
              <w:szCs w:val="36"/>
              <w:highlight w:val="none"/>
              <w:shd w:val="clear" w:color="auto" w:fill="auto"/>
            </w:rPr>
            <w:t>双方</w:t>
          </w:r>
          <w:r>
            <w:rPr>
              <w:rFonts w:hint="eastAsia" w:ascii="仿宋_GB2312" w:hAnsi="仿宋_GB2312" w:eastAsia="仿宋_GB2312" w:cs="仿宋_GB2312"/>
              <w:i w:val="0"/>
              <w:iCs w:val="0"/>
              <w:kern w:val="0"/>
              <w:sz w:val="24"/>
              <w:szCs w:val="36"/>
              <w:highlight w:val="none"/>
              <w:shd w:val="clear" w:color="auto" w:fill="auto"/>
            </w:rPr>
            <w:t>责任和权利</w:t>
          </w:r>
          <w:r>
            <w:rPr>
              <w:sz w:val="24"/>
              <w:szCs w:val="28"/>
            </w:rPr>
            <w:tab/>
          </w:r>
          <w:r>
            <w:rPr>
              <w:sz w:val="24"/>
              <w:szCs w:val="28"/>
            </w:rPr>
            <w:fldChar w:fldCharType="begin"/>
          </w:r>
          <w:r>
            <w:rPr>
              <w:sz w:val="24"/>
              <w:szCs w:val="28"/>
            </w:rPr>
            <w:instrText xml:space="preserve"> PAGEREF _Toc22206 \h </w:instrText>
          </w:r>
          <w:r>
            <w:rPr>
              <w:sz w:val="24"/>
              <w:szCs w:val="28"/>
            </w:rPr>
            <w:fldChar w:fldCharType="separate"/>
          </w:r>
          <w:r>
            <w:rPr>
              <w:sz w:val="24"/>
              <w:szCs w:val="28"/>
            </w:rPr>
            <w:t>21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3BCCE622">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_Toc4052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rPr>
            <w:t>十</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、安全生产、文明施工要求</w:t>
          </w:r>
          <w:r>
            <w:rPr>
              <w:sz w:val="24"/>
              <w:szCs w:val="28"/>
            </w:rPr>
            <w:tab/>
          </w:r>
          <w:r>
            <w:rPr>
              <w:sz w:val="24"/>
              <w:szCs w:val="28"/>
            </w:rPr>
            <w:fldChar w:fldCharType="begin"/>
          </w:r>
          <w:r>
            <w:rPr>
              <w:sz w:val="24"/>
              <w:szCs w:val="28"/>
            </w:rPr>
            <w:instrText xml:space="preserve"> PAGEREF _Toc4052 \h </w:instrText>
          </w:r>
          <w:r>
            <w:rPr>
              <w:sz w:val="24"/>
              <w:szCs w:val="28"/>
            </w:rPr>
            <w:fldChar w:fldCharType="separate"/>
          </w:r>
          <w:r>
            <w:rPr>
              <w:sz w:val="24"/>
              <w:szCs w:val="28"/>
            </w:rPr>
            <w:t>28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7B3BF316">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_Toc31409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十一</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i w:val="0"/>
              <w:iCs w:val="0"/>
              <w:sz w:val="24"/>
              <w:szCs w:val="36"/>
              <w:highlight w:val="none"/>
              <w:shd w:val="clear" w:color="auto" w:fill="auto"/>
              <w:lang w:eastAsia="zh-CN"/>
            </w:rPr>
            <w:t>甲供材料设备</w:t>
          </w:r>
          <w:r>
            <w:rPr>
              <w:sz w:val="24"/>
              <w:szCs w:val="28"/>
            </w:rPr>
            <w:tab/>
          </w:r>
          <w:r>
            <w:rPr>
              <w:sz w:val="24"/>
              <w:szCs w:val="28"/>
            </w:rPr>
            <w:fldChar w:fldCharType="begin"/>
          </w:r>
          <w:r>
            <w:rPr>
              <w:sz w:val="24"/>
              <w:szCs w:val="28"/>
            </w:rPr>
            <w:instrText xml:space="preserve"> PAGEREF _Toc31409 \h </w:instrText>
          </w:r>
          <w:r>
            <w:rPr>
              <w:sz w:val="24"/>
              <w:szCs w:val="28"/>
            </w:rPr>
            <w:fldChar w:fldCharType="separate"/>
          </w:r>
          <w:r>
            <w:rPr>
              <w:sz w:val="24"/>
              <w:szCs w:val="28"/>
            </w:rPr>
            <w:t>28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4FE80EF">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_Toc1197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rPr>
            <w:t>十</w:t>
          </w:r>
          <w:r>
            <w:rPr>
              <w:rFonts w:hint="eastAsia" w:ascii="仿宋_GB2312" w:hAnsi="仿宋_GB2312" w:eastAsia="仿宋_GB2312" w:cs="仿宋_GB2312"/>
              <w:bCs/>
              <w:i w:val="0"/>
              <w:iCs w:val="0"/>
              <w:sz w:val="24"/>
              <w:szCs w:val="36"/>
              <w:highlight w:val="none"/>
              <w:shd w:val="clear" w:color="auto" w:fill="auto"/>
              <w:lang w:eastAsia="zh-CN"/>
            </w:rPr>
            <w:t>二</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、验收及保修</w:t>
          </w:r>
          <w:r>
            <w:rPr>
              <w:sz w:val="24"/>
              <w:szCs w:val="28"/>
            </w:rPr>
            <w:tab/>
          </w:r>
          <w:r>
            <w:rPr>
              <w:sz w:val="24"/>
              <w:szCs w:val="28"/>
            </w:rPr>
            <w:fldChar w:fldCharType="begin"/>
          </w:r>
          <w:r>
            <w:rPr>
              <w:sz w:val="24"/>
              <w:szCs w:val="28"/>
            </w:rPr>
            <w:instrText xml:space="preserve"> PAGEREF _Toc1197 \h </w:instrText>
          </w:r>
          <w:r>
            <w:rPr>
              <w:sz w:val="24"/>
              <w:szCs w:val="28"/>
            </w:rPr>
            <w:fldChar w:fldCharType="separate"/>
          </w:r>
          <w:r>
            <w:rPr>
              <w:sz w:val="24"/>
              <w:szCs w:val="28"/>
            </w:rPr>
            <w:t>30</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4F12FC2">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_Toc8237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第十三章、保险</w:t>
          </w:r>
          <w:r>
            <w:rPr>
              <w:sz w:val="24"/>
              <w:szCs w:val="28"/>
            </w:rPr>
            <w:tab/>
          </w:r>
          <w:r>
            <w:rPr>
              <w:sz w:val="24"/>
              <w:szCs w:val="28"/>
            </w:rPr>
            <w:fldChar w:fldCharType="begin"/>
          </w:r>
          <w:r>
            <w:rPr>
              <w:sz w:val="24"/>
              <w:szCs w:val="28"/>
            </w:rPr>
            <w:instrText xml:space="preserve"> PAGEREF _Toc8237 \h </w:instrText>
          </w:r>
          <w:r>
            <w:rPr>
              <w:sz w:val="24"/>
              <w:szCs w:val="28"/>
            </w:rPr>
            <w:fldChar w:fldCharType="separate"/>
          </w:r>
          <w:r>
            <w:rPr>
              <w:sz w:val="24"/>
              <w:szCs w:val="28"/>
            </w:rPr>
            <w:t>31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70583B5">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_Toc5575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第十四章、奖罚条款</w:t>
          </w:r>
          <w:r>
            <w:rPr>
              <w:sz w:val="24"/>
              <w:szCs w:val="28"/>
            </w:rPr>
            <w:tab/>
          </w:r>
          <w:r>
            <w:rPr>
              <w:sz w:val="24"/>
              <w:szCs w:val="28"/>
            </w:rPr>
            <w:fldChar w:fldCharType="begin"/>
          </w:r>
          <w:r>
            <w:rPr>
              <w:sz w:val="24"/>
              <w:szCs w:val="28"/>
            </w:rPr>
            <w:instrText xml:space="preserve"> PAGEREF _Toc5575 \h </w:instrText>
          </w:r>
          <w:r>
            <w:rPr>
              <w:sz w:val="24"/>
              <w:szCs w:val="28"/>
            </w:rPr>
            <w:fldChar w:fldCharType="separate"/>
          </w:r>
          <w:r>
            <w:rPr>
              <w:sz w:val="24"/>
              <w:szCs w:val="28"/>
            </w:rPr>
            <w:t>32</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64CADF6">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_Toc16221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第十五章、违约条款</w:t>
          </w:r>
          <w:r>
            <w:rPr>
              <w:sz w:val="24"/>
              <w:szCs w:val="28"/>
            </w:rPr>
            <w:tab/>
          </w:r>
          <w:r>
            <w:rPr>
              <w:sz w:val="24"/>
              <w:szCs w:val="28"/>
            </w:rPr>
            <w:fldChar w:fldCharType="begin"/>
          </w:r>
          <w:r>
            <w:rPr>
              <w:sz w:val="24"/>
              <w:szCs w:val="28"/>
            </w:rPr>
            <w:instrText xml:space="preserve"> PAGEREF _Toc16221 \h </w:instrText>
          </w:r>
          <w:r>
            <w:rPr>
              <w:sz w:val="24"/>
              <w:szCs w:val="28"/>
            </w:rPr>
            <w:fldChar w:fldCharType="separate"/>
          </w:r>
          <w:r>
            <w:rPr>
              <w:sz w:val="24"/>
              <w:szCs w:val="28"/>
            </w:rPr>
            <w:t>34</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0FF71C3E">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_Toc15196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第十六章、廉洁条款</w:t>
          </w:r>
          <w:r>
            <w:rPr>
              <w:sz w:val="24"/>
              <w:szCs w:val="28"/>
            </w:rPr>
            <w:tab/>
          </w:r>
          <w:r>
            <w:rPr>
              <w:sz w:val="24"/>
              <w:szCs w:val="28"/>
            </w:rPr>
            <w:fldChar w:fldCharType="begin"/>
          </w:r>
          <w:r>
            <w:rPr>
              <w:sz w:val="24"/>
              <w:szCs w:val="28"/>
            </w:rPr>
            <w:instrText xml:space="preserve"> PAGEREF _Toc15196 \h </w:instrText>
          </w:r>
          <w:r>
            <w:rPr>
              <w:sz w:val="24"/>
              <w:szCs w:val="28"/>
            </w:rPr>
            <w:fldChar w:fldCharType="separate"/>
          </w:r>
          <w:r>
            <w:rPr>
              <w:sz w:val="24"/>
              <w:szCs w:val="28"/>
            </w:rPr>
            <w:t>37</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D94855F">
          <w:pPr>
            <w:pStyle w:val="10"/>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_Toc21838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第十七章、其他</w:t>
          </w:r>
          <w:r>
            <w:rPr>
              <w:sz w:val="24"/>
              <w:szCs w:val="28"/>
            </w:rPr>
            <w:tab/>
          </w:r>
          <w:r>
            <w:rPr>
              <w:sz w:val="24"/>
              <w:szCs w:val="28"/>
            </w:rPr>
            <w:fldChar w:fldCharType="begin"/>
          </w:r>
          <w:r>
            <w:rPr>
              <w:sz w:val="24"/>
              <w:szCs w:val="28"/>
            </w:rPr>
            <w:instrText xml:space="preserve"> PAGEREF _Toc21838 \h </w:instrText>
          </w:r>
          <w:r>
            <w:rPr>
              <w:sz w:val="24"/>
              <w:szCs w:val="28"/>
            </w:rPr>
            <w:fldChar w:fldCharType="separate"/>
          </w:r>
          <w:r>
            <w:rPr>
              <w:sz w:val="24"/>
              <w:szCs w:val="28"/>
            </w:rPr>
            <w:t>38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6E227FB">
          <w:pPr>
            <w:pStyle w:val="24"/>
            <w:tabs>
              <w:tab w:val="right" w:leader="dot" w:pos="8504"/>
            </w:tabs>
            <w:rPr>
              <w:rFonts w:hint="eastAsia" w:ascii="仿宋_GB2312" w:hAnsi="仿宋_GB2312" w:eastAsia="仿宋_GB2312" w:cs="仿宋_GB2312"/>
              <w:color w:val="auto"/>
              <w:sz w:val="36"/>
              <w:szCs w:val="36"/>
              <w:highlight w:val="none"/>
              <w:shd w:val="clear" w:color="auto" w:fill="auto"/>
            </w:rPr>
          </w:pPr>
          <w:r>
            <w:rPr>
              <w:rFonts w:hint="eastAsia" w:ascii="仿宋_GB2312" w:hAnsi="仿宋_GB2312" w:eastAsia="仿宋_GB2312" w:cs="仿宋_GB2312"/>
              <w:bCs w:val="0"/>
              <w:i w:val="0"/>
              <w:iCs w:val="0"/>
              <w:color w:val="auto"/>
              <w:kern w:val="2"/>
              <w:sz w:val="22"/>
              <w:szCs w:val="96"/>
              <w:highlight w:val="none"/>
              <w:u w:val="none"/>
              <w:shd w:val="clear" w:color="auto" w:fill="auto"/>
              <w:lang w:val="en-US" w:eastAsia="zh-CN" w:bidi="ar-SA"/>
            </w:rPr>
            <w:fldChar w:fldCharType="end"/>
          </w:r>
        </w:p>
      </w:sdtContent>
    </w:sdt>
    <w:p w14:paraId="2BBC2CA6">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1B3C7EDD">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44B4C6D9">
      <w:pPr>
        <w:tabs>
          <w:tab w:val="left" w:pos="6272"/>
        </w:tabs>
        <w:spacing w:line="360" w:lineRule="auto"/>
        <w:ind w:right="-578" w:rightChars="-275"/>
        <w:rPr>
          <w:rFonts w:hint="eastAsia" w:ascii="仿宋_GB2312" w:hAnsi="仿宋_GB2312" w:eastAsia="仿宋_GB2312" w:cs="仿宋_GB2312"/>
          <w:i w:val="0"/>
          <w:iCs w:val="0"/>
          <w:color w:val="auto"/>
          <w:kern w:val="0"/>
          <w:sz w:val="28"/>
          <w:szCs w:val="28"/>
          <w:highlight w:val="none"/>
          <w:u w:val="none"/>
          <w:shd w:val="clear" w:color="auto" w:fill="auto"/>
        </w:rPr>
      </w:pPr>
    </w:p>
    <w:p w14:paraId="367C95F1">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2BAC7E11">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sectPr>
          <w:footerReference r:id="rId5" w:type="default"/>
          <w:pgSz w:w="11906" w:h="16838"/>
          <w:pgMar w:top="1440" w:right="1361" w:bottom="952" w:left="1361" w:header="964" w:footer="567" w:gutter="0"/>
          <w:pgBorders>
            <w:top w:val="none" w:sz="0" w:space="0"/>
            <w:left w:val="none" w:sz="0" w:space="0"/>
            <w:bottom w:val="none" w:sz="0" w:space="0"/>
            <w:right w:val="none" w:sz="0" w:space="0"/>
          </w:pgBorders>
          <w:pgNumType w:fmt="decimal" w:start="38"/>
          <w:cols w:space="0" w:num="1"/>
          <w:docGrid w:type="lines" w:linePitch="293" w:charSpace="0"/>
        </w:sectPr>
      </w:pPr>
    </w:p>
    <w:p w14:paraId="1BED7457">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kern w:val="0"/>
          <w:sz w:val="28"/>
          <w:szCs w:val="28"/>
          <w:highlight w:val="none"/>
          <w:u w:val="none"/>
          <w:shd w:val="clear" w:color="auto" w:fill="auto"/>
          <w:lang w:eastAsia="zh-CN"/>
        </w:rPr>
      </w:pPr>
      <w:r>
        <w:rPr>
          <w:rFonts w:hint="eastAsia" w:ascii="仿宋_GB2312" w:hAnsi="仿宋_GB2312" w:eastAsia="仿宋_GB2312" w:cs="仿宋_GB2312"/>
          <w:i w:val="0"/>
          <w:iCs w:val="0"/>
          <w:color w:val="auto"/>
          <w:kern w:val="0"/>
          <w:sz w:val="28"/>
          <w:szCs w:val="28"/>
          <w:highlight w:val="none"/>
          <w:u w:val="none"/>
          <w:shd w:val="clear" w:color="auto" w:fill="auto"/>
        </w:rPr>
        <w:t>根据《中华人民共和国民法典》《中华人民共和国建筑法》《建设工程质量管理条例》及有关法律、法规，甲乙双方在平等、自愿、公平和诚实信用的基础上，就乙方承包</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南京现代表面处理科技产业中心项目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A地块建设项目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模板作业</w:t>
      </w:r>
      <w:r>
        <w:rPr>
          <w:rFonts w:hint="eastAsia" w:ascii="仿宋_GB2312" w:hAnsi="仿宋_GB2312" w:eastAsia="仿宋_GB2312" w:cs="仿宋_GB2312"/>
          <w:b/>
          <w:bCs/>
          <w:i w:val="0"/>
          <w:iCs w:val="0"/>
          <w:color w:val="auto"/>
          <w:sz w:val="28"/>
          <w:szCs w:val="28"/>
          <w:highlight w:val="none"/>
          <w:u w:val="single"/>
          <w:shd w:val="clear" w:color="auto" w:fill="auto"/>
        </w:rPr>
        <w:t>工程</w:t>
      </w:r>
      <w:r>
        <w:rPr>
          <w:rFonts w:hint="eastAsia" w:ascii="仿宋_GB2312" w:hAnsi="仿宋_GB2312" w:eastAsia="仿宋_GB2312" w:cs="仿宋_GB2312"/>
          <w:i w:val="0"/>
          <w:iCs w:val="0"/>
          <w:color w:val="auto"/>
          <w:kern w:val="0"/>
          <w:sz w:val="28"/>
          <w:szCs w:val="28"/>
          <w:highlight w:val="none"/>
          <w:u w:val="none"/>
          <w:shd w:val="clear" w:color="auto" w:fill="auto"/>
        </w:rPr>
        <w:t>（以下简称“</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本</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kern w:val="0"/>
          <w:sz w:val="28"/>
          <w:szCs w:val="28"/>
          <w:highlight w:val="none"/>
          <w:u w:val="none"/>
          <w:shd w:val="clear" w:color="auto" w:fill="auto"/>
        </w:rPr>
        <w:t>”）</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的</w:t>
      </w:r>
      <w:r>
        <w:rPr>
          <w:rFonts w:hint="eastAsia" w:ascii="仿宋_GB2312" w:hAnsi="仿宋_GB2312" w:eastAsia="仿宋_GB2312" w:cs="仿宋_GB2312"/>
          <w:i w:val="0"/>
          <w:iCs w:val="0"/>
          <w:color w:val="auto"/>
          <w:kern w:val="0"/>
          <w:sz w:val="28"/>
          <w:szCs w:val="28"/>
          <w:highlight w:val="none"/>
          <w:u w:val="none"/>
          <w:shd w:val="clear" w:color="auto" w:fill="auto"/>
        </w:rPr>
        <w:t>有关事项协商一致，特签订本合同以共同遵守。</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本合同范围内，对以</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或</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开头的内容，以</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开头的内容为准。</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w:t>
      </w:r>
    </w:p>
    <w:p w14:paraId="57A6170A">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0" w:name="_Toc30262"/>
      <w:bookmarkStart w:id="1" w:name="_Toc26146"/>
      <w:bookmarkStart w:id="2" w:name="_Toc1208"/>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第一章</w:t>
      </w:r>
      <w:r>
        <w:rPr>
          <w:rFonts w:hint="eastAsia" w:ascii="仿宋_GB2312" w:hAnsi="仿宋_GB2312" w:eastAsia="仿宋_GB2312" w:cs="仿宋_GB2312"/>
          <w:b/>
          <w:bCs/>
          <w:i w:val="0"/>
          <w:iCs w:val="0"/>
          <w:color w:val="auto"/>
          <w:sz w:val="28"/>
          <w:szCs w:val="28"/>
          <w:highlight w:val="none"/>
          <w:u w:val="none"/>
          <w:shd w:val="clear" w:color="auto" w:fill="auto"/>
        </w:rPr>
        <w:t>、项目概况</w:t>
      </w:r>
      <w:bookmarkEnd w:id="0"/>
      <w:bookmarkEnd w:id="1"/>
      <w:bookmarkEnd w:id="2"/>
    </w:p>
    <w:p w14:paraId="1198FD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南京现代表面处理科技产业中心项目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A地块建设工程项目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67715C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yellow"/>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57F007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φ48钢管和建筑用扣件。</w:t>
      </w:r>
    </w:p>
    <w:p w14:paraId="6922F4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cyan"/>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45C86832">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3" w:name="_Toc2460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第二章、承包方式</w:t>
      </w:r>
      <w:bookmarkEnd w:id="3"/>
    </w:p>
    <w:p w14:paraId="0EC85F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2.1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_GB2312" w:hAnsi="仿宋_GB2312" w:eastAsia="仿宋_GB2312" w:cs="仿宋_GB2312"/>
          <w:b/>
          <w:bCs/>
          <w:i w:val="0"/>
          <w:iCs w:val="0"/>
          <w:color w:val="auto"/>
          <w:sz w:val="28"/>
          <w:szCs w:val="28"/>
          <w:highlight w:val="none"/>
          <w:shd w:val="clear" w:color="auto" w:fill="auto"/>
          <w:lang w:val="en-US" w:eastAsia="zh-CN"/>
        </w:rPr>
        <w:t>、</w:t>
      </w:r>
      <w:r>
        <w:rPr>
          <w:rFonts w:hint="eastAsia" w:ascii="仿宋" w:hAnsi="仿宋" w:eastAsia="仿宋" w:cs="仿宋"/>
          <w:color w:val="auto"/>
          <w:sz w:val="28"/>
          <w:szCs w:val="28"/>
          <w:highlight w:val="none"/>
          <w:lang w:val="en-US" w:eastAsia="zh-CN"/>
        </w:rPr>
        <w:t>包所有机械设备（含进退场）、包安全文明施工，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包本工程检测、包工期、包一切措施、包质量、包各种风险、包保险、包竣工资料编制、包资料（包各种形式的资料编写、收集、归档，并满足竣工验收要求及甲方与建设单位结算要求）、包成品保护、包场地清理、包各种情形所要求的赶工措施及产生的费用、包因乙方原因引起的所有返工的人工、材料及机械费、包安全、包验收合格、包保修、包乙方人员生活水电、包管理、包利润、包税金、包物价上涨、包其他工种配合可能产生的降效及产生的费用及本工程施工过程中所涉及的一切风险因素及全部内容及费用。</w:t>
      </w:r>
    </w:p>
    <w:p w14:paraId="6659FB2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i w:val="0"/>
          <w:iCs w:val="0"/>
          <w:color w:val="auto"/>
          <w:kern w:val="0"/>
          <w:sz w:val="28"/>
          <w:szCs w:val="28"/>
          <w:highlight w:val="none"/>
          <w:u w:val="none"/>
          <w:shd w:val="clear" w:color="auto" w:fill="auto"/>
          <w:lang w:eastAsia="zh-CN"/>
        </w:rPr>
      </w:pPr>
      <w:bookmarkStart w:id="4" w:name="_Toc27213"/>
      <w:bookmarkStart w:id="5" w:name="_Toc9670"/>
      <w:bookmarkStart w:id="6" w:name="_Toc2850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第三章</w:t>
      </w:r>
      <w:r>
        <w:rPr>
          <w:rFonts w:hint="eastAsia" w:ascii="仿宋_GB2312" w:hAnsi="仿宋_GB2312" w:eastAsia="仿宋_GB2312" w:cs="仿宋_GB2312"/>
          <w:b/>
          <w:bCs/>
          <w:i w:val="0"/>
          <w:iCs w:val="0"/>
          <w:color w:val="auto"/>
          <w:sz w:val="28"/>
          <w:szCs w:val="28"/>
          <w:highlight w:val="none"/>
          <w:u w:val="none"/>
          <w:shd w:val="clear" w:color="auto" w:fill="auto"/>
        </w:rPr>
        <w:t>、</w:t>
      </w:r>
      <w:r>
        <w:rPr>
          <w:rFonts w:hint="eastAsia" w:ascii="仿宋_GB2312" w:hAnsi="仿宋_GB2312" w:eastAsia="仿宋_GB2312" w:cs="仿宋_GB2312"/>
          <w:b/>
          <w:bCs/>
          <w:i w:val="0"/>
          <w:iCs w:val="0"/>
          <w:color w:val="auto"/>
          <w:kern w:val="0"/>
          <w:sz w:val="28"/>
          <w:szCs w:val="28"/>
          <w:highlight w:val="none"/>
          <w:u w:val="none"/>
          <w:shd w:val="clear" w:color="auto" w:fill="auto"/>
        </w:rPr>
        <w:t>承包范围</w:t>
      </w:r>
      <w:bookmarkEnd w:id="4"/>
      <w:bookmarkEnd w:id="5"/>
      <w:r>
        <w:rPr>
          <w:rFonts w:hint="eastAsia" w:ascii="仿宋_GB2312" w:hAnsi="仿宋_GB2312" w:eastAsia="仿宋_GB2312" w:cs="仿宋_GB2312"/>
          <w:b/>
          <w:bCs/>
          <w:i w:val="0"/>
          <w:iCs w:val="0"/>
          <w:color w:val="auto"/>
          <w:kern w:val="0"/>
          <w:sz w:val="28"/>
          <w:szCs w:val="28"/>
          <w:highlight w:val="none"/>
          <w:u w:val="none"/>
          <w:shd w:val="clear" w:color="auto" w:fill="auto"/>
          <w:lang w:eastAsia="zh-CN"/>
        </w:rPr>
        <w:t>及主要工程内容</w:t>
      </w:r>
      <w:bookmarkEnd w:id="6"/>
    </w:p>
    <w:p w14:paraId="4A9E17A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kern w:val="0"/>
          <w:sz w:val="28"/>
          <w:szCs w:val="28"/>
          <w:highlight w:val="none"/>
          <w:shd w:val="clear" w:color="auto" w:fill="auto"/>
          <w:lang w:val="en-US" w:eastAsia="zh-CN"/>
        </w:rPr>
        <w:t>3.1</w:t>
      </w:r>
      <w:r>
        <w:rPr>
          <w:rFonts w:hint="eastAsia" w:ascii="仿宋" w:hAnsi="仿宋" w:eastAsia="仿宋" w:cs="仿宋"/>
          <w:color w:val="auto"/>
          <w:sz w:val="28"/>
          <w:szCs w:val="28"/>
          <w:highlight w:val="none"/>
          <w:lang w:val="en-US" w:eastAsia="zh-CN"/>
        </w:rPr>
        <w:t>本项目及所辖的包括</w:t>
      </w:r>
      <w:r>
        <w:rPr>
          <w:rFonts w:hint="eastAsia" w:ascii="仿宋" w:hAnsi="仿宋" w:eastAsia="仿宋" w:cs="仿宋"/>
          <w:color w:val="auto"/>
          <w:sz w:val="28"/>
          <w:szCs w:val="28"/>
          <w:highlight w:val="none"/>
          <w:u w:val="single"/>
          <w:lang w:val="en-US" w:eastAsia="zh-CN"/>
        </w:rPr>
        <w:t>用地红线范围内</w:t>
      </w:r>
      <w:r>
        <w:rPr>
          <w:rFonts w:hint="eastAsia" w:ascii="仿宋_GB2312" w:hAnsi="仿宋_GB2312" w:eastAsia="仿宋_GB2312" w:cs="仿宋_GB2312"/>
          <w:b w:val="0"/>
          <w:bCs w:val="0"/>
          <w:i w:val="0"/>
          <w:iCs w:val="0"/>
          <w:color w:val="auto"/>
          <w:sz w:val="28"/>
          <w:szCs w:val="28"/>
          <w:highlight w:val="none"/>
          <w:u w:val="single"/>
          <w:shd w:val="clear" w:color="auto" w:fill="auto"/>
        </w:rPr>
        <w:t>的</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全部模板作业</w:t>
      </w:r>
      <w:r>
        <w:rPr>
          <w:rFonts w:hint="eastAsia" w:ascii="仿宋_GB2312" w:hAnsi="仿宋_GB2312" w:eastAsia="仿宋_GB2312" w:cs="仿宋_GB2312"/>
          <w:b w:val="0"/>
          <w:bCs w:val="0"/>
          <w:i w:val="0"/>
          <w:iCs w:val="0"/>
          <w:color w:val="auto"/>
          <w:sz w:val="28"/>
          <w:szCs w:val="28"/>
          <w:highlight w:val="none"/>
          <w:u w:val="none"/>
          <w:shd w:val="clear" w:color="auto" w:fill="auto"/>
        </w:rPr>
        <w:t>工作由乙方施工</w:t>
      </w:r>
      <w:r>
        <w:rPr>
          <w:rFonts w:hint="eastAsia" w:ascii="仿宋_GB2312" w:hAnsi="仿宋_GB2312" w:eastAsia="仿宋_GB2312" w:cs="仿宋_GB2312"/>
          <w:b w:val="0"/>
          <w:bCs w:val="0"/>
          <w:i w:val="0"/>
          <w:iCs w:val="0"/>
          <w:color w:val="auto"/>
          <w:kern w:val="2"/>
          <w:sz w:val="28"/>
          <w:szCs w:val="28"/>
          <w:highlight w:val="none"/>
          <w:u w:val="none"/>
          <w:shd w:val="clear" w:color="auto" w:fill="auto"/>
          <w:lang w:val="en-US" w:eastAsia="zh-CN" w:bidi="ar-SA"/>
        </w:rPr>
        <w:t>（包括基础、主体、二次结构、室外工程等模板工程</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具体施工范围</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按甲方</w:t>
      </w:r>
      <w:r>
        <w:rPr>
          <w:rFonts w:hint="eastAsia" w:ascii="仿宋_GB2312" w:hAnsi="仿宋_GB2312" w:eastAsia="仿宋_GB2312" w:cs="仿宋_GB2312"/>
          <w:b w:val="0"/>
          <w:bCs w:val="0"/>
          <w:i w:val="0"/>
          <w:iCs w:val="0"/>
          <w:color w:val="auto"/>
          <w:sz w:val="28"/>
          <w:szCs w:val="28"/>
          <w:highlight w:val="none"/>
          <w:u w:val="none"/>
          <w:shd w:val="clear" w:color="auto" w:fill="auto"/>
        </w:rPr>
        <w:t>要求），过程中产生的全部人</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员</w:t>
      </w:r>
      <w:r>
        <w:rPr>
          <w:rFonts w:hint="eastAsia" w:ascii="仿宋_GB2312" w:hAnsi="仿宋_GB2312" w:eastAsia="仿宋_GB2312" w:cs="仿宋_GB2312"/>
          <w:b w:val="0"/>
          <w:bCs w:val="0"/>
          <w:i w:val="0"/>
          <w:iCs w:val="0"/>
          <w:color w:val="auto"/>
          <w:sz w:val="28"/>
          <w:szCs w:val="28"/>
          <w:highlight w:val="none"/>
          <w:u w:val="none"/>
          <w:shd w:val="clear" w:color="auto" w:fill="auto"/>
        </w:rPr>
        <w:t>报酬、材料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本合同约定的甲供材除外</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、机具、施工管理等由乙方解决</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1104DEE5">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3.2</w:t>
      </w:r>
      <w:r>
        <w:rPr>
          <w:rFonts w:hint="eastAsia" w:ascii="仿宋" w:hAnsi="仿宋" w:eastAsia="仿宋" w:cs="仿宋"/>
          <w:i w:val="0"/>
          <w:iCs w:val="0"/>
          <w:color w:val="auto"/>
          <w:sz w:val="28"/>
          <w:szCs w:val="28"/>
          <w:highlight w:val="none"/>
          <w:lang w:val="en-US" w:eastAsia="zh-CN"/>
        </w:rPr>
        <w:t>甲方提供的</w:t>
      </w:r>
      <w:r>
        <w:rPr>
          <w:rFonts w:hint="eastAsia" w:ascii="仿宋" w:hAnsi="仿宋" w:eastAsia="仿宋" w:cs="仿宋"/>
          <w:b w:val="0"/>
          <w:bCs w:val="0"/>
          <w:i w:val="0"/>
          <w:iCs w:val="0"/>
          <w:color w:val="auto"/>
          <w:sz w:val="28"/>
          <w:szCs w:val="28"/>
          <w:highlight w:val="none"/>
          <w:shd w:val="clear" w:color="auto" w:fill="auto"/>
          <w:lang w:val="en-US" w:eastAsia="zh-CN"/>
        </w:rPr>
        <w:t>、经甲方权限流程审批的本工程施工图及施工做法、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55A7DD02">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3.3</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施工前，须在甲方施工员组织下对甲方（或其他单位）交付的施工界面进行检查，并签订好《完工场清交接单》后方可进场施工；如乙方未签订《完工场清交接单》即施工的，视乙方认为适于施工并作为己方施工前提，因该界面导致乙方施工内容不符合合同要求的，乙方自费返工至符合合同要求且不向甲方（或其他施工单位）索赔。</w:t>
      </w:r>
    </w:p>
    <w:p w14:paraId="147DC3D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rPr>
        <w:t>乙方负责施工的内容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包括但不限于</w:t>
      </w:r>
      <w:r>
        <w:rPr>
          <w:rFonts w:hint="eastAsia" w:ascii="仿宋_GB2312" w:hAnsi="仿宋_GB2312" w:eastAsia="仿宋_GB2312" w:cs="仿宋_GB2312"/>
          <w:b w:val="0"/>
          <w:bCs w:val="0"/>
          <w:i w:val="0"/>
          <w:iCs w:val="0"/>
          <w:color w:val="auto"/>
          <w:sz w:val="28"/>
          <w:szCs w:val="28"/>
          <w:highlight w:val="none"/>
          <w:u w:val="none"/>
          <w:shd w:val="clear" w:color="auto" w:fill="auto"/>
        </w:rPr>
        <w:t>：模板的制作、安装、拆除、维护、堆放、清理模板粘结物及架体立杆垫板、模内杂物清理、刷隔离剂等工作</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A8"/>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合同总价内，不属于增加工程，除非双方额外签证，否则结算时工程价款不作调整。</w:t>
      </w:r>
    </w:p>
    <w:p w14:paraId="7FCFF9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rPr>
        <w:t>乙方自备</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的</w:t>
      </w:r>
      <w:r>
        <w:rPr>
          <w:rFonts w:hint="eastAsia" w:ascii="仿宋_GB2312" w:hAnsi="仿宋_GB2312" w:eastAsia="仿宋_GB2312" w:cs="仿宋_GB2312"/>
          <w:b w:val="0"/>
          <w:bCs w:val="0"/>
          <w:i w:val="0"/>
          <w:iCs w:val="0"/>
          <w:color w:val="auto"/>
          <w:sz w:val="28"/>
          <w:szCs w:val="28"/>
          <w:highlight w:val="none"/>
          <w:u w:val="none"/>
          <w:shd w:val="clear" w:color="auto" w:fill="auto"/>
        </w:rPr>
        <w:t>施工材料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如下</w:t>
      </w:r>
      <w:r>
        <w:rPr>
          <w:rFonts w:hint="eastAsia" w:ascii="仿宋_GB2312" w:hAnsi="仿宋_GB2312" w:eastAsia="仿宋_GB2312" w:cs="仿宋_GB2312"/>
          <w:b w:val="0"/>
          <w:bCs w:val="0"/>
          <w:i w:val="0"/>
          <w:iCs w:val="0"/>
          <w:color w:val="auto"/>
          <w:sz w:val="28"/>
          <w:szCs w:val="28"/>
          <w:highlight w:val="none"/>
          <w:u w:val="none"/>
          <w:shd w:val="clear" w:color="auto" w:fill="auto"/>
        </w:rPr>
        <w:t>：模板</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基础部位外全部采用14mm厚新模板</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木枋</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PVC套管</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螺杆（含止水螺杆）</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水泥撑</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蝴蝶卡</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步步紧</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、方形扣、梁夹紧、</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整改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或</w:t>
      </w:r>
      <w:r>
        <w:rPr>
          <w:rFonts w:hint="eastAsia" w:ascii="仿宋_GB2312" w:hAnsi="仿宋_GB2312" w:eastAsia="仿宋_GB2312" w:cs="仿宋_GB2312"/>
          <w:b w:val="0"/>
          <w:bCs w:val="0"/>
          <w:i w:val="0"/>
          <w:iCs w:val="0"/>
          <w:color w:val="auto"/>
          <w:sz w:val="28"/>
          <w:szCs w:val="28"/>
          <w:highlight w:val="none"/>
          <w:u w:val="none"/>
          <w:shd w:val="clear" w:color="auto" w:fill="auto"/>
        </w:rPr>
        <w:t>返工所用材料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以及完成本工程所涉除钢管、扣件以外材料（本合同约定的甲供材除外）</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5FEEA4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rPr>
        <w:t>乙方自备的施工机具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如下</w:t>
      </w:r>
      <w:r>
        <w:rPr>
          <w:rFonts w:hint="eastAsia" w:ascii="仿宋_GB2312" w:hAnsi="仿宋_GB2312" w:eastAsia="仿宋_GB2312" w:cs="仿宋_GB2312"/>
          <w:b w:val="0"/>
          <w:bCs w:val="0"/>
          <w:i w:val="0"/>
          <w:iCs w:val="0"/>
          <w:color w:val="auto"/>
          <w:sz w:val="28"/>
          <w:szCs w:val="28"/>
          <w:highlight w:val="none"/>
          <w:u w:val="none"/>
          <w:shd w:val="clear" w:color="auto" w:fill="auto"/>
        </w:rPr>
        <w:t>：圆盘锯、锯片、木工电钻、铁钉、铁线、施工照明灯具和灯具电源线（约25</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米</w:t>
      </w:r>
      <w:r>
        <w:rPr>
          <w:rFonts w:hint="eastAsia" w:ascii="仿宋_GB2312" w:hAnsi="仿宋_GB2312" w:eastAsia="仿宋_GB2312" w:cs="仿宋_GB2312"/>
          <w:b w:val="0"/>
          <w:bCs w:val="0"/>
          <w:i w:val="0"/>
          <w:iCs w:val="0"/>
          <w:color w:val="auto"/>
          <w:sz w:val="28"/>
          <w:szCs w:val="28"/>
          <w:highlight w:val="none"/>
          <w:u w:val="none"/>
          <w:shd w:val="clear" w:color="auto" w:fill="auto"/>
        </w:rPr>
        <w:t>），配</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置</w:t>
      </w:r>
      <w:r>
        <w:rPr>
          <w:rFonts w:hint="eastAsia" w:ascii="仿宋_GB2312" w:hAnsi="仿宋_GB2312" w:eastAsia="仿宋_GB2312" w:cs="仿宋_GB2312"/>
          <w:b w:val="0"/>
          <w:bCs w:val="0"/>
          <w:i w:val="0"/>
          <w:iCs w:val="0"/>
          <w:color w:val="auto"/>
          <w:sz w:val="28"/>
          <w:szCs w:val="28"/>
          <w:highlight w:val="none"/>
          <w:u w:val="none"/>
          <w:shd w:val="clear" w:color="auto" w:fill="auto"/>
        </w:rPr>
        <w:t>一机一闸一漏开关箱等机具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开关箱、漏电保护器参数</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必须</w:t>
      </w:r>
      <w:r>
        <w:rPr>
          <w:rFonts w:hint="eastAsia" w:ascii="仿宋_GB2312" w:hAnsi="仿宋_GB2312" w:eastAsia="仿宋_GB2312" w:cs="仿宋_GB2312"/>
          <w:b w:val="0"/>
          <w:bCs w:val="0"/>
          <w:i w:val="0"/>
          <w:iCs w:val="0"/>
          <w:color w:val="auto"/>
          <w:sz w:val="28"/>
          <w:szCs w:val="28"/>
          <w:highlight w:val="none"/>
          <w:u w:val="none"/>
          <w:shd w:val="clear" w:color="auto" w:fill="auto"/>
        </w:rPr>
        <w:t>符</w:t>
      </w:r>
      <w:r>
        <w:rPr>
          <w:rFonts w:hint="eastAsia" w:ascii="仿宋_GB2312" w:hAnsi="仿宋_GB2312" w:eastAsia="仿宋_GB2312" w:cs="仿宋_GB2312"/>
          <w:i w:val="0"/>
          <w:iCs w:val="0"/>
          <w:color w:val="auto"/>
          <w:sz w:val="28"/>
          <w:szCs w:val="28"/>
          <w:highlight w:val="none"/>
          <w:u w:val="none"/>
          <w:shd w:val="clear" w:color="auto" w:fill="auto"/>
        </w:rPr>
        <w:t>合</w:t>
      </w:r>
      <w:r>
        <w:rPr>
          <w:rFonts w:hint="eastAsia" w:ascii="仿宋_GB2312" w:hAnsi="仿宋_GB2312" w:eastAsia="仿宋_GB2312" w:cs="仿宋_GB2312"/>
          <w:i w:val="0"/>
          <w:iCs w:val="0"/>
          <w:color w:val="auto"/>
          <w:sz w:val="28"/>
          <w:szCs w:val="28"/>
          <w:highlight w:val="none"/>
          <w:u w:val="none"/>
          <w:shd w:val="clear" w:color="auto" w:fill="auto"/>
          <w:lang w:eastAsia="zh-CN"/>
        </w:rPr>
        <w:t>《国家电气设备安全技术规范标准》GB19517-2009</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等规范的</w:t>
      </w:r>
      <w:r>
        <w:rPr>
          <w:rFonts w:hint="eastAsia" w:ascii="仿宋_GB2312" w:hAnsi="仿宋_GB2312" w:eastAsia="仿宋_GB2312" w:cs="仿宋_GB2312"/>
          <w:i w:val="0"/>
          <w:iCs w:val="0"/>
          <w:color w:val="auto"/>
          <w:sz w:val="28"/>
          <w:szCs w:val="28"/>
          <w:highlight w:val="none"/>
          <w:u w:val="none"/>
          <w:shd w:val="clear" w:color="auto" w:fill="auto"/>
        </w:rPr>
        <w:t>要求</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rPr>
        <w:t>。</w:t>
      </w:r>
    </w:p>
    <w:p w14:paraId="2802FF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7</w:t>
      </w:r>
      <w:r>
        <w:rPr>
          <w:rFonts w:hint="eastAsia" w:ascii="仿宋_GB2312" w:hAnsi="仿宋_GB2312" w:eastAsia="仿宋_GB2312" w:cs="仿宋_GB2312"/>
          <w:b w:val="0"/>
          <w:bCs w:val="0"/>
          <w:i w:val="0"/>
          <w:iCs w:val="0"/>
          <w:color w:val="auto"/>
          <w:sz w:val="28"/>
          <w:szCs w:val="28"/>
          <w:highlight w:val="none"/>
          <w:u w:val="none"/>
          <w:shd w:val="clear" w:color="auto" w:fill="auto"/>
        </w:rPr>
        <w:t>乙方</w:t>
      </w:r>
      <w:r>
        <w:rPr>
          <w:rFonts w:hint="eastAsia" w:ascii="仿宋" w:hAnsi="仿宋" w:eastAsia="仿宋" w:cs="仿宋"/>
          <w:color w:val="auto"/>
          <w:sz w:val="28"/>
          <w:szCs w:val="28"/>
          <w:highlight w:val="none"/>
          <w:lang w:val="en-US" w:eastAsia="zh-CN"/>
        </w:rPr>
        <w:t>甲方提供的机具（详见附件《施工总平面布置图》）：每两栋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台塔吊（该塔吊可能与其他楼栋共用）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施工</w:t>
      </w:r>
      <w:r>
        <w:rPr>
          <w:rFonts w:hint="eastAsia" w:ascii="仿宋" w:hAnsi="仿宋" w:eastAsia="仿宋" w:cs="仿宋"/>
          <w:color w:val="auto"/>
          <w:sz w:val="28"/>
          <w:szCs w:val="28"/>
          <w:highlight w:val="none"/>
        </w:rPr>
        <w:t>电梯每栋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甲供机具未</w:t>
      </w:r>
      <w:r>
        <w:rPr>
          <w:rFonts w:hint="eastAsia" w:ascii="仿宋" w:hAnsi="仿宋" w:eastAsia="仿宋" w:cs="仿宋"/>
          <w:color w:val="auto"/>
          <w:sz w:val="28"/>
          <w:szCs w:val="28"/>
          <w:highlight w:val="none"/>
          <w:lang w:eastAsia="zh-CN"/>
        </w:rPr>
        <w:t>覆盖</w:t>
      </w:r>
      <w:r>
        <w:rPr>
          <w:rFonts w:hint="eastAsia" w:ascii="仿宋" w:hAnsi="仿宋" w:eastAsia="仿宋" w:cs="仿宋"/>
          <w:color w:val="auto"/>
          <w:sz w:val="28"/>
          <w:szCs w:val="28"/>
          <w:highlight w:val="none"/>
          <w:lang w:val="en-US" w:eastAsia="zh-CN"/>
        </w:rPr>
        <w:t>范围所产生的费用已包含在</w:t>
      </w:r>
      <w:r>
        <w:rPr>
          <w:rFonts w:hint="eastAsia" w:ascii="仿宋" w:hAnsi="仿宋" w:eastAsia="仿宋" w:cs="仿宋"/>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合同单价内</w:t>
      </w:r>
      <w:r>
        <w:rPr>
          <w:rFonts w:hint="eastAsia" w:ascii="仿宋" w:hAnsi="仿宋" w:eastAsia="仿宋" w:cs="仿宋"/>
          <w:color w:val="auto"/>
          <w:sz w:val="28"/>
          <w:szCs w:val="28"/>
          <w:highlight w:val="none"/>
          <w:lang w:eastAsia="zh-CN"/>
        </w:rPr>
        <w:t>，甲方不再另行付费给乙方。当土建总包工程进度达到</w:t>
      </w:r>
      <w:r>
        <w:rPr>
          <w:rFonts w:hint="eastAsia" w:ascii="仿宋" w:hAnsi="仿宋" w:eastAsia="仿宋" w:cs="仿宋"/>
          <w:color w:val="auto"/>
          <w:sz w:val="28"/>
          <w:szCs w:val="28"/>
          <w:highlight w:val="none"/>
          <w:lang w:val="en-US" w:eastAsia="zh-CN"/>
        </w:rPr>
        <w:t>甲供机具</w:t>
      </w:r>
      <w:r>
        <w:rPr>
          <w:rFonts w:hint="eastAsia" w:ascii="仿宋" w:hAnsi="仿宋" w:eastAsia="仿宋" w:cs="仿宋"/>
          <w:color w:val="auto"/>
          <w:sz w:val="28"/>
          <w:szCs w:val="28"/>
          <w:highlight w:val="none"/>
          <w:lang w:eastAsia="zh-CN"/>
        </w:rPr>
        <w:t>拆除条件而乙方仍需使用</w:t>
      </w:r>
      <w:r>
        <w:rPr>
          <w:rFonts w:hint="eastAsia" w:ascii="仿宋" w:hAnsi="仿宋" w:eastAsia="仿宋" w:cs="仿宋"/>
          <w:color w:val="auto"/>
          <w:sz w:val="28"/>
          <w:szCs w:val="28"/>
          <w:highlight w:val="none"/>
          <w:lang w:val="en-US" w:eastAsia="zh-CN"/>
        </w:rPr>
        <w:t>该机具</w:t>
      </w:r>
      <w:r>
        <w:rPr>
          <w:rFonts w:hint="eastAsia" w:ascii="仿宋" w:hAnsi="仿宋" w:eastAsia="仿宋" w:cs="仿宋"/>
          <w:color w:val="auto"/>
          <w:sz w:val="28"/>
          <w:szCs w:val="28"/>
          <w:highlight w:val="none"/>
          <w:lang w:eastAsia="zh-CN"/>
        </w:rPr>
        <w:t>时，由乙方自行解决，若甲方同意延迟拆除，则乙方必须支付因</w:t>
      </w:r>
      <w:r>
        <w:rPr>
          <w:rFonts w:hint="eastAsia" w:ascii="仿宋" w:hAnsi="仿宋" w:eastAsia="仿宋" w:cs="仿宋"/>
          <w:color w:val="auto"/>
          <w:sz w:val="28"/>
          <w:szCs w:val="28"/>
          <w:highlight w:val="none"/>
          <w:lang w:val="en-US" w:eastAsia="zh-CN"/>
        </w:rPr>
        <w:t>机具</w:t>
      </w:r>
      <w:r>
        <w:rPr>
          <w:rFonts w:hint="eastAsia" w:ascii="仿宋" w:hAnsi="仿宋" w:eastAsia="仿宋" w:cs="仿宋"/>
          <w:color w:val="auto"/>
          <w:sz w:val="28"/>
          <w:szCs w:val="28"/>
          <w:highlight w:val="none"/>
          <w:lang w:eastAsia="zh-CN"/>
        </w:rPr>
        <w:t>延期</w:t>
      </w:r>
      <w:r>
        <w:rPr>
          <w:rFonts w:hint="eastAsia" w:ascii="仿宋" w:hAnsi="仿宋" w:eastAsia="仿宋" w:cs="仿宋"/>
          <w:color w:val="auto"/>
          <w:sz w:val="28"/>
          <w:szCs w:val="28"/>
          <w:highlight w:val="none"/>
          <w:lang w:val="en-US" w:eastAsia="zh-CN"/>
        </w:rPr>
        <w:t>拆除</w:t>
      </w:r>
      <w:r>
        <w:rPr>
          <w:rFonts w:hint="eastAsia" w:ascii="仿宋" w:hAnsi="仿宋" w:eastAsia="仿宋" w:cs="仿宋"/>
          <w:color w:val="auto"/>
          <w:sz w:val="28"/>
          <w:szCs w:val="28"/>
          <w:highlight w:val="none"/>
          <w:lang w:eastAsia="zh-CN"/>
        </w:rPr>
        <w:t>所产生的全部费用给甲方</w:t>
      </w:r>
      <w:r>
        <w:rPr>
          <w:rFonts w:hint="eastAsia" w:ascii="仿宋" w:hAnsi="仿宋" w:eastAsia="仿宋" w:cs="仿宋"/>
          <w:color w:val="auto"/>
          <w:sz w:val="28"/>
          <w:szCs w:val="28"/>
          <w:highlight w:val="none"/>
        </w:rPr>
        <w:t>。</w:t>
      </w:r>
    </w:p>
    <w:p w14:paraId="2A34B8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8</w:t>
      </w:r>
      <w:r>
        <w:rPr>
          <w:rFonts w:hint="eastAsia" w:ascii="仿宋_GB2312" w:hAnsi="仿宋_GB2312" w:eastAsia="仿宋_GB2312" w:cs="仿宋_GB2312"/>
          <w:i w:val="0"/>
          <w:iCs w:val="0"/>
          <w:color w:val="auto"/>
          <w:sz w:val="28"/>
          <w:szCs w:val="28"/>
          <w:highlight w:val="none"/>
          <w:u w:val="none"/>
          <w:shd w:val="clear" w:color="auto" w:fill="auto"/>
        </w:rPr>
        <w:t>乙方自行控制施工管理，自行组织</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施工的</w:t>
      </w:r>
      <w:r>
        <w:rPr>
          <w:rFonts w:hint="eastAsia" w:ascii="仿宋_GB2312" w:hAnsi="仿宋_GB2312" w:eastAsia="仿宋_GB2312" w:cs="仿宋_GB2312"/>
          <w:i w:val="0"/>
          <w:iCs w:val="0"/>
          <w:color w:val="auto"/>
          <w:sz w:val="28"/>
          <w:szCs w:val="28"/>
          <w:highlight w:val="none"/>
          <w:shd w:val="clear" w:color="auto" w:fill="auto"/>
          <w:lang w:val="en-US" w:eastAsia="zh-CN"/>
        </w:rPr>
        <w:t>相</w:t>
      </w:r>
      <w:r>
        <w:rPr>
          <w:rFonts w:hint="eastAsia" w:ascii="仿宋_GB2312" w:hAnsi="仿宋_GB2312" w:eastAsia="仿宋_GB2312" w:cs="仿宋_GB2312"/>
          <w:i w:val="0"/>
          <w:iCs w:val="0"/>
          <w:color w:val="auto"/>
          <w:sz w:val="28"/>
          <w:szCs w:val="28"/>
          <w:highlight w:val="none"/>
          <w:u w:val="none"/>
          <w:shd w:val="clear" w:color="auto" w:fill="auto"/>
        </w:rPr>
        <w:t>关质量、安全、进度、成本等现场组织管理工作，梁、板、柱、墙砼浇筑方案以甲方确定</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的</w:t>
      </w:r>
      <w:r>
        <w:rPr>
          <w:rFonts w:hint="eastAsia" w:ascii="仿宋_GB2312" w:hAnsi="仿宋_GB2312" w:eastAsia="仿宋_GB2312" w:cs="仿宋_GB2312"/>
          <w:i w:val="0"/>
          <w:iCs w:val="0"/>
          <w:color w:val="auto"/>
          <w:sz w:val="28"/>
          <w:szCs w:val="28"/>
          <w:highlight w:val="none"/>
          <w:u w:val="none"/>
          <w:shd w:val="clear" w:color="auto" w:fill="auto"/>
        </w:rPr>
        <w:t>为准。</w:t>
      </w:r>
    </w:p>
    <w:p w14:paraId="3852C8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9</w:t>
      </w:r>
      <w:r>
        <w:rPr>
          <w:rFonts w:hint="eastAsia" w:ascii="仿宋" w:hAnsi="仿宋" w:eastAsia="仿宋" w:cs="仿宋"/>
          <w:b w:val="0"/>
          <w:bCs w:val="0"/>
          <w:i w:val="0"/>
          <w:iCs w:val="0"/>
          <w:color w:val="auto"/>
          <w:sz w:val="28"/>
          <w:szCs w:val="28"/>
          <w:highlight w:val="none"/>
          <w:shd w:val="clear" w:color="auto" w:fill="auto"/>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第六章约定的合同价格中，甲方无需另行支付费用给乙方。</w:t>
      </w:r>
    </w:p>
    <w:p w14:paraId="6327B5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3.10</w:t>
      </w:r>
      <w:r>
        <w:rPr>
          <w:rFonts w:hint="eastAsia" w:ascii="仿宋_GB2312" w:hAnsi="仿宋_GB2312" w:eastAsia="仿宋_GB2312" w:cs="仿宋_GB2312"/>
          <w:i w:val="0"/>
          <w:iCs w:val="0"/>
          <w:color w:val="auto"/>
          <w:sz w:val="28"/>
          <w:szCs w:val="28"/>
          <w:highlight w:val="none"/>
          <w:u w:val="none"/>
          <w:shd w:val="clear" w:color="auto" w:fill="auto"/>
          <w:lang w:eastAsia="zh-CN"/>
        </w:rPr>
        <w:t>本项目</w:t>
      </w:r>
      <w:r>
        <w:rPr>
          <w:rFonts w:hint="eastAsia" w:ascii="仿宋_GB2312" w:hAnsi="仿宋_GB2312" w:eastAsia="仿宋_GB2312" w:cs="仿宋_GB2312"/>
          <w:i w:val="0"/>
          <w:iCs w:val="0"/>
          <w:color w:val="auto"/>
          <w:sz w:val="28"/>
          <w:szCs w:val="28"/>
          <w:highlight w:val="none"/>
          <w:u w:val="none"/>
          <w:shd w:val="clear" w:color="auto" w:fill="auto"/>
        </w:rPr>
        <w:t>设计变更引起的增加工程，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无论工程量大小及施工难度系数高低，如甲方要求</w:t>
      </w:r>
      <w:r>
        <w:rPr>
          <w:rFonts w:hint="eastAsia" w:ascii="仿宋_GB2312" w:hAnsi="仿宋_GB2312" w:eastAsia="仿宋_GB2312" w:cs="仿宋_GB2312"/>
          <w:i w:val="0"/>
          <w:iCs w:val="0"/>
          <w:color w:val="auto"/>
          <w:sz w:val="28"/>
          <w:szCs w:val="28"/>
          <w:highlight w:val="none"/>
          <w:u w:val="none"/>
          <w:shd w:val="clear" w:color="auto" w:fill="auto"/>
        </w:rPr>
        <w:t>乙方</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施工，乙方须按甲方要求施工</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相关费用</w:t>
      </w:r>
      <w:r>
        <w:rPr>
          <w:rFonts w:hint="eastAsia" w:ascii="仿宋_GB2312" w:hAnsi="仿宋_GB2312" w:eastAsia="仿宋_GB2312" w:cs="仿宋_GB2312"/>
          <w:i w:val="0"/>
          <w:iCs w:val="0"/>
          <w:color w:val="auto"/>
          <w:sz w:val="28"/>
          <w:szCs w:val="28"/>
          <w:highlight w:val="none"/>
          <w:u w:val="none"/>
          <w:shd w:val="clear" w:color="auto" w:fill="auto"/>
        </w:rPr>
        <w:t>按本合同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约定办理</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021A54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向甲方承担违约金人民币两千元），并在甲方通知施工之日起三个工作日内书面向甲方申报工程单价（申报格式以甲方确定的为准），逾期不申报视为乙方同意甲方单方确定的结算价格</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6DCACB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11</w:t>
      </w:r>
      <w:r>
        <w:rPr>
          <w:rFonts w:hint="eastAsia" w:ascii="仿宋_GB2312" w:hAnsi="仿宋_GB2312" w:eastAsia="仿宋_GB2312" w:cs="仿宋_GB2312"/>
          <w:b w:val="0"/>
          <w:bCs w:val="0"/>
          <w:i w:val="0"/>
          <w:iCs w:val="0"/>
          <w:color w:val="auto"/>
          <w:sz w:val="28"/>
          <w:szCs w:val="28"/>
          <w:highlight w:val="none"/>
          <w:u w:val="none"/>
          <w:shd w:val="clear" w:color="auto" w:fill="auto"/>
        </w:rPr>
        <w:t>乙方负责各种预留孔洞的施工</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及安全封闭，封闭要求以《中泰建安文明施工标准化细则》为准，</w:t>
      </w:r>
      <w:r>
        <w:rPr>
          <w:rFonts w:hint="eastAsia" w:ascii="仿宋_GB2312" w:hAnsi="仿宋_GB2312" w:eastAsia="仿宋_GB2312" w:cs="仿宋_GB2312"/>
          <w:b w:val="0"/>
          <w:bCs w:val="0"/>
          <w:i w:val="0"/>
          <w:iCs w:val="0"/>
          <w:color w:val="auto"/>
          <w:sz w:val="28"/>
          <w:szCs w:val="28"/>
          <w:highlight w:val="none"/>
          <w:u w:val="none"/>
          <w:shd w:val="clear" w:color="auto" w:fill="auto"/>
        </w:rPr>
        <w:t>有关费用已经包含在本合同第</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六章</w:t>
      </w:r>
      <w:r>
        <w:rPr>
          <w:rFonts w:hint="eastAsia" w:ascii="仿宋_GB2312" w:hAnsi="仿宋_GB2312" w:eastAsia="仿宋_GB2312" w:cs="仿宋_GB2312"/>
          <w:b w:val="0"/>
          <w:bCs w:val="0"/>
          <w:i w:val="0"/>
          <w:iCs w:val="0"/>
          <w:color w:val="auto"/>
          <w:sz w:val="28"/>
          <w:szCs w:val="28"/>
          <w:highlight w:val="none"/>
          <w:u w:val="none"/>
          <w:shd w:val="clear" w:color="auto" w:fill="auto"/>
        </w:rPr>
        <w:t>约定的合同单价中，甲方无需另行支付费用给乙方</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5B5F76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12</w:t>
      </w:r>
      <w:r>
        <w:rPr>
          <w:rFonts w:hint="eastAsia" w:ascii="仿宋_GB2312" w:hAnsi="仿宋_GB2312" w:eastAsia="仿宋_GB2312" w:cs="仿宋_GB2312"/>
          <w:i w:val="0"/>
          <w:iCs w:val="0"/>
          <w:color w:val="auto"/>
          <w:sz w:val="28"/>
          <w:szCs w:val="28"/>
          <w:highlight w:val="none"/>
          <w:u w:val="none"/>
          <w:shd w:val="clear" w:color="auto" w:fill="auto"/>
        </w:rPr>
        <w:t>乙方负责模型制作场及堆料场的文明施工工作，特别约定，模板拆除后运出工地前，乙方负责把钉子拔掉、水泥灰除掉，有关费用已经包含在本合同第</w:t>
      </w:r>
      <w:r>
        <w:rPr>
          <w:rFonts w:hint="eastAsia" w:ascii="仿宋_GB2312" w:hAnsi="仿宋_GB2312" w:eastAsia="仿宋_GB2312" w:cs="仿宋_GB2312"/>
          <w:i w:val="0"/>
          <w:iCs w:val="0"/>
          <w:color w:val="auto"/>
          <w:sz w:val="28"/>
          <w:szCs w:val="28"/>
          <w:highlight w:val="none"/>
          <w:u w:val="none"/>
          <w:shd w:val="clear" w:color="auto" w:fill="auto"/>
          <w:lang w:eastAsia="zh-CN"/>
        </w:rPr>
        <w:t>六章</w:t>
      </w:r>
      <w:r>
        <w:rPr>
          <w:rFonts w:hint="eastAsia" w:ascii="仿宋_GB2312" w:hAnsi="仿宋_GB2312" w:eastAsia="仿宋_GB2312" w:cs="仿宋_GB2312"/>
          <w:i w:val="0"/>
          <w:iCs w:val="0"/>
          <w:color w:val="auto"/>
          <w:sz w:val="28"/>
          <w:szCs w:val="28"/>
          <w:highlight w:val="none"/>
          <w:u w:val="none"/>
          <w:shd w:val="clear" w:color="auto" w:fill="auto"/>
        </w:rPr>
        <w:t>约定的合同单价中，甲方无需另行支付费用给乙方。</w:t>
      </w:r>
    </w:p>
    <w:p w14:paraId="144478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施工现场内所需材料、机具的</w:t>
      </w:r>
      <w:r>
        <w:rPr>
          <w:rFonts w:hint="eastAsia" w:ascii="仿宋_GB2312" w:hAnsi="仿宋_GB2312" w:eastAsia="仿宋_GB2312" w:cs="仿宋_GB2312"/>
          <w:b w:val="0"/>
          <w:bCs w:val="0"/>
          <w:i w:val="0"/>
          <w:iCs w:val="0"/>
          <w:color w:val="auto"/>
          <w:sz w:val="28"/>
          <w:szCs w:val="28"/>
          <w:highlight w:val="none"/>
          <w:u w:val="none"/>
          <w:shd w:val="clear" w:color="auto" w:fill="auto"/>
        </w:rPr>
        <w:t>运输</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165C7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材料、机具堆放场的文明施工工作。</w:t>
      </w:r>
    </w:p>
    <w:p w14:paraId="237218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eastAsia="zh-CN"/>
        </w:rPr>
        <w:t>在</w:t>
      </w:r>
      <w:r>
        <w:rPr>
          <w:rFonts w:hint="eastAsia" w:ascii="仿宋_GB2312" w:hAnsi="仿宋_GB2312" w:eastAsia="仿宋_GB2312" w:cs="仿宋_GB2312"/>
          <w:i w:val="0"/>
          <w:iCs w:val="0"/>
          <w:color w:val="auto"/>
          <w:sz w:val="28"/>
          <w:szCs w:val="28"/>
          <w:highlight w:val="none"/>
          <w:u w:val="none"/>
          <w:shd w:val="clear" w:color="auto" w:fill="auto"/>
        </w:rPr>
        <w:t>隐蔽</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验收前把工作面有关材料、机具、垃圾清理到</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u w:val="none"/>
          <w:shd w:val="clear" w:color="auto" w:fill="auto"/>
        </w:rPr>
        <w:t>指定位置</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砼浇筑完成，拆模后，及时清理材料（含外露砼面铁钉、铁线清理），保证拆一个面，清理完一个面。乙方把本工程范围内料具全部清理完成并运到甲方指定地点，楼面的垃圾清理、凿除（不含施工缝）由砼班</w:t>
      </w:r>
      <w:r>
        <w:rPr>
          <w:rFonts w:hint="eastAsia" w:ascii="仿宋_GB2312" w:hAnsi="仿宋_GB2312" w:eastAsia="仿宋_GB2312" w:cs="仿宋_GB2312"/>
          <w:i w:val="0"/>
          <w:iCs w:val="0"/>
          <w:color w:val="auto"/>
          <w:sz w:val="28"/>
          <w:szCs w:val="28"/>
          <w:highlight w:val="none"/>
          <w:u w:val="none"/>
          <w:shd w:val="clear" w:color="auto" w:fill="auto"/>
          <w:lang w:eastAsia="zh-CN"/>
        </w:rPr>
        <w:t>组</w:t>
      </w:r>
      <w:r>
        <w:rPr>
          <w:rFonts w:hint="eastAsia" w:ascii="仿宋_GB2312" w:hAnsi="仿宋_GB2312" w:eastAsia="仿宋_GB2312" w:cs="仿宋_GB2312"/>
          <w:i w:val="0"/>
          <w:iCs w:val="0"/>
          <w:color w:val="auto"/>
          <w:sz w:val="28"/>
          <w:szCs w:val="28"/>
          <w:highlight w:val="none"/>
          <w:u w:val="none"/>
          <w:shd w:val="clear" w:color="auto" w:fill="auto"/>
        </w:rPr>
        <w:t>和乙方分别承担50%并运到甲方指定地点。相关费用已包含在本合同第</w:t>
      </w:r>
      <w:r>
        <w:rPr>
          <w:rFonts w:hint="eastAsia" w:ascii="仿宋_GB2312" w:hAnsi="仿宋_GB2312" w:eastAsia="仿宋_GB2312" w:cs="仿宋_GB2312"/>
          <w:i w:val="0"/>
          <w:iCs w:val="0"/>
          <w:color w:val="auto"/>
          <w:sz w:val="28"/>
          <w:szCs w:val="28"/>
          <w:highlight w:val="none"/>
          <w:u w:val="none"/>
          <w:shd w:val="clear" w:color="auto" w:fill="auto"/>
          <w:lang w:eastAsia="zh-CN"/>
        </w:rPr>
        <w:t>六章</w:t>
      </w:r>
      <w:r>
        <w:rPr>
          <w:rFonts w:hint="eastAsia" w:ascii="仿宋_GB2312" w:hAnsi="仿宋_GB2312" w:eastAsia="仿宋_GB2312" w:cs="仿宋_GB2312"/>
          <w:i w:val="0"/>
          <w:iCs w:val="0"/>
          <w:color w:val="auto"/>
          <w:sz w:val="28"/>
          <w:szCs w:val="28"/>
          <w:highlight w:val="none"/>
          <w:u w:val="none"/>
          <w:shd w:val="clear" w:color="auto" w:fill="auto"/>
        </w:rPr>
        <w:t>约定的合同单价中，甲方无需另行支付费用给乙方。</w:t>
      </w:r>
    </w:p>
    <w:p w14:paraId="6BDCB8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3.16对拆除模板部位剪力墙、柱、止水螺杆须凿除干净，不影响下道外墙或涂料工序施工。对含套管的螺杆洞口进行封堵，达到防渗要求。</w:t>
      </w:r>
    </w:p>
    <w:p w14:paraId="743AD9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3.17关于楼层定位放线，乙方按甲方项目部要求派出人员进行配合，如放线出现问题，以现场双方共同判定的责任为准。</w:t>
      </w:r>
    </w:p>
    <w:p w14:paraId="381861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3.18施工现场内本工程所需材料、机具的运输不另计费。材料进、出场时，派工人上、下车，上下车费用包含在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合同总价内（甲供材的卸车由乙方负责且费用已包含在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合同总价中）。</w:t>
      </w:r>
    </w:p>
    <w:p w14:paraId="70677A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3.19</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164162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7" w:name="_Toc15548"/>
      <w:bookmarkStart w:id="8" w:name="_Toc8679"/>
      <w:bookmarkStart w:id="9" w:name="_Toc15468"/>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四</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、工期</w:t>
      </w:r>
      <w:bookmarkEnd w:id="7"/>
      <w:bookmarkEnd w:id="8"/>
      <w:bookmarkEnd w:id="9"/>
    </w:p>
    <w:p w14:paraId="642C25B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yellow"/>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4"/>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3041"/>
        <w:gridCol w:w="1103"/>
        <w:gridCol w:w="2127"/>
        <w:gridCol w:w="2302"/>
        <w:gridCol w:w="992"/>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81"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37"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3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21"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81"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37"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493天</w:t>
            </w:r>
          </w:p>
        </w:tc>
        <w:tc>
          <w:tcPr>
            <w:tcW w:w="103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2024年8月20日</w:t>
            </w:r>
          </w:p>
        </w:tc>
        <w:tc>
          <w:tcPr>
            <w:tcW w:w="1121"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2025年12月25日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81"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37"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3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21"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81"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37"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3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21"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2732F2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bookmarkStart w:id="10" w:name="_Toc22079"/>
      <w:bookmarkStart w:id="11" w:name="_Toc3824"/>
      <w:r>
        <w:rPr>
          <w:rFonts w:hint="eastAsia" w:ascii="仿宋_GB2312" w:hAnsi="仿宋_GB2312" w:eastAsia="仿宋_GB2312" w:cs="仿宋_GB2312"/>
          <w:i w:val="0"/>
          <w:iCs w:val="0"/>
          <w:color w:val="auto"/>
          <w:sz w:val="28"/>
          <w:szCs w:val="28"/>
          <w:highlight w:val="none"/>
          <w:u w:val="none"/>
          <w:shd w:val="clear" w:color="auto" w:fill="auto"/>
          <w:lang w:val="en-US" w:eastAsia="zh-CN"/>
        </w:rPr>
        <w:t>4.2本合同工期为计划工期，实际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61928E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4.3乙方须严格遵照甲方制订的施工进度计划施工及完成相关工作，接受甲方项目部施工任务安排，否则甲方可按合同对乙方予以处罚。</w:t>
      </w:r>
    </w:p>
    <w:p w14:paraId="2C333B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4.4乙方已充分考虑天气因素、除不可抗力（如：地震、海啸、瘟疫、骚乱、戒严、暴动、战争等法定情形）外其他原因可能对工期的影响，乙方同意不因任何原因要求延长工期。</w:t>
      </w:r>
    </w:p>
    <w:p w14:paraId="26F7B4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4.5乙方必须满足甲方工期要求，配备本工程熟练技术工人不少于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150</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人</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，随时增加或减少乙方人员以满足本工程施工要求。</w:t>
      </w:r>
    </w:p>
    <w:p w14:paraId="353EC6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4.6乙方在本合同签订前已勘察本项目现场场地，对本工程特性全部清楚，因甲方原因导致施工计划调整的，乙方免费积极配合。</w:t>
      </w:r>
    </w:p>
    <w:p w14:paraId="3ED89D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4.7乙方认为甲方或其他单位未配合提供所需工作面、机具及材料而影响施工进度时，须书面告知甲方并按甲方要求办理相关事宜，否则视为不影响乙方施工，乙方不得因此要求延长工期。</w:t>
      </w:r>
    </w:p>
    <w:p w14:paraId="18EF63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4.8乙方须严格遵照甲方制订的施工进度计划开展具体施工工作，每</w:t>
      </w:r>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必须到甲方项目部在《施工任务表》上签认施工任务并保证完成，违者主动接受相应的扣款处罚。</w:t>
      </w:r>
    </w:p>
    <w:p w14:paraId="3E2764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4.9本项目竣工验收移交甲方后、保修期结束前，如甲方在本项目内有新增工程且要求乙方进行报价施工时，乙方须予配合。</w:t>
      </w:r>
    </w:p>
    <w:p w14:paraId="22302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4.10乙方提交的开工资料须满足甲方要求。乙方须在收到甲方项目经理签发并加盖甲方项目章的开工令后，按开工令要求进场。</w:t>
      </w:r>
    </w:p>
    <w:p w14:paraId="009616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4.11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70AE4E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12" w:name="_Toc2166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第五章、工程质量标准</w:t>
      </w:r>
      <w:bookmarkEnd w:id="10"/>
      <w:bookmarkEnd w:id="11"/>
      <w:bookmarkEnd w:id="1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 xml:space="preserve"> </w:t>
      </w:r>
    </w:p>
    <w:p w14:paraId="7A3710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质量标准</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rPr>
        <w:t>：本工程须达到国家、行业相关施工质量验收规范的</w:t>
      </w:r>
      <w:r>
        <w:rPr>
          <w:rFonts w:hint="eastAsia" w:ascii="仿宋" w:hAnsi="仿宋" w:eastAsia="仿宋" w:cs="仿宋"/>
          <w:b/>
          <w:bCs/>
          <w:color w:val="auto"/>
          <w:sz w:val="28"/>
          <w:szCs w:val="28"/>
          <w:highlight w:val="none"/>
          <w:u w:val="single"/>
        </w:rPr>
        <w:t xml:space="preserve"> 优良</w:t>
      </w:r>
      <w:r>
        <w:rPr>
          <w:rFonts w:hint="eastAsia" w:ascii="仿宋" w:hAnsi="仿宋" w:eastAsia="仿宋" w:cs="仿宋"/>
          <w:color w:val="auto"/>
          <w:sz w:val="28"/>
          <w:szCs w:val="28"/>
          <w:highlight w:val="none"/>
        </w:rPr>
        <w:t>标准，本合同另有约定的亦须同时符合该约定。</w:t>
      </w:r>
    </w:p>
    <w:p w14:paraId="5ECF32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5.1.1楼面外围边模板必须平楼面标高；</w:t>
      </w:r>
    </w:p>
    <w:p w14:paraId="64FB1F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5.1.2柱用方形扣、梁用梁夹紧加固；</w:t>
      </w:r>
    </w:p>
    <w:p w14:paraId="6FA332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5.1.3构造柱、圈梁、过梁采用双面胶避免漏浆。</w:t>
      </w:r>
    </w:p>
    <w:p w14:paraId="0873FF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.2</w:t>
      </w:r>
      <w:r>
        <w:rPr>
          <w:rFonts w:hint="eastAsia" w:ascii="仿宋" w:hAnsi="仿宋" w:eastAsia="仿宋" w:cs="仿宋"/>
          <w:color w:val="auto"/>
          <w:sz w:val="28"/>
          <w:szCs w:val="28"/>
          <w:highlight w:val="none"/>
        </w:rPr>
        <w:t>甲方（或监理、建设单位、政府部门）检查、验收本工程或本项目时，</w:t>
      </w:r>
      <w:r>
        <w:rPr>
          <w:rFonts w:hint="eastAsia" w:ascii="仿宋" w:hAnsi="仿宋" w:eastAsia="仿宋" w:cs="仿宋"/>
          <w:color w:val="auto"/>
          <w:sz w:val="28"/>
          <w:szCs w:val="28"/>
          <w:highlight w:val="none"/>
          <w:lang w:eastAsia="zh-CN"/>
        </w:rPr>
        <w:t>乙方</w:t>
      </w:r>
      <w:r>
        <w:rPr>
          <w:rFonts w:hint="eastAsia" w:ascii="仿宋" w:hAnsi="仿宋" w:eastAsia="仿宋" w:cs="仿宋"/>
          <w:color w:val="auto"/>
          <w:sz w:val="28"/>
          <w:szCs w:val="28"/>
          <w:highlight w:val="none"/>
        </w:rPr>
        <w:t>安排管理人员配合检查、验收，否则每次向甲方承担违约金人民币</w:t>
      </w:r>
      <w:r>
        <w:rPr>
          <w:rFonts w:hint="eastAsia" w:ascii="仿宋" w:hAnsi="仿宋" w:eastAsia="仿宋" w:cs="仿宋"/>
          <w:color w:val="auto"/>
          <w:sz w:val="28"/>
          <w:szCs w:val="28"/>
          <w:highlight w:val="none"/>
          <w:lang w:eastAsia="zh-CN"/>
        </w:rPr>
        <w:t>壹</w:t>
      </w:r>
      <w:r>
        <w:rPr>
          <w:rFonts w:hint="eastAsia" w:ascii="仿宋" w:hAnsi="仿宋" w:eastAsia="仿宋" w:cs="仿宋"/>
          <w:color w:val="auto"/>
          <w:sz w:val="28"/>
          <w:szCs w:val="28"/>
          <w:highlight w:val="none"/>
        </w:rPr>
        <w:t>万元。乙方施工过程中必须进行质量检查，并按甲方要求做好标记及书面资料，严格执行三级检查制度。乙方须坚决落实甲方、政府部门提出的整改要求，凡未按要求落实整改的，甲方有权对乙方罚款贰仟至伍万元/次，整改二次以上的甲方有权对本工程按□合同总价</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rPr>
        <w:t>合同单价下浮5%予以结算。</w:t>
      </w:r>
      <w:r>
        <w:rPr>
          <w:rFonts w:hint="eastAsia" w:ascii="仿宋_GB2312" w:hAnsi="仿宋_GB2312" w:eastAsia="仿宋_GB2312" w:cs="仿宋_GB2312"/>
          <w:i w:val="0"/>
          <w:iCs w:val="0"/>
          <w:color w:val="auto"/>
          <w:sz w:val="28"/>
          <w:szCs w:val="28"/>
          <w:highlight w:val="none"/>
          <w:u w:val="none"/>
          <w:shd w:val="clear" w:color="auto" w:fill="auto"/>
        </w:rPr>
        <w:t xml:space="preserve">                     </w:t>
      </w:r>
    </w:p>
    <w:p w14:paraId="34CA306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.3质量要点</w:t>
      </w:r>
    </w:p>
    <w:p w14:paraId="542743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5.3.1</w:t>
      </w:r>
      <w:r>
        <w:rPr>
          <w:rFonts w:hint="eastAsia" w:ascii="仿宋_GB2312" w:hAnsi="仿宋_GB2312" w:eastAsia="仿宋_GB2312" w:cs="仿宋_GB2312"/>
          <w:b w:val="0"/>
          <w:bCs w:val="0"/>
          <w:i w:val="0"/>
          <w:iCs w:val="0"/>
          <w:color w:val="auto"/>
          <w:sz w:val="28"/>
          <w:szCs w:val="28"/>
          <w:highlight w:val="none"/>
          <w:u w:val="none"/>
          <w:shd w:val="clear" w:color="auto" w:fill="auto"/>
        </w:rPr>
        <w:t>模板及其支架应具有足够的承载能力、刚度及稳定性，能可靠地承受浇筑砼的重量、侧压力以及施工荷载，严禁胀模、爆模；</w:t>
      </w:r>
    </w:p>
    <w:p w14:paraId="650899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5.3.2</w:t>
      </w:r>
      <w:r>
        <w:rPr>
          <w:rFonts w:hint="eastAsia" w:ascii="仿宋_GB2312" w:hAnsi="仿宋_GB2312" w:eastAsia="仿宋_GB2312" w:cs="仿宋_GB2312"/>
          <w:b w:val="0"/>
          <w:bCs w:val="0"/>
          <w:i w:val="0"/>
          <w:iCs w:val="0"/>
          <w:color w:val="auto"/>
          <w:sz w:val="28"/>
          <w:szCs w:val="28"/>
          <w:highlight w:val="none"/>
          <w:u w:val="none"/>
          <w:shd w:val="clear" w:color="auto" w:fill="auto"/>
        </w:rPr>
        <w:t>模板接缝严密；</w:t>
      </w:r>
    </w:p>
    <w:p w14:paraId="00B895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5.3.3</w:t>
      </w:r>
      <w:r>
        <w:rPr>
          <w:rFonts w:hint="eastAsia" w:ascii="仿宋_GB2312" w:hAnsi="仿宋_GB2312" w:eastAsia="仿宋_GB2312" w:cs="仿宋_GB2312"/>
          <w:b w:val="0"/>
          <w:bCs w:val="0"/>
          <w:i w:val="0"/>
          <w:iCs w:val="0"/>
          <w:color w:val="auto"/>
          <w:sz w:val="28"/>
          <w:szCs w:val="28"/>
          <w:highlight w:val="none"/>
          <w:u w:val="none"/>
          <w:shd w:val="clear" w:color="auto" w:fill="auto"/>
        </w:rPr>
        <w:t>浇筑砼前模内杂物清理干净；</w:t>
      </w:r>
    </w:p>
    <w:p w14:paraId="273082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5.3.4</w:t>
      </w:r>
      <w:r>
        <w:rPr>
          <w:rFonts w:hint="eastAsia" w:ascii="仿宋_GB2312" w:hAnsi="仿宋_GB2312" w:eastAsia="仿宋_GB2312" w:cs="仿宋_GB2312"/>
          <w:b w:val="0"/>
          <w:bCs w:val="0"/>
          <w:i w:val="0"/>
          <w:iCs w:val="0"/>
          <w:color w:val="auto"/>
          <w:sz w:val="28"/>
          <w:szCs w:val="28"/>
          <w:highlight w:val="none"/>
          <w:u w:val="none"/>
          <w:shd w:val="clear" w:color="auto" w:fill="auto"/>
        </w:rPr>
        <w:t>模板安装轴线位置允许偏差5mm，底模上表面标高允许偏差5mm，截面尺寸允许偏差5mm，层高垂直度允许偏差6mm，相邻两板面高低差允许偏差2mm，表面平整度允许偏差5mm；</w:t>
      </w:r>
    </w:p>
    <w:p w14:paraId="3BBB8B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5.3.5</w:t>
      </w:r>
      <w:r>
        <w:rPr>
          <w:rFonts w:hint="eastAsia" w:ascii="仿宋_GB2312" w:hAnsi="仿宋_GB2312" w:eastAsia="仿宋_GB2312" w:cs="仿宋_GB2312"/>
          <w:b w:val="0"/>
          <w:bCs w:val="0"/>
          <w:i w:val="0"/>
          <w:iCs w:val="0"/>
          <w:color w:val="auto"/>
          <w:sz w:val="28"/>
          <w:szCs w:val="28"/>
          <w:highlight w:val="none"/>
          <w:u w:val="none"/>
          <w:shd w:val="clear" w:color="auto" w:fill="auto"/>
        </w:rPr>
        <w:t>模板拆除干净。</w:t>
      </w:r>
    </w:p>
    <w:p w14:paraId="3D71C4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5.4由于乙方原因导致工程任一部位质量达不到约定的质量标准或不符合施工规范的，该部位按相应的合同单价下调10％结算且乙方无条件完成整改，所发生一切费用由乙方自行承担。</w:t>
      </w:r>
    </w:p>
    <w:p w14:paraId="2E1EC8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5.5乙供材料收货验收流程及标准</w:t>
      </w:r>
    </w:p>
    <w:p w14:paraId="15B0E2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5.5.1乙方中标后3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42257C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乙方在选择运输材料的机具时，须提前向甲方项目部安全员报备，选择适合的路线准时抵达，避免现场车辆拥堵，运输车辆总重不得超过现场道路限载，服从甲方项目人员指挥，装卸时注意施工安全。</w:t>
      </w:r>
    </w:p>
    <w:p w14:paraId="2C3991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施工周转材料和小型机具进场前须报甲方项目部检查，做好特殊标记，甲方备案人员进行清点后方可使用，无特殊标记的周转材料不得进场，私自进场的不得外运。</w:t>
      </w:r>
    </w:p>
    <w:p w14:paraId="5118C9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5.5.2甲方施工员在乙供材料、设备进场时对品牌、规格、型号、质量等进行抽检并拍照留存。</w:t>
      </w:r>
    </w:p>
    <w:p w14:paraId="17FF6F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5.5.3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33CDA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0B60D8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5.5.5乙方使用于本工程的所有材料及机械设备必须符合现行国家及项目当地的相关规定，同时按甲方《分包单位材料管理制度》执行。 </w:t>
      </w:r>
    </w:p>
    <w:p w14:paraId="19DB53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5.5.6</w:t>
      </w:r>
      <w:r>
        <w:rPr>
          <w:rFonts w:hint="eastAsia" w:ascii="仿宋" w:hAnsi="仿宋" w:eastAsia="仿宋" w:cs="仿宋"/>
          <w:i w:val="0"/>
          <w:iCs w:val="0"/>
          <w:color w:val="auto"/>
          <w:sz w:val="28"/>
          <w:szCs w:val="28"/>
          <w:highlight w:val="none"/>
          <w:shd w:val="clear" w:color="auto" w:fill="auto"/>
          <w:lang w:val="en-US" w:eastAsia="zh-CN"/>
        </w:rPr>
        <w:t>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116A85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5.6乙方必须以甲方验收合格为标准，无条件的接受返工、整改，工期不得顺延。</w:t>
      </w:r>
      <w:r>
        <w:rPr>
          <w:rFonts w:hint="eastAsia" w:ascii="仿宋" w:hAnsi="仿宋" w:eastAsia="仿宋" w:cs="仿宋"/>
          <w:color w:val="auto"/>
          <w:sz w:val="28"/>
          <w:szCs w:val="28"/>
          <w:highlight w:val="none"/>
        </w:rPr>
        <w:t xml:space="preserve"> </w:t>
      </w:r>
    </w:p>
    <w:p w14:paraId="6430C6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13" w:name="_Toc19252"/>
      <w:bookmarkStart w:id="14" w:name="_Toc23462"/>
      <w:bookmarkStart w:id="15" w:name="_Toc206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六</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、合同价款</w:t>
      </w:r>
      <w:bookmarkEnd w:id="13"/>
      <w:bookmarkEnd w:id="14"/>
      <w:bookmarkEnd w:id="15"/>
    </w:p>
    <w:p w14:paraId="43544B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6.1</w:t>
      </w:r>
      <w:r>
        <w:rPr>
          <w:rFonts w:hint="eastAsia" w:ascii="仿宋" w:hAnsi="仿宋" w:eastAsia="仿宋" w:cs="仿宋"/>
          <w:i w:val="0"/>
          <w:iCs w:val="0"/>
          <w:color w:val="auto"/>
          <w:sz w:val="28"/>
          <w:szCs w:val="28"/>
          <w:highlight w:val="none"/>
        </w:rPr>
        <w:t>乙方完成本合同第三章承包范围内所述工作、实现第四章工期要求、第五章质量要求及承担合同义务、责任、风险的费用已包括在下列合同价（以打</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2" w:char="0052"/>
      </w:r>
      <w:r>
        <w:rPr>
          <w:rFonts w:hint="eastAsia" w:ascii="仿宋" w:hAnsi="仿宋" w:eastAsia="仿宋" w:cs="仿宋"/>
          <w:i w:val="0"/>
          <w:iCs w:val="0"/>
          <w:color w:val="auto"/>
          <w:sz w:val="28"/>
          <w:szCs w:val="28"/>
          <w:highlight w:val="none"/>
        </w:rPr>
        <w:t>为准）中。</w:t>
      </w:r>
    </w:p>
    <w:p w14:paraId="7B6F36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6.1.1</w:t>
      </w:r>
    </w:p>
    <w:p w14:paraId="1BB6D3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bCs/>
          <w:i w:val="0"/>
          <w:iCs w:val="0"/>
          <w:color w:val="auto"/>
          <w:sz w:val="28"/>
          <w:szCs w:val="28"/>
          <w:highlight w:val="none"/>
          <w:shd w:val="clear" w:color="auto" w:fill="auto"/>
          <w:lang w:val="en-US" w:eastAsia="zh-CN"/>
        </w:rPr>
        <w:t>本合同为固定单价合同，工程量按合同约定计量规则计算</w:t>
      </w:r>
      <w:r>
        <w:rPr>
          <w:rFonts w:hint="eastAsia" w:ascii="仿宋_GB2312" w:hAnsi="仿宋_GB2312" w:eastAsia="仿宋_GB2312" w:cs="仿宋_GB2312"/>
          <w:b/>
          <w:bCs/>
          <w:i w:val="0"/>
          <w:iCs w:val="0"/>
          <w:color w:val="auto"/>
          <w:sz w:val="28"/>
          <w:szCs w:val="28"/>
          <w:highlight w:val="none"/>
          <w:shd w:val="clear" w:color="auto" w:fill="auto"/>
          <w:lang w:val="en-US" w:eastAsia="zh-CN"/>
        </w:rPr>
        <w:t>。合同单价（详见附件）为全费用固定综合单价，乙方开具税率</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%的增值税专用发票（税率按国家政策执行，如税率调整，合同单价随之调整），除合同另有约定外，合同单价不作任何调整。合同单价包含乙方完成合同附件所述内容的费用。本合同暂定总价为人民币</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（大写） </w:t>
      </w:r>
      <w:r>
        <w:rPr>
          <w:rFonts w:hint="eastAsia" w:ascii="仿宋_GB2312" w:hAnsi="仿宋_GB2312" w:eastAsia="仿宋_GB2312" w:cs="仿宋_GB2312"/>
          <w:b/>
          <w:bCs/>
          <w:i w:val="0"/>
          <w:iCs w:val="0"/>
          <w:color w:val="auto"/>
          <w:sz w:val="28"/>
          <w:szCs w:val="28"/>
          <w:highlight w:val="none"/>
          <w:shd w:val="clear" w:color="auto" w:fill="auto"/>
          <w:lang w:val="en-US" w:eastAsia="zh-CN"/>
        </w:rPr>
        <w:t>，此价仅供参考，不作结算用途。</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乙方完成第6.1.2条所述工作、应对所述情况、风险的费用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已包含在本合同单价中，甲方无需另行付费给乙方。</w:t>
      </w:r>
    </w:p>
    <w:p w14:paraId="0206E0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left"/>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w:char="00A8"/>
      </w:r>
      <w:r>
        <w:rPr>
          <w:rFonts w:hint="eastAsia" w:ascii="仿宋_GB2312" w:hAnsi="仿宋_GB2312" w:eastAsia="仿宋_GB2312" w:cs="仿宋_GB2312"/>
          <w:b/>
          <w:bCs/>
          <w:i w:val="0"/>
          <w:iCs w:val="0"/>
          <w:color w:val="auto"/>
          <w:sz w:val="28"/>
          <w:szCs w:val="28"/>
          <w:highlight w:val="none"/>
          <w:shd w:val="clear" w:color="auto" w:fill="auto"/>
          <w:lang w:val="en-US" w:eastAsia="zh-CN"/>
        </w:rPr>
        <w:t>本合同为固定总价合同，合同总价为人民币</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（大写）元整（详见附件），</w:t>
      </w:r>
      <w:r>
        <w:rPr>
          <w:rFonts w:hint="eastAsia" w:ascii="仿宋_GB2312" w:hAnsi="仿宋_GB2312" w:eastAsia="仿宋_GB2312" w:cs="仿宋_GB2312"/>
          <w:b/>
          <w:bCs/>
          <w:i w:val="0"/>
          <w:iCs w:val="0"/>
          <w:color w:val="auto"/>
          <w:sz w:val="28"/>
          <w:szCs w:val="28"/>
          <w:highlight w:val="none"/>
          <w:shd w:val="clear" w:color="auto" w:fill="auto"/>
          <w:lang w:val="en-US" w:eastAsia="zh-CN"/>
        </w:rPr>
        <w:t>此价含税，乙方开具税率</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r>
        <w:rPr>
          <w:rFonts w:hint="eastAsia" w:ascii="仿宋_GB2312" w:hAnsi="仿宋_GB2312" w:eastAsia="仿宋_GB2312" w:cs="仿宋_GB2312"/>
          <w:i w:val="0"/>
          <w:iCs w:val="0"/>
          <w:color w:val="auto"/>
          <w:sz w:val="28"/>
          <w:szCs w:val="28"/>
          <w:highlight w:val="none"/>
          <w:u w:val="none"/>
          <w:shd w:val="clear" w:color="auto" w:fill="auto"/>
        </w:rPr>
        <w:t>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总</w:t>
      </w:r>
      <w:r>
        <w:rPr>
          <w:rFonts w:hint="eastAsia" w:ascii="仿宋_GB2312" w:hAnsi="仿宋_GB2312" w:eastAsia="仿宋_GB2312" w:cs="仿宋_GB2312"/>
          <w:i w:val="0"/>
          <w:iCs w:val="0"/>
          <w:color w:val="auto"/>
          <w:sz w:val="28"/>
          <w:szCs w:val="28"/>
          <w:highlight w:val="none"/>
          <w:u w:val="none"/>
          <w:shd w:val="clear" w:color="auto" w:fill="auto"/>
        </w:rPr>
        <w:t>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还包括乙方完成第6.1.2条所述工作、应对所述情况的费用、风险的费用，甲方无需另行付费给乙方。</w:t>
      </w:r>
    </w:p>
    <w:p w14:paraId="7F0818B4">
      <w:pPr>
        <w:pStyle w:val="1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eastAsia="仿宋_GB2312"/>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6.1.2</w:t>
      </w:r>
    </w:p>
    <w:p w14:paraId="1AE4CE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（1）柱、梁、墙的加固方式按甲方项目部要求执行。</w:t>
      </w:r>
    </w:p>
    <w:p w14:paraId="11896A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（2）</w:t>
      </w:r>
      <w:r>
        <w:rPr>
          <w:rFonts w:hint="eastAsia" w:ascii="仿宋_GB2312" w:hAnsi="仿宋_GB2312" w:eastAsia="仿宋_GB2312" w:cs="仿宋_GB2312"/>
          <w:i w:val="0"/>
          <w:iCs w:val="0"/>
          <w:color w:val="auto"/>
          <w:sz w:val="28"/>
          <w:szCs w:val="28"/>
          <w:highlight w:val="none"/>
          <w:u w:val="none"/>
          <w:shd w:val="clear" w:color="auto" w:fill="auto"/>
        </w:rPr>
        <w:t>本工程采用</w:t>
      </w:r>
      <w:r>
        <w:rPr>
          <w:rFonts w:hint="eastAsia" w:ascii="仿宋_GB2312" w:hAnsi="仿宋_GB2312" w:eastAsia="仿宋_GB2312" w:cs="仿宋_GB2312"/>
          <w:i w:val="0"/>
          <w:iCs w:val="0"/>
          <w:color w:val="auto"/>
          <w:sz w:val="28"/>
          <w:szCs w:val="28"/>
          <w:highlight w:val="none"/>
          <w:u w:val="none"/>
          <w:shd w:val="clear" w:color="auto" w:fill="auto"/>
          <w:lang w:eastAsia="zh-CN"/>
        </w:rPr>
        <w:t>盘</w:t>
      </w:r>
      <w:r>
        <w:rPr>
          <w:rFonts w:hint="eastAsia" w:ascii="仿宋_GB2312" w:hAnsi="仿宋_GB2312" w:eastAsia="仿宋_GB2312" w:cs="仿宋_GB2312"/>
          <w:i w:val="0"/>
          <w:iCs w:val="0"/>
          <w:color w:val="auto"/>
          <w:sz w:val="28"/>
          <w:szCs w:val="28"/>
          <w:highlight w:val="none"/>
          <w:u w:val="none"/>
          <w:shd w:val="clear" w:color="auto" w:fill="auto"/>
        </w:rPr>
        <w:t>扣式钢管架作为模板支撑体系，按甲方编制的施工方案执行，由乙方负责完成，费用已包括在合同单价内</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具体作法按甲方施工方案执行。</w:t>
      </w:r>
      <w:r>
        <w:rPr>
          <w:rFonts w:hint="eastAsia" w:ascii="仿宋_GB2312" w:hAnsi="仿宋_GB2312" w:eastAsia="仿宋_GB2312" w:cs="仿宋_GB2312"/>
          <w:i w:val="0"/>
          <w:iCs w:val="0"/>
          <w:color w:val="auto"/>
          <w:sz w:val="28"/>
          <w:szCs w:val="28"/>
          <w:highlight w:val="none"/>
          <w:u w:val="none"/>
          <w:shd w:val="clear" w:color="auto" w:fill="auto"/>
          <w:lang w:eastAsia="zh-CN"/>
        </w:rPr>
        <w:t>盘扣式</w:t>
      </w:r>
      <w:r>
        <w:rPr>
          <w:rFonts w:hint="eastAsia" w:ascii="仿宋_GB2312" w:hAnsi="仿宋_GB2312" w:eastAsia="仿宋_GB2312" w:cs="仿宋_GB2312"/>
          <w:i w:val="0"/>
          <w:iCs w:val="0"/>
          <w:color w:val="auto"/>
          <w:sz w:val="28"/>
          <w:szCs w:val="28"/>
          <w:highlight w:val="none"/>
          <w:u w:val="none"/>
          <w:shd w:val="clear" w:color="auto" w:fill="auto"/>
        </w:rPr>
        <w:t>钢管架计量按非高大模板部位</w:t>
      </w:r>
      <w:r>
        <w:rPr>
          <w:rFonts w:hint="eastAsia" w:ascii="仿宋_GB2312" w:hAnsi="仿宋_GB2312" w:eastAsia="仿宋_GB2312" w:cs="仿宋_GB2312"/>
          <w:i w:val="0"/>
          <w:iCs w:val="0"/>
          <w:color w:val="auto"/>
          <w:sz w:val="28"/>
          <w:szCs w:val="28"/>
          <w:highlight w:val="none"/>
          <w:u w:val="none"/>
          <w:shd w:val="clear" w:color="auto" w:fill="auto"/>
          <w:lang w:eastAsia="zh-CN"/>
        </w:rPr>
        <w:t>的</w:t>
      </w:r>
      <w:r>
        <w:rPr>
          <w:rFonts w:hint="eastAsia" w:ascii="仿宋_GB2312" w:hAnsi="仿宋_GB2312" w:eastAsia="仿宋_GB2312" w:cs="仿宋_GB2312"/>
          <w:i w:val="0"/>
          <w:iCs w:val="0"/>
          <w:color w:val="auto"/>
          <w:sz w:val="28"/>
          <w:szCs w:val="28"/>
          <w:highlight w:val="none"/>
          <w:u w:val="none"/>
          <w:shd w:val="clear" w:color="auto" w:fill="auto"/>
        </w:rPr>
        <w:t>梁、板、楼梯模板面积计算（无搭设架体构件不计算工程量）。</w:t>
      </w:r>
    </w:p>
    <w:p w14:paraId="1F8D14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）外综合脚手架所需要的预留洞口和测量洞口的模板支撑、安装、拆除及修复的费用。</w:t>
      </w:r>
    </w:p>
    <w:p w14:paraId="29F3C7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 xml:space="preserve">）完成本项目图纸范围内的全部模板工程，比如构造柱、压顶梁、钢筋混凝土女儿墙、钢筋混凝土栏板、天面水池、花架、化粪池、隔油池、沟、渠、护坡等；本项目其他班组需用的模板、木枋等材料均由乙方提供，经甲方项目部协调其他班组把使用的数量、规格及使用时间确认后从乙方处借用、集中归还；如果其他班组有非必要使用的木工材料浪费，由乙方向甲方申请认定相关班组按市场价计价赔偿给乙方。 </w:t>
      </w:r>
    </w:p>
    <w:p w14:paraId="700650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）内柱、墙模板安装、拆除时，由乙方自己搭设操作平台完成，架体底部如需垫模板。</w:t>
      </w:r>
    </w:p>
    <w:p w14:paraId="61CCEC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）凡需连续向上延伸的竖向构件均应在浇筑下层砼时预埋螺杆，加固时将背枋锁紧，确保施工缝顺直接口。预埋此螺杆由乙方完成。</w:t>
      </w:r>
    </w:p>
    <w:p w14:paraId="3B3A34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）对相关施工机械及总分配电箱、电缆线进行维护、保养。甲方仅负责将配电箱接至乙方施工区域附近，乙方自行接至工作面开关箱，电线、电缆由乙方负责。</w:t>
      </w:r>
    </w:p>
    <w:p w14:paraId="273076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8</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）必须配合甲方施工员抄平、放线。</w:t>
      </w:r>
    </w:p>
    <w:p w14:paraId="75D850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9</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）卫生间沉箱内模底所需的支撑钢筋马凳由乙方完成。</w:t>
      </w:r>
    </w:p>
    <w:p w14:paraId="15F61D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0</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 xml:space="preserve">高大模板支撑体系：①利用盘扣式架再用钢管架体作支撑的由乙方完成，相关费用已含在合同单价内不另计且按甲方方案执行；②由甲方搭设钢管满堂架的人工合同单价扣减 </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元/㎡。</w:t>
      </w:r>
    </w:p>
    <w:p w14:paraId="212658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）每栋配备不少于</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2.5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层模板，费用已含于合同单价不另计费。水池模板属厂房配</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2.5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层外另行投入的材料。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二次结构模板配置为不少于一层每栋厂房或者每单体房屋建筑，以满足项目工期要求为准。</w:t>
      </w:r>
    </w:p>
    <w:p w14:paraId="7013944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12</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）凡是不需要盘扣架支撑体系的部位，盘扣架则不计量计价。</w:t>
      </w:r>
    </w:p>
    <w:p w14:paraId="34B62B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13</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）确保本工程满足本项目所在地建设安全管理标准化施工要求，一次性达到本项目所在地建设行政主管部门的达标要求及本合同要求。</w:t>
      </w:r>
    </w:p>
    <w:p w14:paraId="327589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）配备本工程所需电工，且电工须持证上岗。甲方电工仅对乙方电工进行监督、检查、管理、指导。</w:t>
      </w:r>
    </w:p>
    <w:p w14:paraId="33B28D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）春节、元旦、五一、十一、周末等法定节假日及技术要求或进度计划要求进行赶工、加班。</w:t>
      </w:r>
    </w:p>
    <w:p w14:paraId="0C0C63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）参与甲供材料（如钢管、扣件）申报采购、验收和收货，其数量作为乙方使用材料损耗率指标的核算依据。</w:t>
      </w:r>
    </w:p>
    <w:p w14:paraId="60BAD2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施工过程出现赶工、交叉作业、停工</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（包括本项目建设单位原因造成的停工）</w:t>
      </w:r>
      <w:r>
        <w:rPr>
          <w:rFonts w:hint="eastAsia" w:ascii="仿宋_GB2312" w:hAnsi="仿宋_GB2312" w:eastAsia="仿宋_GB2312" w:cs="仿宋_GB2312"/>
          <w:b w:val="0"/>
          <w:bCs w:val="0"/>
          <w:i w:val="0"/>
          <w:iCs w:val="0"/>
          <w:color w:val="auto"/>
          <w:sz w:val="28"/>
          <w:szCs w:val="28"/>
          <w:highlight w:val="none"/>
          <w:u w:val="none"/>
          <w:shd w:val="clear" w:color="auto" w:fill="auto"/>
        </w:rPr>
        <w:t>及工人工资、材料费、机具费上涨等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导致乙方成本、费用发生</w:t>
      </w:r>
      <w:r>
        <w:rPr>
          <w:rFonts w:hint="eastAsia" w:ascii="仿宋_GB2312" w:hAnsi="仿宋_GB2312" w:eastAsia="仿宋_GB2312" w:cs="仿宋_GB2312"/>
          <w:b w:val="0"/>
          <w:bCs w:val="0"/>
          <w:i w:val="0"/>
          <w:iCs w:val="0"/>
          <w:color w:val="auto"/>
          <w:sz w:val="28"/>
          <w:szCs w:val="28"/>
          <w:highlight w:val="none"/>
          <w:u w:val="none"/>
          <w:shd w:val="clear" w:color="auto" w:fill="auto"/>
        </w:rPr>
        <w:t>增</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加</w:t>
      </w:r>
      <w:r>
        <w:rPr>
          <w:rFonts w:hint="eastAsia" w:ascii="仿宋_GB2312" w:hAnsi="仿宋_GB2312" w:eastAsia="仿宋_GB2312" w:cs="仿宋_GB2312"/>
          <w:b w:val="0"/>
          <w:bCs w:val="0"/>
          <w:i w:val="0"/>
          <w:iCs w:val="0"/>
          <w:color w:val="auto"/>
          <w:sz w:val="28"/>
          <w:szCs w:val="28"/>
          <w:highlight w:val="none"/>
          <w:u w:val="none"/>
          <w:shd w:val="clear" w:color="auto" w:fill="auto"/>
        </w:rPr>
        <w:t>，乙方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不因此</w:t>
      </w:r>
      <w:r>
        <w:rPr>
          <w:rFonts w:hint="eastAsia" w:ascii="仿宋_GB2312" w:hAnsi="仿宋_GB2312" w:eastAsia="仿宋_GB2312" w:cs="仿宋_GB2312"/>
          <w:b w:val="0"/>
          <w:bCs w:val="0"/>
          <w:i w:val="0"/>
          <w:iCs w:val="0"/>
          <w:color w:val="auto"/>
          <w:sz w:val="28"/>
          <w:szCs w:val="28"/>
          <w:highlight w:val="none"/>
          <w:u w:val="none"/>
          <w:shd w:val="clear" w:color="auto" w:fill="auto"/>
        </w:rPr>
        <w:t>要求甲方对合同价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w:t>
      </w:r>
      <w:r>
        <w:rPr>
          <w:rFonts w:hint="eastAsia" w:ascii="仿宋_GB2312" w:hAnsi="仿宋_GB2312" w:eastAsia="仿宋_GB2312" w:cs="仿宋_GB2312"/>
          <w:b w:val="0"/>
          <w:bCs w:val="0"/>
          <w:i w:val="0"/>
          <w:iCs w:val="0"/>
          <w:color w:val="auto"/>
          <w:sz w:val="28"/>
          <w:szCs w:val="28"/>
          <w:highlight w:val="none"/>
          <w:u w:val="none"/>
          <w:shd w:val="clear" w:color="auto" w:fill="auto"/>
        </w:rPr>
        <w:t>进行调整和另行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增补</w:t>
      </w:r>
      <w:r>
        <w:rPr>
          <w:rFonts w:hint="eastAsia" w:ascii="仿宋_GB2312" w:hAnsi="仿宋_GB2312" w:eastAsia="仿宋_GB2312" w:cs="仿宋_GB2312"/>
          <w:b w:val="0"/>
          <w:bCs w:val="0"/>
          <w:i w:val="0"/>
          <w:iCs w:val="0"/>
          <w:color w:val="auto"/>
          <w:sz w:val="28"/>
          <w:szCs w:val="28"/>
          <w:highlight w:val="none"/>
          <w:u w:val="none"/>
          <w:shd w:val="clear" w:color="auto" w:fill="auto"/>
        </w:rPr>
        <w:t>费用。</w:t>
      </w:r>
    </w:p>
    <w:p w14:paraId="4193F5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6.2本合同第6.1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条所述价格已考虑“COVID-19”疫情等流行疾病影响，乙方不以疫情防控为由要求甲方对该价格、合同结算办法及工期等合同条款进行调整，防疫措施的一切费用已包含在合同价内，不另计费。</w:t>
      </w:r>
      <w:bookmarkStart w:id="16" w:name="_Toc9761"/>
      <w:bookmarkStart w:id="17" w:name="_Toc32757"/>
    </w:p>
    <w:p w14:paraId="060F0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lang w:val="en-US" w:eastAsia="zh-CN"/>
        </w:rPr>
      </w:pPr>
      <w:r>
        <w:rPr>
          <w:rFonts w:hint="eastAsia" w:ascii="仿宋_GB2312" w:hAnsi="仿宋_GB2312" w:eastAsia="仿宋_GB2312" w:cs="仿宋_GB2312"/>
          <w:b w:val="0"/>
          <w:bCs w:val="0"/>
          <w:i w:val="0"/>
          <w:iCs w:val="0"/>
          <w:color w:val="auto"/>
          <w:sz w:val="28"/>
          <w:szCs w:val="28"/>
          <w:highlight w:val="none"/>
          <w:u w:val="none"/>
          <w:lang w:val="en-US" w:eastAsia="zh-CN"/>
        </w:rPr>
        <w:t>6.3对于增加或变更工程，须凭甲方项目经理签认的签证单及相关资料办理结算。甲方签证单须有本合同授权的甲方项目经理亲自签字确认并加盖公章的书面文件方为有效签证。甲方项目经理委托/授权他人代签均为无效签证，甲方不予办理付款及结算。任何人口头指示、通知不作为结算依据。未经甲方盖章书面签证确认或乙方超出图纸、合同清单范围施工的工程量，不属于增加工程，不纳入结算。</w:t>
      </w:r>
    </w:p>
    <w:p w14:paraId="7EC601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_GB2312" w:hAnsi="仿宋_GB2312" w:eastAsia="仿宋_GB2312" w:cs="仿宋_GB2312"/>
          <w:b w:val="0"/>
          <w:bCs w:val="0"/>
          <w:i w:val="0"/>
          <w:iCs w:val="0"/>
          <w:color w:val="auto"/>
          <w:sz w:val="28"/>
          <w:szCs w:val="28"/>
          <w:highlight w:val="none"/>
          <w:u w:val="none"/>
          <w:lang w:val="en-US" w:eastAsia="zh-CN"/>
        </w:rPr>
      </w:pPr>
      <w:r>
        <w:rPr>
          <w:rFonts w:hint="eastAsia" w:ascii="仿宋_GB2312" w:hAnsi="仿宋_GB2312" w:eastAsia="仿宋_GB2312" w:cs="仿宋_GB2312"/>
          <w:b w:val="0"/>
          <w:bCs w:val="0"/>
          <w:i w:val="0"/>
          <w:iCs w:val="0"/>
          <w:color w:val="auto"/>
          <w:sz w:val="28"/>
          <w:szCs w:val="28"/>
          <w:highlight w:val="none"/>
          <w:u w:val="none"/>
          <w:lang w:val="en-US" w:eastAsia="zh-CN"/>
        </w:rPr>
        <w:t>6.4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16"/>
    <w:bookmarkEnd w:id="17"/>
    <w:p w14:paraId="3E8E94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18" w:name="_Toc11707"/>
      <w:bookmarkStart w:id="19" w:name="_Toc19006"/>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第七章、计量计价方式及结算方式</w:t>
      </w:r>
      <w:bookmarkEnd w:id="18"/>
      <w:bookmarkEnd w:id="19"/>
    </w:p>
    <w:p w14:paraId="2256D9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585E53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4676B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固定单价合同结算方式：结算总价=完成并达到合同标准的工程量×合同单价-合同约定扣除费用。</w:t>
      </w:r>
    </w:p>
    <w:p w14:paraId="0261BD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7.2工程量计算原则</w:t>
      </w:r>
    </w:p>
    <w:p w14:paraId="1A05A3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4781CD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7B57A4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7.3工程量计量规则：</w:t>
      </w:r>
      <w:r>
        <w:rPr>
          <w:rFonts w:hint="eastAsia" w:ascii="仿宋" w:hAnsi="仿宋" w:eastAsia="仿宋" w:cs="仿宋"/>
          <w:b w:val="0"/>
          <w:bCs w:val="0"/>
          <w:i w:val="0"/>
          <w:iCs w:val="0"/>
          <w:color w:val="auto"/>
          <w:sz w:val="28"/>
          <w:szCs w:val="28"/>
          <w:highlight w:val="none"/>
          <w:lang w:val="en-US" w:eastAsia="zh-CN"/>
        </w:rPr>
        <w:t>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5512D6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7.4计量依据（须完成施工并验收合格的方可作为计量依据）</w:t>
      </w:r>
    </w:p>
    <w:p w14:paraId="49C4CE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7.4.1甲方招标报价版施工图纸或甲方签认下发的施工图；</w:t>
      </w:r>
    </w:p>
    <w:p w14:paraId="24DB7C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7.4.2设计变更、甲方与建设单位签认的交楼标准、联系单及签证单；</w:t>
      </w:r>
    </w:p>
    <w:p w14:paraId="407649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7.4.3甲方、建设单位、监理签认的竣工图；</w:t>
      </w:r>
    </w:p>
    <w:p w14:paraId="6C333B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7.4.4图纸会审纪要；</w:t>
      </w:r>
    </w:p>
    <w:p w14:paraId="1A8CA7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7.4.5甲方书面另行安排要求施工的内容。</w:t>
      </w:r>
    </w:p>
    <w:p w14:paraId="02C23E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7.5签证工程管理制度</w:t>
      </w:r>
    </w:p>
    <w:p w14:paraId="363D11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7.5.1签证必须包括的内容资料及要求（格式详见合同附件）   </w:t>
      </w:r>
    </w:p>
    <w:p w14:paraId="69E4F0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7.5.1.1签证单签发时间及编号；</w:t>
      </w:r>
    </w:p>
    <w:p w14:paraId="014437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7.5.1.2签证事实发生的原因、工作内容、完成的工程量；</w:t>
      </w:r>
    </w:p>
    <w:p w14:paraId="09DF7A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7.5.1.3签证单（含附件：①草签单，②通知单/联系单/设计变更文件，③影像资料）由乙方按甲方规定的格式填写。</w:t>
      </w:r>
    </w:p>
    <w:p w14:paraId="70DD38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7.5.1.4执行签证事实的依据：例如</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color w:val="auto"/>
          <w:sz w:val="28"/>
          <w:szCs w:val="28"/>
          <w:highlight w:val="none"/>
          <w:lang w:val="en-US" w:eastAsia="zh-CN"/>
        </w:rPr>
        <w:t>签发的建设单位通知、联系函、设计变更等文件。</w:t>
      </w:r>
    </w:p>
    <w:p w14:paraId="0DA515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074CED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28A0E5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7.5.1.7签证执行“一事一签证”的原则，分别列明，不能混编，当出现零星维修、抢修、改造工程，工程量少，过程中间接工序多，无法实际、准确反映乙方实际成本的，必须清楚记录具体部位和实际用工记录。</w:t>
      </w:r>
    </w:p>
    <w:p w14:paraId="03DC36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1E08D2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7.5.1.9甲方与乙方的签证和建设单位与甲方的签证，以小的量、价对乙方签证确认。</w:t>
      </w:r>
    </w:p>
    <w:p w14:paraId="269FF9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7.5.1.10甲方与建设单位办理了签证单，而该签证单内容甲方又分给了多家施工单位完成的，则乙方须提供甲乙双方确认的《签证单分包说明》作为乙方结算依据，乙方方可结算。</w:t>
      </w:r>
    </w:p>
    <w:p w14:paraId="30233C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7.5.1.11甲方与建设单位未办理签证单，属于绿色文明施工范围内或因其它原因，如临时设施等，甲方确需与乙方办理签证的情况，则用《分包签证确认单》方可作为结算依据。</w:t>
      </w:r>
    </w:p>
    <w:p w14:paraId="49C52B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7.5.1.12签证单必须有甲方项目经理签名且加盖甲方项目章方为有效签证，否则甲方不予办理结算。</w:t>
      </w:r>
    </w:p>
    <w:p w14:paraId="340696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7.5.2乙方申报签证程序</w:t>
      </w:r>
    </w:p>
    <w:p w14:paraId="2EBF9B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228846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7.5.2.2草签单由甲方的施工员、成本管理员、副经理共同现场收方、见证完成并签名，乙方则由合同约定的现场执行人签认。</w:t>
      </w:r>
    </w:p>
    <w:p w14:paraId="3C25A6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7.5.2.3草签单须提供施工前、施工中、施工后的照片、签证预算书作为乙方向甲方办理“分包签证确认单”的必备附件。</w:t>
      </w:r>
    </w:p>
    <w:p w14:paraId="64890C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7.5.3零星工时计价及相关规定</w:t>
      </w:r>
    </w:p>
    <w:p w14:paraId="52DA4B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7.5.3.1零星用工以分包签证确认单的方式结算，工程量以该签证单确认工程量计算。</w:t>
      </w:r>
    </w:p>
    <w:p w14:paraId="726C17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7.5.3.2甲方范围内的零星用工单价：按230元/工日（含税）计取。</w:t>
      </w:r>
    </w:p>
    <w:p w14:paraId="1AB7D8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5ABEB6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7.5.3.4零星时工签证要求及申报程序按照签证管理制度第7.5.1~7.5.3条款执行。</w:t>
      </w:r>
    </w:p>
    <w:p w14:paraId="1A0C3A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7.6计价依据</w:t>
      </w:r>
    </w:p>
    <w:p w14:paraId="07B1A0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7.6.1合同范围内的工程，按合同价格执行；</w:t>
      </w:r>
    </w:p>
    <w:p w14:paraId="2560EF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7.6.2合同范围外的签证、变更、增加工程，按下述办法执行：</w:t>
      </w:r>
    </w:p>
    <w:p w14:paraId="7CF0E2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7.6.2.1合同中已有适用于该工程的价格时，按合同已有的价格执行；</w:t>
      </w:r>
    </w:p>
    <w:p w14:paraId="6B115E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7.6.2.2合同中只有类似于该工程的价格时，可在合理范围内参照类似价格执行；</w:t>
      </w:r>
    </w:p>
    <w:p w14:paraId="4BD65A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7.6.2.3合同中没有适用或类似于该工程的价格时，按下述第7.7条规则执行。</w:t>
      </w:r>
    </w:p>
    <w:p w14:paraId="683443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7.7计价规则</w:t>
      </w:r>
    </w:p>
    <w:p w14:paraId="0EADD9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7.7.1</w:t>
      </w:r>
      <w:r>
        <w:rPr>
          <w:rFonts w:hint="eastAsia" w:ascii="仿宋" w:hAnsi="仿宋" w:eastAsia="仿宋" w:cs="仿宋"/>
          <w:b w:val="0"/>
          <w:bCs w:val="0"/>
          <w:i w:val="0"/>
          <w:iCs w:val="0"/>
          <w:color w:val="auto"/>
          <w:sz w:val="28"/>
          <w:szCs w:val="28"/>
          <w:highlight w:val="none"/>
          <w:lang w:val="en-US" w:eastAsia="zh-CN"/>
        </w:rPr>
        <w:t>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50A235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55AAA1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7.7.3</w:t>
      </w:r>
      <w:r>
        <w:rPr>
          <w:rFonts w:hint="eastAsia" w:ascii="仿宋" w:hAnsi="仿宋" w:eastAsia="仿宋" w:cs="仿宋"/>
          <w:b w:val="0"/>
          <w:bCs w:val="0"/>
          <w:i w:val="0"/>
          <w:iCs w:val="0"/>
          <w:color w:val="auto"/>
          <w:sz w:val="28"/>
          <w:szCs w:val="28"/>
          <w:highlight w:val="none"/>
          <w:lang w:val="en-US" w:eastAsia="zh-CN"/>
        </w:rPr>
        <w:t>计价中除仅计取人工费、材料费、机具费作为直接工程费外，其余按系数计取的各类取费均不计取，另外其他所有措施费均不单独计取费用。</w:t>
      </w:r>
    </w:p>
    <w:p w14:paraId="14013F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7.7.4税率：按国家建设行政主管部门及国家税务部门的最新规定执行。</w:t>
      </w:r>
    </w:p>
    <w:p w14:paraId="79E3C5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color w:val="auto"/>
          <w:sz w:val="28"/>
          <w:szCs w:val="28"/>
          <w:highlight w:val="none"/>
          <w:u w:val="single"/>
          <w:lang w:val="en-US" w:eastAsia="zh-CN"/>
        </w:rPr>
        <w:t>15</w:t>
      </w:r>
      <w:r>
        <w:rPr>
          <w:rFonts w:hint="eastAsia" w:ascii="仿宋" w:hAnsi="仿宋" w:eastAsia="仿宋" w:cs="仿宋"/>
          <w:color w:val="auto"/>
          <w:sz w:val="28"/>
          <w:szCs w:val="28"/>
          <w:highlight w:val="none"/>
          <w:lang w:val="en-US" w:eastAsia="zh-CN"/>
        </w:rPr>
        <w:t>%后计取税金；包工包料的工程按以上计价方式</w:t>
      </w:r>
      <w:r>
        <w:rPr>
          <w:rFonts w:hint="eastAsia" w:ascii="仿宋" w:hAnsi="仿宋" w:eastAsia="仿宋" w:cs="仿宋"/>
          <w:b w:val="0"/>
          <w:bCs w:val="0"/>
          <w:i w:val="0"/>
          <w:iCs w:val="0"/>
          <w:color w:val="auto"/>
          <w:sz w:val="28"/>
          <w:szCs w:val="28"/>
          <w:highlight w:val="none"/>
          <w:lang w:val="en-US" w:eastAsia="zh-CN"/>
        </w:rPr>
        <w:t>（仅计取人工费、材料费和机械费）</w:t>
      </w:r>
      <w:r>
        <w:rPr>
          <w:rFonts w:hint="eastAsia" w:ascii="仿宋" w:hAnsi="仿宋" w:eastAsia="仿宋" w:cs="仿宋"/>
          <w:color w:val="auto"/>
          <w:sz w:val="28"/>
          <w:szCs w:val="28"/>
          <w:highlight w:val="none"/>
          <w:lang w:val="en-US" w:eastAsia="zh-CN"/>
        </w:rPr>
        <w:t>税前下浮</w:t>
      </w:r>
      <w:r>
        <w:rPr>
          <w:rFonts w:hint="eastAsia" w:ascii="仿宋" w:hAnsi="仿宋" w:eastAsia="仿宋" w:cs="仿宋"/>
          <w:color w:val="auto"/>
          <w:sz w:val="28"/>
          <w:szCs w:val="28"/>
          <w:highlight w:val="none"/>
          <w:u w:val="single"/>
          <w:lang w:val="en-US" w:eastAsia="zh-CN"/>
        </w:rPr>
        <w:t>28</w:t>
      </w:r>
      <w:r>
        <w:rPr>
          <w:rFonts w:hint="eastAsia" w:ascii="仿宋" w:hAnsi="仿宋" w:eastAsia="仿宋" w:cs="仿宋"/>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EF47C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7.8甲方巡检发现存在质量问题或验收不合格的工程，工程量不予结算。</w:t>
      </w:r>
    </w:p>
    <w:p w14:paraId="688A94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7.9乙方未按甲方要求完成自身工作的，甲方有权安排他人完成并500元/工日/人计价且从应付给乙方的款项中直接扣款，如实际费用超出500元/工日/人，甲方按实际发生的费用从应付给乙方的款项中直接扣款。</w:t>
      </w:r>
    </w:p>
    <w:p w14:paraId="0EA6A0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7.10</w:t>
      </w:r>
      <w:r>
        <w:rPr>
          <w:rFonts w:hint="eastAsia" w:ascii="仿宋" w:hAnsi="仿宋" w:eastAsia="仿宋" w:cs="仿宋"/>
          <w:b w:val="0"/>
          <w:bCs w:val="0"/>
          <w:i w:val="0"/>
          <w:iCs w:val="0"/>
          <w:color w:val="auto"/>
          <w:sz w:val="28"/>
          <w:szCs w:val="28"/>
          <w:highlight w:val="none"/>
          <w:lang w:val="en-US" w:eastAsia="zh-CN"/>
        </w:rPr>
        <w:t>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5D24C0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3D0795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7.12乙方办理工程进度款申请书、结算书时必须提供甲方主管施工员和项目经理签名的“工完场清交接单”（详见附件），否则甲方有权不予办理付款及结算。</w:t>
      </w:r>
    </w:p>
    <w:p w14:paraId="5F7993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7.13乙方需本着实事求是的精神对工程做出结算，不得虚报工程结算。</w:t>
      </w:r>
    </w:p>
    <w:p w14:paraId="585D7B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7.14</w:t>
      </w:r>
      <w:r>
        <w:rPr>
          <w:rFonts w:hint="eastAsia" w:ascii="仿宋" w:hAnsi="仿宋" w:eastAsia="仿宋" w:cs="仿宋"/>
          <w:b w:val="0"/>
          <w:bCs w:val="0"/>
          <w:i w:val="0"/>
          <w:iCs w:val="0"/>
          <w:color w:val="auto"/>
          <w:sz w:val="28"/>
          <w:szCs w:val="28"/>
          <w:highlight w:val="none"/>
          <w:lang w:val="en-US" w:eastAsia="zh-CN"/>
        </w:rPr>
        <w:t>合同内未施工的清单分项、图纸内容，乙方在申报结算书中未扣减其相应费用而向甲方申报结算的，乙方按上述其未施工项目申报的结算金额的200%向甲方支付违约金，违约金可在乙方任一合同款额中扣除。</w:t>
      </w:r>
    </w:p>
    <w:p w14:paraId="1A1848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4F93FB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7.16本工程甲供材损耗率按本合同第十一章对应条款执行。</w:t>
      </w:r>
    </w:p>
    <w:p w14:paraId="223AFF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7.17乙方提交的结算资料须符合本合同其他条款的要求（格式详见附件十五《工程结算资料目录》），否则甲方有权不予办理结算且不违约。</w:t>
      </w:r>
    </w:p>
    <w:p w14:paraId="0C6FD764">
      <w:pPr>
        <w:keepNext w:val="0"/>
        <w:keepLines w:val="0"/>
        <w:pageBreakBefore w:val="0"/>
        <w:widowControl w:val="0"/>
        <w:numPr>
          <w:ilvl w:val="0"/>
          <w:numId w:val="0"/>
        </w:numPr>
        <w:tabs>
          <w:tab w:val="left" w:pos="835"/>
        </w:tabs>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eastAsia="zh-CN"/>
        </w:rPr>
      </w:pPr>
      <w:bookmarkStart w:id="20" w:name="_Toc26012"/>
      <w:bookmarkStart w:id="21" w:name="_Toc29650"/>
      <w:bookmarkStart w:id="22" w:name="_Toc16700"/>
      <w:r>
        <w:rPr>
          <w:rFonts w:hint="eastAsia" w:ascii="仿宋_GB2312" w:hAnsi="仿宋_GB2312" w:eastAsia="仿宋_GB2312" w:cs="仿宋_GB2312"/>
          <w:b/>
          <w:bCs/>
          <w:i w:val="0"/>
          <w:iCs w:val="0"/>
          <w:color w:val="auto"/>
          <w:sz w:val="28"/>
          <w:szCs w:val="28"/>
          <w:highlight w:val="none"/>
          <w:u w:val="none"/>
          <w:shd w:val="clear" w:color="auto" w:fill="auto"/>
          <w:lang w:eastAsia="zh-CN"/>
        </w:rPr>
        <w:t>第八章、</w:t>
      </w:r>
      <w:r>
        <w:rPr>
          <w:rFonts w:hint="eastAsia" w:ascii="仿宋_GB2312" w:hAnsi="仿宋_GB2312" w:eastAsia="仿宋_GB2312" w:cs="仿宋_GB2312"/>
          <w:b/>
          <w:bCs/>
          <w:i w:val="0"/>
          <w:iCs w:val="0"/>
          <w:color w:val="auto"/>
          <w:sz w:val="28"/>
          <w:szCs w:val="28"/>
          <w:highlight w:val="none"/>
          <w:u w:val="none"/>
          <w:shd w:val="clear" w:color="auto" w:fill="auto"/>
        </w:rPr>
        <w:t>付款方式</w:t>
      </w:r>
      <w:r>
        <w:rPr>
          <w:rFonts w:hint="eastAsia" w:ascii="仿宋_GB2312" w:hAnsi="仿宋_GB2312" w:eastAsia="仿宋_GB2312" w:cs="仿宋_GB2312"/>
          <w:b/>
          <w:bCs/>
          <w:i w:val="0"/>
          <w:iCs w:val="0"/>
          <w:color w:val="auto"/>
          <w:sz w:val="28"/>
          <w:szCs w:val="28"/>
          <w:highlight w:val="none"/>
          <w:u w:val="none"/>
          <w:shd w:val="clear" w:color="auto" w:fill="auto"/>
          <w:lang w:eastAsia="zh-CN"/>
        </w:rPr>
        <w:t>（</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每个组团独立付款</w:t>
      </w:r>
      <w:r>
        <w:rPr>
          <w:rFonts w:hint="eastAsia" w:ascii="仿宋_GB2312" w:hAnsi="仿宋_GB2312" w:eastAsia="仿宋_GB2312" w:cs="仿宋_GB2312"/>
          <w:b/>
          <w:bCs/>
          <w:i w:val="0"/>
          <w:iCs w:val="0"/>
          <w:color w:val="auto"/>
          <w:sz w:val="28"/>
          <w:szCs w:val="28"/>
          <w:highlight w:val="none"/>
          <w:u w:val="none"/>
          <w:shd w:val="clear" w:color="auto" w:fill="auto"/>
          <w:lang w:eastAsia="zh-CN"/>
        </w:rPr>
        <w:t>）</w:t>
      </w:r>
      <w:bookmarkEnd w:id="20"/>
      <w:bookmarkEnd w:id="21"/>
      <w:bookmarkEnd w:id="22"/>
    </w:p>
    <w:p w14:paraId="63C4C7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sym w:font="Wingdings 2" w:char="0052"/>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8.1付款方式一</w:t>
      </w:r>
    </w:p>
    <w:p w14:paraId="6C80DC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1%</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合同暂定</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1</w:t>
      </w:r>
      <w:r>
        <w:rPr>
          <w:rFonts w:hint="eastAsia" w:ascii="仿宋" w:hAnsi="仿宋" w:eastAsia="仿宋" w:cs="仿宋"/>
          <w:i w:val="0"/>
          <w:iCs w:val="0"/>
          <w:caps w:val="0"/>
          <w:strike w:val="0"/>
          <w:dstrike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1603CB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8.1.2</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23%</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24</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CE344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8.1.3</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建筑物、构筑物的三层墙柱至上人屋面楼梯间及电梯间不上人屋面浇筑完成为节点，按单栋厂房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41%</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65</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BAE4F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color w:val="auto"/>
          <w:kern w:val="2"/>
          <w:sz w:val="28"/>
          <w:szCs w:val="28"/>
          <w:highlight w:val="none"/>
          <w:u w:val="none"/>
          <w:lang w:val="en-US" w:eastAsia="zh-CN" w:bidi="ar-SA"/>
        </w:rPr>
        <w:t>8.1.4</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F7E32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i w:val="0"/>
          <w:iCs w:val="0"/>
          <w:caps w:val="0"/>
          <w:color w:val="auto"/>
          <w:spacing w:val="0"/>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3FE2A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单栋厂房（塔楼）完成</w:t>
      </w:r>
      <w:r>
        <w:rPr>
          <w:rFonts w:hint="eastAsia" w:ascii="仿宋" w:hAnsi="仿宋" w:eastAsia="仿宋" w:cs="仿宋"/>
          <w:i w:val="0"/>
          <w:iCs w:val="0"/>
          <w:caps w:val="0"/>
          <w:color w:val="auto"/>
          <w:spacing w:val="0"/>
          <w:sz w:val="28"/>
          <w:szCs w:val="28"/>
          <w:highlight w:val="none"/>
          <w:u w:val="none"/>
          <w:lang w:eastAsia="zh-CN"/>
        </w:rPr>
        <w:t>拆除外架完毕为节点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4BACE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8.1.7</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val="en-US"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CCD85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8.1.8本项目任一组团工程乙方承包范围内全部工作内容施工完成，并经政府住建相关行政主管部门竣工综合验收通过，且</w:t>
      </w:r>
      <w:r>
        <w:rPr>
          <w:rFonts w:hint="eastAsia" w:ascii="仿宋" w:hAnsi="仿宋" w:eastAsia="仿宋" w:cs="仿宋"/>
          <w:b w:val="0"/>
          <w:bCs w:val="0"/>
          <w:i w:val="0"/>
          <w:iCs w:val="0"/>
          <w:color w:val="auto"/>
          <w:sz w:val="28"/>
          <w:szCs w:val="28"/>
          <w:highlight w:val="none"/>
          <w:u w:val="none"/>
          <w:shd w:val="clear" w:color="auto" w:fill="auto"/>
          <w:lang w:val="en-US" w:eastAsia="zh-CN"/>
        </w:rPr>
        <w:t>建设单位、监理、甲方、物业等验收通过并移交建设单位或物业公司后，</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支付至合同暂定总价的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18337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000000" w:themeColor="text1"/>
          <w:sz w:val="28"/>
          <w:szCs w:val="28"/>
          <w:highlight w:val="none"/>
          <w:lang w:eastAsia="zh-CN"/>
          <w14:textFill>
            <w14:solidFill>
              <w14:schemeClr w14:val="tx1"/>
            </w14:solidFill>
          </w14:textFill>
        </w:rPr>
      </w:pPr>
      <w:r>
        <w:rPr>
          <w:rFonts w:hint="eastAsia" w:ascii="仿宋" w:hAnsi="仿宋" w:eastAsia="仿宋" w:cs="仿宋"/>
          <w:i w:val="0"/>
          <w:iCs w:val="0"/>
          <w:caps w:val="0"/>
          <w:color w:val="auto"/>
          <w:spacing w:val="0"/>
          <w:sz w:val="28"/>
          <w:szCs w:val="28"/>
          <w:highlight w:val="none"/>
          <w:lang w:val="en-US" w:eastAsia="zh-CN"/>
        </w:rPr>
        <w:t>8.1.9本项目的所有增加工程、变更工程、签证工程等均统一纳入本合同结算范围，并在结算完毕后，与本合同结算款一并支付。</w:t>
      </w:r>
    </w:p>
    <w:p w14:paraId="07C797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highlight w:val="none"/>
          <w:lang w:val="en-US" w:eastAsia="zh-CN"/>
        </w:rPr>
      </w:pP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8.1.10</w:t>
      </w:r>
      <w:r>
        <w:rPr>
          <w:rFonts w:hint="default" w:ascii="仿宋" w:hAnsi="仿宋" w:eastAsia="仿宋" w:cs="仿宋"/>
          <w:color w:val="auto"/>
          <w:sz w:val="28"/>
          <w:szCs w:val="28"/>
          <w:highlight w:val="none"/>
          <w:u w:val="none"/>
          <w:lang w:eastAsia="zh-CN"/>
        </w:rPr>
        <w:t>乙方</w:t>
      </w:r>
      <w:r>
        <w:rPr>
          <w:rFonts w:hint="eastAsia" w:ascii="仿宋" w:hAnsi="仿宋" w:eastAsia="仿宋" w:cs="仿宋"/>
          <w:color w:val="auto"/>
          <w:sz w:val="28"/>
          <w:szCs w:val="28"/>
          <w:highlight w:val="none"/>
          <w:u w:val="none"/>
          <w:lang w:val="en-US" w:eastAsia="zh-CN"/>
        </w:rPr>
        <w:t>将</w:t>
      </w:r>
      <w:r>
        <w:rPr>
          <w:rFonts w:hint="default" w:ascii="仿宋" w:hAnsi="仿宋" w:eastAsia="仿宋" w:cs="仿宋"/>
          <w:color w:val="auto"/>
          <w:sz w:val="28"/>
          <w:szCs w:val="28"/>
          <w:highlight w:val="none"/>
          <w:u w:val="none"/>
          <w:lang w:eastAsia="zh-CN"/>
        </w:rPr>
        <w:t>所有资料原件、复印件列清单、目录移交甲方</w:t>
      </w:r>
      <w:r>
        <w:rPr>
          <w:rFonts w:hint="eastAsia" w:ascii="仿宋" w:hAnsi="仿宋" w:eastAsia="仿宋" w:cs="仿宋"/>
          <w:color w:val="auto"/>
          <w:sz w:val="28"/>
          <w:szCs w:val="28"/>
          <w:highlight w:val="none"/>
          <w:u w:val="none"/>
          <w:lang w:val="en-US" w:eastAsia="zh-CN"/>
        </w:rPr>
        <w:t>后</w:t>
      </w:r>
      <w:r>
        <w:rPr>
          <w:rFonts w:hint="default" w:ascii="仿宋" w:hAnsi="仿宋" w:eastAsia="仿宋" w:cs="仿宋"/>
          <w:color w:val="auto"/>
          <w:sz w:val="28"/>
          <w:szCs w:val="28"/>
          <w:highlight w:val="none"/>
          <w:u w:val="none"/>
          <w:lang w:eastAsia="zh-CN"/>
        </w:rPr>
        <w:t>，</w:t>
      </w:r>
      <w:r>
        <w:rPr>
          <w:rFonts w:hint="eastAsia" w:ascii="仿宋" w:hAnsi="仿宋" w:eastAsia="仿宋" w:cs="仿宋"/>
          <w:b w:val="0"/>
          <w:bCs w:val="0"/>
          <w:i w:val="0"/>
          <w:iCs w:val="0"/>
          <w:color w:val="auto"/>
          <w:sz w:val="28"/>
          <w:szCs w:val="28"/>
          <w:highlight w:val="none"/>
        </w:rPr>
        <w:t>甲乙双方办理</w:t>
      </w:r>
      <w:r>
        <w:rPr>
          <w:rFonts w:hint="eastAsia" w:ascii="仿宋" w:hAnsi="仿宋" w:eastAsia="仿宋" w:cs="仿宋"/>
          <w:b w:val="0"/>
          <w:bCs w:val="0"/>
          <w:i w:val="0"/>
          <w:iCs w:val="0"/>
          <w:color w:val="auto"/>
          <w:sz w:val="28"/>
          <w:szCs w:val="28"/>
          <w:highlight w:val="none"/>
          <w:lang w:val="en-US" w:eastAsia="zh-CN"/>
        </w:rPr>
        <w:t>本</w:t>
      </w:r>
      <w:r>
        <w:rPr>
          <w:rFonts w:hint="eastAsia" w:ascii="仿宋" w:hAnsi="仿宋" w:eastAsia="仿宋" w:cs="仿宋"/>
          <w:b w:val="0"/>
          <w:bCs w:val="0"/>
          <w:i w:val="0"/>
          <w:iCs w:val="0"/>
          <w:color w:val="auto"/>
          <w:sz w:val="28"/>
          <w:szCs w:val="28"/>
          <w:highlight w:val="none"/>
        </w:rPr>
        <w:t>工程结算，双方就结算金额达成书面一致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u w:val="single"/>
          <w:lang w:val="en-US" w:eastAsia="zh-CN"/>
        </w:rPr>
        <w:t>97</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shd w:val="clear" w:color="auto" w:fill="auto"/>
          <w:lang w:val="en-US" w:eastAsia="zh-CN"/>
        </w:rPr>
        <w:t>含乙方工人工资</w:t>
      </w:r>
      <w:r>
        <w:rPr>
          <w:rFonts w:hint="eastAsia" w:ascii="仿宋" w:hAnsi="仿宋" w:eastAsia="仿宋" w:cs="仿宋"/>
          <w:i w:val="0"/>
          <w:iCs w:val="0"/>
          <w:color w:val="auto"/>
          <w:sz w:val="28"/>
          <w:szCs w:val="28"/>
          <w:highlight w:val="none"/>
          <w:lang w:val="en-US" w:eastAsia="zh-CN"/>
        </w:rPr>
        <w:t>）。</w:t>
      </w:r>
    </w:p>
    <w:p w14:paraId="0823CE1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eastAsia="zh-CN"/>
        </w:rPr>
        <w:t>8.</w:t>
      </w:r>
      <w:r>
        <w:rPr>
          <w:rFonts w:hint="eastAsia" w:ascii="仿宋" w:hAnsi="仿宋" w:eastAsia="仿宋" w:cs="仿宋"/>
          <w:b w:val="0"/>
          <w:bCs w:val="0"/>
          <w:i w:val="0"/>
          <w:iCs w:val="0"/>
          <w:color w:val="auto"/>
          <w:sz w:val="28"/>
          <w:szCs w:val="28"/>
          <w:highlight w:val="none"/>
          <w:lang w:val="en-US" w:eastAsia="zh-CN"/>
        </w:rPr>
        <w:t>1.11</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u w:val="single"/>
          <w:lang w:val="en-US" w:eastAsia="zh-CN"/>
        </w:rPr>
        <w:t>3％</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shd w:val="clear" w:color="auto" w:fill="auto"/>
          <w:lang w:val="en-US" w:eastAsia="zh-CN"/>
        </w:rPr>
        <w:t>含乙方工人工资</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r>
        <w:rPr>
          <w:rFonts w:hint="eastAsia" w:ascii="仿宋" w:hAnsi="仿宋" w:eastAsia="仿宋" w:cs="仿宋"/>
          <w:b w:val="0"/>
          <w:bCs w:val="0"/>
          <w:i w:val="0"/>
          <w:iCs w:val="0"/>
          <w:color w:val="auto"/>
          <w:sz w:val="28"/>
          <w:szCs w:val="28"/>
          <w:highlight w:val="none"/>
        </w:rPr>
        <w:t>。</w:t>
      </w:r>
    </w:p>
    <w:p w14:paraId="4C11C661">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79DC0C87">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550E4D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8.1付款方式二</w:t>
      </w:r>
    </w:p>
    <w:p w14:paraId="44742E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（如定标结果的付款方式与上述“8.1条付款方式一”不一致，则将定标结果的付款方式填写在此处作为合同付款方式。 ）                                                                     </w:t>
      </w:r>
    </w:p>
    <w:p w14:paraId="464834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8.2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3B33ED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8.3付款形式：优先使用网银、银行承兑汇票等，支票、电汇视情况而定。甲方选择其中任意一种支付形式给乙方工程款，均视为乙方收到该工程款。</w:t>
      </w:r>
    </w:p>
    <w:p w14:paraId="1E7DC0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8.4乙方每次收款前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654A9E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8.5乙方每次向甲方请款时，应按甲方要求注明该次请款所含的每个组团、每个地块、每栋楼具体金额，否则甲方有权不付款且不违约。</w:t>
      </w:r>
    </w:p>
    <w:p w14:paraId="198319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196FD6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8.7如甲乙双方对应付款金额、结算金额产生争议，甲方有权暂缓付款且不违约，甲方无需向乙方支付违约金或利息，直至双方达成一致意见后方可按甲方相应流程办理付款手续。</w:t>
      </w:r>
    </w:p>
    <w:p w14:paraId="3330E6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6F07E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8.8乙方必须按税法规定的四流合一执行合同，即合同流、货物流、发票流、资金流一致，否则视为乙方违约，且由乙方承担所有责任及损失，直至满足四流合一，甲方方才付款。</w:t>
      </w:r>
    </w:p>
    <w:p w14:paraId="12872D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8.10</w:t>
      </w:r>
      <w:r>
        <w:rPr>
          <w:rFonts w:hint="eastAsia" w:ascii="仿宋" w:hAnsi="仿宋" w:eastAsia="仿宋" w:cs="仿宋"/>
          <w:i w:val="0"/>
          <w:iCs w:val="0"/>
          <w:color w:val="auto"/>
          <w:sz w:val="28"/>
          <w:szCs w:val="28"/>
          <w:highlight w:val="none"/>
          <w:u w:val="none"/>
          <w:shd w:val="clear" w:color="auto" w:fill="auto"/>
          <w:lang w:val="en-US" w:eastAsia="zh-CN"/>
        </w:rPr>
        <w:t>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41C30A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w:t>
      </w:r>
      <w:r>
        <w:rPr>
          <w:rFonts w:hint="eastAsia" w:ascii="仿宋" w:hAnsi="仿宋" w:eastAsia="仿宋" w:cs="仿宋"/>
          <w:i w:val="0"/>
          <w:iCs w:val="0"/>
          <w:color w:val="auto"/>
          <w:sz w:val="28"/>
          <w:szCs w:val="28"/>
          <w:highlight w:val="none"/>
          <w:u w:val="none"/>
          <w:shd w:val="clear" w:color="auto" w:fill="auto"/>
          <w:lang w:val="en-US" w:eastAsia="zh-CN"/>
        </w:rPr>
        <w:t>如乙方申报了乙方不在本项目工作人员的工人工资，属乙方违约，由此所导致的一切后果和全部责任均由乙方承担，同时甲方对乙方上述违约行为按1000元/人/次收取违约金。</w:t>
      </w:r>
    </w:p>
    <w:p w14:paraId="23C7D8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8.12</w:t>
      </w:r>
      <w:r>
        <w:rPr>
          <w:rFonts w:hint="default" w:ascii="仿宋" w:hAnsi="仿宋" w:eastAsia="仿宋" w:cs="仿宋"/>
          <w:color w:val="auto"/>
          <w:sz w:val="28"/>
          <w:szCs w:val="28"/>
          <w:highlight w:val="none"/>
          <w:lang w:val="en-US" w:eastAsia="zh-CN"/>
        </w:rPr>
        <w:t>合同履约保证金为人民币</w:t>
      </w:r>
      <w:r>
        <w:rPr>
          <w:rFonts w:hint="eastAsia" w:ascii="仿宋" w:hAnsi="仿宋" w:eastAsia="仿宋" w:cs="仿宋"/>
          <w:b/>
          <w:bCs/>
          <w:color w:val="auto"/>
          <w:sz w:val="28"/>
          <w:szCs w:val="28"/>
          <w:highlight w:val="none"/>
          <w:u w:val="single"/>
          <w:lang w:val="en-US" w:eastAsia="zh-CN"/>
        </w:rPr>
        <w:t>壹拾万</w:t>
      </w:r>
      <w:r>
        <w:rPr>
          <w:rFonts w:hint="default" w:ascii="仿宋" w:hAnsi="仿宋" w:eastAsia="仿宋" w:cs="仿宋"/>
          <w:color w:val="auto"/>
          <w:sz w:val="28"/>
          <w:szCs w:val="28"/>
          <w:highlight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szCs w:val="28"/>
          <w:highlight w:val="none"/>
          <w:lang w:val="en-US" w:eastAsia="zh-CN"/>
        </w:rPr>
        <w:t>本工程</w:t>
      </w:r>
      <w:r>
        <w:rPr>
          <w:rFonts w:hint="default" w:ascii="仿宋" w:hAnsi="仿宋" w:eastAsia="仿宋" w:cs="仿宋"/>
          <w:color w:val="auto"/>
          <w:sz w:val="28"/>
          <w:szCs w:val="28"/>
          <w:highlight w:val="none"/>
          <w:lang w:val="en-US" w:eastAsia="zh-CN"/>
        </w:rPr>
        <w:t>验收合格、甲方收齐资料、移交甲方正常使用后，甲方无息原路退回履约保证金</w:t>
      </w:r>
      <w:r>
        <w:rPr>
          <w:rFonts w:hint="eastAsia" w:ascii="仿宋" w:hAnsi="仿宋" w:eastAsia="仿宋" w:cs="仿宋"/>
          <w:color w:val="auto"/>
          <w:sz w:val="28"/>
          <w:szCs w:val="28"/>
          <w:highlight w:val="none"/>
          <w:lang w:val="en-US" w:eastAsia="zh-CN"/>
        </w:rPr>
        <w:t>。</w:t>
      </w:r>
    </w:p>
    <w:p w14:paraId="0F94AD27">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i w:val="0"/>
          <w:iCs w:val="0"/>
          <w:color w:val="auto"/>
          <w:kern w:val="0"/>
          <w:sz w:val="28"/>
          <w:szCs w:val="28"/>
          <w:highlight w:val="none"/>
          <w:u w:val="none"/>
          <w:shd w:val="clear" w:color="auto" w:fill="auto"/>
        </w:rPr>
      </w:pPr>
      <w:bookmarkStart w:id="23" w:name="_Toc24215"/>
      <w:bookmarkStart w:id="24" w:name="_Toc5830"/>
      <w:bookmarkStart w:id="25" w:name="_Toc22206"/>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九</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w:t>
      </w:r>
      <w:r>
        <w:rPr>
          <w:rFonts w:hint="eastAsia" w:ascii="仿宋_GB2312" w:hAnsi="仿宋_GB2312" w:eastAsia="仿宋_GB2312" w:cs="仿宋_GB2312"/>
          <w:b/>
          <w:bCs/>
          <w:i w:val="0"/>
          <w:iCs w:val="0"/>
          <w:color w:val="auto"/>
          <w:kern w:val="0"/>
          <w:sz w:val="28"/>
          <w:szCs w:val="28"/>
          <w:highlight w:val="none"/>
          <w:u w:val="none"/>
          <w:shd w:val="clear" w:color="auto" w:fill="auto"/>
        </w:rPr>
        <w:t>双方</w:t>
      </w:r>
      <w:r>
        <w:rPr>
          <w:rFonts w:hint="eastAsia" w:ascii="仿宋_GB2312" w:hAnsi="仿宋_GB2312" w:eastAsia="仿宋_GB2312" w:cs="仿宋_GB2312"/>
          <w:b/>
          <w:i w:val="0"/>
          <w:iCs w:val="0"/>
          <w:color w:val="auto"/>
          <w:kern w:val="0"/>
          <w:sz w:val="28"/>
          <w:szCs w:val="28"/>
          <w:highlight w:val="none"/>
          <w:u w:val="none"/>
          <w:shd w:val="clear" w:color="auto" w:fill="auto"/>
        </w:rPr>
        <w:t>责任和权利</w:t>
      </w:r>
      <w:bookmarkEnd w:id="23"/>
      <w:bookmarkEnd w:id="24"/>
      <w:bookmarkEnd w:id="25"/>
    </w:p>
    <w:p w14:paraId="19A8A7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1AE25D23">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yellow"/>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9.1.1提供给乙方施工图纸</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套（含图纸变更通知、图纸会审记录等）；对乙方进行本工程技术交底及质量、安全、进度、文明施工、成本控制等管理，</w:t>
      </w:r>
      <w:r>
        <w:rPr>
          <w:rFonts w:hint="eastAsia" w:ascii="仿宋" w:hAnsi="仿宋" w:eastAsia="仿宋" w:cs="仿宋"/>
          <w:i w:val="0"/>
          <w:iCs w:val="0"/>
          <w:color w:val="auto"/>
          <w:sz w:val="28"/>
          <w:szCs w:val="28"/>
          <w:highlight w:val="none"/>
          <w:lang w:val="en-US" w:eastAsia="zh-CN"/>
        </w:rPr>
        <w:t>由甲方</w:t>
      </w:r>
      <w:r>
        <w:rPr>
          <w:rFonts w:hint="eastAsia" w:ascii="仿宋" w:hAnsi="仿宋" w:eastAsia="仿宋" w:cs="仿宋"/>
          <w:i w:val="0"/>
          <w:iCs w:val="0"/>
          <w:color w:val="auto"/>
          <w:sz w:val="28"/>
          <w:szCs w:val="28"/>
          <w:highlight w:val="none"/>
          <w:shd w:val="clear" w:color="auto" w:fill="auto"/>
          <w:lang w:val="en-US" w:eastAsia="zh-CN"/>
        </w:rPr>
        <w:t>负责编制本工程竣工图</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p>
    <w:p w14:paraId="290A42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9.1.2按国家工程质量标准对乙方施工成品进行内部核验，并办理过程验收手续和完工后总体验收手续。在验收合格情况下按照合同约定及时办理结算和付款。</w:t>
      </w:r>
    </w:p>
    <w:p w14:paraId="254E35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9.1.3提供乙方施工工人在本项目现场住宿的设施，并向乙方收取费用。</w:t>
      </w:r>
    </w:p>
    <w:p w14:paraId="04A41C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9.1.4提供给乙方工作面及本合同约定的甲供材、机具，提供乙方作业所需的施工场所。</w:t>
      </w:r>
    </w:p>
    <w:p w14:paraId="6FFA9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9.1.5为乙方员工办理人脸识别进场资料。</w:t>
      </w:r>
    </w:p>
    <w:p w14:paraId="60821A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9.1.6督促乙方及其工人遵章守纪、按章操作，强化现场安全防护工作。</w:t>
      </w:r>
    </w:p>
    <w:p w14:paraId="505872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9.1.7根据本项目总体情况安排、调整本工程工期，规定乙方先做某部位后做某部位，何时增加工人何时减少工人，乙方必须服从调动及安排。</w:t>
      </w:r>
    </w:p>
    <w:p w14:paraId="0B1359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9.1.8对乙方在施工中出现的不符合设计图纸、违反施工规范和安全操作规程、材料浪费等违规行为强行制止，并要求乙方在规定时间内按要求整改，同时根据具体情况对乙方计取违约金。</w:t>
      </w:r>
    </w:p>
    <w:p w14:paraId="1F8735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9.1.9对乙方及其人员进行技术考核，考核不合格人员禁止上岗，且乙方按甲方要求调换合格人员接替上岗。</w:t>
      </w:r>
    </w:p>
    <w:p w14:paraId="7810AA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9.1.10</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060DA8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9.1.11对乙方进行管理，有权要求乙方管理人员必须坚守岗位，在施工现场组织指导工人作业。</w:t>
      </w:r>
    </w:p>
    <w:p w14:paraId="115650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9.1.12</w:t>
      </w:r>
      <w:r>
        <w:rPr>
          <w:rFonts w:hint="eastAsia" w:ascii="仿宋_GB2312" w:hAnsi="仿宋_GB2312" w:eastAsia="仿宋_GB2312" w:cs="仿宋_GB2312"/>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0A43AF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69923C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9.1.14甲方因参与本合同履行而发出、或与乙方达成合意所形成的一切相关文件，均须同时加盖甲方公章及经法定代表人（或授权代表人）签名，否则均不对甲方产生约束力，除非事后获得甲方另行追认。</w:t>
      </w:r>
    </w:p>
    <w:p w14:paraId="1BBC31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9.1.15对乙方不按合同约定时间向甲方申报其工人工资资料等行为，甲方有权对乙方收取违约金，每逾期一天的违约金不少于伍佰元/人（按乙方在本工程施工工人人数计）。</w:t>
      </w:r>
    </w:p>
    <w:p w14:paraId="284D77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9.1.16</w:t>
      </w:r>
      <w:r>
        <w:rPr>
          <w:rFonts w:hint="eastAsia" w:ascii="仿宋" w:hAnsi="仿宋" w:eastAsia="仿宋" w:cs="仿宋"/>
          <w:i w:val="0"/>
          <w:iCs w:val="0"/>
          <w:color w:val="auto"/>
          <w:sz w:val="28"/>
          <w:szCs w:val="28"/>
          <w:highlight w:val="none"/>
          <w:u w:val="none"/>
          <w:shd w:val="clear" w:color="auto" w:fill="auto"/>
          <w:lang w:val="en-US" w:eastAsia="zh-CN"/>
        </w:rPr>
        <w:t>因乙方原因导致工人工资不能及时发放，其工人发生停工或静坐、闹事等行为的，甲方有权按本合同相关条款（如第十五章等）对乙方收取违约金。</w:t>
      </w:r>
    </w:p>
    <w:p w14:paraId="34B4F0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9.1.17工程若有变更，甲方必须以书面形式通知乙方，若因工程变更导致增加工程量，甲方需给予乙方合理的备料期（具体时间双方协商）并办理签证确认</w:t>
      </w:r>
    </w:p>
    <w:p w14:paraId="4B42CA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9.1.18按合同约定向乙方支付工程款。</w:t>
      </w:r>
    </w:p>
    <w:p w14:paraId="39B681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9.1.19协调与建设单位、监理单位的关系。</w:t>
      </w:r>
    </w:p>
    <w:p w14:paraId="5696CE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9.2乙方责任和权利</w:t>
      </w:r>
    </w:p>
    <w:p w14:paraId="6605EB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9.2.1按设计图纸和施工规范施工，在每一道分项工序开始时，乙方先做出样板部位报甲方项目部确认后方可进入一下步施工，保证施工成品质量满足合同要求。因乙方原因导致的质量事故，由乙方赔偿甲方损失。</w:t>
      </w:r>
    </w:p>
    <w:p w14:paraId="4E80E1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9.2.2按时完成本工程阶段性施工任务，保证符合甲方工期要求，因乙方原因导致的工期延误及甲方遭受的损失均由乙方赔偿甲方。</w:t>
      </w:r>
    </w:p>
    <w:p w14:paraId="4FF5B8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9.2.3遵守安全生产、文明施工法规。乙方违规操作发生的安全或质量事故所造成的甲方损失均由乙方赔偿甲方。</w:t>
      </w:r>
    </w:p>
    <w:p w14:paraId="1FA148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9.2.4在施工过程中乙方指定专人认真做好施工记录，工程竣工后须及时将资料整理完整，移交甲方资料员。</w:t>
      </w:r>
    </w:p>
    <w:p w14:paraId="5C0F7C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9.2.5乙方须保护好自身施工的材料、机械等设备，如有被偷盗、损坏等现象发生，由乙方自行负责。</w:t>
      </w:r>
    </w:p>
    <w:p w14:paraId="1FF82D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9.2.6遵守甲方管理制度，服从甲方管理。</w:t>
      </w:r>
    </w:p>
    <w:p w14:paraId="0A423F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9.2.7乙方对完成的每一道工序及时、认真进行自检，自检合格后提请甲方验收。对甲方提出的问题按甲方要求彻底整改，每延误一天完成整改，向甲方承担违约金壹仟元。</w:t>
      </w:r>
    </w:p>
    <w:p w14:paraId="2E4B06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9.2.8加强自身团队建设。乙方管理人员须经常对下属工人进行技术交底、安全教育，作业人员必须持证上岗。乙方管理人员必须坚守岗位，特殊情况需离开工地时，经甲方项目部批准后方能离开。</w:t>
      </w:r>
    </w:p>
    <w:p w14:paraId="684F77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306AA4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9.2.10在甲方的监督下办理工人工资发放专户，由银行代发乙方工人工资。</w:t>
      </w:r>
    </w:p>
    <w:p w14:paraId="4DF24C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9.2.11</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1EB1D4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9.2.12</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49765C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9.2.13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51E2F8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9.2.14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46EF60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负责本工程工作面上所用材料、机具、垃圾的清理，乙方每天施工过程中须做到工完场清，并自行负责有机物垃圾的处置，隐蔽工程验收前把工作面有关材料、机具、垃圾清理到甲方指定位置，相关费用已含于第六章约定的合同价中，甲方无需另行计费给乙方。</w:t>
      </w:r>
    </w:p>
    <w:p w14:paraId="5D1AE2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9.2.15乙方进入穿插施工工作面前必须按甲方项目部要求办理“工完场清交接单”，如乙方对穿插工作面不能接收，需对进场施工产生的增加费用及工程量在“工完场清交接单”中填报并报甲方项目部确认。乙方不得因穿插工作面达不到接收要求而拒绝进场施工，否则视作延迟开工。</w:t>
      </w:r>
    </w:p>
    <w:p w14:paraId="79F651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9.2.16合同履行过程中，如乙方中途自行退场，甲方不支付任何款项，因此造成甲方损失的由乙方赔偿。</w:t>
      </w:r>
    </w:p>
    <w:p w14:paraId="7BBA79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9.2.17乙方须合理使用甲供材，在保证质量的情况下，按合同约定及相应规范控制使用。</w:t>
      </w:r>
    </w:p>
    <w:p w14:paraId="416D80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9.2.18乙方施工中须与其他分包单位积极配合，保护所有成品，保护费用及责任由乙方承担。非经甲方书面同意，所有已进场材料设备不能运出工地。</w:t>
      </w:r>
    </w:p>
    <w:p w14:paraId="7906EF0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9.2.19如乙方人员使用甲方提供的宿舍，住宿按7人/间配置，凡按乙方人员分配房间超过数量的，甲方将按1000元/间/月（税金另计）向乙方收取房租，乙方必须每月按实缴纳宿舍所有电费用【线路损耗按装表计量实际量加10%损耗计（税金另计）】和空调使用费【按1.3元/间/天计（税金另计），未安装空调的此项不计】和房租给甲方。乙方每次向甲方请款时，甲方合同执行联系人可直接扣除乙方上月产生的房租、宿舍所有电费用及空调使用费，并按扣除后的金额申请进度款。</w:t>
      </w:r>
    </w:p>
    <w:p w14:paraId="3478BB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9.2.20对违章指挥，乙方有权拒绝服从。</w:t>
      </w:r>
    </w:p>
    <w:p w14:paraId="0AA23A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9.2.21因乙方材料或施工质量问题引起的返工、维修、更换、损失及工期延误等造成的一切费用由乙方承担。</w:t>
      </w:r>
    </w:p>
    <w:p w14:paraId="11076E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9.2.22乙方供应的每批材料必须经甲方现场管理人员（或甲方施工员）确认是否符合合同要求及本工程所需，如不符合，一律不准进场并按甲方要求更换且不得因此延长工期，同时乙方每次向甲方承担违约金壹万元。 </w:t>
      </w:r>
    </w:p>
    <w:p w14:paraId="1477CC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9.2.23乙方确保本工程的质量和进度一次性达到合同要求，否则造成的一切损失由乙方承担且每次向甲方承担违约金壹万元。</w:t>
      </w:r>
    </w:p>
    <w:p w14:paraId="017FCA4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9.2.24乙方充分了解本工程现场实际情况，确定第六章约定的</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合同单价/□合同总价已包含处理现场各种因素导致的多次进退场、怠工、误工等不能正常开工情形的费用，甲方无需另行计费给乙方。</w:t>
      </w:r>
    </w:p>
    <w:p w14:paraId="3E7AAF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1C17B2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9.2.26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57A2F0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9.2.27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CA458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9.2.28乙方原因导致的一切安全事故，属乙方责任，所有损失及费用由乙方承担。</w:t>
      </w:r>
    </w:p>
    <w:p w14:paraId="45698A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9.2.29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2D354D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9.2.30乙方人员（包括乙方家属、朋友等人员）在本项目地点发生的所有安全事故均与甲方无关，甲方不承担任何责任和费用，一切责任和费用均由乙方承担。</w:t>
      </w:r>
    </w:p>
    <w:p w14:paraId="410652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9.2.31乙方组织施工人员进场时，须提供《技术工人素质承诺书》（格式详见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9.2.32乙方与第三人签订的劳动、租赁、买卖等一切合同，与甲方无关。乙方在施工期间发生的与第三方一切合同债务，由乙方负全责处理并承担责任。</w:t>
      </w:r>
    </w:p>
    <w:p w14:paraId="4BA089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9.2.33乙方与第三方发生的任何经济往来、债务纠纷均与甲方无关。乙方须保证所供应材料无权属上的瑕疵或无知识产权的争议，若因此对甲方造成损失，则由乙方负全责赔偿。</w:t>
      </w:r>
    </w:p>
    <w:p w14:paraId="6F6F42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26" w:name="_Toc11160"/>
      <w:bookmarkStart w:id="27" w:name="_Toc807"/>
      <w:bookmarkStart w:id="28" w:name="_Toc405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rPr>
        <w:t>十</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、安全生产、文明施工要求</w:t>
      </w:r>
      <w:bookmarkEnd w:id="26"/>
      <w:bookmarkEnd w:id="27"/>
      <w:bookmarkEnd w:id="28"/>
    </w:p>
    <w:p w14:paraId="6C8A711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10.1甲方应对乙方进场的施工人员进行安全教育。</w:t>
      </w:r>
    </w:p>
    <w:p w14:paraId="352E4AA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10.2甲方不得违反《建设工程安全生产管理条例》（有更新版本则按最新版本执行）的规定要求乙方违章施工。因甲方指挥失误导致的安全事故由甲方承担相应责任和费用。</w:t>
      </w:r>
    </w:p>
    <w:p w14:paraId="0B6A5F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10.3乙方须严格遵守《建筑施工安全检查标准》（JGJ59-2011标准，</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有更新版本则按最新版本执</w:t>
      </w:r>
      <w:r>
        <w:rPr>
          <w:rFonts w:hint="eastAsia" w:ascii="仿宋" w:hAnsi="仿宋" w:eastAsia="仿宋" w:cs="仿宋"/>
          <w:color w:val="auto"/>
          <w:sz w:val="28"/>
          <w:szCs w:val="28"/>
          <w:highlight w:val="none"/>
          <w:lang w:val="en-US" w:eastAsia="zh-CN"/>
        </w:rPr>
        <w:t>）、《建设工程安全生产管理条例》（有更新版本则按最新版本执行）等地方政府相关法律法规文件及甲方针对本工程的安全生产、文明施工管理制度的规定，组织安排工人施工，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否则甲方的全部损失由乙方赔偿。</w:t>
      </w:r>
    </w:p>
    <w:p w14:paraId="7BB8D470">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10.4乙方施工过程中，上道工序完成与下道工序必须进行工作面交接并以书面形式确认，甲方及相关单位签字确认的“隐蔽验收表”作为工程进度款申请书及结算书的附件。</w:t>
      </w:r>
    </w:p>
    <w:p w14:paraId="34B3C884">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10.5其它事项：</w:t>
      </w:r>
    </w:p>
    <w:p w14:paraId="4875867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10.5.1拆除时不得高空抛弃材料，必须通过机械或人工传递至地面；</w:t>
      </w:r>
    </w:p>
    <w:p w14:paraId="710BB28B">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10.5.2必须正确佩戴安全帽及安全带；</w:t>
      </w:r>
    </w:p>
    <w:p w14:paraId="00880C7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10.5.3不许酒后上班；</w:t>
      </w:r>
    </w:p>
    <w:p w14:paraId="5AE24D6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10.5.4不许穿拖鞋、硬底鞋上班。</w:t>
      </w:r>
    </w:p>
    <w:p w14:paraId="2AAEBC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i w:val="0"/>
          <w:iCs w:val="0"/>
          <w:color w:val="auto"/>
          <w:sz w:val="28"/>
          <w:szCs w:val="28"/>
          <w:highlight w:val="none"/>
          <w:u w:val="none"/>
          <w:shd w:val="clear" w:color="auto" w:fill="auto"/>
          <w:lang w:eastAsia="zh-CN"/>
        </w:rPr>
      </w:pPr>
      <w:bookmarkStart w:id="29" w:name="_Toc26423"/>
      <w:bookmarkStart w:id="30" w:name="_Toc31665"/>
      <w:bookmarkStart w:id="31" w:name="_Toc31409"/>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十一</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w:t>
      </w:r>
      <w:bookmarkEnd w:id="29"/>
      <w:bookmarkEnd w:id="30"/>
      <w:r>
        <w:rPr>
          <w:rFonts w:hint="eastAsia" w:ascii="仿宋_GB2312" w:hAnsi="仿宋_GB2312" w:eastAsia="仿宋_GB2312" w:cs="仿宋_GB2312"/>
          <w:b/>
          <w:i w:val="0"/>
          <w:iCs w:val="0"/>
          <w:color w:val="auto"/>
          <w:sz w:val="28"/>
          <w:szCs w:val="28"/>
          <w:highlight w:val="none"/>
          <w:u w:val="none"/>
          <w:shd w:val="clear" w:color="auto" w:fill="auto"/>
          <w:lang w:eastAsia="zh-CN"/>
        </w:rPr>
        <w:t>甲供材料设备</w:t>
      </w:r>
      <w:bookmarkEnd w:id="31"/>
    </w:p>
    <w:p w14:paraId="3D37E4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11.1乙方领用甲供材、甲供机具都必须按甲方规定办理租用、借用、领用手续。</w:t>
      </w:r>
    </w:p>
    <w:p w14:paraId="011FCD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11.2乙方对周转材料、建筑材料和施工机具应做到限额合理使用、工完场清，对机具负责正常保养维护。因违反操作规程造成损坏或因保管不严造成丢失的，乙方须负赔偿责任。</w:t>
      </w:r>
    </w:p>
    <w:p w14:paraId="2AB0D2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11.3本工程竣工之日起10个日历天内，乙方需前往甲方仓库办理机具退还手续，每延迟一日，向甲方支付违约金人民币伍佰元，且甲方有权不办理结算。</w:t>
      </w:r>
    </w:p>
    <w:p w14:paraId="1BAAD2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14029F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11.5乙方指定其现场负责人办理甲供材领料手续，由该负责人办理甲供材领料手续，领料流程按甲方相关管理规定执行，乙方现场负责人签署的该流程所有手续在本工程完工后作为乙方材料损耗计量和结算依据。</w:t>
      </w:r>
    </w:p>
    <w:p w14:paraId="551CF7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285853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11.7甲供材损耗率</w:t>
      </w:r>
    </w:p>
    <w:p w14:paraId="0BE529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11.7.1乙方使用的甲供材料以甲方出入库单为准，乙方参加验收和签收与出库，甲供材损耗率不得超过</w:t>
      </w:r>
      <w:r>
        <w:rPr>
          <w:rFonts w:hint="eastAsia" w:ascii="仿宋" w:hAnsi="仿宋" w:eastAsia="仿宋" w:cs="仿宋"/>
          <w:i w:val="0"/>
          <w:iCs w:val="0"/>
          <w:color w:val="auto"/>
          <w:sz w:val="28"/>
          <w:szCs w:val="28"/>
          <w:highlight w:val="none"/>
          <w:u w:val="single"/>
          <w:shd w:val="clear" w:color="auto" w:fill="auto"/>
          <w:lang w:val="en-US" w:eastAsia="zh-CN"/>
        </w:rPr>
        <w:t>0%</w:t>
      </w:r>
      <w:r>
        <w:rPr>
          <w:rFonts w:hint="eastAsia" w:ascii="仿宋" w:hAnsi="仿宋" w:eastAsia="仿宋" w:cs="仿宋"/>
          <w:i w:val="0"/>
          <w:iCs w:val="0"/>
          <w:color w:val="auto"/>
          <w:sz w:val="28"/>
          <w:szCs w:val="28"/>
          <w:highlight w:val="none"/>
          <w:shd w:val="clear" w:color="auto" w:fill="auto"/>
          <w:lang w:val="en-US" w:eastAsia="zh-CN"/>
        </w:rPr>
        <w:t>，如超过，乙方对超出部分按施工当期同品牌、同品种、同级别、同规格材料市场价格的200％赔偿甲方，甲方有权在本工程结算时直接扣款。</w:t>
      </w:r>
    </w:p>
    <w:p w14:paraId="15FF72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11.7.2</w:t>
      </w:r>
      <w:r>
        <w:rPr>
          <w:rFonts w:hint="eastAsia" w:ascii="仿宋" w:hAnsi="仿宋" w:eastAsia="仿宋" w:cs="仿宋"/>
          <w:b w:val="0"/>
          <w:bCs w:val="0"/>
          <w:i w:val="0"/>
          <w:iCs w:val="0"/>
          <w:color w:val="auto"/>
          <w:sz w:val="28"/>
          <w:szCs w:val="28"/>
          <w:highlight w:val="none"/>
          <w:lang w:val="en-US" w:eastAsia="zh-CN"/>
        </w:rPr>
        <w:t>甲供材损耗率计算公式：</w:t>
      </w:r>
      <w:r>
        <w:rPr>
          <w:rFonts w:hint="eastAsia" w:ascii="仿宋" w:hAnsi="仿宋" w:eastAsia="仿宋" w:cs="仿宋"/>
          <w:b w:val="0"/>
          <w:bCs w:val="0"/>
          <w:i w:val="0"/>
          <w:iCs w:val="0"/>
          <w:color w:val="auto"/>
          <w:sz w:val="28"/>
          <w:szCs w:val="28"/>
          <w:highlight w:val="none"/>
          <w:u w:val="single"/>
          <w:lang w:val="en-US" w:eastAsia="zh-CN"/>
        </w:rPr>
        <w:t>无 。</w:t>
      </w:r>
      <w:bookmarkStart w:id="77" w:name="_GoBack"/>
      <w:bookmarkEnd w:id="77"/>
    </w:p>
    <w:p w14:paraId="2DF36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11.8</w:t>
      </w:r>
      <w:r>
        <w:rPr>
          <w:rFonts w:hint="eastAsia" w:ascii="仿宋" w:hAnsi="仿宋" w:eastAsia="仿宋" w:cs="仿宋"/>
          <w:i w:val="0"/>
          <w:iCs w:val="0"/>
          <w:color w:val="auto"/>
          <w:sz w:val="28"/>
          <w:szCs w:val="28"/>
          <w:highlight w:val="none"/>
          <w:shd w:val="clear" w:color="auto" w:fill="auto"/>
          <w:lang w:val="en-US" w:eastAsia="zh-CN"/>
        </w:rPr>
        <w:t>乙方在甲方领料，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265B35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11.9劳保用品配置标准具体实施及费用收取标准、办法：</w:t>
      </w:r>
    </w:p>
    <w:p w14:paraId="0394A37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11.9.1本工程配置黄色的安全帽、荧光黄色的反光背心，款式按甲方颁布的《劳保用品配置标准及司旗款式》（V2022）制度执行。</w:t>
      </w:r>
    </w:p>
    <w:p w14:paraId="5C2466A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11.9.2甲方提供安全帽20元/顶、反光背心15元/件，按乙方实际领取数量的对应金额在结算时进行扣除。</w:t>
      </w:r>
    </w:p>
    <w:p w14:paraId="412489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32" w:name="_Toc24173"/>
      <w:bookmarkStart w:id="33" w:name="_Toc31919"/>
      <w:bookmarkStart w:id="34" w:name="_Toc1197"/>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rPr>
        <w:t>十</w:t>
      </w:r>
      <w:r>
        <w:rPr>
          <w:rFonts w:hint="eastAsia" w:ascii="仿宋_GB2312" w:hAnsi="仿宋_GB2312" w:eastAsia="仿宋_GB2312" w:cs="仿宋_GB2312"/>
          <w:b/>
          <w:bCs/>
          <w:i w:val="0"/>
          <w:iCs w:val="0"/>
          <w:color w:val="auto"/>
          <w:sz w:val="28"/>
          <w:szCs w:val="28"/>
          <w:highlight w:val="none"/>
          <w:u w:val="none"/>
          <w:shd w:val="clear" w:color="auto" w:fill="auto"/>
          <w:lang w:eastAsia="zh-CN"/>
        </w:rPr>
        <w:t>二</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、验收及保修</w:t>
      </w:r>
      <w:bookmarkEnd w:id="32"/>
      <w:bookmarkEnd w:id="33"/>
      <w:bookmarkEnd w:id="34"/>
    </w:p>
    <w:p w14:paraId="200B7B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.1</w:t>
      </w:r>
    </w:p>
    <w:p w14:paraId="1905D8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eastAsia="zh-CN"/>
        </w:rPr>
      </w:pPr>
      <w:r>
        <w:rPr>
          <w:rFonts w:hint="eastAsia" w:ascii="仿宋_GB2312" w:hAnsi="仿宋_GB2312" w:eastAsia="仿宋_GB2312" w:cs="仿宋_GB2312"/>
          <w:i w:val="0"/>
          <w:iCs w:val="0"/>
          <w:color w:val="auto"/>
          <w:sz w:val="28"/>
          <w:szCs w:val="28"/>
          <w:highlight w:val="none"/>
          <w:u w:val="none"/>
          <w:shd w:val="clear" w:color="auto" w:fill="auto"/>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eastAsia="zh-CN"/>
        </w:rPr>
        <w:t>本</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任一</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w:t>
      </w:r>
      <w:r>
        <w:rPr>
          <w:rFonts w:hint="eastAsia" w:ascii="仿宋_GB2312" w:hAnsi="仿宋_GB2312" w:eastAsia="仿宋_GB2312" w:cs="仿宋_GB2312"/>
          <w:b w:val="0"/>
          <w:bCs w:val="0"/>
          <w:i w:val="0"/>
          <w:iCs w:val="0"/>
          <w:color w:val="auto"/>
          <w:sz w:val="28"/>
          <w:szCs w:val="28"/>
          <w:highlight w:val="none"/>
          <w:u w:val="none"/>
          <w:shd w:val="clear" w:color="auto" w:fill="auto"/>
        </w:rPr>
        <w:t>内容全部完工，乙方自检符合质量要求后提请甲方及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组织验收，经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建设行政主管部门、监理、</w:t>
      </w:r>
      <w:r>
        <w:rPr>
          <w:rFonts w:hint="eastAsia" w:ascii="仿宋_GB2312" w:hAnsi="仿宋_GB2312" w:eastAsia="仿宋_GB2312" w:cs="仿宋_GB2312"/>
          <w:b w:val="0"/>
          <w:bCs w:val="0"/>
          <w:i w:val="0"/>
          <w:iCs w:val="0"/>
          <w:color w:val="auto"/>
          <w:sz w:val="28"/>
          <w:szCs w:val="28"/>
          <w:highlight w:val="none"/>
          <w:u w:val="none"/>
          <w:shd w:val="clear" w:color="auto" w:fill="auto"/>
        </w:rPr>
        <w:t>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验收合格后，移交给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使用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b w:val="0"/>
          <w:bCs w:val="0"/>
          <w:i w:val="0"/>
          <w:iCs w:val="0"/>
          <w:color w:val="auto"/>
          <w:sz w:val="28"/>
          <w:szCs w:val="28"/>
          <w:highlight w:val="none"/>
          <w:u w:val="none"/>
          <w:shd w:val="clear" w:color="auto" w:fill="auto"/>
        </w:rPr>
        <w:t>日为</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该组团</w:t>
      </w:r>
      <w:r>
        <w:rPr>
          <w:rFonts w:hint="eastAsia" w:ascii="仿宋_GB2312" w:hAnsi="仿宋_GB2312" w:eastAsia="仿宋_GB2312" w:cs="仿宋_GB2312"/>
          <w:b w:val="0"/>
          <w:bCs w:val="0"/>
          <w:i w:val="0"/>
          <w:iCs w:val="0"/>
          <w:color w:val="auto"/>
          <w:sz w:val="28"/>
          <w:szCs w:val="28"/>
          <w:highlight w:val="none"/>
          <w:u w:val="none"/>
          <w:shd w:val="clear" w:color="auto" w:fill="auto"/>
        </w:rPr>
        <w:t>内容</w:t>
      </w:r>
      <w:r>
        <w:rPr>
          <w:rFonts w:hint="eastAsia" w:ascii="仿宋_GB2312" w:hAnsi="仿宋_GB2312" w:eastAsia="仿宋_GB2312" w:cs="仿宋_GB2312"/>
          <w:i w:val="0"/>
          <w:iCs w:val="0"/>
          <w:color w:val="auto"/>
          <w:sz w:val="28"/>
          <w:szCs w:val="28"/>
          <w:highlight w:val="none"/>
          <w:u w:val="none"/>
          <w:shd w:val="clear" w:color="auto" w:fill="auto"/>
        </w:rPr>
        <w:t>完工</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，保修期内，本工程该组团如出现较大质量缺陷，乙方履行保修义务至验收合格后，工程保修期自此时间开始顺延。</w:t>
      </w:r>
    </w:p>
    <w:p w14:paraId="765562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eastAsia="zh-CN"/>
        </w:rPr>
        <w:t>本</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全部完工，乙方自检符合质量要求后提请甲方及</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组织验收，经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建设行政主管部门、监理、</w:t>
      </w:r>
      <w:r>
        <w:rPr>
          <w:rFonts w:hint="eastAsia" w:ascii="仿宋_GB2312" w:hAnsi="仿宋_GB2312" w:eastAsia="仿宋_GB2312" w:cs="仿宋_GB2312"/>
          <w:i w:val="0"/>
          <w:iCs w:val="0"/>
          <w:color w:val="auto"/>
          <w:sz w:val="28"/>
          <w:szCs w:val="28"/>
          <w:highlight w:val="none"/>
          <w:u w:val="none"/>
          <w:shd w:val="clear" w:color="auto" w:fill="auto"/>
        </w:rPr>
        <w:t>甲方及</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验收合格后，移交给</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使用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日为</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完工</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w:t>
      </w:r>
      <w:r>
        <w:rPr>
          <w:rFonts w:hint="eastAsia" w:ascii="仿宋" w:hAnsi="仿宋" w:eastAsia="仿宋" w:cs="仿宋"/>
          <w:i w:val="0"/>
          <w:iCs w:val="0"/>
          <w:color w:val="auto"/>
          <w:sz w:val="28"/>
          <w:szCs w:val="28"/>
          <w:highlight w:val="none"/>
          <w:shd w:val="clear" w:color="auto" w:fill="auto"/>
        </w:rPr>
        <w:t>，保修期内，乙方出现较大质量缺陷，乙方履行保修义务至验收合格后，工程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r>
        <w:rPr>
          <w:rFonts w:hint="eastAsia" w:ascii="仿宋" w:hAnsi="仿宋" w:eastAsia="仿宋" w:cs="仿宋"/>
          <w:i w:val="0"/>
          <w:iCs w:val="0"/>
          <w:color w:val="auto"/>
          <w:sz w:val="28"/>
          <w:szCs w:val="28"/>
          <w:highlight w:val="none"/>
          <w:shd w:val="clear" w:color="auto" w:fill="auto"/>
          <w:lang w:eastAsia="zh-CN"/>
        </w:rPr>
        <w:t>。</w:t>
      </w:r>
    </w:p>
    <w:p w14:paraId="579608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.2</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保修期内，乙方对</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出现的质量问题免费进行维修或更换；</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保修内容</w:t>
      </w:r>
      <w:r>
        <w:rPr>
          <w:rFonts w:hint="eastAsia" w:ascii="仿宋_GB2312" w:hAnsi="仿宋_GB2312" w:eastAsia="仿宋_GB2312" w:cs="仿宋_GB2312"/>
          <w:i w:val="0"/>
          <w:iCs w:val="0"/>
          <w:color w:val="auto"/>
          <w:sz w:val="28"/>
          <w:szCs w:val="28"/>
          <w:highlight w:val="none"/>
          <w:u w:val="none"/>
          <w:shd w:val="clear" w:color="auto" w:fill="auto"/>
        </w:rPr>
        <w:t>包括合同价款所包含的工程项目、设计变更或修改、现场签证或双方或多方会议纪要约定的全部内容；凡因乙方原因造成的质量事故和缺陷，如</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各部位、部件、整体或单件的损坏、脱落、开裂、变形等，均由乙方无偿保修。</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rPr>
        <w:t>任一</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组团内容/</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全部</w:t>
      </w:r>
      <w:r>
        <w:rPr>
          <w:rFonts w:hint="eastAsia" w:ascii="仿宋_GB2312" w:hAnsi="仿宋_GB2312" w:eastAsia="仿宋_GB2312" w:cs="仿宋_GB2312"/>
          <w:b w:val="0"/>
          <w:bCs w:val="0"/>
          <w:i w:val="0"/>
          <w:iCs w:val="0"/>
          <w:color w:val="auto"/>
          <w:sz w:val="28"/>
          <w:szCs w:val="28"/>
          <w:highlight w:val="none"/>
          <w:u w:val="none"/>
          <w:shd w:val="clear" w:color="auto" w:fill="auto"/>
        </w:rPr>
        <w:t>内容的保修期为2年</w:t>
      </w:r>
      <w:r>
        <w:rPr>
          <w:rFonts w:hint="eastAsia" w:ascii="仿宋" w:hAnsi="仿宋" w:eastAsia="仿宋" w:cs="仿宋"/>
          <w:b/>
          <w:bCs/>
          <w:color w:val="auto"/>
          <w:sz w:val="28"/>
          <w:szCs w:val="28"/>
          <w:highlight w:val="none"/>
        </w:rPr>
        <w:t>（国家或甲方与本项目建设单位另有更长</w:t>
      </w:r>
      <w:r>
        <w:rPr>
          <w:rFonts w:hint="eastAsia" w:ascii="仿宋" w:hAnsi="仿宋" w:eastAsia="仿宋" w:cs="仿宋"/>
          <w:b/>
          <w:bCs/>
          <w:color w:val="auto"/>
          <w:sz w:val="28"/>
          <w:szCs w:val="28"/>
          <w:highlight w:val="none"/>
          <w:lang w:eastAsia="zh-CN"/>
        </w:rPr>
        <w:t>保修</w:t>
      </w:r>
      <w:r>
        <w:rPr>
          <w:rFonts w:hint="eastAsia" w:ascii="仿宋" w:hAnsi="仿宋" w:eastAsia="仿宋" w:cs="仿宋"/>
          <w:b/>
          <w:bCs/>
          <w:color w:val="auto"/>
          <w:sz w:val="28"/>
          <w:szCs w:val="28"/>
          <w:highlight w:val="none"/>
        </w:rPr>
        <w:t>期限规定的，从其规定）</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保修期</w:t>
      </w:r>
      <w:r>
        <w:rPr>
          <w:rFonts w:hint="eastAsia" w:ascii="仿宋_GB2312" w:hAnsi="仿宋_GB2312" w:eastAsia="仿宋_GB2312" w:cs="仿宋_GB2312"/>
          <w:b w:val="0"/>
          <w:bCs w:val="0"/>
          <w:i w:val="0"/>
          <w:iCs w:val="0"/>
          <w:color w:val="auto"/>
          <w:sz w:val="28"/>
          <w:szCs w:val="28"/>
          <w:highlight w:val="none"/>
          <w:u w:val="none"/>
          <w:shd w:val="clear" w:color="auto" w:fill="auto"/>
        </w:rPr>
        <w:t>从</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52"/>
      </w:r>
      <w:r>
        <w:rPr>
          <w:rFonts w:hint="eastAsia" w:ascii="仿宋_GB2312" w:hAnsi="仿宋_GB2312" w:eastAsia="仿宋_GB2312" w:cs="仿宋_GB2312"/>
          <w:b w:val="0"/>
          <w:bCs w:val="0"/>
          <w:i w:val="0"/>
          <w:iCs w:val="0"/>
          <w:color w:val="auto"/>
          <w:sz w:val="28"/>
          <w:szCs w:val="28"/>
          <w:highlight w:val="none"/>
          <w:u w:val="none"/>
          <w:shd w:val="clear" w:color="auto" w:fill="auto"/>
        </w:rPr>
        <w:t>该</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组团内容/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全部</w:t>
      </w:r>
      <w:r>
        <w:rPr>
          <w:rFonts w:hint="eastAsia" w:ascii="仿宋_GB2312" w:hAnsi="仿宋_GB2312" w:eastAsia="仿宋_GB2312" w:cs="仿宋_GB2312"/>
          <w:b w:val="0"/>
          <w:bCs w:val="0"/>
          <w:i w:val="0"/>
          <w:iCs w:val="0"/>
          <w:color w:val="auto"/>
          <w:sz w:val="28"/>
          <w:szCs w:val="28"/>
          <w:highlight w:val="none"/>
          <w:u w:val="none"/>
          <w:shd w:val="clear" w:color="auto" w:fill="auto"/>
        </w:rPr>
        <w:t>内容经甲方及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验收合格后，移交给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使用之日起计。</w:t>
      </w:r>
    </w:p>
    <w:p w14:paraId="18B230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b w:val="0"/>
          <w:bCs w:val="0"/>
          <w:i w:val="0"/>
          <w:iCs w:val="0"/>
          <w:color w:val="auto"/>
          <w:sz w:val="28"/>
          <w:szCs w:val="28"/>
          <w:highlight w:val="none"/>
          <w:u w:val="none"/>
          <w:shd w:val="clear" w:color="auto" w:fill="auto"/>
        </w:rPr>
        <w:t>.3保修期内，</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如因</w:t>
      </w:r>
      <w:r>
        <w:rPr>
          <w:rFonts w:hint="eastAsia" w:ascii="仿宋_GB2312" w:hAnsi="仿宋_GB2312" w:eastAsia="仿宋_GB2312" w:cs="仿宋_GB2312"/>
          <w:i w:val="0"/>
          <w:iCs w:val="0"/>
          <w:color w:val="auto"/>
          <w:sz w:val="28"/>
          <w:szCs w:val="28"/>
          <w:highlight w:val="none"/>
          <w:u w:val="none"/>
          <w:shd w:val="clear" w:color="auto" w:fill="auto"/>
        </w:rPr>
        <w:t>乙方原因出现质量问题，乙方须在接到甲方通知</w:t>
      </w:r>
      <w:r>
        <w:rPr>
          <w:rFonts w:hint="eastAsia" w:ascii="仿宋_GB2312" w:hAnsi="仿宋_GB2312" w:eastAsia="仿宋_GB2312" w:cs="仿宋_GB2312"/>
          <w:i w:val="0"/>
          <w:iCs w:val="0"/>
          <w:color w:val="auto"/>
          <w:sz w:val="28"/>
          <w:szCs w:val="28"/>
          <w:highlight w:val="none"/>
          <w:u w:val="none"/>
          <w:shd w:val="clear" w:color="auto" w:fill="auto"/>
          <w:lang w:eastAsia="zh-CN"/>
        </w:rPr>
        <w:t>起</w:t>
      </w:r>
      <w:r>
        <w:rPr>
          <w:rFonts w:hint="eastAsia" w:ascii="仿宋_GB2312" w:hAnsi="仿宋_GB2312" w:eastAsia="仿宋_GB2312" w:cs="仿宋_GB2312"/>
          <w:i w:val="0"/>
          <w:iCs w:val="0"/>
          <w:color w:val="auto"/>
          <w:sz w:val="28"/>
          <w:szCs w:val="28"/>
          <w:highlight w:val="none"/>
          <w:u w:val="none"/>
          <w:shd w:val="clear" w:color="auto" w:fill="auto"/>
        </w:rPr>
        <w:t>24小时内派人到达现场处理解决，否则甲方有权自行或委托第三方处理，乙方承担相关费用</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责任</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并向甲方支付</w:t>
      </w:r>
      <w:r>
        <w:rPr>
          <w:rFonts w:hint="eastAsia" w:ascii="仿宋_GB2312" w:hAnsi="仿宋_GB2312" w:eastAsia="仿宋_GB2312" w:cs="仿宋_GB2312"/>
          <w:i w:val="0"/>
          <w:iCs w:val="0"/>
          <w:color w:val="auto"/>
          <w:sz w:val="28"/>
          <w:szCs w:val="28"/>
          <w:highlight w:val="none"/>
          <w:u w:val="none"/>
          <w:shd w:val="clear" w:color="auto" w:fill="auto"/>
        </w:rPr>
        <w:t>违约金一万元/次</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如发生的问题或事故系乙方导致或属于乙方保修内容，甲方所耗费用有权从乙方的</w:t>
      </w:r>
      <w:r>
        <w:rPr>
          <w:rFonts w:hint="eastAsia" w:ascii="仿宋_GB2312" w:hAnsi="仿宋_GB2312" w:eastAsia="仿宋_GB2312" w:cs="仿宋_GB2312"/>
          <w:i w:val="0"/>
          <w:iCs w:val="0"/>
          <w:color w:val="auto"/>
          <w:sz w:val="28"/>
          <w:szCs w:val="28"/>
          <w:highlight w:val="none"/>
          <w:u w:val="none"/>
          <w:shd w:val="clear" w:color="auto" w:fill="auto"/>
          <w:lang w:eastAsia="zh-CN"/>
        </w:rPr>
        <w:t>保修</w:t>
      </w:r>
      <w:r>
        <w:rPr>
          <w:rFonts w:hint="eastAsia" w:ascii="仿宋_GB2312" w:hAnsi="仿宋_GB2312" w:eastAsia="仿宋_GB2312" w:cs="仿宋_GB2312"/>
          <w:i w:val="0"/>
          <w:iCs w:val="0"/>
          <w:color w:val="auto"/>
          <w:sz w:val="28"/>
          <w:szCs w:val="28"/>
          <w:highlight w:val="none"/>
          <w:u w:val="none"/>
          <w:shd w:val="clear" w:color="auto" w:fill="auto"/>
        </w:rPr>
        <w:t>金中扣除，不足部分由乙方在甲方发出书面通知之日起10个日历天内支付</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如非乙方原因所致，乙方仍应提供维修服务，但费用经双方商定后由责任方承担。</w:t>
      </w:r>
    </w:p>
    <w:p w14:paraId="19338B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 xml:space="preserve">.4 </w:t>
      </w:r>
      <w:r>
        <w:rPr>
          <w:rFonts w:hint="eastAsia" w:ascii="仿宋" w:hAnsi="仿宋" w:eastAsia="仿宋" w:cs="仿宋"/>
          <w:i w:val="0"/>
          <w:iCs w:val="0"/>
          <w:color w:val="auto"/>
          <w:sz w:val="28"/>
          <w:szCs w:val="28"/>
          <w:highlight w:val="none"/>
          <w:shd w:val="clear" w:color="auto" w:fill="auto"/>
        </w:rPr>
        <w:t>保修期内若发生乙方原因导致的质量问题，乙方须赔偿甲方因此造成的一切损失；出现较大质量缺陷，乙方履行保修义务至验收合格后，工程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p>
    <w:p w14:paraId="439175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 工程保修期满前，若出现质量问题需要进行鉴定的，相关费用由乙方负责。</w:t>
      </w:r>
    </w:p>
    <w:p w14:paraId="2627B3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12.6 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 </w:t>
      </w:r>
    </w:p>
    <w:p w14:paraId="4C0AEF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7D179D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5" w:name="_Toc454"/>
      <w:bookmarkStart w:id="36" w:name="_Toc1279"/>
      <w:bookmarkStart w:id="37" w:name="_Toc4352"/>
      <w:bookmarkStart w:id="38" w:name="_Toc8237"/>
      <w:r>
        <w:rPr>
          <w:rFonts w:hint="eastAsia" w:ascii="仿宋_GB2312" w:hAnsi="仿宋_GB2312" w:eastAsia="仿宋_GB2312" w:cs="仿宋_GB2312"/>
          <w:b/>
          <w:bCs/>
          <w:i w:val="0"/>
          <w:iCs w:val="0"/>
          <w:color w:val="auto"/>
          <w:sz w:val="28"/>
          <w:szCs w:val="28"/>
          <w:highlight w:val="none"/>
          <w:shd w:val="clear" w:color="auto" w:fill="auto"/>
          <w:lang w:val="en-US" w:eastAsia="zh-CN"/>
        </w:rPr>
        <w:t>第十三章、保险</w:t>
      </w:r>
      <w:bookmarkEnd w:id="35"/>
      <w:bookmarkEnd w:id="36"/>
      <w:bookmarkEnd w:id="37"/>
      <w:bookmarkEnd w:id="38"/>
    </w:p>
    <w:p w14:paraId="722C5CB2">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4FF9C282">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13.2乙方须为其属下人员、财产、现场各种施工设施、设备、材料购买保险，相关费用已含在本合同约定的合同价格中无需甲方另行支付给乙方。因各种原因导致乙方需要延长保险期所需增加的保险费由乙方自行承担，其费用已包含在本合同约定价格内，乙方人员或因乙方原因造成任何事故(包括第三方人员在内)导致的损失、赔偿、补偿等责任和费用由乙方承担。</w:t>
      </w:r>
    </w:p>
    <w:p w14:paraId="4668C842">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13.3甲乙双方在签订各自的保险合同时，其第三方责任险应将对方互相视为第三方。</w:t>
      </w:r>
    </w:p>
    <w:p w14:paraId="028A9F3B">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13.4乙方须对本工程涉及的乙方人员购买人身意外伤害险等保险，保额不低于死亡赔偿人民币150万元/人及伤害赔偿人民币15万元/人，相关费用已含于本合同约定的合同价中甲方无需另行支付给乙方。乙方须自保险合同生效之日起5个日历天内将保险合同复印件（加盖乙方公章）提交甲方项目部留存。</w:t>
      </w:r>
    </w:p>
    <w:p w14:paraId="1214AF23">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13.5无论甲乙任何一方有无按照本合同约定办理相关保险事宜，乙方人员或因乙方原因导致在本项目范围内发生的伤亡事故，均由乙方承担责任和费用。 </w:t>
      </w:r>
    </w:p>
    <w:p w14:paraId="5EEE71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9" w:name="_Toc15560"/>
      <w:bookmarkStart w:id="40" w:name="_Toc5575"/>
      <w:bookmarkStart w:id="41" w:name="_Toc7926"/>
      <w:bookmarkStart w:id="42" w:name="_Toc30819"/>
      <w:bookmarkStart w:id="43" w:name="_Toc12559"/>
      <w:bookmarkStart w:id="44" w:name="_Toc20713"/>
      <w:bookmarkStart w:id="45" w:name="_Toc9446"/>
      <w:r>
        <w:rPr>
          <w:rFonts w:hint="eastAsia" w:ascii="仿宋_GB2312" w:hAnsi="仿宋_GB2312" w:eastAsia="仿宋_GB2312" w:cs="仿宋_GB2312"/>
          <w:b/>
          <w:bCs/>
          <w:i w:val="0"/>
          <w:iCs w:val="0"/>
          <w:color w:val="auto"/>
          <w:sz w:val="28"/>
          <w:szCs w:val="28"/>
          <w:highlight w:val="none"/>
          <w:shd w:val="clear" w:color="auto" w:fill="auto"/>
          <w:lang w:val="en-US" w:eastAsia="zh-CN"/>
        </w:rPr>
        <w:t>第十四章、奖罚条款</w:t>
      </w:r>
      <w:bookmarkEnd w:id="39"/>
      <w:bookmarkEnd w:id="40"/>
      <w:bookmarkEnd w:id="41"/>
      <w:bookmarkEnd w:id="42"/>
      <w:bookmarkEnd w:id="43"/>
      <w:bookmarkEnd w:id="44"/>
      <w:bookmarkEnd w:id="45"/>
    </w:p>
    <w:p w14:paraId="7D9C09C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14.1奖励</w:t>
      </w:r>
    </w:p>
    <w:p w14:paraId="2BB64FA2">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如乙方施工的产品质量优质，施工进度快，安全生产、文明施工达标，作业队伍整体形象受各方好评且有下列情况之一的，甲方给予乙方一定的奖励（奖励额度按有关规定执行，最终解释权在甲方，甲方亦有权取消奖励，本条款不视为甲方对乙方作出的承诺）：</w:t>
      </w:r>
    </w:p>
    <w:p w14:paraId="149378D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14.1.1.1甲方组织的各类检查验收中，乙方组建的施工队伍被评为优质作业队。</w:t>
      </w:r>
    </w:p>
    <w:p w14:paraId="3FD6C88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14.1.1.2乙方负责施工的成品受到省、市有关部门表彰。</w:t>
      </w:r>
    </w:p>
    <w:p w14:paraId="2A9C6F7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14.1.1.3乙方负责施工的成品受到建设单位、监理好评。</w:t>
      </w:r>
    </w:p>
    <w:p w14:paraId="0A24352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14.1.1.4特定情况下，由于乙方的主观努力使甲方避免遭受巨大损失。</w:t>
      </w:r>
    </w:p>
    <w:p w14:paraId="4B55897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14.1.1.5乙方工人安全生产、文明施工、节约用料、质量优、进度快。</w:t>
      </w:r>
    </w:p>
    <w:p w14:paraId="0DC94B3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14.2惩罚</w:t>
      </w:r>
    </w:p>
    <w:p w14:paraId="5DA0FCF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14.2.1如乙方出现下列任一情况，甲方有权单方解除本合同，同时乙方赔偿甲方损失（包括但不限于因工期延误而使得甲方对建设单位承担的违约责任、损失赔偿责任等）：</w:t>
      </w:r>
    </w:p>
    <w:p w14:paraId="21227D8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14.2.1.1乙方在质量、进度、安全、管理等方面经甲方二次警告或处罚后仍不能明显改善；</w:t>
      </w:r>
    </w:p>
    <w:p w14:paraId="10EEDD9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14.2.1.2乙方将本工程以各种形式转包、分包给他人。</w:t>
      </w:r>
    </w:p>
    <w:p w14:paraId="307EF34E">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14.2.1.3乙方发生偷工减料、以次充好、弄虚作假等情形。</w:t>
      </w:r>
    </w:p>
    <w:p w14:paraId="490506E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14.2.2因下列情况导致的甲方损失均由乙方赔偿（包括但不限于因逾期完工而使得甲方对建设单位承担的违约责任、损失赔偿责任等）：</w:t>
      </w:r>
    </w:p>
    <w:p w14:paraId="546218B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①因乙方施工质量事故造成的损失；</w:t>
      </w:r>
    </w:p>
    <w:p w14:paraId="2CFFD85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②因乙方中途退场造成的损失；</w:t>
      </w:r>
    </w:p>
    <w:p w14:paraId="5B73EC0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③乙方发生偷工减料、以次充好、弄虚作假等情形。</w:t>
      </w:r>
    </w:p>
    <w:p w14:paraId="445EE33B">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14.2.3因乙方导致工程质量或工期达不到合同要求或使用甲供材料用量超标的，均属乙方违约，甲方有权单方解除合同且不付款，同时乙方赔偿甲方由此造成的损失及费用。</w:t>
      </w:r>
    </w:p>
    <w:p w14:paraId="395AB2C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14.2.4乙方或其人员有下列情况之一的，造成甲方损失的由乙方全额赔偿甲方，同时甲方有权对乙方采取每人或每次收取违约金壹佰元至叁万元的措施：</w:t>
      </w:r>
    </w:p>
    <w:p w14:paraId="70D022D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14.2.4.1隐蔽工程一次验收不合格；</w:t>
      </w:r>
    </w:p>
    <w:p w14:paraId="3A73817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14.2.4.2不能按甲方确定的周进度计划完成施工作业延误工期一天；</w:t>
      </w:r>
    </w:p>
    <w:p w14:paraId="1BCE4FF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14.2.4.3出现因质量、安全不满足本合同约定需整改；</w:t>
      </w:r>
    </w:p>
    <w:p w14:paraId="6BAC30D9">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14.2.4.4聚众赌博，影响他人休息；</w:t>
      </w:r>
    </w:p>
    <w:p w14:paraId="1D8E4A1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14.2.4.5聚众闹事、打人、打架、偷抢行为；</w:t>
      </w:r>
    </w:p>
    <w:p w14:paraId="13E931C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14.2.4.6容留非本工程现场人员在本项目宿舍住宿；</w:t>
      </w:r>
    </w:p>
    <w:p w14:paraId="2E5BA20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14.2.4.7不按甲方要求加班或人员不足导致延误工期一天；</w:t>
      </w:r>
    </w:p>
    <w:p w14:paraId="5B0F04B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14.2.4.8浪费材料、损坏机具或破坏其它设施及成品；</w:t>
      </w:r>
    </w:p>
    <w:p w14:paraId="017E9810">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14.2.4.9在生活区存放易燃易爆物品或其它危险品；</w:t>
      </w:r>
    </w:p>
    <w:p w14:paraId="2490869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14.2.4.10收留、聘用未成年人；（罚款的同时驱逐未成年人离开本项目）</w:t>
      </w:r>
    </w:p>
    <w:p w14:paraId="1C84B97F">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14.2.4.11在宿舍内做饭、使用大功率电器设备，如电磁炉、电饭煲、电热棒等。</w:t>
      </w:r>
    </w:p>
    <w:p w14:paraId="0E66E2C9">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14.2.5乙方或其人员有下列情况之一的，造成甲方损失的由乙方全额赔偿给甲方，同时，甲方有权对乙方采取每人或每次收取违约金壹佰元至叁万元。</w:t>
      </w:r>
    </w:p>
    <w:p w14:paraId="394BF53B">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14.2.5.1管理人员未经甲方同意离开工地两天以内；</w:t>
      </w:r>
    </w:p>
    <w:p w14:paraId="17379D7F">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14.2.5.2未戴好安全帽、穿拖鞋或赤脚、赤膊进入作业区；</w:t>
      </w:r>
    </w:p>
    <w:p w14:paraId="4211ECA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14.2.5.3不戴工卡上岗；</w:t>
      </w:r>
    </w:p>
    <w:p w14:paraId="7C761E0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14.2.5.4施工人员进场三天内不办理工作卡；</w:t>
      </w:r>
    </w:p>
    <w:p w14:paraId="6109AFC0">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14.2.5.5未经甲方批准擅带家属及小孩进入施工现场或在宿舍居住；</w:t>
      </w:r>
    </w:p>
    <w:p w14:paraId="725AE27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14.2.5.6工棚内乱拉乱接电线，违反生活区管理制度；</w:t>
      </w:r>
    </w:p>
    <w:p w14:paraId="0EC0CB0E">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14.2.5.7宿舍卫生不合格；</w:t>
      </w:r>
    </w:p>
    <w:p w14:paraId="75352CF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14.2.5.8材料、机具未按甲方要求堆放，建筑垃圾未按甲方要求处理，随地大小便，随意吸烟，在墙上乱涂乱画。</w:t>
      </w:r>
      <w:bookmarkStart w:id="46" w:name="_Toc16635"/>
      <w:bookmarkStart w:id="47" w:name="_Toc6486"/>
      <w:bookmarkStart w:id="48" w:name="_Toc28593"/>
    </w:p>
    <w:p w14:paraId="412AEEA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14.2.5.9乙方人员、车辆不接受甲方门岗保卫检查。</w:t>
      </w:r>
    </w:p>
    <w:p w14:paraId="23E5B37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14.3合同履行期间，因乙方原因导致建设单位及其他部门对甲方进行处罚扣款的，甲方则以该处罚金额为基数，处罚乙方2倍以上的违约金。</w:t>
      </w:r>
    </w:p>
    <w:p w14:paraId="1B32F8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49" w:name="_Toc27799"/>
      <w:bookmarkStart w:id="50" w:name="_Toc8716"/>
      <w:bookmarkStart w:id="51" w:name="_Toc30520"/>
      <w:bookmarkStart w:id="52" w:name="_Toc16221"/>
      <w:r>
        <w:rPr>
          <w:rFonts w:hint="eastAsia" w:ascii="仿宋_GB2312" w:hAnsi="仿宋_GB2312" w:eastAsia="仿宋_GB2312" w:cs="仿宋_GB2312"/>
          <w:b/>
          <w:bCs/>
          <w:i w:val="0"/>
          <w:iCs w:val="0"/>
          <w:color w:val="auto"/>
          <w:sz w:val="28"/>
          <w:szCs w:val="28"/>
          <w:highlight w:val="none"/>
          <w:shd w:val="clear" w:color="auto" w:fill="auto"/>
          <w:lang w:val="en-US" w:eastAsia="zh-CN"/>
        </w:rPr>
        <w:t>第十五章、违约条款</w:t>
      </w:r>
      <w:bookmarkEnd w:id="46"/>
      <w:bookmarkEnd w:id="47"/>
      <w:bookmarkEnd w:id="48"/>
      <w:bookmarkEnd w:id="49"/>
      <w:bookmarkEnd w:id="50"/>
      <w:bookmarkEnd w:id="51"/>
      <w:bookmarkEnd w:id="52"/>
    </w:p>
    <w:p w14:paraId="21D2E3AF">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15.1乙方延迟开工或不能按合同约定的工期完成本工程任一节点内容的，每延迟一个日历天，乙方向甲方支付违约金人民币伍仟元整，延迟超过三个日历天的，甲方有权单方解除合同，已完工工程无偿归甲方，甲方无需支付工程款并有权委托其他单位继续完成本工程；乙方还须按</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的20%支付违约金并按甲方要求准时退场，每延迟一个日历天退场，乙方向甲方另行支付违约金人民币伍仟元整，甲方的损失（包括但不限于因逾期而使得甲方需对建设单位承担的违约责任、损失赔偿责任等）由乙方赔偿。</w:t>
      </w:r>
    </w:p>
    <w:p w14:paraId="5D390DE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15.2乙方原因造成本工程质量达不到约定的质量标准的，乙方无条件返工至合格为止。甲方要求之日起3个日历天内，乙方仍未采取有效返工措施或未在甲方要求的期限内完成整改并通过甲方验收的，每延迟一个日历天，乙方向甲方支付违约金人民币伍仟元整并赔偿甲方损失（包括但不限于因逾期完工而使得甲方需对建设单位承担的违约责任、损失赔偿责任等），同时甲方有权：①单方解除合同并要求乙方期限内无条件撤场，乙方向甲方支付金额等于</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合同总价20%的违约金和赔偿甲方全部损失，已完工工程无偿归甲方，甲方无需支付工程款；②另行委托其他单位对本工程进行返修，乙方须无条件接受并配合，由此产生的一切费用乙方承担。</w:t>
      </w:r>
    </w:p>
    <w:p w14:paraId="0AE421EF">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15.3经甲方验核达不到约定质量标准的检验批（分项或分部），甲方有权对乙方按相应检验批的工程量处以相当于</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合同总价5%的违约金处理，如果甲方被政府部门或建设单位处罚而需承担违约、赔偿责任或费用的，则由乙方全部承担，同时甲方保留对乙方追偿的权利。</w:t>
      </w:r>
      <w:r>
        <w:rPr>
          <w:rFonts w:hint="eastAsia" w:ascii="仿宋_GB2312" w:hAnsi="仿宋_GB2312" w:eastAsia="仿宋_GB2312" w:cs="仿宋_GB2312"/>
          <w:i w:val="0"/>
          <w:iCs w:val="0"/>
          <w:color w:val="auto"/>
          <w:sz w:val="28"/>
          <w:szCs w:val="28"/>
          <w:highlight w:val="none"/>
          <w:u w:val="none"/>
          <w:shd w:val="clear" w:color="auto" w:fill="auto"/>
          <w:lang w:val="en-US" w:eastAsia="zh-CN"/>
        </w:rPr>
        <w:br w:type="textWrapping"/>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15.4合同履行期间，因乙方原因造成甲方或本工程或本项目被政府部门停工、整改导致扣分的，按贰万元/分由乙方支付给甲方（甲方亦可从任意合同款中扣款）。</w:t>
      </w:r>
    </w:p>
    <w:p w14:paraId="69FD7A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15.5乙方及其人员、供应商不得以任何理由去政府部门上访、投诉，不得去建设单位投诉、静坐，否则视情节轻重向甲方支付违约金壹万至壹拾万元/次。</w:t>
      </w:r>
      <w:r>
        <w:rPr>
          <w:rFonts w:hint="eastAsia" w:ascii="仿宋" w:hAnsi="仿宋" w:eastAsia="仿宋" w:cs="仿宋"/>
          <w:color w:val="auto"/>
          <w:sz w:val="28"/>
          <w:szCs w:val="28"/>
          <w:highlight w:val="none"/>
          <w:lang w:val="en-US" w:eastAsia="zh-CN"/>
        </w:rPr>
        <w:br w:type="textWrapping"/>
      </w:r>
      <w:r>
        <w:rPr>
          <w:rFonts w:hint="eastAsia" w:ascii="仿宋" w:hAnsi="仿宋" w:eastAsia="仿宋" w:cs="仿宋"/>
          <w:color w:val="auto"/>
          <w:sz w:val="28"/>
          <w:szCs w:val="28"/>
          <w:highlight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15.6乙方无正当理由停工或提出不履行合同或拖延工期或不能正常开展工作连续3天以上或无力将本工程顺利开展下去的，属乙方违约，甲方有权单方解除合同且对乙方按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合同总价的20%收取违约金，并对乙方处罚贰万元以上罚款，同时乙方按甲方要求限时退场，且承担给甲方造成的所有损失。</w:t>
      </w:r>
      <w:r>
        <w:rPr>
          <w:rFonts w:hint="eastAsia" w:ascii="仿宋_GB2312" w:hAnsi="仿宋_GB2312" w:eastAsia="仿宋_GB2312" w:cs="仿宋_GB2312"/>
          <w:i w:val="0"/>
          <w:iCs w:val="0"/>
          <w:color w:val="auto"/>
          <w:sz w:val="28"/>
          <w:szCs w:val="28"/>
          <w:highlight w:val="none"/>
          <w:u w:val="none"/>
          <w:shd w:val="clear" w:color="auto" w:fill="auto"/>
          <w:lang w:val="en-US" w:eastAsia="zh-CN"/>
        </w:rPr>
        <w:br w:type="textWrapping"/>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w:t>
      </w:r>
      <w:bookmarkStart w:id="53" w:name="_Toc10430"/>
      <w:bookmarkStart w:id="54" w:name="_Toc21824"/>
      <w:bookmarkStart w:id="55" w:name="_Toc2734"/>
      <w:r>
        <w:rPr>
          <w:rFonts w:hint="eastAsia" w:ascii="仿宋" w:hAnsi="仿宋" w:eastAsia="仿宋" w:cs="仿宋"/>
          <w:b w:val="0"/>
          <w:bCs w:val="0"/>
          <w:i w:val="0"/>
          <w:iCs w:val="0"/>
          <w:color w:val="auto"/>
          <w:sz w:val="28"/>
          <w:szCs w:val="28"/>
          <w:highlight w:val="none"/>
          <w:shd w:val="clear" w:color="auto" w:fill="auto"/>
          <w:lang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261390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15.8凡乙方发生偷工减料行为，甲方视情节轻重计收乙方贰万至壹拾万元/次的违约金。</w:t>
      </w:r>
    </w:p>
    <w:p w14:paraId="4F0890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15.9合同履行期间，因乙方原因导致建设单位及其他部门对甲方进行处罚扣款的，甲方则以该处罚金额为基数，处罚乙方2倍以上的违约金。</w:t>
      </w:r>
    </w:p>
    <w:p w14:paraId="5D7CBB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15.10因乙方原因导致甲方被起诉或被处分的，乙方除赔偿甲方损失外，甲方每被起诉或处分一次，乙方还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向甲方支付五万元的违约金。倘若还因此导致甲方账号被冻结的，乙方还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按冻结资金总额的日千分之一向甲方支付利息；因出现此情形属乙方自身管理不当，乙方自愿承担甲方遭受的所有损失，并根据账号被冻结次数，每次额外再向甲方支付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万元的违约金。</w:t>
      </w:r>
    </w:p>
    <w:p w14:paraId="50E0A1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15.11乙方出现上述第15.1条~第15.10条所述任一行为或未履行合同任一义务的，均属乙方严重违约，乙方除按上述条款承担包括但不限于以上所述的违约责任外，甲方可随时单方解除本合同，所产生的损失由乙方赔偿甲方。</w:t>
      </w:r>
    </w:p>
    <w:p w14:paraId="158855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15.12因建设单位、设计变更或非甲方原因导致本合同不能履行的，甲、乙双方互不追究违约责任，按照乙方已完成且经甲方验收合格的工程量进行结算，同时双方各自承担自身损失。</w:t>
      </w:r>
    </w:p>
    <w:p w14:paraId="392190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15.13乙方不得因停工损失向甲方索赔，同意不追究甲方在本合同履行过程中因付款延迟、停工而产生的违约责任。</w:t>
      </w:r>
    </w:p>
    <w:p w14:paraId="0C36F6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15.14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95BF2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01AFAC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需承担违约责任，自愿接受不合格部位造价20%以上的违约金，同时处以5000元以上的罚款。</w:t>
      </w:r>
    </w:p>
    <w:p w14:paraId="0A214B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15.17基于项目的特殊性，乙方已充分了解其施工责任并自愿承担相应风险，合同所约定的违约金标准经双方友好协商确定，乙方同意日后不得对违约金标准提出任何主张或抗辩。</w:t>
      </w:r>
    </w:p>
    <w:p w14:paraId="188537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37F538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70D690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56" w:name="_Toc9673"/>
      <w:bookmarkStart w:id="57" w:name="_Toc31952"/>
      <w:bookmarkStart w:id="58" w:name="_Toc14983"/>
      <w:bookmarkStart w:id="59" w:name="_Toc15196"/>
      <w:r>
        <w:rPr>
          <w:rFonts w:hint="eastAsia" w:ascii="仿宋_GB2312" w:hAnsi="仿宋_GB2312" w:eastAsia="仿宋_GB2312" w:cs="仿宋_GB2312"/>
          <w:b/>
          <w:bCs/>
          <w:i w:val="0"/>
          <w:iCs w:val="0"/>
          <w:color w:val="auto"/>
          <w:sz w:val="28"/>
          <w:szCs w:val="28"/>
          <w:highlight w:val="none"/>
          <w:shd w:val="clear" w:color="auto" w:fill="auto"/>
          <w:lang w:val="en-US" w:eastAsia="zh-CN"/>
        </w:rPr>
        <w:t>第十六章、廉洁条款</w:t>
      </w:r>
      <w:bookmarkEnd w:id="53"/>
      <w:bookmarkEnd w:id="54"/>
      <w:bookmarkEnd w:id="55"/>
      <w:bookmarkEnd w:id="56"/>
      <w:bookmarkEnd w:id="57"/>
      <w:bookmarkEnd w:id="58"/>
      <w:bookmarkEnd w:id="59"/>
    </w:p>
    <w:p w14:paraId="4146578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16.1乙方在与甲方合作期间（包括本合同招标、签订、履行期间），不得向甲方职员提供请吃、送礼、旅游、色情服务、行贿、回扣或其他好处，如有违反，乙方每次向甲方支付</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合同总价的10％作为违约金（甲方可从任意一笔合同款中扣款），造成甲方经济或其他损失的，乙方全额赔偿甲方。</w:t>
      </w:r>
    </w:p>
    <w:p w14:paraId="1CABB302">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7F29E11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16.3 如甲方发现乙方可能存在违反廉洁条款的行为时，甲方有权暂扣违约金/争议工程款/处罚款等对应等额的工程款，直至调查完毕后根据调查结果再作处理，甲方暂不付款的行为不视为甲方违约。</w:t>
      </w:r>
    </w:p>
    <w:p w14:paraId="6C31E8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60" w:name="_Toc14868"/>
      <w:bookmarkStart w:id="61" w:name="_Toc10092"/>
      <w:bookmarkStart w:id="62" w:name="_Toc7932"/>
      <w:bookmarkStart w:id="63" w:name="_Toc3557"/>
      <w:bookmarkStart w:id="64" w:name="_Toc15001"/>
      <w:bookmarkStart w:id="65" w:name="_Toc21838"/>
      <w:r>
        <w:rPr>
          <w:rFonts w:hint="eastAsia" w:ascii="仿宋_GB2312" w:hAnsi="仿宋_GB2312" w:eastAsia="仿宋_GB2312" w:cs="仿宋_GB2312"/>
          <w:b/>
          <w:bCs/>
          <w:i w:val="0"/>
          <w:iCs w:val="0"/>
          <w:color w:val="auto"/>
          <w:sz w:val="28"/>
          <w:szCs w:val="28"/>
          <w:highlight w:val="none"/>
          <w:shd w:val="clear" w:color="auto" w:fill="auto"/>
          <w:lang w:val="en-US" w:eastAsia="zh-CN"/>
        </w:rPr>
        <w:t>第十七章、其他</w:t>
      </w:r>
      <w:bookmarkEnd w:id="60"/>
      <w:bookmarkEnd w:id="61"/>
      <w:bookmarkEnd w:id="62"/>
      <w:bookmarkEnd w:id="63"/>
      <w:bookmarkEnd w:id="64"/>
      <w:bookmarkEnd w:id="65"/>
      <w:r>
        <w:rPr>
          <w:rFonts w:hint="eastAsia" w:ascii="仿宋_GB2312" w:hAnsi="仿宋_GB2312" w:eastAsia="仿宋_GB2312" w:cs="仿宋_GB2312"/>
          <w:b/>
          <w:bCs/>
          <w:i w:val="0"/>
          <w:iCs w:val="0"/>
          <w:color w:val="auto"/>
          <w:sz w:val="28"/>
          <w:szCs w:val="28"/>
          <w:highlight w:val="none"/>
          <w:shd w:val="clear" w:color="auto" w:fill="auto"/>
          <w:lang w:val="en-US" w:eastAsia="zh-CN"/>
        </w:rPr>
        <w:t xml:space="preserve"> </w:t>
      </w:r>
    </w:p>
    <w:p w14:paraId="33CDB21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17.1甲乙双方联系人</w:t>
      </w:r>
    </w:p>
    <w:p w14:paraId="7E974BC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为本工程甲方负责人及本合同甲方执行联系人，联系电话：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甲方项目章（样式详见附件）方为有效，否则为无效文件，仅盖章或者仅签名的文件亦无效。甲方项目负责人、执行联系人变更的，甲方将以书面形式通知乙方。</w:t>
      </w:r>
    </w:p>
    <w:p w14:paraId="3E2EDE6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甲乙</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双方确认，甲方项目章仅供项目部与乙方联系工作和确认施工技术、资料之用。乙方知悉并同意，该项目章用于以下情形时无效：</w:t>
      </w:r>
    </w:p>
    <w:p w14:paraId="2934FEA3">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①签订工程合同或工程分包合同及机械设备、周材租赁及材料采购类等合同；</w:t>
      </w:r>
    </w:p>
    <w:p w14:paraId="4212BF6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②任何类型的欠条或收据；</w:t>
      </w:r>
    </w:p>
    <w:p w14:paraId="788FADCE">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③任何形式的经济结算凭证；</w:t>
      </w:r>
    </w:p>
    <w:p w14:paraId="19A7DF0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④为他人或他单位提供任何形式的担保；</w:t>
      </w:r>
    </w:p>
    <w:p w14:paraId="0FA3244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⑤确认任何形式的包含权利义务及责任承担的文件。</w:t>
      </w:r>
    </w:p>
    <w:p w14:paraId="1FBC65BB">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17.1.2乙方指定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（身份证号码：                        ；手机号码：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合同的乙方授权代表，本合同有效期内其为乙方授权处理与本合同相关事项的执行人，负责与甲方公司总部办理相关事务（如负责双方来往函件签收、签字、验收、确定增减合同款、确定结算金额、领款、签收并签认甲方对乙方违约行为作出的处理通知等行为）。</w:t>
      </w:r>
    </w:p>
    <w:p w14:paraId="74D9A53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17.1.3乙方指定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（身份证号码：                        ；手机号码：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）为本合同的乙方现场负责人，本合同有效期内其为乙方授权处理本项目施工现场相关事项执行人，负责与甲方项目现场的工作签认、安排等全部事务。现场负责人必须常驻本项目施工现场。</w:t>
      </w:r>
    </w:p>
    <w:p w14:paraId="7988AE3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乙方对乙方授权代表及乙方现场负责人的行为均予认可并承担一切责任。乙方如需更换授权或现场负责人，须提前三个工作日书面报经甲方同意，否则不得更换。</w:t>
      </w:r>
    </w:p>
    <w:p w14:paraId="16890DBA">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17.2甲方编制的《施工交楼标准》、《常见建筑工程质量通病的标准化施工细则》、《隐蔽工程管理制度》、《分包单位施工现场签证管理制度》、《工程类单价认质认价管理制度》、《分包单位材料管理制度》、《竣工图管理制度》等公司现行制度、规定为本合同不可分割的组成部分，与合同正文具有同等效力，乙方须照章施工。</w:t>
      </w:r>
    </w:p>
    <w:p w14:paraId="7B9E535F">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17.3本合同执行期间，甲方制度文件及合同附件表格格式如有更新，按甲方最新版要求执行，甲方拥有最终解释权。</w:t>
      </w:r>
    </w:p>
    <w:p w14:paraId="50596C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17.4本合同除《工完场清交接单》、《项目用章样式》、《签证单分包说明》、《施工图纸》外，其余合同附件在办理相关手续时，乙方须加盖公章且法人代表签章。</w:t>
      </w:r>
    </w:p>
    <w:p w14:paraId="566E8D3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17.5本合同条款互为矛盾的，按最有利于甲方的条款执行。</w:t>
      </w:r>
    </w:p>
    <w:p w14:paraId="0BC9C1E4">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17.6本合同未尽事宜，须经甲乙双方协商一致后签订补充协议进行明确。补充协议与本合同具有同等法律效力。</w:t>
      </w:r>
    </w:p>
    <w:p w14:paraId="3445594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17.7与本合同相关的争议，甲乙双方应首先友好协商解决，协商不成则由任一方提交甲方所在地的人民法院诉讼处理。法院送达的文书以合同签章处所列地址为有效地址，以邮寄方式送达的，通过邮政特快专递寄出第三日视为送达。</w:t>
      </w:r>
    </w:p>
    <w:p w14:paraId="699FE7AB">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17.8乙方违反本合同约定给甲方造成损失的，须按本合同约定承担违约责任外，甲方有权直接从应付合同款中直接扣除乙方需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295238B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17.9本合同一式二份，甲乙双方各执一份，均具同等效力。</w:t>
      </w:r>
    </w:p>
    <w:p w14:paraId="12A66DC0">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17.10本合同自甲乙双方签字、加盖公章（或合同章）之日起生效，双方履行完合同义务、责任之日起终止。</w:t>
      </w:r>
    </w:p>
    <w:p w14:paraId="6B963691">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【以下无正文】</w:t>
      </w:r>
    </w:p>
    <w:p w14:paraId="0949080B">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合同附件：</w:t>
      </w:r>
      <w:bookmarkStart w:id="66" w:name="_Toc9464"/>
      <w:bookmarkStart w:id="67" w:name="_Toc18756"/>
      <w:bookmarkStart w:id="68" w:name="_Toc14601"/>
      <w:bookmarkStart w:id="69" w:name="_Toc20837"/>
      <w:bookmarkStart w:id="70" w:name="_Toc19939"/>
      <w:bookmarkStart w:id="71" w:name="_Toc20090"/>
    </w:p>
    <w:bookmarkEnd w:id="66"/>
    <w:bookmarkEnd w:id="67"/>
    <w:bookmarkEnd w:id="68"/>
    <w:bookmarkEnd w:id="69"/>
    <w:bookmarkEnd w:id="70"/>
    <w:bookmarkEnd w:id="71"/>
    <w:p w14:paraId="7B517F8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附件一《工人工资发放承诺书》格式；</w:t>
      </w:r>
    </w:p>
    <w:p w14:paraId="70A945E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附件二《出险声明函》格式；</w:t>
      </w:r>
    </w:p>
    <w:p w14:paraId="1C36F6B3">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附件三《工程结算支付证明单》格式；</w:t>
      </w:r>
    </w:p>
    <w:p w14:paraId="5BDD092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附件四《分包签证确认单》格式；</w:t>
      </w:r>
    </w:p>
    <w:p w14:paraId="04700C2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附件五《分包单位开工令》格式；</w:t>
      </w:r>
    </w:p>
    <w:p w14:paraId="4993D8C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附件六《工程量现场草签记录表》格式；</w:t>
      </w:r>
    </w:p>
    <w:p w14:paraId="6CC7BA8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附件七《分项工程/认质认价申报审批表》格式；</w:t>
      </w:r>
    </w:p>
    <w:p w14:paraId="6DD88F05">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附件八《工完场清交接单》格式；</w:t>
      </w:r>
    </w:p>
    <w:p w14:paraId="3383A0CC">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附件九《甲方项目章》样式；</w:t>
      </w:r>
    </w:p>
    <w:p w14:paraId="499256C8">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附件十《签证单分包说明》样式；</w:t>
      </w:r>
    </w:p>
    <w:p w14:paraId="2A3DB8C0">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附件十一《工程结算资料目录》格式；</w:t>
      </w:r>
    </w:p>
    <w:p w14:paraId="740CB8BD">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附件十二《技术工人素质承诺书》格式；</w:t>
      </w:r>
    </w:p>
    <w:p w14:paraId="7177A1F4">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附件十三《工程量清单》另页；</w:t>
      </w:r>
    </w:p>
    <w:p w14:paraId="494B5717">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附件十四《施工图纸》另页。</w:t>
      </w:r>
    </w:p>
    <w:p w14:paraId="3B84E5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p>
    <w:p w14:paraId="1942BD58">
      <w:pPr>
        <w:pStyle w:val="1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rPr>
      </w:pPr>
    </w:p>
    <w:p w14:paraId="4878B6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0C3FA4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3507B1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纳税号：91441900732168546R               纳税号：</w:t>
      </w:r>
    </w:p>
    <w:p w14:paraId="370906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0827DF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23E25C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53D01F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03970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50E865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【甲方人员如有营私舞弊、吃拿卡要等损害乙方合法权益的行为，乙方可拨打投诉专线4000968086或发邮件至投诉邮箱：zhglzx@nanfeng.cn，也可至广东省东莞市南城街道鸿福路106号南峰中心1</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楼</w:t>
      </w:r>
      <w:r>
        <w:rPr>
          <w:rFonts w:hint="eastAsia" w:ascii="仿宋" w:hAnsi="仿宋" w:eastAsia="仿宋" w:cs="仿宋"/>
          <w:b/>
          <w:bCs/>
          <w:color w:val="auto"/>
          <w:sz w:val="28"/>
          <w:szCs w:val="28"/>
          <w:highlight w:val="none"/>
          <w:lang w:val="en-US" w:eastAsia="zh-CN"/>
        </w:rPr>
        <w:t>内控</w:t>
      </w:r>
      <w:r>
        <w:rPr>
          <w:rFonts w:hint="eastAsia" w:ascii="仿宋" w:hAnsi="仿宋" w:eastAsia="仿宋" w:cs="仿宋"/>
          <w:b/>
          <w:bCs/>
          <w:color w:val="auto"/>
          <w:sz w:val="28"/>
          <w:szCs w:val="28"/>
          <w:highlight w:val="none"/>
          <w:lang w:eastAsia="zh-CN"/>
        </w:rPr>
        <w:t>中心办公室面告。】</w:t>
      </w:r>
      <w:r>
        <w:rPr>
          <w:rFonts w:hint="eastAsia" w:ascii="仿宋" w:hAnsi="仿宋" w:eastAsia="仿宋" w:cs="仿宋"/>
          <w:color w:val="auto"/>
          <w:sz w:val="28"/>
          <w:szCs w:val="28"/>
          <w:highlight w:val="none"/>
          <w:lang w:val="en-US" w:eastAsia="zh-CN"/>
        </w:rPr>
        <w:t xml:space="preserve"> </w:t>
      </w:r>
    </w:p>
    <w:p w14:paraId="3D2CC802">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580532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08AE9E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58F9EF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0811E7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167308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4E8A665E">
      <w:pPr>
        <w:pStyle w:val="13"/>
        <w:rPr>
          <w:rFonts w:hint="eastAsia"/>
          <w:color w:val="auto"/>
          <w:highlight w:val="none"/>
          <w:lang w:val="en-US" w:eastAsia="zh-CN"/>
        </w:rPr>
      </w:pPr>
    </w:p>
    <w:p w14:paraId="58AEA8EE">
      <w:pPr>
        <w:pStyle w:val="13"/>
        <w:rPr>
          <w:rFonts w:hint="eastAsia"/>
          <w:color w:val="auto"/>
          <w:highlight w:val="none"/>
          <w:lang w:val="en-US" w:eastAsia="zh-CN"/>
        </w:rPr>
      </w:pPr>
    </w:p>
    <w:p w14:paraId="0AECF6C2">
      <w:pPr>
        <w:pStyle w:val="13"/>
        <w:rPr>
          <w:rFonts w:hint="eastAsia"/>
          <w:color w:val="auto"/>
          <w:highlight w:val="none"/>
          <w:lang w:val="en-US" w:eastAsia="zh-CN"/>
        </w:rPr>
      </w:pPr>
    </w:p>
    <w:p w14:paraId="28A5E14E">
      <w:pPr>
        <w:keepNext w:val="0"/>
        <w:keepLines w:val="0"/>
        <w:pageBreakBefore w:val="0"/>
        <w:widowControl w:val="0"/>
        <w:kinsoku/>
        <w:wordWrap/>
        <w:overflowPunct/>
        <w:topLinePunct w:val="0"/>
        <w:autoSpaceDE/>
        <w:autoSpaceDN/>
        <w:bidi w:val="0"/>
        <w:adjustRightInd w:val="0"/>
        <w:snapToGrid w:val="0"/>
        <w:spacing w:line="360" w:lineRule="auto"/>
        <w:ind w:right="-672" w:rightChars="-320"/>
        <w:jc w:val="both"/>
        <w:textAlignment w:val="auto"/>
        <w:rPr>
          <w:rFonts w:hint="eastAsia" w:ascii="仿宋" w:hAnsi="仿宋" w:eastAsia="仿宋" w:cs="仿宋"/>
          <w:b/>
          <w:bCs/>
          <w:color w:val="auto"/>
          <w:sz w:val="36"/>
          <w:szCs w:val="36"/>
          <w:highlight w:val="none"/>
          <w:lang w:val="en-US" w:eastAsia="zh-CN"/>
        </w:rPr>
      </w:pPr>
    </w:p>
    <w:p w14:paraId="50D0EA47">
      <w:pPr>
        <w:pStyle w:val="13"/>
        <w:rPr>
          <w:rFonts w:hint="eastAsia" w:ascii="仿宋" w:hAnsi="仿宋" w:eastAsia="仿宋" w:cs="仿宋"/>
          <w:b/>
          <w:bCs/>
          <w:color w:val="auto"/>
          <w:sz w:val="36"/>
          <w:szCs w:val="36"/>
          <w:highlight w:val="none"/>
          <w:lang w:val="en-US" w:eastAsia="zh-CN"/>
        </w:rPr>
      </w:pPr>
    </w:p>
    <w:p w14:paraId="38E89600">
      <w:pPr>
        <w:pStyle w:val="13"/>
        <w:rPr>
          <w:rFonts w:hint="eastAsia" w:ascii="仿宋" w:hAnsi="仿宋" w:eastAsia="仿宋" w:cs="仿宋"/>
          <w:b/>
          <w:bCs/>
          <w:color w:val="auto"/>
          <w:sz w:val="36"/>
          <w:szCs w:val="36"/>
          <w:highlight w:val="none"/>
          <w:lang w:val="en-US" w:eastAsia="zh-CN"/>
        </w:rPr>
      </w:pPr>
    </w:p>
    <w:p w14:paraId="6E42E191">
      <w:pPr>
        <w:pStyle w:val="13"/>
        <w:rPr>
          <w:rFonts w:hint="eastAsia" w:ascii="仿宋" w:hAnsi="仿宋" w:eastAsia="仿宋" w:cs="仿宋"/>
          <w:b/>
          <w:bCs/>
          <w:color w:val="auto"/>
          <w:sz w:val="36"/>
          <w:szCs w:val="36"/>
          <w:highlight w:val="none"/>
          <w:lang w:val="en-US" w:eastAsia="zh-CN"/>
        </w:rPr>
      </w:pPr>
    </w:p>
    <w:p w14:paraId="46A2EC50">
      <w:pPr>
        <w:pStyle w:val="13"/>
        <w:rPr>
          <w:rFonts w:hint="eastAsia" w:ascii="仿宋" w:hAnsi="仿宋" w:eastAsia="仿宋" w:cs="仿宋"/>
          <w:b/>
          <w:bCs/>
          <w:color w:val="auto"/>
          <w:sz w:val="36"/>
          <w:szCs w:val="36"/>
          <w:highlight w:val="none"/>
          <w:lang w:val="en-US" w:eastAsia="zh-CN"/>
        </w:rPr>
      </w:pPr>
    </w:p>
    <w:p w14:paraId="66235756">
      <w:pPr>
        <w:pStyle w:val="13"/>
        <w:rPr>
          <w:rFonts w:hint="eastAsia" w:ascii="仿宋" w:hAnsi="仿宋" w:eastAsia="仿宋" w:cs="仿宋"/>
          <w:b/>
          <w:bCs/>
          <w:color w:val="auto"/>
          <w:sz w:val="36"/>
          <w:szCs w:val="36"/>
          <w:highlight w:val="none"/>
          <w:lang w:val="en-US" w:eastAsia="zh-CN"/>
        </w:rPr>
      </w:pPr>
    </w:p>
    <w:p w14:paraId="66A4F5E5">
      <w:pPr>
        <w:pStyle w:val="13"/>
        <w:rPr>
          <w:rFonts w:hint="eastAsia" w:ascii="仿宋" w:hAnsi="仿宋" w:eastAsia="仿宋" w:cs="仿宋"/>
          <w:b/>
          <w:bCs/>
          <w:color w:val="auto"/>
          <w:sz w:val="36"/>
          <w:szCs w:val="36"/>
          <w:highlight w:val="none"/>
          <w:lang w:val="en-US" w:eastAsia="zh-CN"/>
        </w:rPr>
      </w:pPr>
    </w:p>
    <w:p w14:paraId="2BC2C848">
      <w:pPr>
        <w:pStyle w:val="13"/>
        <w:rPr>
          <w:rFonts w:hint="eastAsia" w:ascii="仿宋" w:hAnsi="仿宋" w:eastAsia="仿宋" w:cs="仿宋"/>
          <w:b/>
          <w:bCs/>
          <w:color w:val="auto"/>
          <w:sz w:val="36"/>
          <w:szCs w:val="36"/>
          <w:highlight w:val="none"/>
          <w:lang w:val="en-US" w:eastAsia="zh-CN"/>
        </w:rPr>
      </w:pPr>
    </w:p>
    <w:p w14:paraId="68E4B778">
      <w:pPr>
        <w:pStyle w:val="13"/>
        <w:rPr>
          <w:rFonts w:hint="eastAsia" w:ascii="仿宋" w:hAnsi="仿宋" w:eastAsia="仿宋" w:cs="仿宋"/>
          <w:b/>
          <w:bCs/>
          <w:color w:val="auto"/>
          <w:sz w:val="36"/>
          <w:szCs w:val="36"/>
          <w:highlight w:val="none"/>
          <w:lang w:val="en-US" w:eastAsia="zh-CN"/>
        </w:rPr>
      </w:pPr>
    </w:p>
    <w:p w14:paraId="6FA05C60">
      <w:pPr>
        <w:pStyle w:val="13"/>
        <w:rPr>
          <w:rFonts w:hint="eastAsia" w:ascii="仿宋" w:hAnsi="仿宋" w:eastAsia="仿宋" w:cs="仿宋"/>
          <w:b/>
          <w:bCs/>
          <w:color w:val="auto"/>
          <w:sz w:val="36"/>
          <w:szCs w:val="36"/>
          <w:highlight w:val="none"/>
          <w:lang w:val="en-US" w:eastAsia="zh-CN"/>
        </w:rPr>
      </w:pPr>
    </w:p>
    <w:p w14:paraId="5039C542">
      <w:pPr>
        <w:pStyle w:val="13"/>
        <w:rPr>
          <w:rFonts w:hint="eastAsia" w:ascii="仿宋" w:hAnsi="仿宋" w:eastAsia="仿宋" w:cs="仿宋"/>
          <w:b/>
          <w:bCs/>
          <w:color w:val="auto"/>
          <w:sz w:val="36"/>
          <w:szCs w:val="36"/>
          <w:highlight w:val="none"/>
          <w:lang w:val="en-US" w:eastAsia="zh-CN"/>
        </w:rPr>
      </w:pPr>
    </w:p>
    <w:p w14:paraId="21610445">
      <w:pPr>
        <w:pStyle w:val="13"/>
        <w:ind w:left="0" w:leftChars="0" w:firstLine="0" w:firstLineChars="0"/>
        <w:rPr>
          <w:rFonts w:hint="eastAsia" w:ascii="仿宋" w:hAnsi="仿宋" w:eastAsia="仿宋" w:cs="仿宋"/>
          <w:b/>
          <w:bCs/>
          <w:color w:val="auto"/>
          <w:sz w:val="36"/>
          <w:szCs w:val="36"/>
          <w:highlight w:val="none"/>
          <w:lang w:val="en-US" w:eastAsia="zh-CN"/>
        </w:rPr>
      </w:pPr>
    </w:p>
    <w:p w14:paraId="0E866324">
      <w:pPr>
        <w:pStyle w:val="13"/>
        <w:rPr>
          <w:rFonts w:hint="eastAsia" w:ascii="仿宋" w:hAnsi="仿宋" w:eastAsia="仿宋" w:cs="仿宋"/>
          <w:b/>
          <w:bCs/>
          <w:color w:val="auto"/>
          <w:sz w:val="36"/>
          <w:szCs w:val="36"/>
          <w:highlight w:val="none"/>
          <w:lang w:val="en-US" w:eastAsia="zh-CN"/>
        </w:rPr>
        <w:sectPr>
          <w:footerReference r:id="rId6" w:type="default"/>
          <w:pgSz w:w="11906" w:h="16838"/>
          <w:pgMar w:top="1134" w:right="1134" w:bottom="1134" w:left="1134" w:header="851" w:footer="992" w:gutter="0"/>
          <w:pgNumType w:fmt="decimal" w:start="1"/>
          <w:cols w:space="425" w:num="1"/>
          <w:docGrid w:type="lines" w:linePitch="312" w:charSpace="0"/>
        </w:sectPr>
      </w:pPr>
    </w:p>
    <w:p w14:paraId="56EF80A2">
      <w:pPr>
        <w:pStyle w:val="13"/>
        <w:rPr>
          <w:rFonts w:hint="eastAsia" w:ascii="仿宋" w:hAnsi="仿宋" w:eastAsia="仿宋" w:cs="仿宋"/>
          <w:b/>
          <w:bCs/>
          <w:color w:val="auto"/>
          <w:sz w:val="36"/>
          <w:szCs w:val="36"/>
          <w:highlight w:val="none"/>
          <w:lang w:val="en-US" w:eastAsia="zh-CN"/>
        </w:rPr>
      </w:pPr>
    </w:p>
    <w:p w14:paraId="65311825">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ind w:left="0" w:leftChars="0" w:firstLine="554" w:firstLineChars="197"/>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5C5D7067">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560C6FEF"/>
    <w:p w14:paraId="706716C9">
      <w:pPr>
        <w:sectPr>
          <w:footerReference r:id="rId7" w:type="default"/>
          <w:pgSz w:w="11906" w:h="16838"/>
          <w:pgMar w:top="1134" w:right="1134" w:bottom="1134" w:left="1134" w:header="851" w:footer="992" w:gutter="0"/>
          <w:pgNumType w:fmt="decimal" w:start="1"/>
          <w:cols w:space="425" w:num="1"/>
          <w:docGrid w:type="lines" w:linePitch="312" w:charSpace="0"/>
        </w:sectPr>
      </w:pPr>
    </w:p>
    <w:tbl>
      <w:tblPr>
        <w:tblStyle w:val="14"/>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4F29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7FF9DC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3A7A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7D401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34BC6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06FC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7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47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95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F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E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0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B1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4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A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21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D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1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6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7E43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D8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880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0B4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9060">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96FA">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8205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F7B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A13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1DF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2EF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8ADC">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104D">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F9B1">
            <w:pPr>
              <w:jc w:val="center"/>
              <w:rPr>
                <w:rFonts w:hint="eastAsia" w:ascii="宋体" w:hAnsi="宋体" w:eastAsia="宋体" w:cs="宋体"/>
                <w:i w:val="0"/>
                <w:iCs w:val="0"/>
                <w:color w:val="000000"/>
                <w:sz w:val="20"/>
                <w:szCs w:val="20"/>
                <w:u w:val="none"/>
              </w:rPr>
            </w:pPr>
          </w:p>
        </w:tc>
      </w:tr>
      <w:tr w14:paraId="49BC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7E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441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D0A9">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C06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4F2D">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0B0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5C2B">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A0F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296C">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3722">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4F5C">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A0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76E6">
            <w:pPr>
              <w:jc w:val="center"/>
              <w:rPr>
                <w:rFonts w:hint="eastAsia" w:ascii="宋体" w:hAnsi="宋体" w:eastAsia="宋体" w:cs="宋体"/>
                <w:i w:val="0"/>
                <w:iCs w:val="0"/>
                <w:color w:val="000000"/>
                <w:sz w:val="20"/>
                <w:szCs w:val="20"/>
                <w:u w:val="none"/>
              </w:rPr>
            </w:pPr>
          </w:p>
        </w:tc>
      </w:tr>
      <w:tr w14:paraId="56925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7E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D19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6CE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B3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9D5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369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3AB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4ABF1">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8B1A">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AB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AA66">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EFE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6367">
            <w:pPr>
              <w:jc w:val="center"/>
              <w:rPr>
                <w:rFonts w:hint="eastAsia" w:ascii="宋体" w:hAnsi="宋体" w:eastAsia="宋体" w:cs="宋体"/>
                <w:i w:val="0"/>
                <w:iCs w:val="0"/>
                <w:color w:val="000000"/>
                <w:sz w:val="20"/>
                <w:szCs w:val="20"/>
                <w:u w:val="none"/>
              </w:rPr>
            </w:pPr>
          </w:p>
        </w:tc>
      </w:tr>
      <w:tr w14:paraId="5004D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5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5CC1">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BAA6">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ADE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840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8F3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E23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CEA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08C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494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EEBB">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42D6">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CD79">
            <w:pPr>
              <w:jc w:val="center"/>
              <w:rPr>
                <w:rFonts w:hint="eastAsia" w:ascii="宋体" w:hAnsi="宋体" w:eastAsia="宋体" w:cs="宋体"/>
                <w:i w:val="0"/>
                <w:iCs w:val="0"/>
                <w:color w:val="000000"/>
                <w:sz w:val="20"/>
                <w:szCs w:val="20"/>
                <w:u w:val="none"/>
              </w:rPr>
            </w:pPr>
          </w:p>
        </w:tc>
      </w:tr>
      <w:tr w14:paraId="17A78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F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A3B0">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4131">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FB9B">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5C2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762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CB0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6169">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995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30E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DE2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7932">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9191">
            <w:pPr>
              <w:jc w:val="center"/>
              <w:rPr>
                <w:rFonts w:hint="eastAsia" w:ascii="宋体" w:hAnsi="宋体" w:eastAsia="宋体" w:cs="宋体"/>
                <w:i w:val="0"/>
                <w:iCs w:val="0"/>
                <w:color w:val="000000"/>
                <w:sz w:val="20"/>
                <w:szCs w:val="20"/>
                <w:u w:val="none"/>
              </w:rPr>
            </w:pPr>
          </w:p>
        </w:tc>
      </w:tr>
      <w:tr w14:paraId="11FDF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8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8A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2A0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3B7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1176">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4F6E">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773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EF90">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324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469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26D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30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6903">
            <w:pPr>
              <w:jc w:val="center"/>
              <w:rPr>
                <w:rFonts w:hint="eastAsia" w:ascii="宋体" w:hAnsi="宋体" w:eastAsia="宋体" w:cs="宋体"/>
                <w:i w:val="0"/>
                <w:iCs w:val="0"/>
                <w:color w:val="000000"/>
                <w:sz w:val="20"/>
                <w:szCs w:val="20"/>
                <w:u w:val="none"/>
              </w:rPr>
            </w:pPr>
          </w:p>
        </w:tc>
      </w:tr>
      <w:tr w14:paraId="59F39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9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BC7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C38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1A0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71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A35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BD41">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20B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44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B32B">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5AE5">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1B5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303E">
            <w:pPr>
              <w:jc w:val="center"/>
              <w:rPr>
                <w:rFonts w:hint="eastAsia" w:ascii="宋体" w:hAnsi="宋体" w:eastAsia="宋体" w:cs="宋体"/>
                <w:i w:val="0"/>
                <w:iCs w:val="0"/>
                <w:color w:val="000000"/>
                <w:sz w:val="20"/>
                <w:szCs w:val="20"/>
                <w:u w:val="none"/>
              </w:rPr>
            </w:pPr>
          </w:p>
        </w:tc>
      </w:tr>
      <w:tr w14:paraId="5CDDB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A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765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53A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3AF9">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BBE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8579">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F1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6328">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F67C">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041C">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94A4">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860D">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1E2C">
            <w:pPr>
              <w:jc w:val="center"/>
              <w:rPr>
                <w:rFonts w:hint="eastAsia" w:ascii="宋体" w:hAnsi="宋体" w:eastAsia="宋体" w:cs="宋体"/>
                <w:i w:val="0"/>
                <w:iCs w:val="0"/>
                <w:color w:val="000000"/>
                <w:sz w:val="20"/>
                <w:szCs w:val="20"/>
                <w:u w:val="none"/>
              </w:rPr>
            </w:pPr>
          </w:p>
        </w:tc>
      </w:tr>
      <w:tr w14:paraId="3BBB7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4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68FA">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671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0BEB">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F3C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088E">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6398">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3F7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FEB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07AD">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C82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4DE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A955">
            <w:pPr>
              <w:jc w:val="center"/>
              <w:rPr>
                <w:rFonts w:hint="eastAsia" w:ascii="宋体" w:hAnsi="宋体" w:eastAsia="宋体" w:cs="宋体"/>
                <w:i w:val="0"/>
                <w:iCs w:val="0"/>
                <w:color w:val="000000"/>
                <w:sz w:val="20"/>
                <w:szCs w:val="20"/>
                <w:u w:val="none"/>
              </w:rPr>
            </w:pPr>
          </w:p>
        </w:tc>
      </w:tr>
      <w:tr w14:paraId="40AE5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5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99B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1033">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DB2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9E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88F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7FD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BF85">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FAB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199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985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8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6213">
            <w:pPr>
              <w:jc w:val="center"/>
              <w:rPr>
                <w:rFonts w:hint="eastAsia" w:ascii="宋体" w:hAnsi="宋体" w:eastAsia="宋体" w:cs="宋体"/>
                <w:i w:val="0"/>
                <w:iCs w:val="0"/>
                <w:color w:val="000000"/>
                <w:sz w:val="20"/>
                <w:szCs w:val="20"/>
                <w:u w:val="none"/>
              </w:rPr>
            </w:pPr>
          </w:p>
        </w:tc>
      </w:tr>
      <w:tr w14:paraId="0C70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0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4EC5">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EEE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3D1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59B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9D9C">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E0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2561F">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EBCB">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B78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1F36">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EF70">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EBFE">
            <w:pPr>
              <w:jc w:val="center"/>
              <w:rPr>
                <w:rFonts w:hint="eastAsia" w:ascii="宋体" w:hAnsi="宋体" w:eastAsia="宋体" w:cs="宋体"/>
                <w:i w:val="0"/>
                <w:iCs w:val="0"/>
                <w:color w:val="000000"/>
                <w:sz w:val="20"/>
                <w:szCs w:val="20"/>
                <w:u w:val="none"/>
              </w:rPr>
            </w:pPr>
          </w:p>
        </w:tc>
      </w:tr>
      <w:tr w14:paraId="2118E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7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180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1DF9">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4B62">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8C2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773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241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C8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DCF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B11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19F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C27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3C2B">
            <w:pPr>
              <w:jc w:val="center"/>
              <w:rPr>
                <w:rFonts w:hint="eastAsia" w:ascii="宋体" w:hAnsi="宋体" w:eastAsia="宋体" w:cs="宋体"/>
                <w:i w:val="0"/>
                <w:iCs w:val="0"/>
                <w:color w:val="000000"/>
                <w:sz w:val="20"/>
                <w:szCs w:val="20"/>
                <w:u w:val="none"/>
              </w:rPr>
            </w:pPr>
          </w:p>
        </w:tc>
      </w:tr>
      <w:tr w14:paraId="7015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0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508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B0F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0AE2">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58B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623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EA2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B29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845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83A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5D99">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13B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A7FD">
            <w:pPr>
              <w:jc w:val="center"/>
              <w:rPr>
                <w:rFonts w:hint="eastAsia" w:ascii="宋体" w:hAnsi="宋体" w:eastAsia="宋体" w:cs="宋体"/>
                <w:i w:val="0"/>
                <w:iCs w:val="0"/>
                <w:color w:val="000000"/>
                <w:sz w:val="20"/>
                <w:szCs w:val="20"/>
                <w:u w:val="none"/>
              </w:rPr>
            </w:pPr>
          </w:p>
        </w:tc>
      </w:tr>
      <w:tr w14:paraId="3693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5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515B">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004C">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200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A66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7F86">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5030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5A69">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DDF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6E68">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1FD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7BD0">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9177">
            <w:pPr>
              <w:jc w:val="center"/>
              <w:rPr>
                <w:rFonts w:hint="eastAsia" w:ascii="宋体" w:hAnsi="宋体" w:eastAsia="宋体" w:cs="宋体"/>
                <w:i w:val="0"/>
                <w:iCs w:val="0"/>
                <w:color w:val="000000"/>
                <w:sz w:val="20"/>
                <w:szCs w:val="20"/>
                <w:u w:val="none"/>
              </w:rPr>
            </w:pPr>
          </w:p>
        </w:tc>
      </w:tr>
      <w:tr w14:paraId="140BA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F8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D97E">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35A8">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99D7">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F9C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15C1">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E2BE">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2C68">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A9B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7DE2">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8F3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A342">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93ED">
            <w:pPr>
              <w:jc w:val="center"/>
              <w:rPr>
                <w:rFonts w:hint="eastAsia" w:ascii="宋体" w:hAnsi="宋体" w:eastAsia="宋体" w:cs="宋体"/>
                <w:i w:val="0"/>
                <w:iCs w:val="0"/>
                <w:color w:val="000000"/>
                <w:sz w:val="20"/>
                <w:szCs w:val="20"/>
                <w:u w:val="none"/>
              </w:rPr>
            </w:pPr>
          </w:p>
        </w:tc>
      </w:tr>
      <w:tr w14:paraId="23767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825A646">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286A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4EB622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7ACF6F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35A40CDF">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4BAD3AB7">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24EB04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71D824A9">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1340D376">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3687B2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312D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2E33EA45">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17BD9C4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383FAE06">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6460613B">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28BE3CA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5291E61F">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19AA35ED">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7591B4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70AF24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36FFC19C">
      <w:pPr>
        <w:sectPr>
          <w:pgSz w:w="16838" w:h="11906" w:orient="landscape"/>
          <w:pgMar w:top="1134" w:right="1134" w:bottom="1134" w:left="1134" w:header="851" w:footer="992" w:gutter="0"/>
          <w:pgNumType w:fmt="decimal"/>
          <w:cols w:space="425" w:num="1"/>
          <w:docGrid w:type="lines" w:linePitch="312" w:charSpace="0"/>
        </w:sectPr>
      </w:pPr>
    </w:p>
    <w:p w14:paraId="767F93B6">
      <w:pPr>
        <w:ind w:firstLine="7630" w:firstLineChars="19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2DC0E084">
      <w:pPr>
        <w:tabs>
          <w:tab w:val="left" w:pos="2205"/>
          <w:tab w:val="left" w:pos="2760"/>
        </w:tabs>
        <w:adjustRightInd w:val="0"/>
        <w:snapToGrid w:val="0"/>
        <w:spacing w:line="240" w:lineRule="auto"/>
        <w:ind w:right="-578" w:rightChars="-275"/>
        <w:jc w:val="center"/>
        <w:outlineLvl w:val="0"/>
        <w:rPr>
          <w:rFonts w:hint="eastAsia" w:ascii="仿宋" w:hAnsi="仿宋" w:eastAsia="仿宋" w:cs="仿宋"/>
          <w:b/>
          <w:bCs/>
          <w:i w:val="0"/>
          <w:iCs w:val="0"/>
          <w:color w:val="auto"/>
          <w:sz w:val="40"/>
          <w:szCs w:val="40"/>
          <w:highlight w:val="none"/>
          <w:lang w:val="en-US" w:eastAsia="zh-CN"/>
        </w:rPr>
      </w:pPr>
      <w:bookmarkStart w:id="72" w:name="_Toc22390"/>
      <w:bookmarkStart w:id="73" w:name="_Toc13595"/>
      <w:r>
        <w:rPr>
          <w:rFonts w:hint="eastAsia" w:ascii="仿宋" w:hAnsi="仿宋" w:eastAsia="仿宋" w:cs="仿宋"/>
          <w:b/>
          <w:bCs/>
          <w:i w:val="0"/>
          <w:iCs w:val="0"/>
          <w:color w:val="auto"/>
          <w:sz w:val="40"/>
          <w:szCs w:val="40"/>
          <w:highlight w:val="none"/>
          <w:lang w:val="en-US" w:eastAsia="zh-CN"/>
        </w:rPr>
        <w:t>出 险 声 明 函</w:t>
      </w:r>
      <w:bookmarkEnd w:id="72"/>
      <w:bookmarkEnd w:id="73"/>
      <w:r>
        <w:rPr>
          <w:rFonts w:hint="eastAsia" w:ascii="仿宋" w:hAnsi="仿宋" w:eastAsia="仿宋" w:cs="仿宋"/>
          <w:b/>
          <w:bCs/>
          <w:i w:val="0"/>
          <w:iCs w:val="0"/>
          <w:color w:val="auto"/>
          <w:sz w:val="40"/>
          <w:szCs w:val="40"/>
          <w:highlight w:val="none"/>
          <w:lang w:val="en-US" w:eastAsia="zh-CN"/>
        </w:rPr>
        <w:t xml:space="preserve"> </w:t>
      </w:r>
    </w:p>
    <w:p w14:paraId="2F7410AA">
      <w:pPr>
        <w:tabs>
          <w:tab w:val="left" w:pos="2205"/>
          <w:tab w:val="left" w:pos="2760"/>
        </w:tabs>
        <w:adjustRightInd w:val="0"/>
        <w:snapToGrid w:val="0"/>
        <w:spacing w:line="240" w:lineRule="auto"/>
        <w:ind w:right="-578" w:rightChars="-275"/>
        <w:jc w:val="center"/>
        <w:outlineLvl w:val="0"/>
        <w:rPr>
          <w:rFonts w:hint="eastAsia" w:ascii="仿宋" w:hAnsi="仿宋" w:eastAsia="仿宋" w:cs="仿宋"/>
          <w:b/>
          <w:bCs/>
          <w:i w:val="0"/>
          <w:iCs w:val="0"/>
          <w:color w:val="auto"/>
          <w:sz w:val="40"/>
          <w:szCs w:val="40"/>
          <w:highlight w:val="none"/>
          <w:lang w:val="en-US" w:eastAsia="zh-CN"/>
        </w:rPr>
      </w:pPr>
    </w:p>
    <w:p w14:paraId="13BE0531">
      <w:pPr>
        <w:keepNext w:val="0"/>
        <w:keepLines w:val="0"/>
        <w:pageBreakBefore w:val="0"/>
        <w:widowControl w:val="0"/>
        <w:kinsoku/>
        <w:wordWrap/>
        <w:overflowPunct/>
        <w:topLinePunct w:val="0"/>
        <w:autoSpaceDE/>
        <w:autoSpaceDN/>
        <w:bidi w:val="0"/>
        <w:adjustRightInd/>
        <w:snapToGrid/>
        <w:spacing w:line="480" w:lineRule="exact"/>
        <w:ind w:firstLineChars="0"/>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致：东莞市中泰建安工程有限公司（以下简称“贵司”）</w:t>
      </w:r>
    </w:p>
    <w:p w14:paraId="4B825068">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项目（</w:t>
      </w:r>
      <w:r>
        <w:rPr>
          <w:rFonts w:hint="eastAsia" w:ascii="仿宋" w:hAnsi="仿宋" w:eastAsia="仿宋" w:cs="仿宋"/>
          <w:color w:val="auto"/>
          <w:sz w:val="24"/>
          <w:szCs w:val="24"/>
          <w:highlight w:val="none"/>
          <w:shd w:val="clear" w:color="auto" w:fill="auto"/>
          <w:lang w:val="en-US" w:eastAsia="zh-CN"/>
        </w:rPr>
        <w:t>以下简称“本项目”）</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工程施工合同</w:t>
      </w:r>
      <w:r>
        <w:rPr>
          <w:rFonts w:hint="eastAsia" w:ascii="仿宋" w:hAnsi="仿宋" w:eastAsia="仿宋" w:cs="仿宋"/>
          <w:color w:val="auto"/>
          <w:sz w:val="24"/>
          <w:szCs w:val="24"/>
          <w:highlight w:val="none"/>
          <w:u w:val="single"/>
          <w:shd w:val="clear" w:color="auto" w:fill="auto"/>
          <w:lang w:val="en-US" w:eastAsia="zh-CN"/>
        </w:rPr>
        <w:t>》</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员工在本项目施工时发生了安全事故，我司特作如下声明：</w:t>
      </w:r>
    </w:p>
    <w:p w14:paraId="7ADCA347">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本</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7EE57198">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建立了劳动关系，我司仍须按劳动合同承担该员工雇用期间应承担的用人责任。</w:t>
      </w:r>
    </w:p>
    <w:p w14:paraId="00FC7FA0">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w:t>
      </w:r>
      <w:r>
        <w:rPr>
          <w:rFonts w:hint="eastAsia" w:ascii="仿宋" w:hAnsi="仿宋" w:eastAsia="仿宋" w:cs="仿宋"/>
          <w:color w:val="auto"/>
          <w:sz w:val="24"/>
          <w:szCs w:val="24"/>
          <w:highlight w:val="none"/>
          <w:shd w:val="clear" w:color="auto" w:fill="auto"/>
        </w:rPr>
        <w:t>现</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0D60A979">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的损失我司赔偿全部损失，且我司自愿向贵司支付金额等于本次工伤/亡事故全部费用1.5倍的违约金。</w:t>
      </w:r>
    </w:p>
    <w:p w14:paraId="2DB2EF24">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5、我司法定代表人对上述可能发生的全部债务和贵司为实现该等债权支出的所有费用承担连带保证责任，保证期间为三年。</w:t>
      </w:r>
    </w:p>
    <w:p w14:paraId="7960813C">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43DE6868">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37EDE1E2">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法定代表人签章：</w:t>
      </w:r>
    </w:p>
    <w:p w14:paraId="228A1A5E">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632BCA">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4608CE2">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13"/>
        <w:rPr>
          <w:rFonts w:hint="eastAsia"/>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13"/>
        <w:rPr>
          <w:color w:val="auto"/>
          <w:sz w:val="32"/>
          <w:szCs w:val="32"/>
          <w:highlight w:val="none"/>
        </w:rPr>
      </w:pPr>
    </w:p>
    <w:p w14:paraId="3F602560">
      <w:pPr>
        <w:pStyle w:val="13"/>
        <w:rPr>
          <w:color w:val="auto"/>
          <w:sz w:val="32"/>
          <w:szCs w:val="32"/>
          <w:highlight w:val="none"/>
        </w:rPr>
      </w:pPr>
    </w:p>
    <w:tbl>
      <w:tblPr>
        <w:tblStyle w:val="15"/>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FD1EB23">
      <w:pPr>
        <w:pStyle w:val="13"/>
        <w:rPr>
          <w:rFonts w:hint="eastAsia"/>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4"/>
        <w:tblW w:w="4984" w:type="pct"/>
        <w:tblInd w:w="-127" w:type="dxa"/>
        <w:tblLayout w:type="autofit"/>
        <w:tblCellMar>
          <w:top w:w="15" w:type="dxa"/>
          <w:left w:w="15" w:type="dxa"/>
          <w:bottom w:w="15" w:type="dxa"/>
          <w:right w:w="15" w:type="dxa"/>
        </w:tblCellMar>
      </w:tblPr>
      <w:tblGrid>
        <w:gridCol w:w="9041"/>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bookmarkStart w:id="74" w:name="_Toc18043"/>
            <w:bookmarkStart w:id="75" w:name="_Toc17316"/>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4"/>
            <w:bookmarkEnd w:id="75"/>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21"/>
              <w:gridCol w:w="2445"/>
              <w:gridCol w:w="2141"/>
              <w:gridCol w:w="2597"/>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1"/>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1"/>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4"/>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70"/>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13"/>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13"/>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13"/>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29"/>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13"/>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13"/>
        <w:rPr>
          <w:rFonts w:hint="eastAsia"/>
          <w:color w:val="auto"/>
          <w:highlight w:val="none"/>
          <w:lang w:val="en-US" w:eastAsia="zh-CN"/>
        </w:rPr>
      </w:pPr>
    </w:p>
    <w:tbl>
      <w:tblPr>
        <w:tblStyle w:val="14"/>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13"/>
        <w:rPr>
          <w:rFonts w:hint="eastAsia"/>
          <w:color w:val="auto"/>
          <w:highlight w:val="none"/>
          <w:lang w:val="en-US" w:eastAsia="zh-CN"/>
        </w:rPr>
      </w:pPr>
    </w:p>
    <w:p w14:paraId="787EE787">
      <w:pPr>
        <w:pStyle w:val="13"/>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4"/>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13"/>
        <w:rPr>
          <w:rFonts w:hint="default"/>
          <w:color w:val="auto"/>
          <w:highlight w:val="none"/>
          <w:lang w:val="en-US" w:eastAsia="zh-CN"/>
        </w:rPr>
      </w:pPr>
    </w:p>
    <w:p w14:paraId="5F5F018E">
      <w:pPr>
        <w:pStyle w:val="13"/>
        <w:rPr>
          <w:rFonts w:hint="default"/>
          <w:color w:val="auto"/>
          <w:highlight w:val="none"/>
          <w:lang w:val="en-US" w:eastAsia="zh-CN"/>
        </w:rPr>
      </w:pPr>
    </w:p>
    <w:p w14:paraId="05B5226A">
      <w:pPr>
        <w:pStyle w:val="13"/>
        <w:rPr>
          <w:rFonts w:hint="default"/>
          <w:color w:val="auto"/>
          <w:highlight w:val="none"/>
          <w:lang w:val="en-US" w:eastAsia="zh-CN"/>
        </w:rPr>
      </w:pPr>
    </w:p>
    <w:p w14:paraId="6D8BC9D5">
      <w:pPr>
        <w:pStyle w:val="13"/>
        <w:rPr>
          <w:rFonts w:hint="default"/>
          <w:color w:val="auto"/>
          <w:highlight w:val="none"/>
          <w:lang w:val="en-US" w:eastAsia="zh-CN"/>
        </w:rPr>
      </w:pPr>
    </w:p>
    <w:p w14:paraId="7559F1B5">
      <w:pPr>
        <w:pStyle w:val="13"/>
        <w:rPr>
          <w:rFonts w:hint="default"/>
          <w:color w:val="auto"/>
          <w:highlight w:val="none"/>
          <w:lang w:val="en-US" w:eastAsia="zh-CN"/>
        </w:rPr>
      </w:pPr>
    </w:p>
    <w:p w14:paraId="4D8F8553">
      <w:pPr>
        <w:pStyle w:val="13"/>
        <w:rPr>
          <w:rFonts w:hint="default"/>
          <w:color w:val="auto"/>
          <w:highlight w:val="none"/>
          <w:lang w:val="en-US" w:eastAsia="zh-CN"/>
        </w:rPr>
      </w:pPr>
    </w:p>
    <w:p w14:paraId="3A728F48">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13"/>
        <w:rPr>
          <w:rFonts w:hint="eastAsia"/>
          <w:color w:val="auto"/>
          <w:highlight w:val="none"/>
          <w:lang w:val="en-US" w:eastAsia="zh-CN"/>
        </w:rPr>
      </w:pPr>
    </w:p>
    <w:p w14:paraId="1DE51A0C">
      <w:pPr>
        <w:pStyle w:val="13"/>
        <w:rPr>
          <w:rFonts w:hint="eastAsia"/>
          <w:color w:val="auto"/>
          <w:highlight w:val="none"/>
          <w:lang w:val="en-US" w:eastAsia="zh-CN"/>
        </w:rPr>
      </w:pPr>
      <w:r>
        <w:drawing>
          <wp:anchor distT="0" distB="0" distL="114300" distR="114300" simplePos="0" relativeHeight="251660288"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541395" cy="2621280"/>
                    </a:xfrm>
                    <a:prstGeom prst="rect">
                      <a:avLst/>
                    </a:prstGeom>
                    <a:noFill/>
                    <a:ln>
                      <a:noFill/>
                    </a:ln>
                  </pic:spPr>
                </pic:pic>
              </a:graphicData>
            </a:graphic>
          </wp:anchor>
        </w:drawing>
      </w:r>
    </w:p>
    <w:p w14:paraId="5BAF111F">
      <w:pPr>
        <w:pStyle w:val="13"/>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13"/>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29"/>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13"/>
        <w:rPr>
          <w:rFonts w:hint="default"/>
          <w:color w:val="auto"/>
          <w:highlight w:val="none"/>
          <w:lang w:val="en-US" w:eastAsia="zh-CN"/>
        </w:rPr>
      </w:pPr>
    </w:p>
    <w:p w14:paraId="04CD7765">
      <w:pPr>
        <w:rPr>
          <w:rFonts w:hint="eastAsia"/>
          <w:b/>
          <w:bCs/>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13"/>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13"/>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u w:val="single"/>
        </w:rPr>
      </w:pPr>
      <w:r>
        <w:rPr>
          <w:rFonts w:hint="eastAsia" w:ascii="宋体" w:hAnsi="宋体" w:cs="宋体"/>
          <w:sz w:val="36"/>
          <w:szCs w:val="36"/>
          <w:u w:val="single"/>
          <w:lang w:val="en-US" w:eastAsia="zh-CN"/>
        </w:rPr>
        <w:t xml:space="preserve"> XXXXXXXX工程</w:t>
      </w:r>
      <w:r>
        <w:rPr>
          <w:rFonts w:hint="eastAsia" w:ascii="宋体" w:hAnsi="宋体" w:eastAsia="宋体" w:cs="宋体"/>
          <w:sz w:val="36"/>
          <w:szCs w:val="36"/>
        </w:rPr>
        <w:t>结算资料目录</w:t>
      </w:r>
    </w:p>
    <w:p w14:paraId="11493457">
      <w:pPr>
        <w:ind w:firstLine="960" w:firstLineChars="400"/>
        <w:rPr>
          <w:rFonts w:hint="eastAsia"/>
          <w:sz w:val="24"/>
        </w:rPr>
      </w:pPr>
    </w:p>
    <w:p w14:paraId="24986842">
      <w:pPr>
        <w:ind w:firstLine="960" w:firstLineChars="400"/>
        <w:rPr>
          <w:rFonts w:hint="eastAsia"/>
          <w:sz w:val="24"/>
          <w:u w:val="single"/>
          <w:lang w:eastAsia="zh-CN"/>
        </w:rPr>
      </w:pPr>
      <w:r>
        <w:rPr>
          <w:rFonts w:hint="eastAsia"/>
          <w:sz w:val="24"/>
        </w:rPr>
        <w:t>填表日期:</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年</w:t>
      </w:r>
      <w:r>
        <w:rPr>
          <w:rFonts w:hint="eastAsia"/>
          <w:sz w:val="24"/>
          <w:u w:val="single"/>
          <w:lang w:val="en-US" w:eastAsia="zh-CN"/>
        </w:rPr>
        <w:t xml:space="preserve">    </w:t>
      </w:r>
      <w:r>
        <w:rPr>
          <w:rFonts w:hint="eastAsia"/>
          <w:sz w:val="24"/>
          <w:u w:val="single"/>
          <w:lang w:eastAsia="zh-CN"/>
        </w:rPr>
        <w:t>月</w:t>
      </w:r>
      <w:r>
        <w:rPr>
          <w:rFonts w:hint="eastAsia"/>
          <w:sz w:val="24"/>
          <w:u w:val="single"/>
          <w:lang w:val="en-US" w:eastAsia="zh-CN"/>
        </w:rPr>
        <w:t xml:space="preserve">    </w:t>
      </w:r>
      <w:r>
        <w:rPr>
          <w:rFonts w:hint="eastAsia"/>
          <w:sz w:val="24"/>
          <w:u w:val="single"/>
          <w:lang w:eastAsia="zh-CN"/>
        </w:rPr>
        <w:t>日</w:t>
      </w:r>
      <w:r>
        <w:rPr>
          <w:rFonts w:hint="eastAsia"/>
          <w:sz w:val="24"/>
        </w:rPr>
        <w:t xml:space="preserve">             </w:t>
      </w:r>
    </w:p>
    <w:tbl>
      <w:tblPr>
        <w:tblStyle w:val="14"/>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rPr>
            </w:pPr>
            <w:r>
              <w:rPr>
                <w:rFonts w:hint="eastAsia"/>
                <w:b/>
                <w:sz w:val="24"/>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rPr>
            </w:pPr>
            <w:r>
              <w:rPr>
                <w:rFonts w:hint="eastAsia"/>
                <w:b/>
                <w:sz w:val="24"/>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rPr>
            </w:pPr>
            <w:r>
              <w:rPr>
                <w:rFonts w:hint="eastAsia"/>
                <w:b/>
                <w:sz w:val="24"/>
                <w:lang w:eastAsia="zh-CN"/>
              </w:rPr>
              <w:t>份</w:t>
            </w:r>
            <w:r>
              <w:rPr>
                <w:rFonts w:hint="eastAsia"/>
                <w:b/>
                <w:sz w:val="24"/>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rPr>
            </w:pPr>
            <w:r>
              <w:rPr>
                <w:rFonts w:hint="eastAsia"/>
                <w:b/>
                <w:sz w:val="24"/>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lang w:val="en-US" w:eastAsia="zh-CN"/>
              </w:rPr>
            </w:pPr>
            <w:r>
              <w:rPr>
                <w:rFonts w:hint="eastAsia"/>
                <w:b/>
                <w:bCs/>
                <w:sz w:val="24"/>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lang w:eastAsia="zh-CN"/>
              </w:rPr>
            </w:pPr>
            <w:r>
              <w:rPr>
                <w:rFonts w:hint="eastAsia"/>
                <w:b w:val="0"/>
                <w:bCs/>
                <w:sz w:val="24"/>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lang w:eastAsia="zh-CN"/>
              </w:rPr>
            </w:pPr>
            <w:r>
              <w:rPr>
                <w:rFonts w:hint="eastAsia" w:eastAsia="宋体"/>
                <w:kern w:val="2"/>
                <w:sz w:val="24"/>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lang w:eastAsia="zh-CN"/>
              </w:rPr>
            </w:pPr>
            <w:r>
              <w:rPr>
                <w:rFonts w:hint="eastAsia"/>
                <w:b w:val="0"/>
                <w:bCs/>
                <w:sz w:val="24"/>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lang w:eastAsia="zh-CN"/>
              </w:rPr>
            </w:pPr>
            <w:r>
              <w:rPr>
                <w:rFonts w:hint="eastAsia"/>
                <w:sz w:val="24"/>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lang w:val="en-US" w:eastAsia="zh-CN"/>
              </w:rPr>
            </w:pPr>
            <w:r>
              <w:rPr>
                <w:rFonts w:hint="eastAsia"/>
                <w:sz w:val="24"/>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lang w:eastAsia="zh-CN"/>
              </w:rPr>
            </w:pPr>
            <w:r>
              <w:rPr>
                <w:rFonts w:hint="eastAsia"/>
                <w:sz w:val="24"/>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lang w:eastAsia="zh-CN"/>
              </w:rPr>
            </w:pPr>
            <w:r>
              <w:rPr>
                <w:rFonts w:hint="eastAsia"/>
                <w:sz w:val="24"/>
                <w:lang w:eastAsia="zh-CN"/>
              </w:rPr>
              <w:t>3</w:t>
            </w:r>
          </w:p>
        </w:tc>
        <w:tc>
          <w:tcPr>
            <w:tcW w:w="4263" w:type="dxa"/>
            <w:gridSpan w:val="2"/>
            <w:tcBorders>
              <w:top w:val="nil"/>
            </w:tcBorders>
            <w:noWrap w:val="0"/>
            <w:vAlign w:val="center"/>
          </w:tcPr>
          <w:p w14:paraId="580FD584">
            <w:pPr>
              <w:spacing w:line="440" w:lineRule="atLeast"/>
              <w:rPr>
                <w:rFonts w:hint="eastAsia" w:eastAsia="宋体"/>
                <w:sz w:val="24"/>
                <w:lang w:val="en-US" w:eastAsia="zh-CN"/>
              </w:rPr>
            </w:pPr>
            <w:r>
              <w:rPr>
                <w:rFonts w:hint="eastAsia"/>
                <w:sz w:val="24"/>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lang w:eastAsia="zh-CN"/>
              </w:rPr>
            </w:pPr>
            <w:r>
              <w:rPr>
                <w:rFonts w:hint="eastAsia"/>
                <w:sz w:val="24"/>
                <w:lang w:eastAsia="zh-CN"/>
              </w:rPr>
              <w:t>1</w:t>
            </w:r>
          </w:p>
        </w:tc>
        <w:tc>
          <w:tcPr>
            <w:tcW w:w="2643" w:type="dxa"/>
            <w:tcBorders>
              <w:top w:val="nil"/>
            </w:tcBorders>
            <w:noWrap w:val="0"/>
            <w:vAlign w:val="center"/>
          </w:tcPr>
          <w:p w14:paraId="0A2813CC">
            <w:pPr>
              <w:spacing w:line="440" w:lineRule="atLeast"/>
              <w:jc w:val="center"/>
              <w:rPr>
                <w:rFonts w:hint="eastAsia"/>
                <w:sz w:val="24"/>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lang w:val="en-US" w:eastAsia="zh-CN"/>
              </w:rPr>
            </w:pPr>
            <w:r>
              <w:rPr>
                <w:rFonts w:hint="eastAsia"/>
                <w:sz w:val="24"/>
                <w:lang w:val="en-US" w:eastAsia="zh-CN"/>
              </w:rPr>
              <w:t>4</w:t>
            </w:r>
          </w:p>
          <w:p w14:paraId="6E5FD724">
            <w:pPr>
              <w:spacing w:line="440" w:lineRule="atLeast"/>
              <w:jc w:val="center"/>
              <w:rPr>
                <w:rFonts w:hint="eastAsia"/>
                <w:sz w:val="24"/>
                <w:lang w:val="en-US" w:eastAsia="zh-CN"/>
              </w:rPr>
            </w:pPr>
          </w:p>
          <w:p w14:paraId="7DDBC5BF">
            <w:pPr>
              <w:spacing w:line="440" w:lineRule="atLeast"/>
              <w:jc w:val="center"/>
              <w:rPr>
                <w:rFonts w:hint="default"/>
                <w:sz w:val="24"/>
                <w:lang w:val="en-US" w:eastAsia="zh-CN"/>
              </w:rPr>
            </w:pPr>
          </w:p>
        </w:tc>
        <w:tc>
          <w:tcPr>
            <w:tcW w:w="4263" w:type="dxa"/>
            <w:gridSpan w:val="2"/>
            <w:tcBorders>
              <w:top w:val="nil"/>
            </w:tcBorders>
            <w:noWrap w:val="0"/>
            <w:vAlign w:val="center"/>
          </w:tcPr>
          <w:p w14:paraId="1FA761AB">
            <w:pPr>
              <w:spacing w:line="440" w:lineRule="atLeast"/>
              <w:rPr>
                <w:rFonts w:hint="eastAsia"/>
                <w:sz w:val="24"/>
                <w:lang w:val="en-US" w:eastAsia="zh-CN"/>
              </w:rPr>
            </w:pPr>
            <w:r>
              <w:rPr>
                <w:rFonts w:hint="eastAsia"/>
                <w:sz w:val="24"/>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790CE63">
            <w:pPr>
              <w:spacing w:line="440" w:lineRule="atLeast"/>
              <w:jc w:val="center"/>
              <w:rPr>
                <w:rFonts w:hint="eastAsia"/>
                <w:sz w:val="24"/>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lang w:val="en-US" w:eastAsia="zh-CN"/>
              </w:rPr>
            </w:pPr>
            <w:r>
              <w:rPr>
                <w:rFonts w:hint="eastAsia"/>
                <w:b/>
                <w:bCs/>
                <w:sz w:val="24"/>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lang w:val="en-US" w:eastAsia="zh-CN"/>
              </w:rPr>
            </w:pPr>
            <w:r>
              <w:rPr>
                <w:rFonts w:hint="eastAsia"/>
                <w:sz w:val="24"/>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lang w:val="en-US" w:eastAsia="zh-CN"/>
              </w:rPr>
            </w:pPr>
            <w:r>
              <w:rPr>
                <w:rFonts w:hint="eastAsia"/>
                <w:sz w:val="24"/>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lang w:val="en-US" w:eastAsia="zh-CN"/>
              </w:rPr>
            </w:pPr>
            <w:r>
              <w:rPr>
                <w:rFonts w:hint="eastAsia"/>
                <w:kern w:val="2"/>
                <w:sz w:val="24"/>
                <w:lang w:val="en-US" w:eastAsia="zh-CN"/>
              </w:rPr>
              <w:t>封面</w:t>
            </w:r>
          </w:p>
        </w:tc>
        <w:tc>
          <w:tcPr>
            <w:tcW w:w="734" w:type="dxa"/>
            <w:tcBorders>
              <w:top w:val="nil"/>
            </w:tcBorders>
            <w:noWrap w:val="0"/>
            <w:vAlign w:val="center"/>
          </w:tcPr>
          <w:p w14:paraId="3CCBD15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C78867C">
            <w:pPr>
              <w:spacing w:line="440" w:lineRule="atLeast"/>
              <w:jc w:val="center"/>
              <w:rPr>
                <w:rFonts w:hint="default"/>
                <w:sz w:val="24"/>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764E06EB">
            <w:pPr>
              <w:spacing w:line="440" w:lineRule="atLeast"/>
              <w:jc w:val="center"/>
              <w:rPr>
                <w:rFonts w:hint="default"/>
                <w:sz w:val="24"/>
                <w:lang w:val="en-US" w:eastAsia="zh-CN"/>
              </w:rPr>
            </w:pPr>
            <w:r>
              <w:rPr>
                <w:rFonts w:hint="eastAsia"/>
                <w:sz w:val="24"/>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lang w:val="en-US" w:eastAsia="zh-CN"/>
              </w:rPr>
            </w:pPr>
            <w:r>
              <w:rPr>
                <w:rFonts w:hint="eastAsia"/>
                <w:sz w:val="24"/>
                <w:lang w:val="en-US" w:eastAsia="zh-CN"/>
              </w:rPr>
              <w:t>目录</w:t>
            </w:r>
          </w:p>
        </w:tc>
        <w:tc>
          <w:tcPr>
            <w:tcW w:w="734" w:type="dxa"/>
            <w:tcBorders>
              <w:top w:val="nil"/>
            </w:tcBorders>
            <w:noWrap w:val="0"/>
            <w:vAlign w:val="center"/>
          </w:tcPr>
          <w:p w14:paraId="6BADCA93">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91AAF79">
            <w:pPr>
              <w:spacing w:line="440" w:lineRule="atLeast"/>
              <w:jc w:val="center"/>
              <w:rPr>
                <w:rFonts w:hint="eastAsia"/>
                <w:sz w:val="24"/>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394D6B1F">
            <w:pPr>
              <w:spacing w:line="440" w:lineRule="atLeast"/>
              <w:jc w:val="center"/>
              <w:rPr>
                <w:rFonts w:hint="default"/>
                <w:sz w:val="24"/>
                <w:lang w:val="en-US" w:eastAsia="zh-CN"/>
              </w:rPr>
            </w:pPr>
            <w:r>
              <w:rPr>
                <w:rFonts w:hint="eastAsia"/>
                <w:sz w:val="24"/>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lang w:val="en-US" w:eastAsia="zh-CN"/>
              </w:rPr>
            </w:pPr>
            <w:r>
              <w:rPr>
                <w:rFonts w:hint="eastAsia"/>
                <w:sz w:val="24"/>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lang w:val="en-US" w:eastAsia="zh-CN"/>
              </w:rPr>
            </w:pPr>
          </w:p>
        </w:tc>
        <w:tc>
          <w:tcPr>
            <w:tcW w:w="495" w:type="dxa"/>
            <w:tcBorders>
              <w:top w:val="nil"/>
            </w:tcBorders>
            <w:noWrap w:val="0"/>
            <w:vAlign w:val="center"/>
          </w:tcPr>
          <w:p w14:paraId="09987F6F">
            <w:pPr>
              <w:spacing w:line="440" w:lineRule="atLeast"/>
              <w:jc w:val="center"/>
              <w:rPr>
                <w:rFonts w:hint="default"/>
                <w:sz w:val="24"/>
                <w:lang w:val="en-US" w:eastAsia="zh-CN"/>
              </w:rPr>
            </w:pPr>
            <w:r>
              <w:rPr>
                <w:rFonts w:hint="eastAsia"/>
                <w:sz w:val="24"/>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lang w:val="en-US" w:eastAsia="zh-CN"/>
              </w:rPr>
            </w:pPr>
            <w:r>
              <w:rPr>
                <w:rFonts w:hint="eastAsia"/>
                <w:sz w:val="24"/>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52A0E03">
            <w:pPr>
              <w:spacing w:line="440" w:lineRule="atLeast"/>
              <w:jc w:val="center"/>
              <w:rPr>
                <w:rFonts w:hint="eastAsia"/>
                <w:sz w:val="24"/>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lang w:val="en-US" w:eastAsia="zh-CN"/>
              </w:rPr>
            </w:pPr>
          </w:p>
        </w:tc>
        <w:tc>
          <w:tcPr>
            <w:tcW w:w="495" w:type="dxa"/>
            <w:tcBorders>
              <w:top w:val="nil"/>
            </w:tcBorders>
            <w:noWrap w:val="0"/>
            <w:vAlign w:val="center"/>
          </w:tcPr>
          <w:p w14:paraId="6BE1A157">
            <w:pPr>
              <w:spacing w:line="440" w:lineRule="atLeast"/>
              <w:jc w:val="center"/>
              <w:rPr>
                <w:rFonts w:hint="default"/>
                <w:sz w:val="24"/>
                <w:lang w:val="en-US" w:eastAsia="zh-CN"/>
              </w:rPr>
            </w:pPr>
            <w:r>
              <w:rPr>
                <w:rFonts w:hint="eastAsia"/>
                <w:sz w:val="24"/>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lang w:val="en-US" w:eastAsia="zh-CN"/>
              </w:rPr>
            </w:pPr>
            <w:r>
              <w:rPr>
                <w:rFonts w:hint="eastAsia"/>
                <w:sz w:val="24"/>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lang w:val="en-US" w:eastAsia="zh-CN"/>
              </w:rPr>
            </w:pPr>
          </w:p>
        </w:tc>
        <w:tc>
          <w:tcPr>
            <w:tcW w:w="495" w:type="dxa"/>
            <w:tcBorders>
              <w:top w:val="nil"/>
            </w:tcBorders>
            <w:noWrap w:val="0"/>
            <w:vAlign w:val="center"/>
          </w:tcPr>
          <w:p w14:paraId="18D569B7">
            <w:pPr>
              <w:spacing w:line="440" w:lineRule="atLeast"/>
              <w:jc w:val="center"/>
              <w:rPr>
                <w:rFonts w:hint="default"/>
                <w:sz w:val="24"/>
                <w:lang w:val="en-US" w:eastAsia="zh-CN"/>
              </w:rPr>
            </w:pPr>
            <w:r>
              <w:rPr>
                <w:rFonts w:hint="eastAsia"/>
                <w:sz w:val="24"/>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lang w:val="en-US" w:eastAsia="zh-CN"/>
              </w:rPr>
            </w:pPr>
            <w:r>
              <w:rPr>
                <w:rFonts w:hint="eastAsia"/>
                <w:sz w:val="24"/>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lang w:val="en-US" w:eastAsia="zh-CN"/>
              </w:rPr>
            </w:pPr>
          </w:p>
        </w:tc>
        <w:tc>
          <w:tcPr>
            <w:tcW w:w="495" w:type="dxa"/>
            <w:tcBorders>
              <w:top w:val="nil"/>
            </w:tcBorders>
            <w:noWrap w:val="0"/>
            <w:vAlign w:val="center"/>
          </w:tcPr>
          <w:p w14:paraId="501BB1BB">
            <w:pPr>
              <w:spacing w:line="440" w:lineRule="atLeast"/>
              <w:jc w:val="center"/>
              <w:rPr>
                <w:rFonts w:hint="default"/>
                <w:sz w:val="24"/>
                <w:lang w:val="en-US" w:eastAsia="zh-CN"/>
              </w:rPr>
            </w:pPr>
            <w:r>
              <w:rPr>
                <w:rFonts w:hint="eastAsia"/>
                <w:sz w:val="24"/>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工程结算支付证明单</w:t>
            </w:r>
          </w:p>
          <w:p w14:paraId="19F62F4C">
            <w:pPr>
              <w:tabs>
                <w:tab w:val="left" w:pos="1138"/>
              </w:tabs>
              <w:spacing w:line="440" w:lineRule="atLeast"/>
              <w:rPr>
                <w:rFonts w:hint="eastAsia"/>
                <w:sz w:val="24"/>
                <w:lang w:val="en-US" w:eastAsia="zh-CN"/>
              </w:rPr>
            </w:pPr>
          </w:p>
        </w:tc>
        <w:tc>
          <w:tcPr>
            <w:tcW w:w="734" w:type="dxa"/>
            <w:tcBorders>
              <w:top w:val="nil"/>
            </w:tcBorders>
            <w:noWrap w:val="0"/>
            <w:vAlign w:val="center"/>
          </w:tcPr>
          <w:p w14:paraId="49C8741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DCB68E1">
            <w:pPr>
              <w:spacing w:line="440" w:lineRule="atLeast"/>
              <w:jc w:val="center"/>
              <w:rPr>
                <w:rFonts w:hint="eastAsia"/>
                <w:sz w:val="24"/>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lang w:val="en-US" w:eastAsia="zh-CN"/>
              </w:rPr>
            </w:pPr>
          </w:p>
        </w:tc>
        <w:tc>
          <w:tcPr>
            <w:tcW w:w="495" w:type="dxa"/>
            <w:tcBorders>
              <w:top w:val="nil"/>
            </w:tcBorders>
            <w:noWrap w:val="0"/>
            <w:vAlign w:val="center"/>
          </w:tcPr>
          <w:p w14:paraId="0C06C6E9">
            <w:pPr>
              <w:spacing w:line="440" w:lineRule="atLeast"/>
              <w:jc w:val="center"/>
              <w:rPr>
                <w:rFonts w:hint="default"/>
                <w:sz w:val="24"/>
                <w:lang w:val="en-US" w:eastAsia="zh-CN"/>
              </w:rPr>
            </w:pPr>
            <w:r>
              <w:rPr>
                <w:rFonts w:hint="eastAsia"/>
                <w:sz w:val="24"/>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lang w:val="en-US" w:eastAsia="zh-CN"/>
              </w:rPr>
            </w:pPr>
            <w:r>
              <w:rPr>
                <w:rFonts w:hint="eastAsia"/>
                <w:sz w:val="24"/>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038D1426">
            <w:pPr>
              <w:spacing w:line="440" w:lineRule="atLeast"/>
              <w:jc w:val="center"/>
              <w:rPr>
                <w:rFonts w:hint="default"/>
                <w:sz w:val="24"/>
                <w:lang w:val="en-US" w:eastAsia="zh-CN"/>
              </w:rPr>
            </w:pPr>
            <w:r>
              <w:rPr>
                <w:rFonts w:hint="eastAsia"/>
                <w:sz w:val="24"/>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lang w:val="en-US" w:eastAsia="zh-CN"/>
              </w:rPr>
            </w:pPr>
            <w:r>
              <w:rPr>
                <w:rFonts w:hint="eastAsia"/>
                <w:kern w:val="2"/>
                <w:sz w:val="24"/>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lang w:val="en-US" w:eastAsia="zh-CN"/>
              </w:rPr>
            </w:pPr>
          </w:p>
        </w:tc>
        <w:tc>
          <w:tcPr>
            <w:tcW w:w="495" w:type="dxa"/>
            <w:tcBorders>
              <w:top w:val="nil"/>
            </w:tcBorders>
            <w:noWrap w:val="0"/>
            <w:vAlign w:val="center"/>
          </w:tcPr>
          <w:p w14:paraId="41622D14">
            <w:pPr>
              <w:spacing w:line="440" w:lineRule="atLeast"/>
              <w:jc w:val="center"/>
              <w:rPr>
                <w:rFonts w:hint="default"/>
                <w:sz w:val="24"/>
                <w:lang w:val="en-US" w:eastAsia="zh-CN"/>
              </w:rPr>
            </w:pPr>
            <w:r>
              <w:rPr>
                <w:rFonts w:hint="eastAsia"/>
                <w:sz w:val="24"/>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lang w:val="en-US" w:eastAsia="zh-CN"/>
              </w:rPr>
            </w:pPr>
            <w:r>
              <w:rPr>
                <w:rFonts w:hint="eastAsia"/>
                <w:kern w:val="2"/>
                <w:sz w:val="24"/>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F1A5A40">
            <w:pPr>
              <w:spacing w:line="440" w:lineRule="atLeast"/>
              <w:jc w:val="center"/>
              <w:rPr>
                <w:rFonts w:hint="eastAsia"/>
                <w:sz w:val="24"/>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lang w:val="en-US" w:eastAsia="zh-CN"/>
              </w:rPr>
            </w:pPr>
          </w:p>
        </w:tc>
        <w:tc>
          <w:tcPr>
            <w:tcW w:w="495" w:type="dxa"/>
            <w:tcBorders>
              <w:top w:val="nil"/>
            </w:tcBorders>
            <w:noWrap w:val="0"/>
            <w:vAlign w:val="center"/>
          </w:tcPr>
          <w:p w14:paraId="5E4F8273">
            <w:pPr>
              <w:spacing w:line="440" w:lineRule="atLeast"/>
              <w:jc w:val="center"/>
              <w:rPr>
                <w:rFonts w:hint="default"/>
                <w:sz w:val="24"/>
                <w:lang w:val="en-US" w:eastAsia="zh-CN"/>
              </w:rPr>
            </w:pPr>
            <w:r>
              <w:rPr>
                <w:rFonts w:hint="eastAsia"/>
                <w:sz w:val="24"/>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lang w:val="en-US" w:eastAsia="zh-CN"/>
              </w:rPr>
            </w:pPr>
            <w:r>
              <w:rPr>
                <w:rFonts w:hint="eastAsia"/>
                <w:kern w:val="2"/>
                <w:sz w:val="24"/>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lang w:val="en-US" w:eastAsia="zh-CN"/>
              </w:rPr>
            </w:pPr>
          </w:p>
        </w:tc>
        <w:tc>
          <w:tcPr>
            <w:tcW w:w="495" w:type="dxa"/>
            <w:noWrap w:val="0"/>
            <w:vAlign w:val="center"/>
          </w:tcPr>
          <w:p w14:paraId="2F688172">
            <w:pPr>
              <w:spacing w:line="440" w:lineRule="atLeast"/>
              <w:jc w:val="center"/>
              <w:rPr>
                <w:rFonts w:hint="default"/>
                <w:sz w:val="24"/>
                <w:lang w:val="en-US" w:eastAsia="zh-CN"/>
              </w:rPr>
            </w:pPr>
            <w:r>
              <w:rPr>
                <w:rFonts w:hint="eastAsia"/>
                <w:sz w:val="24"/>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lang w:val="en-US" w:eastAsia="zh-CN"/>
              </w:rPr>
            </w:pPr>
            <w:r>
              <w:rPr>
                <w:rFonts w:hint="eastAsia"/>
                <w:kern w:val="2"/>
                <w:sz w:val="24"/>
                <w:lang w:val="en-US" w:eastAsia="zh-CN"/>
              </w:rPr>
              <w:t>结算</w:t>
            </w:r>
            <w:r>
              <w:rPr>
                <w:rFonts w:hint="eastAsia" w:eastAsia="宋体"/>
                <w:kern w:val="2"/>
                <w:sz w:val="24"/>
                <w:lang w:val="en-US" w:eastAsia="zh-CN"/>
              </w:rPr>
              <w:t>资料</w:t>
            </w:r>
          </w:p>
        </w:tc>
        <w:tc>
          <w:tcPr>
            <w:tcW w:w="734" w:type="dxa"/>
            <w:noWrap w:val="0"/>
            <w:vAlign w:val="center"/>
          </w:tcPr>
          <w:p w14:paraId="306B2F78">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noWrap w:val="0"/>
            <w:vAlign w:val="center"/>
          </w:tcPr>
          <w:p w14:paraId="27066D81">
            <w:pPr>
              <w:spacing w:line="440" w:lineRule="atLeast"/>
              <w:jc w:val="center"/>
              <w:rPr>
                <w:rFonts w:hint="eastAsia" w:eastAsia="宋体"/>
                <w:kern w:val="2"/>
                <w:sz w:val="24"/>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lang w:val="en-US" w:eastAsia="zh-CN"/>
              </w:rPr>
            </w:pPr>
          </w:p>
        </w:tc>
        <w:tc>
          <w:tcPr>
            <w:tcW w:w="495" w:type="dxa"/>
            <w:noWrap w:val="0"/>
            <w:vAlign w:val="center"/>
          </w:tcPr>
          <w:p w14:paraId="637CCF18">
            <w:pPr>
              <w:spacing w:line="440" w:lineRule="atLeast"/>
              <w:jc w:val="center"/>
              <w:rPr>
                <w:rFonts w:hint="default"/>
                <w:sz w:val="24"/>
                <w:lang w:val="en-US" w:eastAsia="zh-CN"/>
              </w:rPr>
            </w:pPr>
            <w:r>
              <w:rPr>
                <w:rFonts w:hint="eastAsia"/>
                <w:sz w:val="24"/>
                <w:lang w:val="en-US" w:eastAsia="zh-CN"/>
              </w:rPr>
              <w:t>13</w:t>
            </w:r>
          </w:p>
        </w:tc>
        <w:tc>
          <w:tcPr>
            <w:tcW w:w="4263" w:type="dxa"/>
            <w:gridSpan w:val="2"/>
            <w:noWrap w:val="0"/>
            <w:vAlign w:val="center"/>
          </w:tcPr>
          <w:p w14:paraId="6894B3E4">
            <w:pPr>
              <w:spacing w:line="440" w:lineRule="atLeast"/>
              <w:rPr>
                <w:rFonts w:hint="default" w:eastAsia="宋体"/>
                <w:kern w:val="2"/>
                <w:sz w:val="24"/>
                <w:lang w:val="en-US" w:eastAsia="zh-CN"/>
              </w:rPr>
            </w:pPr>
            <w:r>
              <w:rPr>
                <w:rFonts w:hint="eastAsia"/>
                <w:kern w:val="2"/>
                <w:sz w:val="24"/>
                <w:lang w:val="en-US" w:eastAsia="zh-CN"/>
              </w:rPr>
              <w:t>其他相关资料</w:t>
            </w:r>
          </w:p>
        </w:tc>
        <w:tc>
          <w:tcPr>
            <w:tcW w:w="734" w:type="dxa"/>
            <w:noWrap w:val="0"/>
            <w:vAlign w:val="center"/>
          </w:tcPr>
          <w:p w14:paraId="4723C718">
            <w:pPr>
              <w:spacing w:line="440" w:lineRule="atLeast"/>
              <w:jc w:val="center"/>
              <w:rPr>
                <w:rFonts w:hint="default" w:eastAsia="宋体"/>
                <w:kern w:val="2"/>
                <w:sz w:val="24"/>
                <w:lang w:val="en-US" w:eastAsia="zh-CN"/>
              </w:rPr>
            </w:pPr>
          </w:p>
        </w:tc>
        <w:tc>
          <w:tcPr>
            <w:tcW w:w="2643" w:type="dxa"/>
            <w:noWrap w:val="0"/>
            <w:vAlign w:val="center"/>
          </w:tcPr>
          <w:p w14:paraId="3F8A44A2">
            <w:pPr>
              <w:spacing w:line="440" w:lineRule="atLeast"/>
              <w:jc w:val="center"/>
              <w:rPr>
                <w:rFonts w:hint="eastAsia" w:eastAsia="宋体"/>
                <w:kern w:val="2"/>
                <w:sz w:val="24"/>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lang w:val="en-US" w:eastAsia="zh-CN"/>
              </w:rPr>
            </w:pPr>
          </w:p>
        </w:tc>
        <w:tc>
          <w:tcPr>
            <w:tcW w:w="495" w:type="dxa"/>
            <w:noWrap w:val="0"/>
            <w:vAlign w:val="center"/>
          </w:tcPr>
          <w:p w14:paraId="05625A38">
            <w:pPr>
              <w:spacing w:line="440" w:lineRule="atLeast"/>
              <w:jc w:val="center"/>
              <w:rPr>
                <w:rFonts w:hint="default" w:eastAsia="宋体"/>
                <w:kern w:val="2"/>
                <w:sz w:val="24"/>
                <w:lang w:val="en-US" w:eastAsia="zh-CN"/>
              </w:rPr>
            </w:pPr>
          </w:p>
        </w:tc>
        <w:tc>
          <w:tcPr>
            <w:tcW w:w="4263" w:type="dxa"/>
            <w:gridSpan w:val="2"/>
            <w:noWrap w:val="0"/>
            <w:vAlign w:val="center"/>
          </w:tcPr>
          <w:p w14:paraId="5087707A">
            <w:pPr>
              <w:spacing w:line="440" w:lineRule="atLeast"/>
              <w:rPr>
                <w:rFonts w:hint="eastAsia" w:eastAsia="宋体"/>
                <w:kern w:val="2"/>
                <w:sz w:val="24"/>
                <w:lang w:val="en-US" w:eastAsia="zh-CN"/>
              </w:rPr>
            </w:pPr>
          </w:p>
        </w:tc>
        <w:tc>
          <w:tcPr>
            <w:tcW w:w="734" w:type="dxa"/>
            <w:noWrap w:val="0"/>
            <w:vAlign w:val="center"/>
          </w:tcPr>
          <w:p w14:paraId="72AF970F">
            <w:pPr>
              <w:spacing w:line="440" w:lineRule="atLeast"/>
              <w:jc w:val="center"/>
              <w:rPr>
                <w:rFonts w:hint="eastAsia" w:eastAsia="宋体"/>
                <w:kern w:val="2"/>
                <w:sz w:val="24"/>
                <w:lang w:val="en-US" w:eastAsia="zh-CN"/>
              </w:rPr>
            </w:pPr>
          </w:p>
        </w:tc>
        <w:tc>
          <w:tcPr>
            <w:tcW w:w="2643" w:type="dxa"/>
            <w:noWrap w:val="0"/>
            <w:vAlign w:val="center"/>
          </w:tcPr>
          <w:p w14:paraId="5A1FCF3D">
            <w:pPr>
              <w:spacing w:line="440" w:lineRule="atLeast"/>
              <w:jc w:val="center"/>
              <w:rPr>
                <w:rFonts w:hint="eastAsia" w:eastAsia="宋体"/>
                <w:kern w:val="2"/>
                <w:sz w:val="24"/>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lang w:val="en-US" w:eastAsia="zh-CN"/>
              </w:rPr>
            </w:pPr>
            <w:r>
              <w:rPr>
                <w:rFonts w:hint="eastAsia"/>
                <w:sz w:val="24"/>
                <w:lang w:val="en-US" w:eastAsia="zh-CN"/>
              </w:rPr>
              <w:t>14</w:t>
            </w:r>
          </w:p>
        </w:tc>
        <w:tc>
          <w:tcPr>
            <w:tcW w:w="1681" w:type="dxa"/>
            <w:vMerge w:val="restart"/>
            <w:noWrap w:val="0"/>
            <w:vAlign w:val="center"/>
          </w:tcPr>
          <w:p w14:paraId="49044026">
            <w:pPr>
              <w:spacing w:line="440" w:lineRule="atLeast"/>
              <w:jc w:val="center"/>
              <w:rPr>
                <w:rFonts w:hint="eastAsia"/>
                <w:sz w:val="24"/>
              </w:rPr>
            </w:pPr>
            <w:r>
              <w:rPr>
                <w:rFonts w:hint="eastAsia"/>
                <w:sz w:val="24"/>
              </w:rPr>
              <w:t>总结意见</w:t>
            </w:r>
          </w:p>
        </w:tc>
        <w:tc>
          <w:tcPr>
            <w:tcW w:w="2582" w:type="dxa"/>
            <w:noWrap w:val="0"/>
            <w:vAlign w:val="center"/>
          </w:tcPr>
          <w:p w14:paraId="3829687E">
            <w:pPr>
              <w:spacing w:line="440" w:lineRule="atLeast"/>
              <w:jc w:val="center"/>
              <w:rPr>
                <w:rFonts w:hint="eastAsia"/>
                <w:sz w:val="24"/>
              </w:rPr>
            </w:pPr>
            <w:r>
              <w:rPr>
                <w:rFonts w:hint="eastAsia"/>
                <w:sz w:val="24"/>
              </w:rPr>
              <w:t>个人</w:t>
            </w:r>
          </w:p>
        </w:tc>
        <w:tc>
          <w:tcPr>
            <w:tcW w:w="734" w:type="dxa"/>
            <w:noWrap w:val="0"/>
            <w:vAlign w:val="center"/>
          </w:tcPr>
          <w:p w14:paraId="7732E610">
            <w:pPr>
              <w:spacing w:line="240" w:lineRule="auto"/>
              <w:jc w:val="center"/>
              <w:rPr>
                <w:rFonts w:hint="eastAsia"/>
                <w:sz w:val="24"/>
              </w:rPr>
            </w:pPr>
          </w:p>
        </w:tc>
        <w:tc>
          <w:tcPr>
            <w:tcW w:w="2643" w:type="dxa"/>
            <w:noWrap w:val="0"/>
            <w:vAlign w:val="center"/>
          </w:tcPr>
          <w:p w14:paraId="2FBC5917">
            <w:pPr>
              <w:spacing w:line="440" w:lineRule="atLeast"/>
              <w:jc w:val="center"/>
              <w:rPr>
                <w:rFonts w:hint="eastAsia"/>
                <w:sz w:val="24"/>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rPr>
            </w:pPr>
          </w:p>
        </w:tc>
        <w:tc>
          <w:tcPr>
            <w:tcW w:w="1681" w:type="dxa"/>
            <w:vMerge w:val="continue"/>
            <w:noWrap w:val="0"/>
            <w:vAlign w:val="center"/>
          </w:tcPr>
          <w:p w14:paraId="201D8E8F">
            <w:pPr>
              <w:spacing w:line="440" w:lineRule="atLeast"/>
              <w:jc w:val="center"/>
              <w:rPr>
                <w:rFonts w:hint="eastAsia"/>
                <w:sz w:val="24"/>
              </w:rPr>
            </w:pPr>
          </w:p>
        </w:tc>
        <w:tc>
          <w:tcPr>
            <w:tcW w:w="2582" w:type="dxa"/>
            <w:noWrap w:val="0"/>
            <w:vAlign w:val="center"/>
          </w:tcPr>
          <w:p w14:paraId="77EED6F4">
            <w:pPr>
              <w:spacing w:line="440" w:lineRule="atLeast"/>
              <w:jc w:val="center"/>
              <w:rPr>
                <w:rFonts w:hint="eastAsia"/>
                <w:sz w:val="24"/>
              </w:rPr>
            </w:pPr>
            <w:r>
              <w:rPr>
                <w:rFonts w:hint="eastAsia"/>
                <w:sz w:val="24"/>
              </w:rPr>
              <w:t>部门</w:t>
            </w:r>
          </w:p>
        </w:tc>
        <w:tc>
          <w:tcPr>
            <w:tcW w:w="734" w:type="dxa"/>
            <w:noWrap w:val="0"/>
            <w:vAlign w:val="center"/>
          </w:tcPr>
          <w:p w14:paraId="25B5B967">
            <w:pPr>
              <w:spacing w:line="440" w:lineRule="atLeast"/>
              <w:jc w:val="center"/>
              <w:rPr>
                <w:rFonts w:hint="eastAsia"/>
                <w:sz w:val="24"/>
              </w:rPr>
            </w:pPr>
          </w:p>
        </w:tc>
        <w:tc>
          <w:tcPr>
            <w:tcW w:w="2643" w:type="dxa"/>
            <w:noWrap w:val="0"/>
            <w:vAlign w:val="center"/>
          </w:tcPr>
          <w:p w14:paraId="29C5EED8">
            <w:pPr>
              <w:spacing w:line="440" w:lineRule="atLeast"/>
              <w:jc w:val="center"/>
              <w:rPr>
                <w:rFonts w:hint="eastAsia"/>
                <w:sz w:val="24"/>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76"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76"/>
    </w:p>
    <w:p w14:paraId="7EFFD12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保证</w:t>
      </w:r>
      <w:r>
        <w:rPr>
          <w:rFonts w:hint="default" w:ascii="宋体" w:hAnsi="宋体" w:cs="宋体"/>
          <w:sz w:val="24"/>
          <w:szCs w:val="24"/>
          <w:highlight w:val="none"/>
          <w:u w:val="none"/>
          <w:lang w:val="en-US" w:eastAsia="zh-CN"/>
        </w:rPr>
        <w:t>责任</w:t>
      </w:r>
      <w:r>
        <w:rPr>
          <w:rFonts w:hint="eastAsia" w:ascii="宋体" w:hAnsi="宋体" w:cs="宋体"/>
          <w:sz w:val="24"/>
          <w:szCs w:val="24"/>
          <w:highlight w:val="none"/>
          <w:u w:val="none"/>
          <w:lang w:val="en-US" w:eastAsia="zh-CN"/>
        </w:rPr>
        <w:t>，保证期间为三年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13"/>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13"/>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13"/>
        <w:shd w:val="clear"/>
        <w:rPr>
          <w:rFonts w:hint="eastAsia"/>
          <w:color w:val="auto"/>
          <w:highlight w:val="none"/>
          <w:lang w:val="en-US" w:eastAsia="zh-CN"/>
        </w:rPr>
      </w:pPr>
    </w:p>
    <w:p w14:paraId="2A030237">
      <w:pPr>
        <w:pStyle w:val="13"/>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16ED0FC">
      <w:pPr>
        <w:keepNext w:val="0"/>
        <w:keepLines w:val="0"/>
        <w:pageBreakBefore w:val="0"/>
        <w:widowControl w:val="0"/>
        <w:kinsoku/>
        <w:wordWrap/>
        <w:overflowPunct/>
        <w:topLinePunct w:val="0"/>
        <w:autoSpaceDE/>
        <w:autoSpaceDN/>
        <w:bidi w:val="0"/>
        <w:adjustRightInd w:val="0"/>
        <w:snapToGrid w:val="0"/>
        <w:spacing w:line="360" w:lineRule="auto"/>
        <w:ind w:right="-672" w:rightChars="-320"/>
        <w:jc w:val="both"/>
        <w:textAlignment w:val="auto"/>
        <w:rPr>
          <w:rFonts w:hint="eastAsia" w:ascii="仿宋" w:hAnsi="仿宋" w:eastAsia="仿宋" w:cs="仿宋"/>
          <w:b/>
          <w:bCs/>
          <w:color w:val="auto"/>
          <w:sz w:val="36"/>
          <w:szCs w:val="36"/>
          <w:highlight w:val="none"/>
          <w:lang w:val="en-US" w:eastAsia="zh-CN"/>
        </w:rPr>
      </w:pPr>
    </w:p>
    <w:sectPr>
      <w:footerReference r:id="rId8" w:type="default"/>
      <w:pgSz w:w="11906" w:h="16838"/>
      <w:pgMar w:top="1440" w:right="1505" w:bottom="952" w:left="1361" w:header="964" w:footer="567" w:gutter="0"/>
      <w:pgBorders>
        <w:top w:val="none" w:sz="0" w:space="0"/>
        <w:left w:val="none" w:sz="0" w:space="0"/>
        <w:bottom w:val="none" w:sz="0" w:space="0"/>
        <w:right w:val="none" w:sz="0" w:space="0"/>
      </w:pgBorders>
      <w:pgNumType w:fmt="decimal"/>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679D">
    <w:pPr>
      <w:pStyle w:val="8"/>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AE11F">
    <w:pPr>
      <w:pStyle w:val="8"/>
    </w:pPr>
  </w:p>
  <w:p w14:paraId="3B13897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3E82">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03687">
                          <w:pPr>
                            <w:pStyle w:val="8"/>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603687">
                    <w:pPr>
                      <w:pStyle w:val="8"/>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73EB726B">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37877">
    <w:pPr>
      <w:pStyle w:val="8"/>
    </w:pPr>
  </w:p>
  <w:p w14:paraId="6561EE26">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117F2">
    <w:pPr>
      <w:pStyle w:val="8"/>
    </w:pPr>
  </w:p>
  <w:p w14:paraId="68D6DC9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17283">
    <w:pPr>
      <w:pStyle w:val="9"/>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3669C7"/>
    <w:multiLevelType w:val="singleLevel"/>
    <w:tmpl w:val="763669C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1F1D2C"/>
    <w:rsid w:val="00203180"/>
    <w:rsid w:val="00203CC0"/>
    <w:rsid w:val="00213CF6"/>
    <w:rsid w:val="00226402"/>
    <w:rsid w:val="002F4A2B"/>
    <w:rsid w:val="003471E1"/>
    <w:rsid w:val="00387CA6"/>
    <w:rsid w:val="003F5F2A"/>
    <w:rsid w:val="005373E8"/>
    <w:rsid w:val="0054705E"/>
    <w:rsid w:val="00592882"/>
    <w:rsid w:val="005F219D"/>
    <w:rsid w:val="006730BA"/>
    <w:rsid w:val="008102F1"/>
    <w:rsid w:val="00885B23"/>
    <w:rsid w:val="00895C57"/>
    <w:rsid w:val="008B3493"/>
    <w:rsid w:val="009224FE"/>
    <w:rsid w:val="009450A4"/>
    <w:rsid w:val="009530E3"/>
    <w:rsid w:val="00AE31A0"/>
    <w:rsid w:val="00B0507A"/>
    <w:rsid w:val="00B35E9C"/>
    <w:rsid w:val="00B970C4"/>
    <w:rsid w:val="00BC3A1F"/>
    <w:rsid w:val="00BF3E19"/>
    <w:rsid w:val="00BF7D50"/>
    <w:rsid w:val="00C01140"/>
    <w:rsid w:val="00C14B6F"/>
    <w:rsid w:val="00C70D2C"/>
    <w:rsid w:val="00C94BA8"/>
    <w:rsid w:val="00CA1002"/>
    <w:rsid w:val="00CB30A1"/>
    <w:rsid w:val="00D06DD6"/>
    <w:rsid w:val="00D25D47"/>
    <w:rsid w:val="00DF5360"/>
    <w:rsid w:val="00E1609D"/>
    <w:rsid w:val="00E178E3"/>
    <w:rsid w:val="00E52F76"/>
    <w:rsid w:val="00EB4992"/>
    <w:rsid w:val="00ED202F"/>
    <w:rsid w:val="011078C7"/>
    <w:rsid w:val="011949CD"/>
    <w:rsid w:val="011E0CCE"/>
    <w:rsid w:val="013730A5"/>
    <w:rsid w:val="0147153B"/>
    <w:rsid w:val="015765E3"/>
    <w:rsid w:val="01813F60"/>
    <w:rsid w:val="01B5752C"/>
    <w:rsid w:val="01B6046E"/>
    <w:rsid w:val="01BB7833"/>
    <w:rsid w:val="01BF37C7"/>
    <w:rsid w:val="01C04E49"/>
    <w:rsid w:val="01C25065"/>
    <w:rsid w:val="01D17056"/>
    <w:rsid w:val="01D26D8C"/>
    <w:rsid w:val="02111B48"/>
    <w:rsid w:val="021C600F"/>
    <w:rsid w:val="022C24DE"/>
    <w:rsid w:val="02391BF0"/>
    <w:rsid w:val="024C0DD3"/>
    <w:rsid w:val="024D279F"/>
    <w:rsid w:val="024E1742"/>
    <w:rsid w:val="024F7C95"/>
    <w:rsid w:val="02587777"/>
    <w:rsid w:val="026B3007"/>
    <w:rsid w:val="027520D7"/>
    <w:rsid w:val="02820350"/>
    <w:rsid w:val="02854A8C"/>
    <w:rsid w:val="028873DB"/>
    <w:rsid w:val="028A105C"/>
    <w:rsid w:val="028C11CF"/>
    <w:rsid w:val="02994018"/>
    <w:rsid w:val="029D34AA"/>
    <w:rsid w:val="02A66735"/>
    <w:rsid w:val="02A9480A"/>
    <w:rsid w:val="02B63659"/>
    <w:rsid w:val="02BF77F6"/>
    <w:rsid w:val="02D55869"/>
    <w:rsid w:val="02D768EE"/>
    <w:rsid w:val="02E1776D"/>
    <w:rsid w:val="02FA438B"/>
    <w:rsid w:val="02FE1B0B"/>
    <w:rsid w:val="033169AF"/>
    <w:rsid w:val="033E696D"/>
    <w:rsid w:val="03630182"/>
    <w:rsid w:val="03667C72"/>
    <w:rsid w:val="036D65A5"/>
    <w:rsid w:val="03800D34"/>
    <w:rsid w:val="0385634A"/>
    <w:rsid w:val="03BC7892"/>
    <w:rsid w:val="040B67A8"/>
    <w:rsid w:val="041A1188"/>
    <w:rsid w:val="0425389D"/>
    <w:rsid w:val="04332207"/>
    <w:rsid w:val="04340622"/>
    <w:rsid w:val="04365011"/>
    <w:rsid w:val="045B7DD6"/>
    <w:rsid w:val="04874344"/>
    <w:rsid w:val="04910D1F"/>
    <w:rsid w:val="049F343C"/>
    <w:rsid w:val="04AB1DE0"/>
    <w:rsid w:val="04B35139"/>
    <w:rsid w:val="04C93D27"/>
    <w:rsid w:val="04CE3287"/>
    <w:rsid w:val="04D37589"/>
    <w:rsid w:val="04D53318"/>
    <w:rsid w:val="04DA0918"/>
    <w:rsid w:val="04DF3C4E"/>
    <w:rsid w:val="04E6106A"/>
    <w:rsid w:val="04E77D7D"/>
    <w:rsid w:val="04EB042F"/>
    <w:rsid w:val="04FB7762"/>
    <w:rsid w:val="04FF3EDA"/>
    <w:rsid w:val="050128A7"/>
    <w:rsid w:val="050B0AD1"/>
    <w:rsid w:val="050E236F"/>
    <w:rsid w:val="051C4A8C"/>
    <w:rsid w:val="052027CE"/>
    <w:rsid w:val="05212883"/>
    <w:rsid w:val="05216546"/>
    <w:rsid w:val="053022E6"/>
    <w:rsid w:val="05547D1F"/>
    <w:rsid w:val="05573D16"/>
    <w:rsid w:val="05657FDC"/>
    <w:rsid w:val="056B1570"/>
    <w:rsid w:val="057E12A3"/>
    <w:rsid w:val="05816D3C"/>
    <w:rsid w:val="059211F2"/>
    <w:rsid w:val="059B1E55"/>
    <w:rsid w:val="05A101F3"/>
    <w:rsid w:val="05AB5E10"/>
    <w:rsid w:val="05D40827"/>
    <w:rsid w:val="05D56967"/>
    <w:rsid w:val="05E731BC"/>
    <w:rsid w:val="05E732EC"/>
    <w:rsid w:val="05EB03D3"/>
    <w:rsid w:val="05FA2136"/>
    <w:rsid w:val="061D6D0E"/>
    <w:rsid w:val="06255BC2"/>
    <w:rsid w:val="062F4470"/>
    <w:rsid w:val="06406019"/>
    <w:rsid w:val="06492276"/>
    <w:rsid w:val="06530982"/>
    <w:rsid w:val="06706AD8"/>
    <w:rsid w:val="06976105"/>
    <w:rsid w:val="069A0217"/>
    <w:rsid w:val="069A71DA"/>
    <w:rsid w:val="06A66D03"/>
    <w:rsid w:val="06D31393"/>
    <w:rsid w:val="06DC2F7F"/>
    <w:rsid w:val="06E141E3"/>
    <w:rsid w:val="06ED4932"/>
    <w:rsid w:val="06F832D7"/>
    <w:rsid w:val="070B4DB8"/>
    <w:rsid w:val="07107EED"/>
    <w:rsid w:val="071716FC"/>
    <w:rsid w:val="07181283"/>
    <w:rsid w:val="073F4A62"/>
    <w:rsid w:val="07481B68"/>
    <w:rsid w:val="07513FB1"/>
    <w:rsid w:val="07580BE5"/>
    <w:rsid w:val="075859CA"/>
    <w:rsid w:val="075D56E6"/>
    <w:rsid w:val="07636A29"/>
    <w:rsid w:val="076A3F72"/>
    <w:rsid w:val="07740BAF"/>
    <w:rsid w:val="07861337"/>
    <w:rsid w:val="07A174CB"/>
    <w:rsid w:val="07B436A2"/>
    <w:rsid w:val="07B9513E"/>
    <w:rsid w:val="07C02047"/>
    <w:rsid w:val="07CA0CD8"/>
    <w:rsid w:val="07E13D6B"/>
    <w:rsid w:val="07E31891"/>
    <w:rsid w:val="07F41CF0"/>
    <w:rsid w:val="07F61040"/>
    <w:rsid w:val="07FC5C21"/>
    <w:rsid w:val="08114880"/>
    <w:rsid w:val="081B54CF"/>
    <w:rsid w:val="081B70BC"/>
    <w:rsid w:val="082A3964"/>
    <w:rsid w:val="083A6C4A"/>
    <w:rsid w:val="084C1E76"/>
    <w:rsid w:val="085547A4"/>
    <w:rsid w:val="0858402D"/>
    <w:rsid w:val="085C7B8E"/>
    <w:rsid w:val="088719DB"/>
    <w:rsid w:val="089112ED"/>
    <w:rsid w:val="08A6123D"/>
    <w:rsid w:val="08B22867"/>
    <w:rsid w:val="08B3500E"/>
    <w:rsid w:val="08B374B6"/>
    <w:rsid w:val="08BC34BB"/>
    <w:rsid w:val="08D04EA3"/>
    <w:rsid w:val="08D1580F"/>
    <w:rsid w:val="08F24A3C"/>
    <w:rsid w:val="08FA1588"/>
    <w:rsid w:val="090207D6"/>
    <w:rsid w:val="09167A44"/>
    <w:rsid w:val="091F16FC"/>
    <w:rsid w:val="09253F1B"/>
    <w:rsid w:val="095B334F"/>
    <w:rsid w:val="09614687"/>
    <w:rsid w:val="09646A02"/>
    <w:rsid w:val="096F25FF"/>
    <w:rsid w:val="09757AB5"/>
    <w:rsid w:val="09760B9C"/>
    <w:rsid w:val="0982711F"/>
    <w:rsid w:val="0988465A"/>
    <w:rsid w:val="098D5F59"/>
    <w:rsid w:val="099A1CCF"/>
    <w:rsid w:val="099B5E8A"/>
    <w:rsid w:val="09A11A04"/>
    <w:rsid w:val="09A56C91"/>
    <w:rsid w:val="09A82D92"/>
    <w:rsid w:val="09AB4631"/>
    <w:rsid w:val="09C46844"/>
    <w:rsid w:val="09C94AB7"/>
    <w:rsid w:val="09D1411B"/>
    <w:rsid w:val="09D83091"/>
    <w:rsid w:val="09D84692"/>
    <w:rsid w:val="09E22A5D"/>
    <w:rsid w:val="09E66A83"/>
    <w:rsid w:val="09E87633"/>
    <w:rsid w:val="09F50B09"/>
    <w:rsid w:val="09FB1114"/>
    <w:rsid w:val="09FB55B8"/>
    <w:rsid w:val="09FB7366"/>
    <w:rsid w:val="09FF6F98"/>
    <w:rsid w:val="0A110938"/>
    <w:rsid w:val="0A2118B5"/>
    <w:rsid w:val="0A454A85"/>
    <w:rsid w:val="0A5922DF"/>
    <w:rsid w:val="0A5C7425"/>
    <w:rsid w:val="0A60366D"/>
    <w:rsid w:val="0A621193"/>
    <w:rsid w:val="0A762E91"/>
    <w:rsid w:val="0A7964DD"/>
    <w:rsid w:val="0A9A5DF0"/>
    <w:rsid w:val="0AA96DC2"/>
    <w:rsid w:val="0AB75DF0"/>
    <w:rsid w:val="0ACE6829"/>
    <w:rsid w:val="0AD62B48"/>
    <w:rsid w:val="0AF564F0"/>
    <w:rsid w:val="0AFA3582"/>
    <w:rsid w:val="0AFD2C6A"/>
    <w:rsid w:val="0B295234"/>
    <w:rsid w:val="0B372620"/>
    <w:rsid w:val="0B3762A3"/>
    <w:rsid w:val="0B3C1D27"/>
    <w:rsid w:val="0B413C35"/>
    <w:rsid w:val="0B626F0C"/>
    <w:rsid w:val="0B70650A"/>
    <w:rsid w:val="0B7A69B0"/>
    <w:rsid w:val="0B7D3DAB"/>
    <w:rsid w:val="0B8B296C"/>
    <w:rsid w:val="0B8D770B"/>
    <w:rsid w:val="0B98137F"/>
    <w:rsid w:val="0BB93035"/>
    <w:rsid w:val="0BD92D6E"/>
    <w:rsid w:val="0BD95485"/>
    <w:rsid w:val="0BDA2FAB"/>
    <w:rsid w:val="0BDB7D38"/>
    <w:rsid w:val="0BE710E9"/>
    <w:rsid w:val="0BF41F06"/>
    <w:rsid w:val="0C125258"/>
    <w:rsid w:val="0C177688"/>
    <w:rsid w:val="0C1D2B00"/>
    <w:rsid w:val="0C4D2770"/>
    <w:rsid w:val="0C5340A7"/>
    <w:rsid w:val="0C7D6B58"/>
    <w:rsid w:val="0C8E2713"/>
    <w:rsid w:val="0C8F1A86"/>
    <w:rsid w:val="0C963376"/>
    <w:rsid w:val="0C9B273A"/>
    <w:rsid w:val="0C9E1B7C"/>
    <w:rsid w:val="0CAF4438"/>
    <w:rsid w:val="0CBC5C8A"/>
    <w:rsid w:val="0CC04DC6"/>
    <w:rsid w:val="0CC9374C"/>
    <w:rsid w:val="0CCA5228"/>
    <w:rsid w:val="0CE1709F"/>
    <w:rsid w:val="0CF72B0B"/>
    <w:rsid w:val="0D006A41"/>
    <w:rsid w:val="0D0522AA"/>
    <w:rsid w:val="0D077DD0"/>
    <w:rsid w:val="0D0E73B0"/>
    <w:rsid w:val="0D186481"/>
    <w:rsid w:val="0D1C7D1F"/>
    <w:rsid w:val="0D1F511A"/>
    <w:rsid w:val="0D2131A7"/>
    <w:rsid w:val="0D3D7C96"/>
    <w:rsid w:val="0D3F756A"/>
    <w:rsid w:val="0D4536A9"/>
    <w:rsid w:val="0D723345"/>
    <w:rsid w:val="0D8B6C53"/>
    <w:rsid w:val="0D9553DC"/>
    <w:rsid w:val="0D964F5E"/>
    <w:rsid w:val="0D981B99"/>
    <w:rsid w:val="0DA47D15"/>
    <w:rsid w:val="0DAE068F"/>
    <w:rsid w:val="0DAE649D"/>
    <w:rsid w:val="0DB27958"/>
    <w:rsid w:val="0DBB3044"/>
    <w:rsid w:val="0DC932D7"/>
    <w:rsid w:val="0DD51C7C"/>
    <w:rsid w:val="0DD56120"/>
    <w:rsid w:val="0DD63101"/>
    <w:rsid w:val="0DD95C10"/>
    <w:rsid w:val="0DDE3227"/>
    <w:rsid w:val="0DDF6F9F"/>
    <w:rsid w:val="0DF02215"/>
    <w:rsid w:val="0DF51C0D"/>
    <w:rsid w:val="0DFE67C9"/>
    <w:rsid w:val="0E060087"/>
    <w:rsid w:val="0E0D6E79"/>
    <w:rsid w:val="0E1B7FD7"/>
    <w:rsid w:val="0E2055ED"/>
    <w:rsid w:val="0E236E8B"/>
    <w:rsid w:val="0E29465B"/>
    <w:rsid w:val="0E2F75DE"/>
    <w:rsid w:val="0E40102B"/>
    <w:rsid w:val="0E4741D7"/>
    <w:rsid w:val="0E4806A0"/>
    <w:rsid w:val="0E5205B9"/>
    <w:rsid w:val="0E570C38"/>
    <w:rsid w:val="0E575B4B"/>
    <w:rsid w:val="0E6354DA"/>
    <w:rsid w:val="0E6A098F"/>
    <w:rsid w:val="0E753A46"/>
    <w:rsid w:val="0EA63619"/>
    <w:rsid w:val="0EC0292C"/>
    <w:rsid w:val="0EC341CA"/>
    <w:rsid w:val="0ECC18E9"/>
    <w:rsid w:val="0ECC307F"/>
    <w:rsid w:val="0EDD34DE"/>
    <w:rsid w:val="0EEA4147"/>
    <w:rsid w:val="0EFD148A"/>
    <w:rsid w:val="0F296723"/>
    <w:rsid w:val="0F3050A6"/>
    <w:rsid w:val="0F465E76"/>
    <w:rsid w:val="0F706264"/>
    <w:rsid w:val="0F77363A"/>
    <w:rsid w:val="0F7A6D8E"/>
    <w:rsid w:val="0F7F4595"/>
    <w:rsid w:val="0F8D706B"/>
    <w:rsid w:val="0F930041"/>
    <w:rsid w:val="0F9A1418"/>
    <w:rsid w:val="0FA17752"/>
    <w:rsid w:val="0FB22358"/>
    <w:rsid w:val="0FCE1079"/>
    <w:rsid w:val="0FDC5544"/>
    <w:rsid w:val="0FFF1232"/>
    <w:rsid w:val="10352EA6"/>
    <w:rsid w:val="103A74B7"/>
    <w:rsid w:val="10480E2B"/>
    <w:rsid w:val="1049077D"/>
    <w:rsid w:val="104D6117"/>
    <w:rsid w:val="108674CF"/>
    <w:rsid w:val="10922D88"/>
    <w:rsid w:val="109C4CD3"/>
    <w:rsid w:val="109E0A4B"/>
    <w:rsid w:val="10A145F0"/>
    <w:rsid w:val="10A14840"/>
    <w:rsid w:val="10A23752"/>
    <w:rsid w:val="10AD5132"/>
    <w:rsid w:val="10C5551B"/>
    <w:rsid w:val="10D27B32"/>
    <w:rsid w:val="10D80992"/>
    <w:rsid w:val="11034D52"/>
    <w:rsid w:val="11046977"/>
    <w:rsid w:val="11194576"/>
    <w:rsid w:val="11243FFF"/>
    <w:rsid w:val="11270A41"/>
    <w:rsid w:val="113413B0"/>
    <w:rsid w:val="113718BF"/>
    <w:rsid w:val="11386E78"/>
    <w:rsid w:val="113A4C18"/>
    <w:rsid w:val="11407F98"/>
    <w:rsid w:val="115047FA"/>
    <w:rsid w:val="11557E4D"/>
    <w:rsid w:val="11565855"/>
    <w:rsid w:val="11665A0D"/>
    <w:rsid w:val="117B6FDE"/>
    <w:rsid w:val="118540FE"/>
    <w:rsid w:val="1188642D"/>
    <w:rsid w:val="11A11E84"/>
    <w:rsid w:val="11C049F1"/>
    <w:rsid w:val="11D01CF9"/>
    <w:rsid w:val="11E626AA"/>
    <w:rsid w:val="11EB7CC0"/>
    <w:rsid w:val="12077CFA"/>
    <w:rsid w:val="121B43BF"/>
    <w:rsid w:val="1223332E"/>
    <w:rsid w:val="12240D85"/>
    <w:rsid w:val="12260EB4"/>
    <w:rsid w:val="12271A49"/>
    <w:rsid w:val="122907E8"/>
    <w:rsid w:val="124205D1"/>
    <w:rsid w:val="124C138C"/>
    <w:rsid w:val="124D4697"/>
    <w:rsid w:val="12531FB2"/>
    <w:rsid w:val="12635AA8"/>
    <w:rsid w:val="12696E37"/>
    <w:rsid w:val="126E62DF"/>
    <w:rsid w:val="127952CC"/>
    <w:rsid w:val="12821CDA"/>
    <w:rsid w:val="12A30FD7"/>
    <w:rsid w:val="12AA36D7"/>
    <w:rsid w:val="12CD386A"/>
    <w:rsid w:val="12D60970"/>
    <w:rsid w:val="12E57F82"/>
    <w:rsid w:val="12F901BB"/>
    <w:rsid w:val="12FB3F33"/>
    <w:rsid w:val="130F3E82"/>
    <w:rsid w:val="13157522"/>
    <w:rsid w:val="13165211"/>
    <w:rsid w:val="131E2317"/>
    <w:rsid w:val="132911E1"/>
    <w:rsid w:val="132E143F"/>
    <w:rsid w:val="1338440E"/>
    <w:rsid w:val="13471AD0"/>
    <w:rsid w:val="134753CA"/>
    <w:rsid w:val="134A6C68"/>
    <w:rsid w:val="134C478E"/>
    <w:rsid w:val="13702B73"/>
    <w:rsid w:val="13781A27"/>
    <w:rsid w:val="13826402"/>
    <w:rsid w:val="13826AA3"/>
    <w:rsid w:val="13845E89"/>
    <w:rsid w:val="13877EBC"/>
    <w:rsid w:val="13936861"/>
    <w:rsid w:val="13985C26"/>
    <w:rsid w:val="13B14F39"/>
    <w:rsid w:val="13B20360"/>
    <w:rsid w:val="13BF1649"/>
    <w:rsid w:val="13CE4C93"/>
    <w:rsid w:val="13D431B9"/>
    <w:rsid w:val="14092680"/>
    <w:rsid w:val="14301B15"/>
    <w:rsid w:val="143040B0"/>
    <w:rsid w:val="143C5071"/>
    <w:rsid w:val="144D5D90"/>
    <w:rsid w:val="14564D5E"/>
    <w:rsid w:val="14661880"/>
    <w:rsid w:val="146B333A"/>
    <w:rsid w:val="14726477"/>
    <w:rsid w:val="14870CC8"/>
    <w:rsid w:val="148937C0"/>
    <w:rsid w:val="148B34E5"/>
    <w:rsid w:val="1492781C"/>
    <w:rsid w:val="1499025C"/>
    <w:rsid w:val="14990ECA"/>
    <w:rsid w:val="149B6797"/>
    <w:rsid w:val="14B42802"/>
    <w:rsid w:val="14B678F8"/>
    <w:rsid w:val="14B77DB4"/>
    <w:rsid w:val="14BC3B96"/>
    <w:rsid w:val="14C41530"/>
    <w:rsid w:val="14CA0061"/>
    <w:rsid w:val="14E07884"/>
    <w:rsid w:val="14E530ED"/>
    <w:rsid w:val="14F15522"/>
    <w:rsid w:val="14F50FE7"/>
    <w:rsid w:val="150337D5"/>
    <w:rsid w:val="1504174F"/>
    <w:rsid w:val="15152C6A"/>
    <w:rsid w:val="15166C42"/>
    <w:rsid w:val="152135DE"/>
    <w:rsid w:val="152C211F"/>
    <w:rsid w:val="152F6751"/>
    <w:rsid w:val="15363948"/>
    <w:rsid w:val="153E0A4F"/>
    <w:rsid w:val="153F47A2"/>
    <w:rsid w:val="15485429"/>
    <w:rsid w:val="1553452D"/>
    <w:rsid w:val="15542020"/>
    <w:rsid w:val="156F29B6"/>
    <w:rsid w:val="157E0E4B"/>
    <w:rsid w:val="1582093B"/>
    <w:rsid w:val="158263AD"/>
    <w:rsid w:val="158B6F91"/>
    <w:rsid w:val="158F501B"/>
    <w:rsid w:val="159452FD"/>
    <w:rsid w:val="159E5049"/>
    <w:rsid w:val="15A9794A"/>
    <w:rsid w:val="15B036FB"/>
    <w:rsid w:val="15B14B22"/>
    <w:rsid w:val="15B871E8"/>
    <w:rsid w:val="15BA33B1"/>
    <w:rsid w:val="15BD652E"/>
    <w:rsid w:val="15CD0276"/>
    <w:rsid w:val="15E16D7A"/>
    <w:rsid w:val="15E46F00"/>
    <w:rsid w:val="15FE0734"/>
    <w:rsid w:val="16041350"/>
    <w:rsid w:val="161517B0"/>
    <w:rsid w:val="16151C72"/>
    <w:rsid w:val="161A23FF"/>
    <w:rsid w:val="161F43DC"/>
    <w:rsid w:val="16290B92"/>
    <w:rsid w:val="16297009"/>
    <w:rsid w:val="16411B20"/>
    <w:rsid w:val="165C2217"/>
    <w:rsid w:val="166167A3"/>
    <w:rsid w:val="166F711D"/>
    <w:rsid w:val="167069E6"/>
    <w:rsid w:val="16791328"/>
    <w:rsid w:val="167D7D71"/>
    <w:rsid w:val="1695469E"/>
    <w:rsid w:val="16A13043"/>
    <w:rsid w:val="16A3500D"/>
    <w:rsid w:val="16A877CB"/>
    <w:rsid w:val="16A959C1"/>
    <w:rsid w:val="16B36AE1"/>
    <w:rsid w:val="16BD0D31"/>
    <w:rsid w:val="16C15493"/>
    <w:rsid w:val="16E42F30"/>
    <w:rsid w:val="16ED4897"/>
    <w:rsid w:val="16F76FA7"/>
    <w:rsid w:val="16F77107"/>
    <w:rsid w:val="16FE0496"/>
    <w:rsid w:val="170830C2"/>
    <w:rsid w:val="170F4451"/>
    <w:rsid w:val="172A0C99"/>
    <w:rsid w:val="174C7453"/>
    <w:rsid w:val="176A78D9"/>
    <w:rsid w:val="176D1177"/>
    <w:rsid w:val="1771684E"/>
    <w:rsid w:val="1778161B"/>
    <w:rsid w:val="17822E75"/>
    <w:rsid w:val="178D5376"/>
    <w:rsid w:val="179A1DCD"/>
    <w:rsid w:val="17A15E0B"/>
    <w:rsid w:val="17AF1790"/>
    <w:rsid w:val="17DE3E23"/>
    <w:rsid w:val="17E53404"/>
    <w:rsid w:val="17EC5092"/>
    <w:rsid w:val="17FD6CA6"/>
    <w:rsid w:val="18027B12"/>
    <w:rsid w:val="180F222F"/>
    <w:rsid w:val="1811244B"/>
    <w:rsid w:val="18187335"/>
    <w:rsid w:val="181D494B"/>
    <w:rsid w:val="183C2E3A"/>
    <w:rsid w:val="183D3240"/>
    <w:rsid w:val="18416A30"/>
    <w:rsid w:val="184C5A6F"/>
    <w:rsid w:val="184F1359"/>
    <w:rsid w:val="186E09C7"/>
    <w:rsid w:val="186E51A7"/>
    <w:rsid w:val="18937310"/>
    <w:rsid w:val="189E4F3F"/>
    <w:rsid w:val="18BF1EA7"/>
    <w:rsid w:val="18F224FA"/>
    <w:rsid w:val="18F748F0"/>
    <w:rsid w:val="18FC77C6"/>
    <w:rsid w:val="19063008"/>
    <w:rsid w:val="190D49C0"/>
    <w:rsid w:val="190F0738"/>
    <w:rsid w:val="191B4526"/>
    <w:rsid w:val="191D4341"/>
    <w:rsid w:val="19206CA1"/>
    <w:rsid w:val="19257F5C"/>
    <w:rsid w:val="19265A82"/>
    <w:rsid w:val="1938288F"/>
    <w:rsid w:val="19597C05"/>
    <w:rsid w:val="195C7136"/>
    <w:rsid w:val="19687E48"/>
    <w:rsid w:val="1977008B"/>
    <w:rsid w:val="197762DD"/>
    <w:rsid w:val="19786A87"/>
    <w:rsid w:val="198B5F6F"/>
    <w:rsid w:val="19A05834"/>
    <w:rsid w:val="19A1648E"/>
    <w:rsid w:val="19B1359D"/>
    <w:rsid w:val="19B24E93"/>
    <w:rsid w:val="19B25567"/>
    <w:rsid w:val="19B7455F"/>
    <w:rsid w:val="19D674A8"/>
    <w:rsid w:val="19DB4ABE"/>
    <w:rsid w:val="1A015E61"/>
    <w:rsid w:val="1A0667DD"/>
    <w:rsid w:val="1A1B00A3"/>
    <w:rsid w:val="1A366BD3"/>
    <w:rsid w:val="1A402B73"/>
    <w:rsid w:val="1A7176E9"/>
    <w:rsid w:val="1A835312"/>
    <w:rsid w:val="1A903AFB"/>
    <w:rsid w:val="1AA475A6"/>
    <w:rsid w:val="1ABF44EE"/>
    <w:rsid w:val="1AC11F06"/>
    <w:rsid w:val="1ACC0721"/>
    <w:rsid w:val="1B022F94"/>
    <w:rsid w:val="1B122762"/>
    <w:rsid w:val="1B310517"/>
    <w:rsid w:val="1B3C1FFD"/>
    <w:rsid w:val="1B4352EA"/>
    <w:rsid w:val="1B4B5C73"/>
    <w:rsid w:val="1B5A1A13"/>
    <w:rsid w:val="1B706113"/>
    <w:rsid w:val="1B8F1DAB"/>
    <w:rsid w:val="1B9118D8"/>
    <w:rsid w:val="1BA16335"/>
    <w:rsid w:val="1BA57132"/>
    <w:rsid w:val="1BA6218E"/>
    <w:rsid w:val="1BAC086F"/>
    <w:rsid w:val="1BAD5FE6"/>
    <w:rsid w:val="1BAF1D5E"/>
    <w:rsid w:val="1BB13D28"/>
    <w:rsid w:val="1BDF0508"/>
    <w:rsid w:val="1BE177E6"/>
    <w:rsid w:val="1BE35EAC"/>
    <w:rsid w:val="1BEE6D2B"/>
    <w:rsid w:val="1BF5598D"/>
    <w:rsid w:val="1C116575"/>
    <w:rsid w:val="1C1E6277"/>
    <w:rsid w:val="1C286CE3"/>
    <w:rsid w:val="1C305105"/>
    <w:rsid w:val="1C4A1A87"/>
    <w:rsid w:val="1C547B70"/>
    <w:rsid w:val="1C700BEF"/>
    <w:rsid w:val="1C766D20"/>
    <w:rsid w:val="1C7B17FA"/>
    <w:rsid w:val="1C896A53"/>
    <w:rsid w:val="1C972259"/>
    <w:rsid w:val="1C9D20E2"/>
    <w:rsid w:val="1CA05B4B"/>
    <w:rsid w:val="1CB11B06"/>
    <w:rsid w:val="1CBF2781"/>
    <w:rsid w:val="1CC306E9"/>
    <w:rsid w:val="1CC96E50"/>
    <w:rsid w:val="1CD70D11"/>
    <w:rsid w:val="1CDF09E4"/>
    <w:rsid w:val="1CF42E6E"/>
    <w:rsid w:val="1CF70848"/>
    <w:rsid w:val="1D085BCA"/>
    <w:rsid w:val="1D104A7F"/>
    <w:rsid w:val="1D1074B6"/>
    <w:rsid w:val="1D444728"/>
    <w:rsid w:val="1D601AA1"/>
    <w:rsid w:val="1D7711E5"/>
    <w:rsid w:val="1D881D3B"/>
    <w:rsid w:val="1D8D5398"/>
    <w:rsid w:val="1D921938"/>
    <w:rsid w:val="1DA5166B"/>
    <w:rsid w:val="1DBA07BA"/>
    <w:rsid w:val="1DBA4F64"/>
    <w:rsid w:val="1DBC4C07"/>
    <w:rsid w:val="1DC36C05"/>
    <w:rsid w:val="1DD26A50"/>
    <w:rsid w:val="1DEB0CCB"/>
    <w:rsid w:val="1DFB128B"/>
    <w:rsid w:val="1E052B8D"/>
    <w:rsid w:val="1E075E82"/>
    <w:rsid w:val="1E0D7210"/>
    <w:rsid w:val="1E1366E4"/>
    <w:rsid w:val="1E641526"/>
    <w:rsid w:val="1E67154A"/>
    <w:rsid w:val="1E6B19BE"/>
    <w:rsid w:val="1E7668D0"/>
    <w:rsid w:val="1E7B23CC"/>
    <w:rsid w:val="1E7D6558"/>
    <w:rsid w:val="1E8A02A3"/>
    <w:rsid w:val="1E933BB9"/>
    <w:rsid w:val="1E9B2A6E"/>
    <w:rsid w:val="1EBA7398"/>
    <w:rsid w:val="1ECE2E43"/>
    <w:rsid w:val="1EE518CA"/>
    <w:rsid w:val="1EE610FD"/>
    <w:rsid w:val="1EEA12FF"/>
    <w:rsid w:val="1EF04B68"/>
    <w:rsid w:val="1EF1268E"/>
    <w:rsid w:val="1EFE4EDD"/>
    <w:rsid w:val="1F026649"/>
    <w:rsid w:val="1F0C74C8"/>
    <w:rsid w:val="1F1464D9"/>
    <w:rsid w:val="1F166D0A"/>
    <w:rsid w:val="1F176598"/>
    <w:rsid w:val="1F1C28E1"/>
    <w:rsid w:val="1F291E28"/>
    <w:rsid w:val="1F301408"/>
    <w:rsid w:val="1F417171"/>
    <w:rsid w:val="1F437CC6"/>
    <w:rsid w:val="1F444EB4"/>
    <w:rsid w:val="1F4F074B"/>
    <w:rsid w:val="1F5A6485"/>
    <w:rsid w:val="1F6966C8"/>
    <w:rsid w:val="1F6E7565"/>
    <w:rsid w:val="1F881E32"/>
    <w:rsid w:val="1F8D23B7"/>
    <w:rsid w:val="1F90634B"/>
    <w:rsid w:val="1FB45B95"/>
    <w:rsid w:val="1FBC0EEE"/>
    <w:rsid w:val="1FC3519E"/>
    <w:rsid w:val="1FCF3B72"/>
    <w:rsid w:val="1FDB4E0E"/>
    <w:rsid w:val="1FF57B15"/>
    <w:rsid w:val="2001525C"/>
    <w:rsid w:val="202076CF"/>
    <w:rsid w:val="20230F6D"/>
    <w:rsid w:val="202D3B9A"/>
    <w:rsid w:val="2030040F"/>
    <w:rsid w:val="20305F21"/>
    <w:rsid w:val="203B28A1"/>
    <w:rsid w:val="20450EE3"/>
    <w:rsid w:val="204A474C"/>
    <w:rsid w:val="20542ED4"/>
    <w:rsid w:val="205D447F"/>
    <w:rsid w:val="20621A95"/>
    <w:rsid w:val="2063580D"/>
    <w:rsid w:val="20644136"/>
    <w:rsid w:val="20695B32"/>
    <w:rsid w:val="207B343E"/>
    <w:rsid w:val="20801F1B"/>
    <w:rsid w:val="209459C7"/>
    <w:rsid w:val="20994D8B"/>
    <w:rsid w:val="20B35E4D"/>
    <w:rsid w:val="20B6593D"/>
    <w:rsid w:val="20BB73F7"/>
    <w:rsid w:val="20CF6A27"/>
    <w:rsid w:val="20D364EF"/>
    <w:rsid w:val="20D67D8D"/>
    <w:rsid w:val="20DB1848"/>
    <w:rsid w:val="20DC0F4D"/>
    <w:rsid w:val="20DE6C42"/>
    <w:rsid w:val="20E95E3C"/>
    <w:rsid w:val="20EF2BFD"/>
    <w:rsid w:val="20F01F24"/>
    <w:rsid w:val="20F515C0"/>
    <w:rsid w:val="20F72035"/>
    <w:rsid w:val="20FB7A02"/>
    <w:rsid w:val="21260D15"/>
    <w:rsid w:val="212B632B"/>
    <w:rsid w:val="212C2C54"/>
    <w:rsid w:val="212C428E"/>
    <w:rsid w:val="2144119B"/>
    <w:rsid w:val="215D109F"/>
    <w:rsid w:val="215E090F"/>
    <w:rsid w:val="21613AFB"/>
    <w:rsid w:val="2164771A"/>
    <w:rsid w:val="216830DB"/>
    <w:rsid w:val="216A13BE"/>
    <w:rsid w:val="21701F90"/>
    <w:rsid w:val="21735A99"/>
    <w:rsid w:val="2177331E"/>
    <w:rsid w:val="21837F15"/>
    <w:rsid w:val="219A78C7"/>
    <w:rsid w:val="21A8557E"/>
    <w:rsid w:val="21B17E1E"/>
    <w:rsid w:val="21BC13EC"/>
    <w:rsid w:val="21CE3BBD"/>
    <w:rsid w:val="21D02A2F"/>
    <w:rsid w:val="21E9116B"/>
    <w:rsid w:val="220B1CB9"/>
    <w:rsid w:val="220D3C83"/>
    <w:rsid w:val="220F05CF"/>
    <w:rsid w:val="22205764"/>
    <w:rsid w:val="223905D4"/>
    <w:rsid w:val="223E208E"/>
    <w:rsid w:val="2248597B"/>
    <w:rsid w:val="225275BA"/>
    <w:rsid w:val="225E003A"/>
    <w:rsid w:val="227B299A"/>
    <w:rsid w:val="227E692E"/>
    <w:rsid w:val="228E4923"/>
    <w:rsid w:val="228F6446"/>
    <w:rsid w:val="22910410"/>
    <w:rsid w:val="229677D4"/>
    <w:rsid w:val="22993768"/>
    <w:rsid w:val="22AE65BE"/>
    <w:rsid w:val="22B63195"/>
    <w:rsid w:val="22E5250A"/>
    <w:rsid w:val="22F369D5"/>
    <w:rsid w:val="22F616B5"/>
    <w:rsid w:val="22FB7F7F"/>
    <w:rsid w:val="22FD0E5C"/>
    <w:rsid w:val="230778C7"/>
    <w:rsid w:val="231A510B"/>
    <w:rsid w:val="23331187"/>
    <w:rsid w:val="235656A5"/>
    <w:rsid w:val="235F406A"/>
    <w:rsid w:val="236A7616"/>
    <w:rsid w:val="236F7F68"/>
    <w:rsid w:val="2374647C"/>
    <w:rsid w:val="237C3267"/>
    <w:rsid w:val="237D6BE6"/>
    <w:rsid w:val="238B30B1"/>
    <w:rsid w:val="23A21A79"/>
    <w:rsid w:val="23BA06E3"/>
    <w:rsid w:val="23BC326A"/>
    <w:rsid w:val="23BD72DF"/>
    <w:rsid w:val="23D15B19"/>
    <w:rsid w:val="23DA1E7B"/>
    <w:rsid w:val="23E629DD"/>
    <w:rsid w:val="23E7405F"/>
    <w:rsid w:val="23EA5501"/>
    <w:rsid w:val="23FE1AD5"/>
    <w:rsid w:val="24042E63"/>
    <w:rsid w:val="24066BDB"/>
    <w:rsid w:val="24156E1F"/>
    <w:rsid w:val="243C43F1"/>
    <w:rsid w:val="243E45C7"/>
    <w:rsid w:val="244A2F6C"/>
    <w:rsid w:val="244A4D1A"/>
    <w:rsid w:val="246D27B7"/>
    <w:rsid w:val="246F4781"/>
    <w:rsid w:val="2475240E"/>
    <w:rsid w:val="247955FF"/>
    <w:rsid w:val="2482619D"/>
    <w:rsid w:val="24961E78"/>
    <w:rsid w:val="24B25E39"/>
    <w:rsid w:val="24B56686"/>
    <w:rsid w:val="24C22B02"/>
    <w:rsid w:val="24C47D04"/>
    <w:rsid w:val="24C555A6"/>
    <w:rsid w:val="24C7785F"/>
    <w:rsid w:val="24CC3981"/>
    <w:rsid w:val="24D665AE"/>
    <w:rsid w:val="24DA06E0"/>
    <w:rsid w:val="24EF58C2"/>
    <w:rsid w:val="25201F1F"/>
    <w:rsid w:val="252512E3"/>
    <w:rsid w:val="25276E09"/>
    <w:rsid w:val="25441769"/>
    <w:rsid w:val="254C15F2"/>
    <w:rsid w:val="254E25E8"/>
    <w:rsid w:val="25551BC9"/>
    <w:rsid w:val="255A71DF"/>
    <w:rsid w:val="256A6BDA"/>
    <w:rsid w:val="256E456D"/>
    <w:rsid w:val="25757B75"/>
    <w:rsid w:val="258A399C"/>
    <w:rsid w:val="259B1DDF"/>
    <w:rsid w:val="25B34B41"/>
    <w:rsid w:val="25CB1E8B"/>
    <w:rsid w:val="25F506D0"/>
    <w:rsid w:val="26086C3B"/>
    <w:rsid w:val="260D7D6E"/>
    <w:rsid w:val="261920D8"/>
    <w:rsid w:val="261B0492"/>
    <w:rsid w:val="26254703"/>
    <w:rsid w:val="26415CA9"/>
    <w:rsid w:val="26435EC5"/>
    <w:rsid w:val="26487037"/>
    <w:rsid w:val="26492DAF"/>
    <w:rsid w:val="264D0AF2"/>
    <w:rsid w:val="26571970"/>
    <w:rsid w:val="26577ABF"/>
    <w:rsid w:val="26655E3B"/>
    <w:rsid w:val="267A6CFE"/>
    <w:rsid w:val="268907C4"/>
    <w:rsid w:val="26890B30"/>
    <w:rsid w:val="26A821CC"/>
    <w:rsid w:val="26C91E5C"/>
    <w:rsid w:val="26E75394"/>
    <w:rsid w:val="26F443EF"/>
    <w:rsid w:val="27054F28"/>
    <w:rsid w:val="270B4948"/>
    <w:rsid w:val="27151A21"/>
    <w:rsid w:val="27215AAC"/>
    <w:rsid w:val="2723400E"/>
    <w:rsid w:val="273E668C"/>
    <w:rsid w:val="274041B2"/>
    <w:rsid w:val="27594AEA"/>
    <w:rsid w:val="27596454"/>
    <w:rsid w:val="2769195B"/>
    <w:rsid w:val="27767BD4"/>
    <w:rsid w:val="27897907"/>
    <w:rsid w:val="278E5362"/>
    <w:rsid w:val="27914A0E"/>
    <w:rsid w:val="27A5262E"/>
    <w:rsid w:val="27B8643F"/>
    <w:rsid w:val="27C132F1"/>
    <w:rsid w:val="27CB7D80"/>
    <w:rsid w:val="27CD1F54"/>
    <w:rsid w:val="27D86AE1"/>
    <w:rsid w:val="27DD7C53"/>
    <w:rsid w:val="27E014F2"/>
    <w:rsid w:val="2806354A"/>
    <w:rsid w:val="281F201A"/>
    <w:rsid w:val="28291282"/>
    <w:rsid w:val="283006CB"/>
    <w:rsid w:val="283F090E"/>
    <w:rsid w:val="2844798D"/>
    <w:rsid w:val="28652C33"/>
    <w:rsid w:val="28691716"/>
    <w:rsid w:val="28836A4D"/>
    <w:rsid w:val="28940C5A"/>
    <w:rsid w:val="289A78F2"/>
    <w:rsid w:val="28A44A91"/>
    <w:rsid w:val="28C45AE6"/>
    <w:rsid w:val="28C64B8B"/>
    <w:rsid w:val="28C72DDD"/>
    <w:rsid w:val="28CD5F1A"/>
    <w:rsid w:val="28D366FF"/>
    <w:rsid w:val="28D9669A"/>
    <w:rsid w:val="28DF697D"/>
    <w:rsid w:val="28E9787B"/>
    <w:rsid w:val="291458F7"/>
    <w:rsid w:val="291C5607"/>
    <w:rsid w:val="2936586D"/>
    <w:rsid w:val="297B7724"/>
    <w:rsid w:val="29826D04"/>
    <w:rsid w:val="29A44ECD"/>
    <w:rsid w:val="29B6075C"/>
    <w:rsid w:val="29D532D8"/>
    <w:rsid w:val="29EE6148"/>
    <w:rsid w:val="29FB219D"/>
    <w:rsid w:val="2A005E7B"/>
    <w:rsid w:val="2A0C65CE"/>
    <w:rsid w:val="2A111BBA"/>
    <w:rsid w:val="2A157B78"/>
    <w:rsid w:val="2A3E4BCE"/>
    <w:rsid w:val="2A50295E"/>
    <w:rsid w:val="2A522B7B"/>
    <w:rsid w:val="2A5A558B"/>
    <w:rsid w:val="2A5C7555"/>
    <w:rsid w:val="2A662182"/>
    <w:rsid w:val="2A6B59EA"/>
    <w:rsid w:val="2A773C44"/>
    <w:rsid w:val="2A787A01"/>
    <w:rsid w:val="2A8D5961"/>
    <w:rsid w:val="2A957654"/>
    <w:rsid w:val="2AD8624F"/>
    <w:rsid w:val="2AD92954"/>
    <w:rsid w:val="2AE6612C"/>
    <w:rsid w:val="2AEA2DB3"/>
    <w:rsid w:val="2AEC6B2B"/>
    <w:rsid w:val="2B0B4446"/>
    <w:rsid w:val="2B0B5F38"/>
    <w:rsid w:val="2B151F0D"/>
    <w:rsid w:val="2B230BF3"/>
    <w:rsid w:val="2B3758CC"/>
    <w:rsid w:val="2B462258"/>
    <w:rsid w:val="2B471FB3"/>
    <w:rsid w:val="2B577D1D"/>
    <w:rsid w:val="2B715282"/>
    <w:rsid w:val="2B801021"/>
    <w:rsid w:val="2B88437A"/>
    <w:rsid w:val="2B88534B"/>
    <w:rsid w:val="2B996587"/>
    <w:rsid w:val="2B9E594C"/>
    <w:rsid w:val="2BA2543C"/>
    <w:rsid w:val="2BB4516F"/>
    <w:rsid w:val="2BCD2F8E"/>
    <w:rsid w:val="2BE45A54"/>
    <w:rsid w:val="2BE55328"/>
    <w:rsid w:val="2BFF463C"/>
    <w:rsid w:val="2C0E487F"/>
    <w:rsid w:val="2C161986"/>
    <w:rsid w:val="2C180916"/>
    <w:rsid w:val="2C1E35F3"/>
    <w:rsid w:val="2C251BC9"/>
    <w:rsid w:val="2C295B25"/>
    <w:rsid w:val="2C35005E"/>
    <w:rsid w:val="2C4F5B19"/>
    <w:rsid w:val="2C505CDF"/>
    <w:rsid w:val="2C526E62"/>
    <w:rsid w:val="2C5524AE"/>
    <w:rsid w:val="2C55425C"/>
    <w:rsid w:val="2C570C58"/>
    <w:rsid w:val="2C5D5CFC"/>
    <w:rsid w:val="2C62155A"/>
    <w:rsid w:val="2C6E3292"/>
    <w:rsid w:val="2C7E4AF1"/>
    <w:rsid w:val="2C862B2D"/>
    <w:rsid w:val="2C8974AE"/>
    <w:rsid w:val="2C901738"/>
    <w:rsid w:val="2C91377B"/>
    <w:rsid w:val="2C9651E0"/>
    <w:rsid w:val="2C994A91"/>
    <w:rsid w:val="2CA034F5"/>
    <w:rsid w:val="2CA64AB8"/>
    <w:rsid w:val="2CA84CD4"/>
    <w:rsid w:val="2CC118F2"/>
    <w:rsid w:val="2CC8525F"/>
    <w:rsid w:val="2CD34A44"/>
    <w:rsid w:val="2CE101E6"/>
    <w:rsid w:val="2CEB1DDF"/>
    <w:rsid w:val="2CF00E40"/>
    <w:rsid w:val="2CF96C08"/>
    <w:rsid w:val="2CFE3AB0"/>
    <w:rsid w:val="2CFF066C"/>
    <w:rsid w:val="2D0D2D89"/>
    <w:rsid w:val="2D2360D5"/>
    <w:rsid w:val="2D346567"/>
    <w:rsid w:val="2D3575D7"/>
    <w:rsid w:val="2D392A9A"/>
    <w:rsid w:val="2D3F2720"/>
    <w:rsid w:val="2D4D7629"/>
    <w:rsid w:val="2D5179CB"/>
    <w:rsid w:val="2D6A3D37"/>
    <w:rsid w:val="2D8017AD"/>
    <w:rsid w:val="2D841E1A"/>
    <w:rsid w:val="2D993488"/>
    <w:rsid w:val="2DA059AB"/>
    <w:rsid w:val="2DB43204"/>
    <w:rsid w:val="2DB54923"/>
    <w:rsid w:val="2DBF6A28"/>
    <w:rsid w:val="2DC75DE6"/>
    <w:rsid w:val="2DCC3B13"/>
    <w:rsid w:val="2DD04934"/>
    <w:rsid w:val="2DDB4BC1"/>
    <w:rsid w:val="2DF500E3"/>
    <w:rsid w:val="2E0F2B31"/>
    <w:rsid w:val="2E220AB6"/>
    <w:rsid w:val="2E24482E"/>
    <w:rsid w:val="2E255EB0"/>
    <w:rsid w:val="2E3A7D96"/>
    <w:rsid w:val="2E3F191C"/>
    <w:rsid w:val="2E3F23BB"/>
    <w:rsid w:val="2E4427DA"/>
    <w:rsid w:val="2E5C5D76"/>
    <w:rsid w:val="2E5D389C"/>
    <w:rsid w:val="2E630C84"/>
    <w:rsid w:val="2E641B42"/>
    <w:rsid w:val="2E6800CC"/>
    <w:rsid w:val="2E84600A"/>
    <w:rsid w:val="2E9279E9"/>
    <w:rsid w:val="2E956466"/>
    <w:rsid w:val="2EA54198"/>
    <w:rsid w:val="2EBF37A7"/>
    <w:rsid w:val="2EBF4B0B"/>
    <w:rsid w:val="2ED26038"/>
    <w:rsid w:val="2ED86F63"/>
    <w:rsid w:val="2EE34B68"/>
    <w:rsid w:val="2EED10C4"/>
    <w:rsid w:val="2EF7784D"/>
    <w:rsid w:val="2EFA10EB"/>
    <w:rsid w:val="2EFB21A9"/>
    <w:rsid w:val="2F0B154A"/>
    <w:rsid w:val="2F1A353B"/>
    <w:rsid w:val="2F1F5FD6"/>
    <w:rsid w:val="2F231DCD"/>
    <w:rsid w:val="2F3C1703"/>
    <w:rsid w:val="2F407445"/>
    <w:rsid w:val="2F544C9F"/>
    <w:rsid w:val="2F5702EB"/>
    <w:rsid w:val="2F6F0666"/>
    <w:rsid w:val="2F827A5E"/>
    <w:rsid w:val="2F854E58"/>
    <w:rsid w:val="2F860BD0"/>
    <w:rsid w:val="2F927575"/>
    <w:rsid w:val="2F9E416C"/>
    <w:rsid w:val="2FA01C92"/>
    <w:rsid w:val="2FBC45F2"/>
    <w:rsid w:val="2FBD4D02"/>
    <w:rsid w:val="2FF574A1"/>
    <w:rsid w:val="2FFA3A98"/>
    <w:rsid w:val="2FFA5B1F"/>
    <w:rsid w:val="300246FB"/>
    <w:rsid w:val="301D42EF"/>
    <w:rsid w:val="30250D25"/>
    <w:rsid w:val="3025488D"/>
    <w:rsid w:val="30393E95"/>
    <w:rsid w:val="303F594F"/>
    <w:rsid w:val="3044084D"/>
    <w:rsid w:val="30532EAF"/>
    <w:rsid w:val="30644D23"/>
    <w:rsid w:val="30760C45"/>
    <w:rsid w:val="30817D16"/>
    <w:rsid w:val="30894E1C"/>
    <w:rsid w:val="30B05F05"/>
    <w:rsid w:val="30CD3408"/>
    <w:rsid w:val="30CF4EA4"/>
    <w:rsid w:val="30E3452C"/>
    <w:rsid w:val="30E958BB"/>
    <w:rsid w:val="30F1651D"/>
    <w:rsid w:val="30F57DBC"/>
    <w:rsid w:val="30FA3624"/>
    <w:rsid w:val="31002A27"/>
    <w:rsid w:val="31032B8E"/>
    <w:rsid w:val="310A4AEB"/>
    <w:rsid w:val="310D2023"/>
    <w:rsid w:val="313308E4"/>
    <w:rsid w:val="314D7BF8"/>
    <w:rsid w:val="314E571E"/>
    <w:rsid w:val="31550BF3"/>
    <w:rsid w:val="31563178"/>
    <w:rsid w:val="3163741B"/>
    <w:rsid w:val="316D3DD0"/>
    <w:rsid w:val="317E24A7"/>
    <w:rsid w:val="31857392"/>
    <w:rsid w:val="318800F4"/>
    <w:rsid w:val="318E1BB8"/>
    <w:rsid w:val="319475D5"/>
    <w:rsid w:val="319976C6"/>
    <w:rsid w:val="319A711F"/>
    <w:rsid w:val="31A15954"/>
    <w:rsid w:val="31A76386"/>
    <w:rsid w:val="31A812D2"/>
    <w:rsid w:val="31CC0458"/>
    <w:rsid w:val="31DD4336"/>
    <w:rsid w:val="320643AF"/>
    <w:rsid w:val="320D55D9"/>
    <w:rsid w:val="32130E41"/>
    <w:rsid w:val="321F1B41"/>
    <w:rsid w:val="32262D80"/>
    <w:rsid w:val="322841C1"/>
    <w:rsid w:val="322B69C3"/>
    <w:rsid w:val="322D6302"/>
    <w:rsid w:val="32340DB8"/>
    <w:rsid w:val="32544FB6"/>
    <w:rsid w:val="32562ADC"/>
    <w:rsid w:val="326F46E0"/>
    <w:rsid w:val="327A3BC6"/>
    <w:rsid w:val="327D450D"/>
    <w:rsid w:val="327F745D"/>
    <w:rsid w:val="328202AF"/>
    <w:rsid w:val="3284589B"/>
    <w:rsid w:val="32873F9A"/>
    <w:rsid w:val="32892EB1"/>
    <w:rsid w:val="328E671A"/>
    <w:rsid w:val="32990C1B"/>
    <w:rsid w:val="32AC4DF2"/>
    <w:rsid w:val="32BA4DA7"/>
    <w:rsid w:val="32C24615"/>
    <w:rsid w:val="32CB013A"/>
    <w:rsid w:val="32D3412D"/>
    <w:rsid w:val="32D3784D"/>
    <w:rsid w:val="32D560F7"/>
    <w:rsid w:val="32DB21CB"/>
    <w:rsid w:val="32DC56D7"/>
    <w:rsid w:val="32E4458C"/>
    <w:rsid w:val="32E75E2A"/>
    <w:rsid w:val="32E8120D"/>
    <w:rsid w:val="32EE0F67"/>
    <w:rsid w:val="32F32A21"/>
    <w:rsid w:val="32F347CF"/>
    <w:rsid w:val="32F848CB"/>
    <w:rsid w:val="33007B2E"/>
    <w:rsid w:val="330306C4"/>
    <w:rsid w:val="330B1B18"/>
    <w:rsid w:val="330E785B"/>
    <w:rsid w:val="33122EA7"/>
    <w:rsid w:val="3317670F"/>
    <w:rsid w:val="33372EAB"/>
    <w:rsid w:val="3341378C"/>
    <w:rsid w:val="334C66DF"/>
    <w:rsid w:val="335C4122"/>
    <w:rsid w:val="335D1989"/>
    <w:rsid w:val="335F3DDD"/>
    <w:rsid w:val="33676522"/>
    <w:rsid w:val="33786E01"/>
    <w:rsid w:val="337A0A4C"/>
    <w:rsid w:val="337B2999"/>
    <w:rsid w:val="338056EA"/>
    <w:rsid w:val="33911204"/>
    <w:rsid w:val="33A651FC"/>
    <w:rsid w:val="33A92A19"/>
    <w:rsid w:val="33AF3D68"/>
    <w:rsid w:val="33AF6666"/>
    <w:rsid w:val="33B47609"/>
    <w:rsid w:val="33BE6F4E"/>
    <w:rsid w:val="33C63C91"/>
    <w:rsid w:val="33CB572B"/>
    <w:rsid w:val="33CE657B"/>
    <w:rsid w:val="33D66B1D"/>
    <w:rsid w:val="33EA3E24"/>
    <w:rsid w:val="33EC7B9C"/>
    <w:rsid w:val="33F366CF"/>
    <w:rsid w:val="33FB0977"/>
    <w:rsid w:val="34034EE6"/>
    <w:rsid w:val="340842AA"/>
    <w:rsid w:val="341C53BA"/>
    <w:rsid w:val="34204EC0"/>
    <w:rsid w:val="34256C0A"/>
    <w:rsid w:val="342A06C4"/>
    <w:rsid w:val="342C131A"/>
    <w:rsid w:val="342F1837"/>
    <w:rsid w:val="34312EC5"/>
    <w:rsid w:val="343E0F03"/>
    <w:rsid w:val="34482EEA"/>
    <w:rsid w:val="344A041F"/>
    <w:rsid w:val="34766943"/>
    <w:rsid w:val="347C39A8"/>
    <w:rsid w:val="34847DD4"/>
    <w:rsid w:val="34853B4C"/>
    <w:rsid w:val="34963664"/>
    <w:rsid w:val="34982F78"/>
    <w:rsid w:val="34AE30A3"/>
    <w:rsid w:val="34B34723"/>
    <w:rsid w:val="34B45226"/>
    <w:rsid w:val="34B47F8E"/>
    <w:rsid w:val="34CA77B1"/>
    <w:rsid w:val="34CB5A03"/>
    <w:rsid w:val="34E41339"/>
    <w:rsid w:val="34EB6364"/>
    <w:rsid w:val="34F565DC"/>
    <w:rsid w:val="34FB0599"/>
    <w:rsid w:val="35132F06"/>
    <w:rsid w:val="351A3B3F"/>
    <w:rsid w:val="35225D8D"/>
    <w:rsid w:val="35373099"/>
    <w:rsid w:val="3538296D"/>
    <w:rsid w:val="35452190"/>
    <w:rsid w:val="3546508A"/>
    <w:rsid w:val="354E440C"/>
    <w:rsid w:val="35814314"/>
    <w:rsid w:val="358A766C"/>
    <w:rsid w:val="358B2CE3"/>
    <w:rsid w:val="358C26FA"/>
    <w:rsid w:val="358D0F0B"/>
    <w:rsid w:val="359202CF"/>
    <w:rsid w:val="35931184"/>
    <w:rsid w:val="35BE2E72"/>
    <w:rsid w:val="35C32BDC"/>
    <w:rsid w:val="35D419DA"/>
    <w:rsid w:val="35D5640E"/>
    <w:rsid w:val="35DA7FB4"/>
    <w:rsid w:val="361C228F"/>
    <w:rsid w:val="363635AA"/>
    <w:rsid w:val="364610BA"/>
    <w:rsid w:val="366F23BE"/>
    <w:rsid w:val="367125DA"/>
    <w:rsid w:val="36724494"/>
    <w:rsid w:val="36734781"/>
    <w:rsid w:val="3679649B"/>
    <w:rsid w:val="367D0F7F"/>
    <w:rsid w:val="36826C31"/>
    <w:rsid w:val="3687595A"/>
    <w:rsid w:val="368F0CBF"/>
    <w:rsid w:val="36916FED"/>
    <w:rsid w:val="36A469C4"/>
    <w:rsid w:val="36A521D9"/>
    <w:rsid w:val="36D641EB"/>
    <w:rsid w:val="36DA3B18"/>
    <w:rsid w:val="36DD5492"/>
    <w:rsid w:val="36E55A25"/>
    <w:rsid w:val="36F55EAA"/>
    <w:rsid w:val="370E1BD7"/>
    <w:rsid w:val="370F0532"/>
    <w:rsid w:val="372B09DB"/>
    <w:rsid w:val="372F3808"/>
    <w:rsid w:val="37763F45"/>
    <w:rsid w:val="377E4FAF"/>
    <w:rsid w:val="3784095E"/>
    <w:rsid w:val="37895E9F"/>
    <w:rsid w:val="379C71E3"/>
    <w:rsid w:val="37AC34EC"/>
    <w:rsid w:val="37B73446"/>
    <w:rsid w:val="37DE1558"/>
    <w:rsid w:val="37E07DAD"/>
    <w:rsid w:val="37E40B8A"/>
    <w:rsid w:val="37E666B0"/>
    <w:rsid w:val="37EA2644"/>
    <w:rsid w:val="37EB1F18"/>
    <w:rsid w:val="37ED7A3F"/>
    <w:rsid w:val="37F54B45"/>
    <w:rsid w:val="38044D88"/>
    <w:rsid w:val="3806031D"/>
    <w:rsid w:val="382308CE"/>
    <w:rsid w:val="382C513A"/>
    <w:rsid w:val="38417D8A"/>
    <w:rsid w:val="3842422E"/>
    <w:rsid w:val="38526F7A"/>
    <w:rsid w:val="38561A88"/>
    <w:rsid w:val="38795776"/>
    <w:rsid w:val="387A2F34"/>
    <w:rsid w:val="387C555A"/>
    <w:rsid w:val="387E2D8D"/>
    <w:rsid w:val="38831B91"/>
    <w:rsid w:val="38877E93"/>
    <w:rsid w:val="38995E18"/>
    <w:rsid w:val="389C521D"/>
    <w:rsid w:val="38D155B2"/>
    <w:rsid w:val="38DB20AB"/>
    <w:rsid w:val="38E2156D"/>
    <w:rsid w:val="38E52970"/>
    <w:rsid w:val="38EA21D0"/>
    <w:rsid w:val="38F372D7"/>
    <w:rsid w:val="38F65019"/>
    <w:rsid w:val="38FB43DD"/>
    <w:rsid w:val="3902576C"/>
    <w:rsid w:val="390F3AD3"/>
    <w:rsid w:val="395D5364"/>
    <w:rsid w:val="39641F82"/>
    <w:rsid w:val="39684912"/>
    <w:rsid w:val="397441F3"/>
    <w:rsid w:val="398919E9"/>
    <w:rsid w:val="399C32F4"/>
    <w:rsid w:val="39A16C97"/>
    <w:rsid w:val="39A24859"/>
    <w:rsid w:val="39A56B84"/>
    <w:rsid w:val="39A77BB2"/>
    <w:rsid w:val="39AD5743"/>
    <w:rsid w:val="39BE5B37"/>
    <w:rsid w:val="39CD1EE3"/>
    <w:rsid w:val="39CD78A2"/>
    <w:rsid w:val="39D1471A"/>
    <w:rsid w:val="39D42649"/>
    <w:rsid w:val="39DA2245"/>
    <w:rsid w:val="39E9692C"/>
    <w:rsid w:val="39ED6FFB"/>
    <w:rsid w:val="3A053765"/>
    <w:rsid w:val="3A2636DC"/>
    <w:rsid w:val="3A263EA4"/>
    <w:rsid w:val="3A294E54"/>
    <w:rsid w:val="3A3000B7"/>
    <w:rsid w:val="3A575643"/>
    <w:rsid w:val="3A647D60"/>
    <w:rsid w:val="3A7461F5"/>
    <w:rsid w:val="3A81200E"/>
    <w:rsid w:val="3A850402"/>
    <w:rsid w:val="3A964AED"/>
    <w:rsid w:val="3A9C399E"/>
    <w:rsid w:val="3AA52E29"/>
    <w:rsid w:val="3AA91B3C"/>
    <w:rsid w:val="3ABB7AA2"/>
    <w:rsid w:val="3AD1189A"/>
    <w:rsid w:val="3AD62A0C"/>
    <w:rsid w:val="3ADC7C67"/>
    <w:rsid w:val="3AFD68A7"/>
    <w:rsid w:val="3B1F45BC"/>
    <w:rsid w:val="3B255741"/>
    <w:rsid w:val="3B27770B"/>
    <w:rsid w:val="3B345984"/>
    <w:rsid w:val="3B36794F"/>
    <w:rsid w:val="3B367AA6"/>
    <w:rsid w:val="3B437161"/>
    <w:rsid w:val="3B4E6A46"/>
    <w:rsid w:val="3B506C62"/>
    <w:rsid w:val="3B514FD2"/>
    <w:rsid w:val="3B693880"/>
    <w:rsid w:val="3B6A3F88"/>
    <w:rsid w:val="3B824BB2"/>
    <w:rsid w:val="3B854AB6"/>
    <w:rsid w:val="3B8E1539"/>
    <w:rsid w:val="3B9528C7"/>
    <w:rsid w:val="3B9D177C"/>
    <w:rsid w:val="3BA046F2"/>
    <w:rsid w:val="3BA50630"/>
    <w:rsid w:val="3BA6526A"/>
    <w:rsid w:val="3BB048EC"/>
    <w:rsid w:val="3BC36985"/>
    <w:rsid w:val="3BD80550"/>
    <w:rsid w:val="3BDD7DCA"/>
    <w:rsid w:val="3BE225DF"/>
    <w:rsid w:val="3BE56E1B"/>
    <w:rsid w:val="3BED2DB3"/>
    <w:rsid w:val="3C213BAF"/>
    <w:rsid w:val="3C215F09"/>
    <w:rsid w:val="3C2679C3"/>
    <w:rsid w:val="3C4075D1"/>
    <w:rsid w:val="3C436B55"/>
    <w:rsid w:val="3C461E13"/>
    <w:rsid w:val="3C4F6F1A"/>
    <w:rsid w:val="3C595E61"/>
    <w:rsid w:val="3C622D83"/>
    <w:rsid w:val="3C6542D3"/>
    <w:rsid w:val="3C7324DC"/>
    <w:rsid w:val="3C746980"/>
    <w:rsid w:val="3C793F97"/>
    <w:rsid w:val="3CAA7145"/>
    <w:rsid w:val="3CB74ABF"/>
    <w:rsid w:val="3CC0618E"/>
    <w:rsid w:val="3CC35212"/>
    <w:rsid w:val="3CC828E4"/>
    <w:rsid w:val="3CD14C56"/>
    <w:rsid w:val="3CD25455"/>
    <w:rsid w:val="3CD87391"/>
    <w:rsid w:val="3D053A7C"/>
    <w:rsid w:val="3D141F11"/>
    <w:rsid w:val="3D1B32A0"/>
    <w:rsid w:val="3D1D70A7"/>
    <w:rsid w:val="3D2263DC"/>
    <w:rsid w:val="3D263D3A"/>
    <w:rsid w:val="3D2C1009"/>
    <w:rsid w:val="3D502922"/>
    <w:rsid w:val="3D605157"/>
    <w:rsid w:val="3D956BAE"/>
    <w:rsid w:val="3DBC05DF"/>
    <w:rsid w:val="3DC44336"/>
    <w:rsid w:val="3DD220DA"/>
    <w:rsid w:val="3DDF7E2A"/>
    <w:rsid w:val="3DE60DD6"/>
    <w:rsid w:val="3DFC1B15"/>
    <w:rsid w:val="3DFE0BF8"/>
    <w:rsid w:val="3E004349"/>
    <w:rsid w:val="3E0A408B"/>
    <w:rsid w:val="3E0F7B1D"/>
    <w:rsid w:val="3E234AB8"/>
    <w:rsid w:val="3E4009FD"/>
    <w:rsid w:val="3E444130"/>
    <w:rsid w:val="3E5C1BAD"/>
    <w:rsid w:val="3E701413"/>
    <w:rsid w:val="3E7A2248"/>
    <w:rsid w:val="3E9230EE"/>
    <w:rsid w:val="3E946E66"/>
    <w:rsid w:val="3E9F6F17"/>
    <w:rsid w:val="3EA37CD2"/>
    <w:rsid w:val="3EB36B35"/>
    <w:rsid w:val="3EBE6BC6"/>
    <w:rsid w:val="3EC139D3"/>
    <w:rsid w:val="3EDF3E59"/>
    <w:rsid w:val="3EE06168"/>
    <w:rsid w:val="3EE85404"/>
    <w:rsid w:val="3EEC6CA2"/>
    <w:rsid w:val="3EFD6CC8"/>
    <w:rsid w:val="3F0A537A"/>
    <w:rsid w:val="3F0D6C18"/>
    <w:rsid w:val="3F141725"/>
    <w:rsid w:val="3F161F71"/>
    <w:rsid w:val="3F1B1335"/>
    <w:rsid w:val="3F200257"/>
    <w:rsid w:val="3F286DBF"/>
    <w:rsid w:val="3F2E1F33"/>
    <w:rsid w:val="3F373C95"/>
    <w:rsid w:val="3F5C78B4"/>
    <w:rsid w:val="3F8C7166"/>
    <w:rsid w:val="3F8D1475"/>
    <w:rsid w:val="3F975C22"/>
    <w:rsid w:val="3FA151C7"/>
    <w:rsid w:val="3FA70E1B"/>
    <w:rsid w:val="3FB35F57"/>
    <w:rsid w:val="3FB5178A"/>
    <w:rsid w:val="3FC419A7"/>
    <w:rsid w:val="3FC64109"/>
    <w:rsid w:val="3FCC77A7"/>
    <w:rsid w:val="3FCE0DE9"/>
    <w:rsid w:val="3FD65247"/>
    <w:rsid w:val="3FDB385A"/>
    <w:rsid w:val="3FDF6807"/>
    <w:rsid w:val="3FE23C01"/>
    <w:rsid w:val="3FE3145D"/>
    <w:rsid w:val="3FE71217"/>
    <w:rsid w:val="3FFB4CC3"/>
    <w:rsid w:val="40061FE5"/>
    <w:rsid w:val="400E0CEC"/>
    <w:rsid w:val="401C35B7"/>
    <w:rsid w:val="4022565B"/>
    <w:rsid w:val="402266F3"/>
    <w:rsid w:val="403629A3"/>
    <w:rsid w:val="403B122D"/>
    <w:rsid w:val="404B007A"/>
    <w:rsid w:val="405A7C3B"/>
    <w:rsid w:val="405B7334"/>
    <w:rsid w:val="405C70C5"/>
    <w:rsid w:val="406B3BF6"/>
    <w:rsid w:val="406F74E5"/>
    <w:rsid w:val="407842D2"/>
    <w:rsid w:val="40A46E74"/>
    <w:rsid w:val="40C31C84"/>
    <w:rsid w:val="40CD2BBC"/>
    <w:rsid w:val="40CE74E8"/>
    <w:rsid w:val="40D55514"/>
    <w:rsid w:val="40D7128C"/>
    <w:rsid w:val="40FE0F0E"/>
    <w:rsid w:val="41107AF2"/>
    <w:rsid w:val="41171FD0"/>
    <w:rsid w:val="411E335F"/>
    <w:rsid w:val="412871E3"/>
    <w:rsid w:val="41371185"/>
    <w:rsid w:val="41390199"/>
    <w:rsid w:val="41561B7B"/>
    <w:rsid w:val="415D5C35"/>
    <w:rsid w:val="415F2382"/>
    <w:rsid w:val="41644CA3"/>
    <w:rsid w:val="41685EEF"/>
    <w:rsid w:val="417C604D"/>
    <w:rsid w:val="418238EE"/>
    <w:rsid w:val="41943621"/>
    <w:rsid w:val="41B45A71"/>
    <w:rsid w:val="41C34730"/>
    <w:rsid w:val="41DF75B5"/>
    <w:rsid w:val="41E278B6"/>
    <w:rsid w:val="41EE0F83"/>
    <w:rsid w:val="421568CA"/>
    <w:rsid w:val="422229DB"/>
    <w:rsid w:val="422F2C0A"/>
    <w:rsid w:val="424B3CDF"/>
    <w:rsid w:val="4267663F"/>
    <w:rsid w:val="427C658F"/>
    <w:rsid w:val="42997BDD"/>
    <w:rsid w:val="42AC4D28"/>
    <w:rsid w:val="42B16C0F"/>
    <w:rsid w:val="42B60CBA"/>
    <w:rsid w:val="42BA4570"/>
    <w:rsid w:val="42BE7D79"/>
    <w:rsid w:val="42C43A92"/>
    <w:rsid w:val="42DB62DB"/>
    <w:rsid w:val="42EB101F"/>
    <w:rsid w:val="42EC1680"/>
    <w:rsid w:val="42F40D87"/>
    <w:rsid w:val="43100A85"/>
    <w:rsid w:val="43157031"/>
    <w:rsid w:val="43192030"/>
    <w:rsid w:val="431F2FB1"/>
    <w:rsid w:val="431F6F1A"/>
    <w:rsid w:val="43204D6E"/>
    <w:rsid w:val="43212C92"/>
    <w:rsid w:val="43335CC1"/>
    <w:rsid w:val="433436B6"/>
    <w:rsid w:val="433E0C67"/>
    <w:rsid w:val="434171A0"/>
    <w:rsid w:val="43490FBF"/>
    <w:rsid w:val="434F476D"/>
    <w:rsid w:val="4353465A"/>
    <w:rsid w:val="43601A0D"/>
    <w:rsid w:val="43652D2C"/>
    <w:rsid w:val="43661D30"/>
    <w:rsid w:val="436C09A1"/>
    <w:rsid w:val="436E0D52"/>
    <w:rsid w:val="436F047F"/>
    <w:rsid w:val="436F39FE"/>
    <w:rsid w:val="436F7EA2"/>
    <w:rsid w:val="437B082C"/>
    <w:rsid w:val="43863FBF"/>
    <w:rsid w:val="438C0A54"/>
    <w:rsid w:val="43A356E9"/>
    <w:rsid w:val="43BA32AA"/>
    <w:rsid w:val="43BA63BC"/>
    <w:rsid w:val="43E066A9"/>
    <w:rsid w:val="43E56FFE"/>
    <w:rsid w:val="43E92E55"/>
    <w:rsid w:val="44033175"/>
    <w:rsid w:val="44071DF4"/>
    <w:rsid w:val="441A7E0D"/>
    <w:rsid w:val="442010AE"/>
    <w:rsid w:val="442347E8"/>
    <w:rsid w:val="44384517"/>
    <w:rsid w:val="445B2639"/>
    <w:rsid w:val="44676DCB"/>
    <w:rsid w:val="447D214A"/>
    <w:rsid w:val="44894274"/>
    <w:rsid w:val="448D347A"/>
    <w:rsid w:val="44C77869"/>
    <w:rsid w:val="44D37FBC"/>
    <w:rsid w:val="44D51F86"/>
    <w:rsid w:val="44E70410"/>
    <w:rsid w:val="44F206DC"/>
    <w:rsid w:val="44F25523"/>
    <w:rsid w:val="44F71EFD"/>
    <w:rsid w:val="44F871A7"/>
    <w:rsid w:val="45096A74"/>
    <w:rsid w:val="452B604A"/>
    <w:rsid w:val="453C0257"/>
    <w:rsid w:val="45406B12"/>
    <w:rsid w:val="455A06DD"/>
    <w:rsid w:val="457479F1"/>
    <w:rsid w:val="457F0236"/>
    <w:rsid w:val="458657E5"/>
    <w:rsid w:val="45872426"/>
    <w:rsid w:val="458F482B"/>
    <w:rsid w:val="45C86472"/>
    <w:rsid w:val="45DA2E00"/>
    <w:rsid w:val="45ED1CC5"/>
    <w:rsid w:val="45EF1111"/>
    <w:rsid w:val="45F36B68"/>
    <w:rsid w:val="460C7409"/>
    <w:rsid w:val="460D74FE"/>
    <w:rsid w:val="4618037D"/>
    <w:rsid w:val="464A2500"/>
    <w:rsid w:val="464C0026"/>
    <w:rsid w:val="465D4CB9"/>
    <w:rsid w:val="467943C4"/>
    <w:rsid w:val="468B4FF2"/>
    <w:rsid w:val="46971BE9"/>
    <w:rsid w:val="469D0882"/>
    <w:rsid w:val="46B207DF"/>
    <w:rsid w:val="46B86825"/>
    <w:rsid w:val="46DF0E9A"/>
    <w:rsid w:val="46E07E03"/>
    <w:rsid w:val="46EA07B2"/>
    <w:rsid w:val="46ED1809"/>
    <w:rsid w:val="46F506BE"/>
    <w:rsid w:val="46F82CC1"/>
    <w:rsid w:val="4703337B"/>
    <w:rsid w:val="47150D60"/>
    <w:rsid w:val="471E65B1"/>
    <w:rsid w:val="471F1784"/>
    <w:rsid w:val="47242D51"/>
    <w:rsid w:val="473311E6"/>
    <w:rsid w:val="47347438"/>
    <w:rsid w:val="474074AC"/>
    <w:rsid w:val="475A2341"/>
    <w:rsid w:val="4760647F"/>
    <w:rsid w:val="47751B21"/>
    <w:rsid w:val="47A72EC9"/>
    <w:rsid w:val="47A81BD4"/>
    <w:rsid w:val="47B71E17"/>
    <w:rsid w:val="47CA7D9C"/>
    <w:rsid w:val="47CC40D8"/>
    <w:rsid w:val="47E80223"/>
    <w:rsid w:val="47EE6C9C"/>
    <w:rsid w:val="47F941DE"/>
    <w:rsid w:val="48082673"/>
    <w:rsid w:val="480B5E01"/>
    <w:rsid w:val="480E3260"/>
    <w:rsid w:val="48302C80"/>
    <w:rsid w:val="48480CC1"/>
    <w:rsid w:val="48597B07"/>
    <w:rsid w:val="48691B36"/>
    <w:rsid w:val="487108F9"/>
    <w:rsid w:val="48741AB6"/>
    <w:rsid w:val="487B1097"/>
    <w:rsid w:val="48877A3B"/>
    <w:rsid w:val="488C0CE1"/>
    <w:rsid w:val="489363E0"/>
    <w:rsid w:val="489C2DB7"/>
    <w:rsid w:val="489E1D09"/>
    <w:rsid w:val="48A028AB"/>
    <w:rsid w:val="48B5518F"/>
    <w:rsid w:val="48BD520B"/>
    <w:rsid w:val="48C1039E"/>
    <w:rsid w:val="48CC7690"/>
    <w:rsid w:val="48EB1D78"/>
    <w:rsid w:val="48EE3617"/>
    <w:rsid w:val="490023BE"/>
    <w:rsid w:val="491312CF"/>
    <w:rsid w:val="49153299"/>
    <w:rsid w:val="491868E5"/>
    <w:rsid w:val="491D3EFC"/>
    <w:rsid w:val="491F1A22"/>
    <w:rsid w:val="493666B5"/>
    <w:rsid w:val="4937506D"/>
    <w:rsid w:val="494877A6"/>
    <w:rsid w:val="49604C87"/>
    <w:rsid w:val="49653613"/>
    <w:rsid w:val="49663358"/>
    <w:rsid w:val="496B2EB9"/>
    <w:rsid w:val="49724393"/>
    <w:rsid w:val="497C0C22"/>
    <w:rsid w:val="497F6965"/>
    <w:rsid w:val="499758B9"/>
    <w:rsid w:val="49975BE8"/>
    <w:rsid w:val="49A66112"/>
    <w:rsid w:val="49C425C9"/>
    <w:rsid w:val="49E50BF2"/>
    <w:rsid w:val="49E8450A"/>
    <w:rsid w:val="49EF3581"/>
    <w:rsid w:val="49EF3AE4"/>
    <w:rsid w:val="49F60156"/>
    <w:rsid w:val="49F66C27"/>
    <w:rsid w:val="49FA5FEB"/>
    <w:rsid w:val="4A0F5F3A"/>
    <w:rsid w:val="4A1B668D"/>
    <w:rsid w:val="4A1C69A8"/>
    <w:rsid w:val="4A282B58"/>
    <w:rsid w:val="4A2B43F6"/>
    <w:rsid w:val="4A2C2648"/>
    <w:rsid w:val="4A372D9B"/>
    <w:rsid w:val="4A38723F"/>
    <w:rsid w:val="4A5676C5"/>
    <w:rsid w:val="4A5A4C2D"/>
    <w:rsid w:val="4A791606"/>
    <w:rsid w:val="4AA5064D"/>
    <w:rsid w:val="4AA541A9"/>
    <w:rsid w:val="4AA91EEB"/>
    <w:rsid w:val="4AB02606"/>
    <w:rsid w:val="4ABF170F"/>
    <w:rsid w:val="4AC24D5B"/>
    <w:rsid w:val="4ACC5A3F"/>
    <w:rsid w:val="4AD3077D"/>
    <w:rsid w:val="4AE90539"/>
    <w:rsid w:val="4AF8458F"/>
    <w:rsid w:val="4B0E61F2"/>
    <w:rsid w:val="4B1F5D09"/>
    <w:rsid w:val="4B21248D"/>
    <w:rsid w:val="4B2B3A38"/>
    <w:rsid w:val="4B313C8F"/>
    <w:rsid w:val="4B3D40BA"/>
    <w:rsid w:val="4B3E68BF"/>
    <w:rsid w:val="4B663938"/>
    <w:rsid w:val="4B6C47A1"/>
    <w:rsid w:val="4B6D633F"/>
    <w:rsid w:val="4B797CFE"/>
    <w:rsid w:val="4B80662D"/>
    <w:rsid w:val="4B893ACB"/>
    <w:rsid w:val="4B920BD1"/>
    <w:rsid w:val="4B96714B"/>
    <w:rsid w:val="4BA95F1B"/>
    <w:rsid w:val="4BB16CD5"/>
    <w:rsid w:val="4BB5666E"/>
    <w:rsid w:val="4BB723FD"/>
    <w:rsid w:val="4BBD5522"/>
    <w:rsid w:val="4BEE2F77"/>
    <w:rsid w:val="4BF61160"/>
    <w:rsid w:val="4C0F1BEA"/>
    <w:rsid w:val="4C12586E"/>
    <w:rsid w:val="4C157F82"/>
    <w:rsid w:val="4C340BB3"/>
    <w:rsid w:val="4C3C28EB"/>
    <w:rsid w:val="4C454CD4"/>
    <w:rsid w:val="4C59349D"/>
    <w:rsid w:val="4C804ECE"/>
    <w:rsid w:val="4C87625C"/>
    <w:rsid w:val="4C8C5620"/>
    <w:rsid w:val="4CA56323"/>
    <w:rsid w:val="4CDB42BB"/>
    <w:rsid w:val="4CE511D4"/>
    <w:rsid w:val="4CEE1E37"/>
    <w:rsid w:val="4CF3569F"/>
    <w:rsid w:val="4CF66F3E"/>
    <w:rsid w:val="4D0478AD"/>
    <w:rsid w:val="4D0A4797"/>
    <w:rsid w:val="4D187642"/>
    <w:rsid w:val="4D2553D4"/>
    <w:rsid w:val="4D2F41FE"/>
    <w:rsid w:val="4D40778D"/>
    <w:rsid w:val="4D56422A"/>
    <w:rsid w:val="4D6F3B43"/>
    <w:rsid w:val="4D712FDA"/>
    <w:rsid w:val="4D7367E0"/>
    <w:rsid w:val="4D746E8E"/>
    <w:rsid w:val="4D800456"/>
    <w:rsid w:val="4D862070"/>
    <w:rsid w:val="4D92310A"/>
    <w:rsid w:val="4D9D385D"/>
    <w:rsid w:val="4DA370C6"/>
    <w:rsid w:val="4DC4703C"/>
    <w:rsid w:val="4DCD7C9F"/>
    <w:rsid w:val="4DE17BEE"/>
    <w:rsid w:val="4DE719FF"/>
    <w:rsid w:val="4DF35EB9"/>
    <w:rsid w:val="4DF64584"/>
    <w:rsid w:val="4E0631B0"/>
    <w:rsid w:val="4E1A61E7"/>
    <w:rsid w:val="4E1E6324"/>
    <w:rsid w:val="4E3D3F1E"/>
    <w:rsid w:val="4E4C17E5"/>
    <w:rsid w:val="4E4F4B57"/>
    <w:rsid w:val="4E5B11D0"/>
    <w:rsid w:val="4E5C1A72"/>
    <w:rsid w:val="4E615284"/>
    <w:rsid w:val="4E767988"/>
    <w:rsid w:val="4E8A5B90"/>
    <w:rsid w:val="4E9F0413"/>
    <w:rsid w:val="4EA64556"/>
    <w:rsid w:val="4EAB0A5D"/>
    <w:rsid w:val="4EAD29E4"/>
    <w:rsid w:val="4EC24E6D"/>
    <w:rsid w:val="4EC310A1"/>
    <w:rsid w:val="4EF650E9"/>
    <w:rsid w:val="4F043B94"/>
    <w:rsid w:val="4F1B205A"/>
    <w:rsid w:val="4F1D6A04"/>
    <w:rsid w:val="4F2A7373"/>
    <w:rsid w:val="4F2E5442"/>
    <w:rsid w:val="4F2E6E63"/>
    <w:rsid w:val="4F2F1144"/>
    <w:rsid w:val="4F30313F"/>
    <w:rsid w:val="4F436C2E"/>
    <w:rsid w:val="4F4A46C9"/>
    <w:rsid w:val="4F52580A"/>
    <w:rsid w:val="4F566D5B"/>
    <w:rsid w:val="4F691C49"/>
    <w:rsid w:val="4F6A776F"/>
    <w:rsid w:val="4F702FD7"/>
    <w:rsid w:val="4F707F08"/>
    <w:rsid w:val="4F732AC8"/>
    <w:rsid w:val="4F9273F2"/>
    <w:rsid w:val="4FB05ACA"/>
    <w:rsid w:val="4FC61429"/>
    <w:rsid w:val="4FCE5FEA"/>
    <w:rsid w:val="4FD277EE"/>
    <w:rsid w:val="4FDA7D75"/>
    <w:rsid w:val="4FF57980"/>
    <w:rsid w:val="5002582F"/>
    <w:rsid w:val="501E6ED7"/>
    <w:rsid w:val="504242F5"/>
    <w:rsid w:val="50715259"/>
    <w:rsid w:val="5075461D"/>
    <w:rsid w:val="507C775A"/>
    <w:rsid w:val="508D5E0B"/>
    <w:rsid w:val="508F1B83"/>
    <w:rsid w:val="50B25281"/>
    <w:rsid w:val="50D41344"/>
    <w:rsid w:val="50E21CB3"/>
    <w:rsid w:val="50E579F5"/>
    <w:rsid w:val="50E7376D"/>
    <w:rsid w:val="50E87836"/>
    <w:rsid w:val="50EA500B"/>
    <w:rsid w:val="50F83282"/>
    <w:rsid w:val="50FB4B23"/>
    <w:rsid w:val="510C4F82"/>
    <w:rsid w:val="510D4856"/>
    <w:rsid w:val="511011B8"/>
    <w:rsid w:val="51173459"/>
    <w:rsid w:val="51265C7E"/>
    <w:rsid w:val="513D15DF"/>
    <w:rsid w:val="51422684"/>
    <w:rsid w:val="514814EC"/>
    <w:rsid w:val="5153670D"/>
    <w:rsid w:val="515E4990"/>
    <w:rsid w:val="515F1555"/>
    <w:rsid w:val="516649CE"/>
    <w:rsid w:val="517C4963"/>
    <w:rsid w:val="51990EDC"/>
    <w:rsid w:val="51991216"/>
    <w:rsid w:val="51A83B47"/>
    <w:rsid w:val="51AC22C1"/>
    <w:rsid w:val="51B17E6B"/>
    <w:rsid w:val="51CB2747"/>
    <w:rsid w:val="51D35A9F"/>
    <w:rsid w:val="51D830B6"/>
    <w:rsid w:val="51DB032E"/>
    <w:rsid w:val="51E41A5B"/>
    <w:rsid w:val="51EB4B97"/>
    <w:rsid w:val="51EE6435"/>
    <w:rsid w:val="5201260D"/>
    <w:rsid w:val="52072F1E"/>
    <w:rsid w:val="520B7076"/>
    <w:rsid w:val="5217644D"/>
    <w:rsid w:val="52374280"/>
    <w:rsid w:val="523C1897"/>
    <w:rsid w:val="523F4EE3"/>
    <w:rsid w:val="52447209"/>
    <w:rsid w:val="524620FA"/>
    <w:rsid w:val="5274360D"/>
    <w:rsid w:val="52756B57"/>
    <w:rsid w:val="528B637A"/>
    <w:rsid w:val="52972F71"/>
    <w:rsid w:val="529E2457"/>
    <w:rsid w:val="529F1D68"/>
    <w:rsid w:val="52B4142D"/>
    <w:rsid w:val="52BF7DD2"/>
    <w:rsid w:val="52C75604"/>
    <w:rsid w:val="52DA5E34"/>
    <w:rsid w:val="530A3743"/>
    <w:rsid w:val="532011D7"/>
    <w:rsid w:val="53395DD6"/>
    <w:rsid w:val="533E519B"/>
    <w:rsid w:val="5347038D"/>
    <w:rsid w:val="534A6CD4"/>
    <w:rsid w:val="534E7AD3"/>
    <w:rsid w:val="538B4884"/>
    <w:rsid w:val="53A63921"/>
    <w:rsid w:val="53AC47FA"/>
    <w:rsid w:val="53AF3411"/>
    <w:rsid w:val="53CC5791"/>
    <w:rsid w:val="53D95D45"/>
    <w:rsid w:val="53DA1367"/>
    <w:rsid w:val="53EB53BD"/>
    <w:rsid w:val="53F8359B"/>
    <w:rsid w:val="5402266C"/>
    <w:rsid w:val="541B4938"/>
    <w:rsid w:val="544669FD"/>
    <w:rsid w:val="54505185"/>
    <w:rsid w:val="5455279C"/>
    <w:rsid w:val="545671EC"/>
    <w:rsid w:val="54611097"/>
    <w:rsid w:val="54647FD3"/>
    <w:rsid w:val="54813591"/>
    <w:rsid w:val="5487370E"/>
    <w:rsid w:val="549F610D"/>
    <w:rsid w:val="54BC0090"/>
    <w:rsid w:val="54C55D83"/>
    <w:rsid w:val="54CD4A28"/>
    <w:rsid w:val="54D15F1A"/>
    <w:rsid w:val="54D264E2"/>
    <w:rsid w:val="54D65699"/>
    <w:rsid w:val="54E01D6C"/>
    <w:rsid w:val="54E47B17"/>
    <w:rsid w:val="54E9481D"/>
    <w:rsid w:val="54F226E1"/>
    <w:rsid w:val="55094443"/>
    <w:rsid w:val="554127C0"/>
    <w:rsid w:val="554B78D9"/>
    <w:rsid w:val="554F7B33"/>
    <w:rsid w:val="55560EC1"/>
    <w:rsid w:val="5579695E"/>
    <w:rsid w:val="557D19A9"/>
    <w:rsid w:val="55AF2380"/>
    <w:rsid w:val="55B55BE8"/>
    <w:rsid w:val="55B87486"/>
    <w:rsid w:val="55C470D8"/>
    <w:rsid w:val="55CE6CAA"/>
    <w:rsid w:val="55DF5DA8"/>
    <w:rsid w:val="55EF136D"/>
    <w:rsid w:val="55F55C55"/>
    <w:rsid w:val="55FF19E0"/>
    <w:rsid w:val="56064695"/>
    <w:rsid w:val="561641AD"/>
    <w:rsid w:val="56177EC9"/>
    <w:rsid w:val="563034C0"/>
    <w:rsid w:val="5635492A"/>
    <w:rsid w:val="565A30DD"/>
    <w:rsid w:val="5684052B"/>
    <w:rsid w:val="568D26C1"/>
    <w:rsid w:val="56900687"/>
    <w:rsid w:val="56921A85"/>
    <w:rsid w:val="569577C7"/>
    <w:rsid w:val="569976E5"/>
    <w:rsid w:val="56AB18AC"/>
    <w:rsid w:val="56B75B4E"/>
    <w:rsid w:val="56BA5480"/>
    <w:rsid w:val="56DA342C"/>
    <w:rsid w:val="56E16569"/>
    <w:rsid w:val="56ED315F"/>
    <w:rsid w:val="56F25D16"/>
    <w:rsid w:val="56F72230"/>
    <w:rsid w:val="56F770C8"/>
    <w:rsid w:val="56F95FA8"/>
    <w:rsid w:val="570F0DAD"/>
    <w:rsid w:val="570F1328"/>
    <w:rsid w:val="57136DC9"/>
    <w:rsid w:val="571406EC"/>
    <w:rsid w:val="571C1C97"/>
    <w:rsid w:val="5728512E"/>
    <w:rsid w:val="572B3928"/>
    <w:rsid w:val="572F6536"/>
    <w:rsid w:val="57342B3C"/>
    <w:rsid w:val="57394670"/>
    <w:rsid w:val="57443D1C"/>
    <w:rsid w:val="57474391"/>
    <w:rsid w:val="575738E1"/>
    <w:rsid w:val="5769056B"/>
    <w:rsid w:val="57715B3F"/>
    <w:rsid w:val="577949F3"/>
    <w:rsid w:val="579730CB"/>
    <w:rsid w:val="579B705F"/>
    <w:rsid w:val="57AE0B41"/>
    <w:rsid w:val="57D460CD"/>
    <w:rsid w:val="57D52571"/>
    <w:rsid w:val="57DB745C"/>
    <w:rsid w:val="57E24C8E"/>
    <w:rsid w:val="57F246BE"/>
    <w:rsid w:val="57F648EB"/>
    <w:rsid w:val="5800138A"/>
    <w:rsid w:val="5809221B"/>
    <w:rsid w:val="5814296E"/>
    <w:rsid w:val="582B03E3"/>
    <w:rsid w:val="58550FBC"/>
    <w:rsid w:val="585F0D52"/>
    <w:rsid w:val="586525C2"/>
    <w:rsid w:val="586557AC"/>
    <w:rsid w:val="5867455C"/>
    <w:rsid w:val="5873531B"/>
    <w:rsid w:val="587A5C94"/>
    <w:rsid w:val="588B42F5"/>
    <w:rsid w:val="588D4BFA"/>
    <w:rsid w:val="589C308F"/>
    <w:rsid w:val="58A81A34"/>
    <w:rsid w:val="58AA5026"/>
    <w:rsid w:val="58C139D3"/>
    <w:rsid w:val="58C93758"/>
    <w:rsid w:val="58DC7930"/>
    <w:rsid w:val="58DE5456"/>
    <w:rsid w:val="58E04D23"/>
    <w:rsid w:val="58F033DB"/>
    <w:rsid w:val="5939268C"/>
    <w:rsid w:val="593B4E3B"/>
    <w:rsid w:val="59466C53"/>
    <w:rsid w:val="595E4E8C"/>
    <w:rsid w:val="59617E35"/>
    <w:rsid w:val="596E25BB"/>
    <w:rsid w:val="59722042"/>
    <w:rsid w:val="59777658"/>
    <w:rsid w:val="59796F2C"/>
    <w:rsid w:val="59883E35"/>
    <w:rsid w:val="599E0ACF"/>
    <w:rsid w:val="59AD3D34"/>
    <w:rsid w:val="59B03888"/>
    <w:rsid w:val="59C503C4"/>
    <w:rsid w:val="59C65211"/>
    <w:rsid w:val="59D5227A"/>
    <w:rsid w:val="59E03A0F"/>
    <w:rsid w:val="59F36CDF"/>
    <w:rsid w:val="59F91818"/>
    <w:rsid w:val="5A033D79"/>
    <w:rsid w:val="5A172243"/>
    <w:rsid w:val="5A196ED2"/>
    <w:rsid w:val="5A1F5D26"/>
    <w:rsid w:val="5A3317D1"/>
    <w:rsid w:val="5A395B76"/>
    <w:rsid w:val="5A432F55"/>
    <w:rsid w:val="5A5878B5"/>
    <w:rsid w:val="5A707ABE"/>
    <w:rsid w:val="5A9102A6"/>
    <w:rsid w:val="5AA2093F"/>
    <w:rsid w:val="5AA95EA4"/>
    <w:rsid w:val="5AB53F94"/>
    <w:rsid w:val="5ABC3575"/>
    <w:rsid w:val="5AC1599C"/>
    <w:rsid w:val="5AC266B1"/>
    <w:rsid w:val="5AC661A1"/>
    <w:rsid w:val="5AD63E09"/>
    <w:rsid w:val="5B0A75F6"/>
    <w:rsid w:val="5B123195"/>
    <w:rsid w:val="5B1C2265"/>
    <w:rsid w:val="5B1D229B"/>
    <w:rsid w:val="5B223606"/>
    <w:rsid w:val="5B266C40"/>
    <w:rsid w:val="5B27382E"/>
    <w:rsid w:val="5B2D4472"/>
    <w:rsid w:val="5B4332B6"/>
    <w:rsid w:val="5B4B66A7"/>
    <w:rsid w:val="5B4F1634"/>
    <w:rsid w:val="5B5C4D58"/>
    <w:rsid w:val="5B5E0F00"/>
    <w:rsid w:val="5B85794B"/>
    <w:rsid w:val="5B8F0C89"/>
    <w:rsid w:val="5B9E7C72"/>
    <w:rsid w:val="5BA87F9D"/>
    <w:rsid w:val="5BAF4E87"/>
    <w:rsid w:val="5BDE39BF"/>
    <w:rsid w:val="5BE65C1B"/>
    <w:rsid w:val="5BF31218"/>
    <w:rsid w:val="5BFD68E7"/>
    <w:rsid w:val="5C050F4B"/>
    <w:rsid w:val="5C126D3C"/>
    <w:rsid w:val="5C1271C4"/>
    <w:rsid w:val="5C353147"/>
    <w:rsid w:val="5C4B1054"/>
    <w:rsid w:val="5C4C3692"/>
    <w:rsid w:val="5C5B500F"/>
    <w:rsid w:val="5C675762"/>
    <w:rsid w:val="5C682BEC"/>
    <w:rsid w:val="5C6F159D"/>
    <w:rsid w:val="5C86208C"/>
    <w:rsid w:val="5C9A1694"/>
    <w:rsid w:val="5C9D1184"/>
    <w:rsid w:val="5CA408A7"/>
    <w:rsid w:val="5CA7123C"/>
    <w:rsid w:val="5CAE15E3"/>
    <w:rsid w:val="5CC42BB4"/>
    <w:rsid w:val="5CC826A5"/>
    <w:rsid w:val="5CDC7EFE"/>
    <w:rsid w:val="5CE768A3"/>
    <w:rsid w:val="5CF60D2A"/>
    <w:rsid w:val="5CF77950"/>
    <w:rsid w:val="5CFF3BED"/>
    <w:rsid w:val="5D041203"/>
    <w:rsid w:val="5D101956"/>
    <w:rsid w:val="5D2E44D2"/>
    <w:rsid w:val="5D3874C9"/>
    <w:rsid w:val="5D441D14"/>
    <w:rsid w:val="5D50269A"/>
    <w:rsid w:val="5D5E4DB7"/>
    <w:rsid w:val="5D66733F"/>
    <w:rsid w:val="5D814602"/>
    <w:rsid w:val="5D8B36D2"/>
    <w:rsid w:val="5D972077"/>
    <w:rsid w:val="5DAE426C"/>
    <w:rsid w:val="5DAF467E"/>
    <w:rsid w:val="5DCD04E0"/>
    <w:rsid w:val="5DD03A54"/>
    <w:rsid w:val="5DD15BF4"/>
    <w:rsid w:val="5DD25BBB"/>
    <w:rsid w:val="5E113BD7"/>
    <w:rsid w:val="5E1D1CEB"/>
    <w:rsid w:val="5E23390B"/>
    <w:rsid w:val="5E311C0C"/>
    <w:rsid w:val="5E7F3778"/>
    <w:rsid w:val="5E895C8E"/>
    <w:rsid w:val="5E912DD4"/>
    <w:rsid w:val="5EB17564"/>
    <w:rsid w:val="5EBA71C0"/>
    <w:rsid w:val="5EC1275E"/>
    <w:rsid w:val="5EC70272"/>
    <w:rsid w:val="5ED2780B"/>
    <w:rsid w:val="5ED510A9"/>
    <w:rsid w:val="5F20216B"/>
    <w:rsid w:val="5F36439B"/>
    <w:rsid w:val="5F73441E"/>
    <w:rsid w:val="5F755A2A"/>
    <w:rsid w:val="5F7C0F2F"/>
    <w:rsid w:val="5F814D8D"/>
    <w:rsid w:val="5F8959EF"/>
    <w:rsid w:val="5F920D48"/>
    <w:rsid w:val="5F9745B0"/>
    <w:rsid w:val="5F996C51"/>
    <w:rsid w:val="5FA40A7B"/>
    <w:rsid w:val="5FB07420"/>
    <w:rsid w:val="5FC01D78"/>
    <w:rsid w:val="5FC04410"/>
    <w:rsid w:val="5FC652C4"/>
    <w:rsid w:val="5FC845C3"/>
    <w:rsid w:val="5FCB6F0A"/>
    <w:rsid w:val="5FE62E42"/>
    <w:rsid w:val="5FE66795"/>
    <w:rsid w:val="5FF27A39"/>
    <w:rsid w:val="6016735B"/>
    <w:rsid w:val="6017749F"/>
    <w:rsid w:val="601C6864"/>
    <w:rsid w:val="601F4747"/>
    <w:rsid w:val="602F6597"/>
    <w:rsid w:val="6037369D"/>
    <w:rsid w:val="6052321D"/>
    <w:rsid w:val="60546BB6"/>
    <w:rsid w:val="605D5D1D"/>
    <w:rsid w:val="60696BC9"/>
    <w:rsid w:val="606F4BE5"/>
    <w:rsid w:val="607E321C"/>
    <w:rsid w:val="608508AD"/>
    <w:rsid w:val="60915BC8"/>
    <w:rsid w:val="60A42170"/>
    <w:rsid w:val="60A51562"/>
    <w:rsid w:val="60AA20C1"/>
    <w:rsid w:val="60AE1BB1"/>
    <w:rsid w:val="60B151FE"/>
    <w:rsid w:val="60B44CEE"/>
    <w:rsid w:val="60C5514D"/>
    <w:rsid w:val="60C82547"/>
    <w:rsid w:val="60E5134B"/>
    <w:rsid w:val="60FD45FF"/>
    <w:rsid w:val="610E4B69"/>
    <w:rsid w:val="611A0FF5"/>
    <w:rsid w:val="612260FC"/>
    <w:rsid w:val="61292BC0"/>
    <w:rsid w:val="612B3202"/>
    <w:rsid w:val="612C0D28"/>
    <w:rsid w:val="61461DEA"/>
    <w:rsid w:val="614879D2"/>
    <w:rsid w:val="616008F1"/>
    <w:rsid w:val="616109D2"/>
    <w:rsid w:val="61695BFD"/>
    <w:rsid w:val="617969C3"/>
    <w:rsid w:val="61847169"/>
    <w:rsid w:val="618625DD"/>
    <w:rsid w:val="61903065"/>
    <w:rsid w:val="61932B55"/>
    <w:rsid w:val="6193642E"/>
    <w:rsid w:val="61B7149D"/>
    <w:rsid w:val="61D05B58"/>
    <w:rsid w:val="61DF0A47"/>
    <w:rsid w:val="620852F1"/>
    <w:rsid w:val="621048C9"/>
    <w:rsid w:val="6210694A"/>
    <w:rsid w:val="621231A6"/>
    <w:rsid w:val="621641CF"/>
    <w:rsid w:val="621A6DD3"/>
    <w:rsid w:val="62210161"/>
    <w:rsid w:val="62297F64"/>
    <w:rsid w:val="626631E9"/>
    <w:rsid w:val="627604AD"/>
    <w:rsid w:val="62775FD3"/>
    <w:rsid w:val="627B1F67"/>
    <w:rsid w:val="62861F1F"/>
    <w:rsid w:val="629139EC"/>
    <w:rsid w:val="62917095"/>
    <w:rsid w:val="62A16A87"/>
    <w:rsid w:val="62A96AD4"/>
    <w:rsid w:val="62CF7FE7"/>
    <w:rsid w:val="62D94CCA"/>
    <w:rsid w:val="62F615EE"/>
    <w:rsid w:val="631D2A8C"/>
    <w:rsid w:val="632223E3"/>
    <w:rsid w:val="63462575"/>
    <w:rsid w:val="63493E13"/>
    <w:rsid w:val="63495077"/>
    <w:rsid w:val="634F5CF7"/>
    <w:rsid w:val="635A1B7D"/>
    <w:rsid w:val="63666773"/>
    <w:rsid w:val="636C2E05"/>
    <w:rsid w:val="636C7B02"/>
    <w:rsid w:val="63822E81"/>
    <w:rsid w:val="638B7F88"/>
    <w:rsid w:val="638E7CD7"/>
    <w:rsid w:val="63936E3D"/>
    <w:rsid w:val="63A64DC2"/>
    <w:rsid w:val="63A90E76"/>
    <w:rsid w:val="63B55005"/>
    <w:rsid w:val="63B966E5"/>
    <w:rsid w:val="63CB5CCC"/>
    <w:rsid w:val="63EB4ECB"/>
    <w:rsid w:val="63F975E8"/>
    <w:rsid w:val="63FA3360"/>
    <w:rsid w:val="640B24A8"/>
    <w:rsid w:val="640B731B"/>
    <w:rsid w:val="641745A0"/>
    <w:rsid w:val="64370110"/>
    <w:rsid w:val="645C36D2"/>
    <w:rsid w:val="64754794"/>
    <w:rsid w:val="64824B18"/>
    <w:rsid w:val="64881976"/>
    <w:rsid w:val="64942E6C"/>
    <w:rsid w:val="64AE3CB5"/>
    <w:rsid w:val="64B13A1E"/>
    <w:rsid w:val="64B90B25"/>
    <w:rsid w:val="64CD637E"/>
    <w:rsid w:val="64D4595F"/>
    <w:rsid w:val="64DC03FF"/>
    <w:rsid w:val="64E33DF4"/>
    <w:rsid w:val="64EB1A9C"/>
    <w:rsid w:val="64EE6A20"/>
    <w:rsid w:val="64F425BA"/>
    <w:rsid w:val="650D6603"/>
    <w:rsid w:val="65200BA4"/>
    <w:rsid w:val="65202952"/>
    <w:rsid w:val="65210C32"/>
    <w:rsid w:val="652225D5"/>
    <w:rsid w:val="652F2B95"/>
    <w:rsid w:val="65311E05"/>
    <w:rsid w:val="65451957"/>
    <w:rsid w:val="658A0742"/>
    <w:rsid w:val="659770B8"/>
    <w:rsid w:val="65987EBF"/>
    <w:rsid w:val="659A6BA8"/>
    <w:rsid w:val="65AB4911"/>
    <w:rsid w:val="65B46366"/>
    <w:rsid w:val="65B64D6F"/>
    <w:rsid w:val="65BD63F3"/>
    <w:rsid w:val="65D025CA"/>
    <w:rsid w:val="65DC69B0"/>
    <w:rsid w:val="65E63B9C"/>
    <w:rsid w:val="65F570CF"/>
    <w:rsid w:val="65F773B0"/>
    <w:rsid w:val="66002CD4"/>
    <w:rsid w:val="661B7C6A"/>
    <w:rsid w:val="661D2FB5"/>
    <w:rsid w:val="662824C8"/>
    <w:rsid w:val="66320B8F"/>
    <w:rsid w:val="663E7534"/>
    <w:rsid w:val="66661757"/>
    <w:rsid w:val="666E2AF9"/>
    <w:rsid w:val="66763171"/>
    <w:rsid w:val="66790C11"/>
    <w:rsid w:val="667C005C"/>
    <w:rsid w:val="667E0B65"/>
    <w:rsid w:val="66827965"/>
    <w:rsid w:val="668F7D8F"/>
    <w:rsid w:val="66976C44"/>
    <w:rsid w:val="669B4986"/>
    <w:rsid w:val="669B7B39"/>
    <w:rsid w:val="66A51361"/>
    <w:rsid w:val="66A55805"/>
    <w:rsid w:val="66AC7A81"/>
    <w:rsid w:val="66AE4D0B"/>
    <w:rsid w:val="66B5494D"/>
    <w:rsid w:val="66B84695"/>
    <w:rsid w:val="66C935A7"/>
    <w:rsid w:val="66D103A8"/>
    <w:rsid w:val="66D32372"/>
    <w:rsid w:val="66DE0D17"/>
    <w:rsid w:val="66EF6A80"/>
    <w:rsid w:val="66F978FF"/>
    <w:rsid w:val="66FB71D3"/>
    <w:rsid w:val="670074C7"/>
    <w:rsid w:val="670523DE"/>
    <w:rsid w:val="670C5884"/>
    <w:rsid w:val="670D5158"/>
    <w:rsid w:val="67461D48"/>
    <w:rsid w:val="67472418"/>
    <w:rsid w:val="67486190"/>
    <w:rsid w:val="674A6CAF"/>
    <w:rsid w:val="675D7E8D"/>
    <w:rsid w:val="676034DA"/>
    <w:rsid w:val="67694A84"/>
    <w:rsid w:val="676F5B9F"/>
    <w:rsid w:val="67784F2E"/>
    <w:rsid w:val="678A67A9"/>
    <w:rsid w:val="678F1925"/>
    <w:rsid w:val="67942577"/>
    <w:rsid w:val="67975A9B"/>
    <w:rsid w:val="679A4C3E"/>
    <w:rsid w:val="67A92539"/>
    <w:rsid w:val="67CA4EF1"/>
    <w:rsid w:val="67D068B1"/>
    <w:rsid w:val="67DB7004"/>
    <w:rsid w:val="67E20393"/>
    <w:rsid w:val="67F76A7E"/>
    <w:rsid w:val="67F86871"/>
    <w:rsid w:val="683A668A"/>
    <w:rsid w:val="684352D5"/>
    <w:rsid w:val="684D1CB0"/>
    <w:rsid w:val="68570D81"/>
    <w:rsid w:val="685E3EBD"/>
    <w:rsid w:val="68646FFA"/>
    <w:rsid w:val="686F7E78"/>
    <w:rsid w:val="687E455F"/>
    <w:rsid w:val="687E630D"/>
    <w:rsid w:val="68807A84"/>
    <w:rsid w:val="688B0A2A"/>
    <w:rsid w:val="68955405"/>
    <w:rsid w:val="68A5389A"/>
    <w:rsid w:val="68AF3CA2"/>
    <w:rsid w:val="68BB130F"/>
    <w:rsid w:val="68C606AA"/>
    <w:rsid w:val="68CB0E27"/>
    <w:rsid w:val="68CC560D"/>
    <w:rsid w:val="68E02B24"/>
    <w:rsid w:val="68E97265"/>
    <w:rsid w:val="68EF0FB9"/>
    <w:rsid w:val="691E189E"/>
    <w:rsid w:val="692635EB"/>
    <w:rsid w:val="69272501"/>
    <w:rsid w:val="69342E70"/>
    <w:rsid w:val="693B41FE"/>
    <w:rsid w:val="693D07DD"/>
    <w:rsid w:val="6951757E"/>
    <w:rsid w:val="69561384"/>
    <w:rsid w:val="695D5F23"/>
    <w:rsid w:val="6962178B"/>
    <w:rsid w:val="696B6766"/>
    <w:rsid w:val="69775165"/>
    <w:rsid w:val="69807E63"/>
    <w:rsid w:val="698931BC"/>
    <w:rsid w:val="69B230A2"/>
    <w:rsid w:val="69C75CF9"/>
    <w:rsid w:val="69E2224C"/>
    <w:rsid w:val="69F148BD"/>
    <w:rsid w:val="69F819AA"/>
    <w:rsid w:val="6A021836"/>
    <w:rsid w:val="6A0C16F7"/>
    <w:rsid w:val="6A136F29"/>
    <w:rsid w:val="6A1707C7"/>
    <w:rsid w:val="6A187723"/>
    <w:rsid w:val="6A1D1B56"/>
    <w:rsid w:val="6A1D2B18"/>
    <w:rsid w:val="6A1F767C"/>
    <w:rsid w:val="6A220F1A"/>
    <w:rsid w:val="6A242416"/>
    <w:rsid w:val="6A2B6021"/>
    <w:rsid w:val="6A595414"/>
    <w:rsid w:val="6A5A4A67"/>
    <w:rsid w:val="6A5C61DA"/>
    <w:rsid w:val="6A6E7FF3"/>
    <w:rsid w:val="6A700C09"/>
    <w:rsid w:val="6A7C7B3D"/>
    <w:rsid w:val="6A8E3BBF"/>
    <w:rsid w:val="6AA67D9D"/>
    <w:rsid w:val="6AAD6A36"/>
    <w:rsid w:val="6AC57AA5"/>
    <w:rsid w:val="6AC801AA"/>
    <w:rsid w:val="6AD52DBB"/>
    <w:rsid w:val="6B0A70A4"/>
    <w:rsid w:val="6B3453A9"/>
    <w:rsid w:val="6B3B6738"/>
    <w:rsid w:val="6B3D24B0"/>
    <w:rsid w:val="6B427C02"/>
    <w:rsid w:val="6B5477F9"/>
    <w:rsid w:val="6B685053"/>
    <w:rsid w:val="6B7457A6"/>
    <w:rsid w:val="6B7F4739"/>
    <w:rsid w:val="6B8A4FC9"/>
    <w:rsid w:val="6B8F0831"/>
    <w:rsid w:val="6B8F553E"/>
    <w:rsid w:val="6B9A5FD4"/>
    <w:rsid w:val="6BA46CC3"/>
    <w:rsid w:val="6BA75B7B"/>
    <w:rsid w:val="6BC57F00"/>
    <w:rsid w:val="6BFD579B"/>
    <w:rsid w:val="6C042FCD"/>
    <w:rsid w:val="6C156F89"/>
    <w:rsid w:val="6C20148A"/>
    <w:rsid w:val="6C21563C"/>
    <w:rsid w:val="6C256AA0"/>
    <w:rsid w:val="6C2D70F8"/>
    <w:rsid w:val="6C411B7B"/>
    <w:rsid w:val="6C44786E"/>
    <w:rsid w:val="6C5555D7"/>
    <w:rsid w:val="6C5C0714"/>
    <w:rsid w:val="6C784200"/>
    <w:rsid w:val="6C883102"/>
    <w:rsid w:val="6C9431CC"/>
    <w:rsid w:val="6CA87E24"/>
    <w:rsid w:val="6CAB1AEE"/>
    <w:rsid w:val="6CAE2F39"/>
    <w:rsid w:val="6CAF10DA"/>
    <w:rsid w:val="6CB513FE"/>
    <w:rsid w:val="6CD52274"/>
    <w:rsid w:val="6CDA06B8"/>
    <w:rsid w:val="6D0715F8"/>
    <w:rsid w:val="6D0843F7"/>
    <w:rsid w:val="6D30394E"/>
    <w:rsid w:val="6D357FAA"/>
    <w:rsid w:val="6D426B56"/>
    <w:rsid w:val="6D505108"/>
    <w:rsid w:val="6D8238F3"/>
    <w:rsid w:val="6D920165"/>
    <w:rsid w:val="6DA02882"/>
    <w:rsid w:val="6DA51185"/>
    <w:rsid w:val="6DA700B4"/>
    <w:rsid w:val="6DB1683D"/>
    <w:rsid w:val="6DBB5AC1"/>
    <w:rsid w:val="6DC9483E"/>
    <w:rsid w:val="6DCF4F15"/>
    <w:rsid w:val="6DD15131"/>
    <w:rsid w:val="6E0468F3"/>
    <w:rsid w:val="6E0F3BC8"/>
    <w:rsid w:val="6E0F7A08"/>
    <w:rsid w:val="6E113780"/>
    <w:rsid w:val="6E160D96"/>
    <w:rsid w:val="6E38263C"/>
    <w:rsid w:val="6E4B6C92"/>
    <w:rsid w:val="6E526272"/>
    <w:rsid w:val="6E567748"/>
    <w:rsid w:val="6E573B2B"/>
    <w:rsid w:val="6E597EC6"/>
    <w:rsid w:val="6E663ACB"/>
    <w:rsid w:val="6E7A7577"/>
    <w:rsid w:val="6E94481B"/>
    <w:rsid w:val="6EA2373C"/>
    <w:rsid w:val="6ED547AD"/>
    <w:rsid w:val="6EDF387E"/>
    <w:rsid w:val="6F0357BE"/>
    <w:rsid w:val="6F0B01CF"/>
    <w:rsid w:val="6F241291"/>
    <w:rsid w:val="6F255735"/>
    <w:rsid w:val="6F570FB3"/>
    <w:rsid w:val="6F6F075E"/>
    <w:rsid w:val="6F76051D"/>
    <w:rsid w:val="6F7658CB"/>
    <w:rsid w:val="6F8D32DA"/>
    <w:rsid w:val="6F976FBE"/>
    <w:rsid w:val="6FA359EB"/>
    <w:rsid w:val="6FAC3933"/>
    <w:rsid w:val="6FB42615"/>
    <w:rsid w:val="6FBB39A3"/>
    <w:rsid w:val="6FC2181A"/>
    <w:rsid w:val="6FC36CFC"/>
    <w:rsid w:val="6FCA63E4"/>
    <w:rsid w:val="6FD26F3F"/>
    <w:rsid w:val="6FD9207B"/>
    <w:rsid w:val="6FF218DD"/>
    <w:rsid w:val="6FF42BE0"/>
    <w:rsid w:val="6FFC41AF"/>
    <w:rsid w:val="704C4F43"/>
    <w:rsid w:val="705D0EFE"/>
    <w:rsid w:val="706B361B"/>
    <w:rsid w:val="706C2EEF"/>
    <w:rsid w:val="70761F1B"/>
    <w:rsid w:val="708B5A6B"/>
    <w:rsid w:val="708C1ED2"/>
    <w:rsid w:val="70CB230C"/>
    <w:rsid w:val="70CF61A4"/>
    <w:rsid w:val="70E32593"/>
    <w:rsid w:val="70E801A2"/>
    <w:rsid w:val="7104581E"/>
    <w:rsid w:val="71094BE2"/>
    <w:rsid w:val="71132E62"/>
    <w:rsid w:val="711D41EA"/>
    <w:rsid w:val="71222297"/>
    <w:rsid w:val="712D08D1"/>
    <w:rsid w:val="71347EB1"/>
    <w:rsid w:val="714348B5"/>
    <w:rsid w:val="71554590"/>
    <w:rsid w:val="715D01AD"/>
    <w:rsid w:val="71956476"/>
    <w:rsid w:val="719941B8"/>
    <w:rsid w:val="719B1CDE"/>
    <w:rsid w:val="719E357C"/>
    <w:rsid w:val="71A87F57"/>
    <w:rsid w:val="71B86786"/>
    <w:rsid w:val="71BD1788"/>
    <w:rsid w:val="71C50B09"/>
    <w:rsid w:val="71E11004"/>
    <w:rsid w:val="71F91ED7"/>
    <w:rsid w:val="722515A8"/>
    <w:rsid w:val="7228286C"/>
    <w:rsid w:val="723979C9"/>
    <w:rsid w:val="725E4ABA"/>
    <w:rsid w:val="727265AC"/>
    <w:rsid w:val="727A00F4"/>
    <w:rsid w:val="727B1B10"/>
    <w:rsid w:val="727D13E4"/>
    <w:rsid w:val="72921CB6"/>
    <w:rsid w:val="72A526E9"/>
    <w:rsid w:val="72D655D0"/>
    <w:rsid w:val="72D71070"/>
    <w:rsid w:val="72E43211"/>
    <w:rsid w:val="72EC1039"/>
    <w:rsid w:val="72F00843"/>
    <w:rsid w:val="72F13B80"/>
    <w:rsid w:val="73004C2C"/>
    <w:rsid w:val="7304330F"/>
    <w:rsid w:val="731801D9"/>
    <w:rsid w:val="73243F55"/>
    <w:rsid w:val="732857F3"/>
    <w:rsid w:val="732E5FCC"/>
    <w:rsid w:val="733073F8"/>
    <w:rsid w:val="73337CF4"/>
    <w:rsid w:val="733817AF"/>
    <w:rsid w:val="73412411"/>
    <w:rsid w:val="73440778"/>
    <w:rsid w:val="734463A5"/>
    <w:rsid w:val="73520AC2"/>
    <w:rsid w:val="7354659D"/>
    <w:rsid w:val="7358775B"/>
    <w:rsid w:val="735C549D"/>
    <w:rsid w:val="73840550"/>
    <w:rsid w:val="738569C1"/>
    <w:rsid w:val="739509AF"/>
    <w:rsid w:val="739E05EA"/>
    <w:rsid w:val="73B04B84"/>
    <w:rsid w:val="73B565D1"/>
    <w:rsid w:val="73B928EF"/>
    <w:rsid w:val="73C052CC"/>
    <w:rsid w:val="73CA0659"/>
    <w:rsid w:val="73D14B63"/>
    <w:rsid w:val="73DC3547"/>
    <w:rsid w:val="73ED2599"/>
    <w:rsid w:val="73F04C23"/>
    <w:rsid w:val="740B464C"/>
    <w:rsid w:val="740B64F7"/>
    <w:rsid w:val="740D6797"/>
    <w:rsid w:val="74113F05"/>
    <w:rsid w:val="74163F16"/>
    <w:rsid w:val="741C69DA"/>
    <w:rsid w:val="741F5CE3"/>
    <w:rsid w:val="742424F5"/>
    <w:rsid w:val="742918AA"/>
    <w:rsid w:val="742F7278"/>
    <w:rsid w:val="743104B5"/>
    <w:rsid w:val="744103B3"/>
    <w:rsid w:val="7450221E"/>
    <w:rsid w:val="74566390"/>
    <w:rsid w:val="7458046D"/>
    <w:rsid w:val="745A6E93"/>
    <w:rsid w:val="749F595E"/>
    <w:rsid w:val="74AA2238"/>
    <w:rsid w:val="74CA4688"/>
    <w:rsid w:val="74DF0134"/>
    <w:rsid w:val="74E4574A"/>
    <w:rsid w:val="74F57957"/>
    <w:rsid w:val="74F87650"/>
    <w:rsid w:val="75114065"/>
    <w:rsid w:val="751A5610"/>
    <w:rsid w:val="75271AF0"/>
    <w:rsid w:val="7535244A"/>
    <w:rsid w:val="7539539D"/>
    <w:rsid w:val="7564688B"/>
    <w:rsid w:val="75695C4F"/>
    <w:rsid w:val="757B0B57"/>
    <w:rsid w:val="759248B8"/>
    <w:rsid w:val="759C7DD3"/>
    <w:rsid w:val="75A153E9"/>
    <w:rsid w:val="75CB6E7D"/>
    <w:rsid w:val="75E33C54"/>
    <w:rsid w:val="75EA3234"/>
    <w:rsid w:val="75ED3231"/>
    <w:rsid w:val="75FC2C73"/>
    <w:rsid w:val="76043F4C"/>
    <w:rsid w:val="76047756"/>
    <w:rsid w:val="76155660"/>
    <w:rsid w:val="761B33ED"/>
    <w:rsid w:val="761E5D99"/>
    <w:rsid w:val="761F03BE"/>
    <w:rsid w:val="7627010D"/>
    <w:rsid w:val="762B1157"/>
    <w:rsid w:val="763343BD"/>
    <w:rsid w:val="764A5A81"/>
    <w:rsid w:val="766111DA"/>
    <w:rsid w:val="76612DCA"/>
    <w:rsid w:val="766528BB"/>
    <w:rsid w:val="766A1C7F"/>
    <w:rsid w:val="767B20DE"/>
    <w:rsid w:val="767B7C93"/>
    <w:rsid w:val="76911902"/>
    <w:rsid w:val="7694586D"/>
    <w:rsid w:val="76960CC6"/>
    <w:rsid w:val="76AD15C4"/>
    <w:rsid w:val="76B13D52"/>
    <w:rsid w:val="76B4739E"/>
    <w:rsid w:val="76C660B4"/>
    <w:rsid w:val="76C75323"/>
    <w:rsid w:val="76D1655C"/>
    <w:rsid w:val="76D25D41"/>
    <w:rsid w:val="76DA32A9"/>
    <w:rsid w:val="76E666DE"/>
    <w:rsid w:val="76E72AA0"/>
    <w:rsid w:val="76E732D0"/>
    <w:rsid w:val="76EA1012"/>
    <w:rsid w:val="76EA715A"/>
    <w:rsid w:val="76F65D23"/>
    <w:rsid w:val="7701090C"/>
    <w:rsid w:val="77020109"/>
    <w:rsid w:val="770D3445"/>
    <w:rsid w:val="771A711A"/>
    <w:rsid w:val="771D4F43"/>
    <w:rsid w:val="772A600E"/>
    <w:rsid w:val="77336515"/>
    <w:rsid w:val="77362975"/>
    <w:rsid w:val="77444BC6"/>
    <w:rsid w:val="77577349"/>
    <w:rsid w:val="775A6197"/>
    <w:rsid w:val="77660698"/>
    <w:rsid w:val="7767546B"/>
    <w:rsid w:val="776D7992"/>
    <w:rsid w:val="777C4360"/>
    <w:rsid w:val="77955421"/>
    <w:rsid w:val="77A11A30"/>
    <w:rsid w:val="77A411C1"/>
    <w:rsid w:val="77B238DE"/>
    <w:rsid w:val="77B75398"/>
    <w:rsid w:val="77C27EEE"/>
    <w:rsid w:val="77D5581E"/>
    <w:rsid w:val="77F24622"/>
    <w:rsid w:val="77F71C38"/>
    <w:rsid w:val="780D57F6"/>
    <w:rsid w:val="78106856"/>
    <w:rsid w:val="781E4FE7"/>
    <w:rsid w:val="783B7D77"/>
    <w:rsid w:val="7840256B"/>
    <w:rsid w:val="7879089F"/>
    <w:rsid w:val="7884096A"/>
    <w:rsid w:val="78850FF2"/>
    <w:rsid w:val="789524E8"/>
    <w:rsid w:val="78B00D51"/>
    <w:rsid w:val="78B611AB"/>
    <w:rsid w:val="78B876D1"/>
    <w:rsid w:val="78CA10FB"/>
    <w:rsid w:val="78E03E67"/>
    <w:rsid w:val="78E20A03"/>
    <w:rsid w:val="78F06D68"/>
    <w:rsid w:val="78F55DA6"/>
    <w:rsid w:val="790E548B"/>
    <w:rsid w:val="79181E66"/>
    <w:rsid w:val="79236E7C"/>
    <w:rsid w:val="79297BCF"/>
    <w:rsid w:val="792A1B99"/>
    <w:rsid w:val="79347262"/>
    <w:rsid w:val="794013BD"/>
    <w:rsid w:val="79601EBC"/>
    <w:rsid w:val="796A6073"/>
    <w:rsid w:val="796B1B89"/>
    <w:rsid w:val="797A64AA"/>
    <w:rsid w:val="797B008A"/>
    <w:rsid w:val="797E123F"/>
    <w:rsid w:val="798516DF"/>
    <w:rsid w:val="798C015E"/>
    <w:rsid w:val="79921C19"/>
    <w:rsid w:val="799A2BD9"/>
    <w:rsid w:val="79C618C2"/>
    <w:rsid w:val="79D60BD1"/>
    <w:rsid w:val="79D73ACF"/>
    <w:rsid w:val="79E46056"/>
    <w:rsid w:val="79F57588"/>
    <w:rsid w:val="7A0C534E"/>
    <w:rsid w:val="7A173ECC"/>
    <w:rsid w:val="7A222CE3"/>
    <w:rsid w:val="7A291E51"/>
    <w:rsid w:val="7A5046D0"/>
    <w:rsid w:val="7A6B4218"/>
    <w:rsid w:val="7A72784E"/>
    <w:rsid w:val="7A735C4D"/>
    <w:rsid w:val="7A8C2B0C"/>
    <w:rsid w:val="7A8E7C8A"/>
    <w:rsid w:val="7A9F01F0"/>
    <w:rsid w:val="7ABB5863"/>
    <w:rsid w:val="7AF10BC1"/>
    <w:rsid w:val="7B0152A5"/>
    <w:rsid w:val="7B112B38"/>
    <w:rsid w:val="7B2A5E81"/>
    <w:rsid w:val="7B2C7E4B"/>
    <w:rsid w:val="7B2F16E9"/>
    <w:rsid w:val="7B49220C"/>
    <w:rsid w:val="7B7567C0"/>
    <w:rsid w:val="7B7B66DC"/>
    <w:rsid w:val="7B7C27FB"/>
    <w:rsid w:val="7B7D2454"/>
    <w:rsid w:val="7B9072BC"/>
    <w:rsid w:val="7B944A08"/>
    <w:rsid w:val="7B9F57C7"/>
    <w:rsid w:val="7BA479E1"/>
    <w:rsid w:val="7BE20509"/>
    <w:rsid w:val="7BFF1417"/>
    <w:rsid w:val="7C0C5586"/>
    <w:rsid w:val="7C1103AD"/>
    <w:rsid w:val="7C1B3C5D"/>
    <w:rsid w:val="7C1D1542"/>
    <w:rsid w:val="7C266648"/>
    <w:rsid w:val="7C2823C0"/>
    <w:rsid w:val="7C354382"/>
    <w:rsid w:val="7C454E41"/>
    <w:rsid w:val="7C563402"/>
    <w:rsid w:val="7C5E2286"/>
    <w:rsid w:val="7C686C61"/>
    <w:rsid w:val="7C6C58C7"/>
    <w:rsid w:val="7C765D1B"/>
    <w:rsid w:val="7C7B659E"/>
    <w:rsid w:val="7C7E0232"/>
    <w:rsid w:val="7C9712F4"/>
    <w:rsid w:val="7C9B0FDB"/>
    <w:rsid w:val="7CA51C63"/>
    <w:rsid w:val="7CB81B01"/>
    <w:rsid w:val="7CBA4D6C"/>
    <w:rsid w:val="7CC0084B"/>
    <w:rsid w:val="7CC85951"/>
    <w:rsid w:val="7CCC5441"/>
    <w:rsid w:val="7CD23C7F"/>
    <w:rsid w:val="7CD24BAE"/>
    <w:rsid w:val="7CE56503"/>
    <w:rsid w:val="7D0022D8"/>
    <w:rsid w:val="7D033147"/>
    <w:rsid w:val="7D1066E2"/>
    <w:rsid w:val="7D1B179B"/>
    <w:rsid w:val="7D1B3CD3"/>
    <w:rsid w:val="7D1C7A4B"/>
    <w:rsid w:val="7D227CB6"/>
    <w:rsid w:val="7D300C5A"/>
    <w:rsid w:val="7D494CE4"/>
    <w:rsid w:val="7D4C0330"/>
    <w:rsid w:val="7D6E77CB"/>
    <w:rsid w:val="7D811B7B"/>
    <w:rsid w:val="7D836171"/>
    <w:rsid w:val="7D8C2E23"/>
    <w:rsid w:val="7D8E7BDF"/>
    <w:rsid w:val="7DBA0B43"/>
    <w:rsid w:val="7DC720AD"/>
    <w:rsid w:val="7DDD5A02"/>
    <w:rsid w:val="7E022C63"/>
    <w:rsid w:val="7E1101F8"/>
    <w:rsid w:val="7E295C79"/>
    <w:rsid w:val="7E3E4800"/>
    <w:rsid w:val="7E696CC0"/>
    <w:rsid w:val="7E7B41B8"/>
    <w:rsid w:val="7E7F0292"/>
    <w:rsid w:val="7E835AFC"/>
    <w:rsid w:val="7E851714"/>
    <w:rsid w:val="7E88060D"/>
    <w:rsid w:val="7E966D9F"/>
    <w:rsid w:val="7EA1645A"/>
    <w:rsid w:val="7EA45F4A"/>
    <w:rsid w:val="7ECF1219"/>
    <w:rsid w:val="7ED20D09"/>
    <w:rsid w:val="7EE02B0F"/>
    <w:rsid w:val="7EF14CDF"/>
    <w:rsid w:val="7EF16259"/>
    <w:rsid w:val="7EF163A6"/>
    <w:rsid w:val="7F0A3FFF"/>
    <w:rsid w:val="7F0D7FB9"/>
    <w:rsid w:val="7F2B0D53"/>
    <w:rsid w:val="7F3E639F"/>
    <w:rsid w:val="7F4E65E2"/>
    <w:rsid w:val="7F60063A"/>
    <w:rsid w:val="7F6A7194"/>
    <w:rsid w:val="7F7F5D50"/>
    <w:rsid w:val="7F824AFD"/>
    <w:rsid w:val="7F9A5B2F"/>
    <w:rsid w:val="7F9B559F"/>
    <w:rsid w:val="7FA0125F"/>
    <w:rsid w:val="7FA043A1"/>
    <w:rsid w:val="7FB36445"/>
    <w:rsid w:val="7FCB7818"/>
    <w:rsid w:val="7FCB7C32"/>
    <w:rsid w:val="7FD12D6F"/>
    <w:rsid w:val="7FD44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1"/>
    <w:qFormat/>
    <w:uiPriority w:val="0"/>
    <w:pPr>
      <w:jc w:val="left"/>
    </w:pPr>
  </w:style>
  <w:style w:type="paragraph" w:styleId="5">
    <w:name w:val="Body Text Indent"/>
    <w:basedOn w:val="1"/>
    <w:qFormat/>
    <w:uiPriority w:val="0"/>
    <w:pPr>
      <w:tabs>
        <w:tab w:val="left" w:pos="840"/>
      </w:tabs>
      <w:snapToGrid w:val="0"/>
      <w:spacing w:line="300" w:lineRule="exact"/>
      <w:ind w:left="630" w:leftChars="300"/>
    </w:pPr>
  </w:style>
  <w:style w:type="paragraph" w:styleId="6">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annotation subject"/>
    <w:basedOn w:val="4"/>
    <w:next w:val="4"/>
    <w:link w:val="22"/>
    <w:qFormat/>
    <w:uiPriority w:val="0"/>
    <w:rPr>
      <w:b/>
      <w:bCs/>
    </w:rPr>
  </w:style>
  <w:style w:type="paragraph" w:styleId="13">
    <w:name w:val="Body Text First Indent 2"/>
    <w:basedOn w:val="5"/>
    <w:qFormat/>
    <w:uiPriority w:val="0"/>
    <w:pPr>
      <w:ind w:firstLine="420" w:firstLineChars="200"/>
    </w:pPr>
    <w:rPr>
      <w:rFonts w:ascii="Calibri" w:hAnsi="Calibri"/>
      <w:szCs w:val="2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Emphasis"/>
    <w:basedOn w:val="16"/>
    <w:qFormat/>
    <w:uiPriority w:val="0"/>
    <w:rPr>
      <w:i/>
    </w:rPr>
  </w:style>
  <w:style w:type="character" w:styleId="19">
    <w:name w:val="annotation reference"/>
    <w:basedOn w:val="16"/>
    <w:qFormat/>
    <w:uiPriority w:val="0"/>
    <w:rPr>
      <w:sz w:val="21"/>
      <w:szCs w:val="21"/>
    </w:rPr>
  </w:style>
  <w:style w:type="character" w:customStyle="1" w:styleId="20">
    <w:name w:val="批注框文本 Char"/>
    <w:basedOn w:val="16"/>
    <w:link w:val="7"/>
    <w:qFormat/>
    <w:uiPriority w:val="0"/>
    <w:rPr>
      <w:rFonts w:ascii="Times New Roman" w:hAnsi="Times New Roman"/>
      <w:kern w:val="2"/>
      <w:sz w:val="18"/>
      <w:szCs w:val="18"/>
    </w:rPr>
  </w:style>
  <w:style w:type="character" w:customStyle="1" w:styleId="21">
    <w:name w:val="批注文字 Char"/>
    <w:basedOn w:val="16"/>
    <w:link w:val="4"/>
    <w:qFormat/>
    <w:uiPriority w:val="0"/>
    <w:rPr>
      <w:rFonts w:ascii="Times New Roman" w:hAnsi="Times New Roman"/>
      <w:kern w:val="2"/>
      <w:sz w:val="21"/>
      <w:szCs w:val="22"/>
    </w:rPr>
  </w:style>
  <w:style w:type="character" w:customStyle="1" w:styleId="22">
    <w:name w:val="批注主题 Char"/>
    <w:basedOn w:val="21"/>
    <w:link w:val="12"/>
    <w:qFormat/>
    <w:uiPriority w:val="0"/>
  </w:style>
  <w:style w:type="character" w:customStyle="1" w:styleId="23">
    <w:name w:val="font51"/>
    <w:basedOn w:val="16"/>
    <w:qFormat/>
    <w:uiPriority w:val="0"/>
    <w:rPr>
      <w:rFonts w:hint="eastAsia" w:ascii="宋体" w:hAnsi="宋体" w:eastAsia="宋体" w:cs="宋体"/>
      <w:color w:val="000000"/>
      <w:sz w:val="20"/>
      <w:szCs w:val="20"/>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character" w:customStyle="1" w:styleId="25">
    <w:name w:val="font71"/>
    <w:basedOn w:val="16"/>
    <w:qFormat/>
    <w:uiPriority w:val="0"/>
    <w:rPr>
      <w:rFonts w:hint="eastAsia" w:ascii="宋体" w:hAnsi="宋体" w:eastAsia="宋体" w:cs="宋体"/>
      <w:color w:val="000000"/>
      <w:sz w:val="24"/>
      <w:szCs w:val="24"/>
      <w:u w:val="none"/>
    </w:rPr>
  </w:style>
  <w:style w:type="character" w:customStyle="1" w:styleId="26">
    <w:name w:val="font91"/>
    <w:basedOn w:val="16"/>
    <w:qFormat/>
    <w:uiPriority w:val="0"/>
    <w:rPr>
      <w:rFonts w:hint="eastAsia" w:ascii="宋体" w:hAnsi="宋体" w:eastAsia="宋体" w:cs="宋体"/>
      <w:color w:val="000000"/>
      <w:sz w:val="24"/>
      <w:szCs w:val="24"/>
      <w:u w:val="single"/>
    </w:rPr>
  </w:style>
  <w:style w:type="character" w:customStyle="1" w:styleId="27">
    <w:name w:val="font31"/>
    <w:basedOn w:val="16"/>
    <w:qFormat/>
    <w:uiPriority w:val="0"/>
    <w:rPr>
      <w:rFonts w:hint="eastAsia" w:ascii="宋体" w:hAnsi="宋体" w:eastAsia="宋体" w:cs="宋体"/>
      <w:color w:val="000000"/>
      <w:sz w:val="20"/>
      <w:szCs w:val="20"/>
      <w:u w:val="none"/>
    </w:rPr>
  </w:style>
  <w:style w:type="character" w:customStyle="1" w:styleId="28">
    <w:name w:val="font21"/>
    <w:qFormat/>
    <w:uiPriority w:val="0"/>
    <w:rPr>
      <w:rFonts w:hint="eastAsia" w:ascii="宋体" w:hAnsi="宋体" w:eastAsia="宋体" w:cs="宋体"/>
      <w:color w:val="000000"/>
      <w:sz w:val="20"/>
      <w:szCs w:val="20"/>
      <w:u w:val="none"/>
    </w:rPr>
  </w:style>
  <w:style w:type="table" w:customStyle="1" w:styleId="2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59</Pages>
  <Words>32534</Words>
  <Characters>34363</Characters>
  <Lines>1</Lines>
  <Paragraphs>1</Paragraphs>
  <TotalTime>1</TotalTime>
  <ScaleCrop>false</ScaleCrop>
  <LinksUpToDate>false</LinksUpToDate>
  <CharactersWithSpaces>36550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2023-09-08T08:55:00Z</cp:lastPrinted>
  <dcterms:modified xsi:type="dcterms:W3CDTF">2024-08-24T08:34:39Z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C0B1DDFFD8C5417DA31ADE5B8D3FED2D_13</vt:lpwstr>
  </property>
  <property fmtid="{D5CDD505-2E9C-101B-9397-08002B2CF9AE}" pid="4" name="commondata">
    <vt:lpwstr>eyJoZGlkIjoiZDJiMzdlZTkyZWRmN2IzYzY2ZmI2ZTBlN2MyMWRiOWEifQ==</vt:lpwstr>
  </property>
</Properties>
</file>