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E067C">
      <w:pPr>
        <w:jc w:val="both"/>
        <w:rPr>
          <w:rFonts w:hint="eastAsia" w:ascii="仿宋" w:hAnsi="仿宋" w:eastAsia="仿宋" w:cs="仿宋"/>
          <w:color w:val="auto"/>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85090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r>
        <w:rPr>
          <w:rFonts w:hint="eastAsia" w:ascii="仿宋" w:hAnsi="仿宋" w:eastAsia="仿宋" w:cs="仿宋"/>
          <w:color w:val="auto"/>
          <w:highlight w:val="none"/>
          <w:shd w:val="clear" w:color="auto" w:fill="auto"/>
          <w:lang w:val="en-US" w:eastAsia="zh-CN"/>
        </w:rPr>
        <w:t xml:space="preserve"> </w:t>
      </w:r>
    </w:p>
    <w:p w14:paraId="4315B033">
      <w:pPr>
        <w:jc w:val="both"/>
        <w:rPr>
          <w:rFonts w:hint="eastAsia" w:ascii="仿宋" w:hAnsi="仿宋" w:eastAsia="仿宋" w:cs="仿宋"/>
          <w:color w:val="auto"/>
          <w:highlight w:val="none"/>
          <w:shd w:val="clear" w:color="auto" w:fill="auto"/>
          <w:lang w:val="en-US" w:eastAsia="zh-CN"/>
        </w:rPr>
      </w:pPr>
    </w:p>
    <w:p w14:paraId="0BB7AA22">
      <w:pPr>
        <w:jc w:val="both"/>
        <w:rPr>
          <w:rFonts w:hint="eastAsia" w:ascii="仿宋" w:hAnsi="仿宋" w:eastAsia="仿宋" w:cs="仿宋"/>
          <w:color w:val="auto"/>
          <w:highlight w:val="none"/>
          <w:shd w:val="clear" w:color="auto" w:fill="auto"/>
          <w:lang w:val="en-US" w:eastAsia="zh-CN"/>
        </w:rPr>
      </w:pPr>
    </w:p>
    <w:p w14:paraId="64061991">
      <w:pPr>
        <w:keepNext w:val="0"/>
        <w:keepLines w:val="0"/>
        <w:pageBreakBefore w:val="0"/>
        <w:widowControl w:val="0"/>
        <w:kinsoku/>
        <w:wordWrap/>
        <w:overflowPunct/>
        <w:topLinePunct w:val="0"/>
        <w:autoSpaceDE/>
        <w:autoSpaceDN/>
        <w:bidi w:val="0"/>
        <w:adjustRightInd/>
        <w:snapToGrid/>
        <w:spacing w:line="336" w:lineRule="auto"/>
        <w:jc w:val="center"/>
        <w:textAlignment w:val="auto"/>
        <w:outlineLvl w:val="0"/>
        <w:rPr>
          <w:rFonts w:hint="eastAsia" w:ascii="仿宋" w:hAnsi="仿宋" w:eastAsia="仿宋" w:cs="仿宋"/>
          <w:b/>
          <w:color w:val="auto"/>
          <w:sz w:val="52"/>
          <w:szCs w:val="52"/>
          <w:highlight w:val="none"/>
          <w:u w:val="single"/>
          <w:shd w:val="clear" w:color="auto" w:fill="auto"/>
          <w:lang w:val="en-US" w:eastAsia="zh-CN"/>
        </w:rPr>
      </w:pPr>
      <w:bookmarkStart w:id="0" w:name="_Toc19409"/>
      <w:bookmarkStart w:id="1" w:name="_Toc10535"/>
      <w:bookmarkStart w:id="2" w:name="_Toc32493"/>
    </w:p>
    <w:p w14:paraId="3C28265C">
      <w:pPr>
        <w:keepNext w:val="0"/>
        <w:keepLines w:val="0"/>
        <w:pageBreakBefore w:val="0"/>
        <w:widowControl w:val="0"/>
        <w:kinsoku/>
        <w:wordWrap/>
        <w:overflowPunct/>
        <w:topLinePunct w:val="0"/>
        <w:autoSpaceDE/>
        <w:autoSpaceDN/>
        <w:bidi w:val="0"/>
        <w:adjustRightInd/>
        <w:snapToGrid/>
        <w:spacing w:line="336" w:lineRule="auto"/>
        <w:jc w:val="center"/>
        <w:textAlignment w:val="auto"/>
        <w:outlineLvl w:val="0"/>
        <w:rPr>
          <w:rFonts w:hint="eastAsia" w:ascii="仿宋" w:hAnsi="仿宋" w:eastAsia="仿宋" w:cs="仿宋"/>
          <w:b/>
          <w:color w:val="auto"/>
          <w:sz w:val="52"/>
          <w:szCs w:val="52"/>
          <w:highlight w:val="none"/>
          <w:u w:val="single"/>
          <w:shd w:val="clear" w:color="auto" w:fill="auto"/>
          <w:lang w:val="en-US" w:eastAsia="zh-CN"/>
        </w:rPr>
      </w:pPr>
    </w:p>
    <w:bookmarkEnd w:id="0"/>
    <w:bookmarkEnd w:id="1"/>
    <w:bookmarkEnd w:id="2"/>
    <w:p w14:paraId="16E1323D">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4"/>
          <w:szCs w:val="44"/>
          <w:highlight w:val="none"/>
          <w:u w:val="none"/>
          <w:lang w:val="en-US" w:eastAsia="zh-CN"/>
        </w:rPr>
      </w:pPr>
      <w:r>
        <w:rPr>
          <w:rFonts w:hint="eastAsia" w:ascii="仿宋" w:hAnsi="仿宋" w:eastAsia="仿宋" w:cs="仿宋"/>
          <w:b/>
          <w:color w:val="auto"/>
          <w:sz w:val="44"/>
          <w:szCs w:val="44"/>
          <w:highlight w:val="none"/>
          <w:u w:val="none"/>
          <w:lang w:val="en-US" w:eastAsia="zh-CN"/>
        </w:rPr>
        <w:t>南京现代表面处理科技产业中心项目</w:t>
      </w:r>
    </w:p>
    <w:p w14:paraId="691E1EE5">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default" w:ascii="仿宋" w:hAnsi="仿宋" w:eastAsia="仿宋" w:cs="仿宋"/>
          <w:b/>
          <w:color w:val="auto"/>
          <w:sz w:val="48"/>
          <w:szCs w:val="48"/>
          <w:highlight w:val="none"/>
          <w:u w:val="none"/>
          <w:lang w:val="en-US" w:eastAsia="zh-CN"/>
        </w:rPr>
      </w:pPr>
      <w:r>
        <w:rPr>
          <w:rFonts w:hint="eastAsia" w:ascii="仿宋" w:hAnsi="仿宋" w:eastAsia="仿宋" w:cs="仿宋"/>
          <w:b/>
          <w:color w:val="auto"/>
          <w:sz w:val="44"/>
          <w:szCs w:val="44"/>
          <w:highlight w:val="none"/>
          <w:u w:val="none"/>
          <w:lang w:val="en-US" w:eastAsia="zh-CN"/>
        </w:rPr>
        <w:t>A/B地块园林绿化工程</w:t>
      </w:r>
    </w:p>
    <w:p w14:paraId="24A46E8D">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4"/>
          <w:szCs w:val="44"/>
          <w:highlight w:val="none"/>
          <w:lang w:val="en-US" w:eastAsia="zh-CN"/>
        </w:rPr>
      </w:pPr>
      <w:r>
        <w:rPr>
          <w:rFonts w:hint="eastAsia" w:ascii="仿宋" w:hAnsi="仿宋" w:eastAsia="仿宋" w:cs="仿宋"/>
          <w:b/>
          <w:color w:val="auto"/>
          <w:sz w:val="44"/>
          <w:szCs w:val="44"/>
          <w:highlight w:val="none"/>
          <w:lang w:val="en-US" w:eastAsia="zh-CN"/>
        </w:rPr>
        <w:t>施</w:t>
      </w:r>
    </w:p>
    <w:p w14:paraId="54978979">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4"/>
          <w:szCs w:val="44"/>
          <w:highlight w:val="none"/>
          <w:lang w:val="en-US" w:eastAsia="zh-CN"/>
        </w:rPr>
      </w:pPr>
      <w:r>
        <w:rPr>
          <w:rFonts w:hint="eastAsia" w:ascii="仿宋" w:hAnsi="仿宋" w:eastAsia="仿宋" w:cs="仿宋"/>
          <w:b/>
          <w:color w:val="auto"/>
          <w:sz w:val="44"/>
          <w:szCs w:val="44"/>
          <w:highlight w:val="none"/>
          <w:lang w:val="en-US" w:eastAsia="zh-CN"/>
        </w:rPr>
        <w:t>工</w:t>
      </w:r>
    </w:p>
    <w:p w14:paraId="653C61D1">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4"/>
          <w:szCs w:val="44"/>
          <w:highlight w:val="none"/>
          <w:lang w:val="en-US" w:eastAsia="zh-CN"/>
        </w:rPr>
      </w:pPr>
      <w:r>
        <w:rPr>
          <w:rFonts w:hint="eastAsia" w:ascii="仿宋" w:hAnsi="仿宋" w:eastAsia="仿宋" w:cs="仿宋"/>
          <w:b/>
          <w:color w:val="auto"/>
          <w:sz w:val="44"/>
          <w:szCs w:val="44"/>
          <w:highlight w:val="none"/>
          <w:lang w:val="en-US" w:eastAsia="zh-CN"/>
        </w:rPr>
        <w:t>合</w:t>
      </w:r>
    </w:p>
    <w:p w14:paraId="7463BF63">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color w:val="auto"/>
          <w:highlight w:val="none"/>
          <w:lang w:val="en-US" w:eastAsia="zh-CN"/>
        </w:rPr>
      </w:pPr>
      <w:r>
        <w:rPr>
          <w:rFonts w:hint="eastAsia" w:ascii="仿宋" w:hAnsi="仿宋" w:eastAsia="仿宋" w:cs="仿宋"/>
          <w:b/>
          <w:color w:val="auto"/>
          <w:sz w:val="44"/>
          <w:szCs w:val="44"/>
          <w:highlight w:val="none"/>
          <w:lang w:val="en-US" w:eastAsia="zh-CN"/>
        </w:rPr>
        <w:t>同</w:t>
      </w:r>
    </w:p>
    <w:p w14:paraId="36950808">
      <w:pPr>
        <w:jc w:val="center"/>
        <w:rPr>
          <w:rFonts w:hint="eastAsia" w:ascii="仿宋" w:hAnsi="仿宋" w:eastAsia="仿宋" w:cs="仿宋"/>
          <w:b/>
          <w:bCs/>
          <w:color w:val="auto"/>
          <w:sz w:val="24"/>
          <w:szCs w:val="28"/>
          <w:highlight w:val="none"/>
          <w:shd w:val="clear" w:color="auto" w:fill="auto"/>
          <w:lang w:val="en-US" w:eastAsia="zh-CN"/>
        </w:rPr>
      </w:pPr>
      <w:r>
        <w:rPr>
          <w:rFonts w:hint="eastAsia" w:ascii="仿宋" w:hAnsi="仿宋" w:eastAsia="仿宋" w:cs="仿宋"/>
          <w:b/>
          <w:bCs/>
          <w:color w:val="auto"/>
          <w:sz w:val="24"/>
          <w:szCs w:val="28"/>
          <w:highlight w:val="none"/>
          <w:shd w:val="clear" w:color="auto" w:fill="auto"/>
          <w:lang w:val="en-US" w:eastAsia="zh-CN"/>
        </w:rPr>
        <w:t xml:space="preserve"> </w:t>
      </w:r>
    </w:p>
    <w:p w14:paraId="55527CD0">
      <w:pPr>
        <w:jc w:val="center"/>
        <w:rPr>
          <w:rFonts w:hint="eastAsia" w:ascii="仿宋" w:hAnsi="仿宋" w:eastAsia="仿宋" w:cs="仿宋"/>
          <w:color w:val="auto"/>
          <w:highlight w:val="none"/>
          <w:shd w:val="clear" w:color="auto" w:fill="auto"/>
          <w:lang w:val="en-US" w:eastAsia="zh-CN"/>
        </w:rPr>
      </w:pPr>
    </w:p>
    <w:p w14:paraId="3C1B4BC5">
      <w:pPr>
        <w:jc w:val="both"/>
        <w:rPr>
          <w:rFonts w:hint="eastAsia" w:ascii="仿宋" w:hAnsi="仿宋" w:eastAsia="仿宋" w:cs="仿宋"/>
          <w:color w:val="auto"/>
          <w:highlight w:val="none"/>
          <w:shd w:val="clear" w:color="auto" w:fill="auto"/>
          <w:lang w:val="en-US" w:eastAsia="zh-CN"/>
        </w:rPr>
      </w:pPr>
    </w:p>
    <w:p w14:paraId="6FF55CFE">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default"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合同编号：</w:t>
      </w:r>
    </w:p>
    <w:p w14:paraId="66E385D1">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val="en-US" w:eastAsia="zh-CN"/>
        </w:rPr>
        <w:t>发包</w:t>
      </w:r>
      <w:r>
        <w:rPr>
          <w:rFonts w:hint="eastAsia" w:ascii="仿宋" w:hAnsi="仿宋" w:eastAsia="仿宋" w:cs="仿宋"/>
          <w:b w:val="0"/>
          <w:bCs w:val="0"/>
          <w:color w:val="auto"/>
          <w:sz w:val="28"/>
          <w:szCs w:val="28"/>
          <w:highlight w:val="none"/>
          <w:shd w:val="clear" w:color="auto" w:fill="auto"/>
          <w:lang w:val="en-US" w:eastAsia="zh-CN"/>
        </w:rPr>
        <w:t>方）：东莞市中泰建安工程有限公司</w:t>
      </w:r>
    </w:p>
    <w:p w14:paraId="76B9E795">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default"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 xml:space="preserve">乙方（承包方）：   </w:t>
      </w:r>
    </w:p>
    <w:p w14:paraId="119D52D7">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none"/>
          <w:shd w:val="clear" w:color="auto" w:fill="auto"/>
          <w:lang w:val="en-US" w:eastAsia="zh-CN"/>
        </w:rPr>
      </w:pPr>
      <w:r>
        <w:rPr>
          <w:rFonts w:hint="eastAsia" w:ascii="仿宋" w:hAnsi="仿宋" w:eastAsia="仿宋" w:cs="仿宋"/>
          <w:b w:val="0"/>
          <w:bCs w:val="0"/>
          <w:color w:val="auto"/>
          <w:sz w:val="28"/>
          <w:szCs w:val="28"/>
          <w:highlight w:val="none"/>
          <w:u w:val="none"/>
          <w:shd w:val="clear" w:color="auto" w:fill="auto"/>
          <w:lang w:val="en-US" w:eastAsia="zh-CN"/>
        </w:rPr>
        <w:t>签订日期：202</w:t>
      </w:r>
      <w:r>
        <w:rPr>
          <w:rFonts w:hint="eastAsia" w:ascii="仿宋" w:hAnsi="仿宋" w:eastAsia="仿宋" w:cs="仿宋"/>
          <w:b w:val="0"/>
          <w:bCs w:val="0"/>
          <w:color w:val="auto"/>
          <w:sz w:val="28"/>
          <w:szCs w:val="28"/>
          <w:highlight w:val="none"/>
          <w:u w:val="single"/>
          <w:shd w:val="clear" w:color="auto" w:fill="auto"/>
          <w:lang w:val="en-US" w:eastAsia="zh-CN"/>
        </w:rPr>
        <w:t>6</w:t>
      </w:r>
      <w:r>
        <w:rPr>
          <w:rFonts w:hint="eastAsia" w:ascii="仿宋" w:hAnsi="仿宋" w:eastAsia="仿宋" w:cs="仿宋"/>
          <w:b w:val="0"/>
          <w:bCs w:val="0"/>
          <w:color w:val="auto"/>
          <w:sz w:val="28"/>
          <w:szCs w:val="28"/>
          <w:highlight w:val="none"/>
          <w:u w:val="none"/>
          <w:shd w:val="clear" w:color="auto" w:fill="auto"/>
          <w:lang w:val="en-US" w:eastAsia="zh-CN"/>
        </w:rPr>
        <w:t>年</w:t>
      </w:r>
      <w:r>
        <w:rPr>
          <w:rFonts w:hint="eastAsia" w:ascii="仿宋" w:hAnsi="仿宋" w:eastAsia="仿宋" w:cs="仿宋"/>
          <w:b w:val="0"/>
          <w:b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color w:val="auto"/>
          <w:sz w:val="28"/>
          <w:szCs w:val="28"/>
          <w:highlight w:val="none"/>
          <w:u w:val="none"/>
          <w:shd w:val="clear" w:color="auto" w:fill="auto"/>
          <w:lang w:val="en-US" w:eastAsia="zh-CN"/>
        </w:rPr>
        <w:t>月</w:t>
      </w:r>
      <w:r>
        <w:rPr>
          <w:rFonts w:hint="eastAsia" w:ascii="仿宋" w:hAnsi="仿宋" w:eastAsia="仿宋" w:cs="仿宋"/>
          <w:b w:val="0"/>
          <w:b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color w:val="auto"/>
          <w:sz w:val="28"/>
          <w:szCs w:val="28"/>
          <w:highlight w:val="none"/>
          <w:u w:val="none"/>
          <w:shd w:val="clear" w:color="auto" w:fill="auto"/>
          <w:lang w:val="en-US" w:eastAsia="zh-CN"/>
        </w:rPr>
        <w:t>日</w:t>
      </w:r>
    </w:p>
    <w:p w14:paraId="61632EC2">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bCs/>
          <w:color w:val="auto"/>
          <w:kern w:val="2"/>
          <w:sz w:val="32"/>
          <w:szCs w:val="32"/>
          <w:highlight w:val="none"/>
          <w:u w:val="none"/>
          <w:shd w:val="clear" w:color="auto" w:fill="auto"/>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shd w:val="clear" w:color="auto" w:fill="auto"/>
          <w:lang w:val="en-US" w:eastAsia="zh-CN"/>
        </w:rPr>
        <w:t>签订地点：广东东莞南城。</w:t>
      </w:r>
    </w:p>
    <w:sdt>
      <w:sdtPr>
        <w:rPr>
          <w:rFonts w:hint="eastAsia" w:ascii="仿宋" w:hAnsi="仿宋" w:eastAsia="仿宋" w:cs="仿宋"/>
          <w:color w:val="auto"/>
          <w:kern w:val="2"/>
          <w:sz w:val="21"/>
          <w:szCs w:val="22"/>
          <w:highlight w:val="none"/>
          <w:lang w:val="en-US" w:eastAsia="zh-CN" w:bidi="ar-SA"/>
        </w:rPr>
        <w:id w:val="147456128"/>
        <w15:color w:val="DBDBDB"/>
        <w:docPartObj>
          <w:docPartGallery w:val="Table of Contents"/>
          <w:docPartUnique/>
        </w:docPartObj>
      </w:sdtPr>
      <w:sdtEndPr>
        <w:rPr>
          <w:rFonts w:hint="eastAsia" w:ascii="仿宋" w:hAnsi="仿宋" w:eastAsia="仿宋" w:cs="仿宋"/>
          <w:b/>
          <w:color w:val="auto"/>
          <w:kern w:val="2"/>
          <w:sz w:val="21"/>
          <w:szCs w:val="22"/>
          <w:highlight w:val="none"/>
          <w:lang w:val="en-US" w:eastAsia="zh-CN" w:bidi="ar-SA"/>
        </w:rPr>
      </w:sdtEndPr>
      <w:sdtContent>
        <w:p w14:paraId="78B71477">
          <w:pPr>
            <w:spacing w:before="0" w:beforeLines="0" w:after="0" w:afterLines="0" w:line="240" w:lineRule="auto"/>
            <w:ind w:left="0" w:leftChars="0" w:right="0" w:rightChars="0" w:firstLine="0" w:firstLineChars="0"/>
            <w:jc w:val="center"/>
            <w:rPr>
              <w:rFonts w:hint="eastAsia" w:ascii="仿宋" w:hAnsi="仿宋" w:eastAsia="仿宋" w:cs="仿宋"/>
              <w:color w:val="auto"/>
              <w:highlight w:val="none"/>
            </w:rPr>
          </w:pPr>
          <w:bookmarkStart w:id="3" w:name="_Toc21482"/>
          <w:r>
            <w:rPr>
              <w:rFonts w:hint="eastAsia" w:ascii="仿宋" w:hAnsi="仿宋" w:eastAsia="仿宋" w:cs="仿宋"/>
              <w:color w:val="auto"/>
              <w:sz w:val="21"/>
              <w:highlight w:val="none"/>
            </w:rPr>
            <w:t>目录</w:t>
          </w:r>
        </w:p>
        <w:p w14:paraId="3DDC2EF9">
          <w:pPr>
            <w:pStyle w:val="10"/>
            <w:tabs>
              <w:tab w:val="right" w:leader="dot" w:pos="882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TOC \o "1-2" \h \u </w:instrText>
          </w:r>
          <w:r>
            <w:rPr>
              <w:rFonts w:hint="eastAsia" w:ascii="仿宋" w:hAnsi="仿宋" w:eastAsia="仿宋" w:cs="仿宋"/>
              <w:color w:val="auto"/>
              <w:highlight w:val="none"/>
            </w:rPr>
            <w:fldChar w:fldCharType="separate"/>
          </w:r>
        </w:p>
        <w:p w14:paraId="5DEA2C2B">
          <w:pPr>
            <w:pStyle w:val="10"/>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_Toc4007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kern w:val="0"/>
              <w:szCs w:val="28"/>
              <w:highlight w:val="none"/>
              <w:shd w:val="clear" w:fill="auto"/>
              <w:lang w:val="en-US" w:eastAsia="zh-CN"/>
            </w:rPr>
            <w:t xml:space="preserve">第一部分 </w:t>
          </w:r>
          <w:r>
            <w:rPr>
              <w:rFonts w:hint="eastAsia" w:ascii="仿宋" w:hAnsi="仿宋" w:eastAsia="仿宋" w:cs="仿宋"/>
              <w:bCs/>
              <w:i w:val="0"/>
              <w:iCs w:val="0"/>
              <w:color w:val="auto"/>
              <w:kern w:val="0"/>
              <w:szCs w:val="28"/>
              <w:highlight w:val="none"/>
              <w:shd w:val="clear" w:color="auto" w:fill="auto"/>
              <w:lang w:val="en-US" w:eastAsia="zh-CN"/>
            </w:rPr>
            <w:t>合同专用条款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_Toc4007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DCCBE95">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_Toc17579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第一章</w:t>
          </w:r>
          <w:r>
            <w:rPr>
              <w:rFonts w:hint="eastAsia" w:ascii="仿宋" w:hAnsi="仿宋" w:eastAsia="仿宋" w:cs="仿宋"/>
              <w:bCs/>
              <w:i w:val="0"/>
              <w:iCs w:val="0"/>
              <w:color w:val="auto"/>
              <w:szCs w:val="28"/>
              <w:highlight w:val="none"/>
              <w:shd w:val="clear" w:color="auto" w:fill="auto"/>
            </w:rPr>
            <w:t>、项目概况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_Toc17579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75B21DC">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_Toc16762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第二章、承包方式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_Toc16762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C91403E">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_Toc29805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第三章、承包范围及主要工程内容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_Toc29805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3583E80">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_Toc10400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第四章、工期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_Toc10400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80FE92B">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_Toc2381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第五章、工程质量标准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_Toc2381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3B42D63">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_Toc553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第六章、合同价款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_Toc553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7D5DADD">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_Toc20193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第七章、计量计价方式及结算方式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_Toc20193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6D116B5">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_Toc27395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第八章、付款方式（每个组团独立付款）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_Toc27395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253B760">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_Toc22317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第九章、双方责任和权利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_Toc22317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92C0810">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_Toc15027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第十章、甲供材料设备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_Toc15027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66A6D29">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_Toc6916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第十一章、验收及保修、养护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_Toc6916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5916EDC">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_Toc4245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第十二章、其他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_Toc4245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51A758A">
          <w:pPr>
            <w:pStyle w:val="10"/>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_Toc1733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kern w:val="0"/>
              <w:szCs w:val="28"/>
              <w:highlight w:val="none"/>
              <w:shd w:val="clear" w:fill="auto"/>
              <w:lang w:val="en-US" w:eastAsia="zh-CN"/>
            </w:rPr>
            <w:t xml:space="preserve">第二部分 </w:t>
          </w:r>
          <w:r>
            <w:rPr>
              <w:rFonts w:hint="eastAsia" w:ascii="仿宋" w:hAnsi="仿宋" w:eastAsia="仿宋" w:cs="仿宋"/>
              <w:bCs/>
              <w:i w:val="0"/>
              <w:iCs w:val="0"/>
              <w:color w:val="auto"/>
              <w:kern w:val="0"/>
              <w:szCs w:val="28"/>
              <w:highlight w:val="none"/>
              <w:shd w:val="clear" w:color="auto" w:fill="auto"/>
              <w:lang w:val="en-US" w:eastAsia="zh-CN"/>
            </w:rPr>
            <w:t>合同通用条款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04C1593">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_Toc4154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第一章、承包方式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_Toc4154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8DF5646">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_Toc7619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第二章、承包范围及主要工程内容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_Toc7619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0397422">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_Toc28064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第三章、工期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_Toc28064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1523DDA">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_Toc29199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第四章、工程质量标准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_Toc29199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C9A4F9A">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_Toc12383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第五章、合同价款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_Toc12383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E50E405">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_Toc23429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第六章、计量计价方式及结算方式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_Toc23429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1068EF7">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_Toc3326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第七章、付款方式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_Toc3326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356DC9D">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_Toc28744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第八章、双方责任和权利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_Toc28744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729DE33">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_Toc28158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第九章、安全生产、文明施工要求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_Toc28158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71C3622">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_Toc4623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第十章、甲供材料设备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35</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67FBA85">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_Toc21107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第十一章、验收及保修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_Toc21107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8A6B950">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_Toc16116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第十二章、保险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_Toc16116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D66B280">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_Toc5657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第十三章、奖罚条款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_Toc5657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30C4C0F">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_Toc2468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第十四章、违约条款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_Toc2468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91D2C41">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_Toc5952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第十五章、廉洁条款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_Toc5952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02F6E04">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_Toc31778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第十六章、其他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_Toc31778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89320E0">
          <w:pPr>
            <w:rPr>
              <w:rFonts w:hint="eastAsia" w:ascii="仿宋" w:hAnsi="仿宋" w:eastAsia="仿宋" w:cs="仿宋"/>
              <w:b/>
              <w:bCs/>
              <w:i w:val="0"/>
              <w:iCs w:val="0"/>
              <w:color w:val="auto"/>
              <w:kern w:val="0"/>
              <w:sz w:val="28"/>
              <w:szCs w:val="28"/>
              <w:highlight w:val="none"/>
              <w:u w:val="none"/>
              <w:shd w:val="clear" w:color="auto" w:fill="auto"/>
              <w:lang w:val="en-US" w:eastAsia="zh-CN"/>
            </w:rPr>
          </w:pPr>
          <w:r>
            <w:rPr>
              <w:rFonts w:hint="eastAsia" w:ascii="仿宋" w:hAnsi="仿宋" w:eastAsia="仿宋" w:cs="仿宋"/>
              <w:color w:val="auto"/>
              <w:highlight w:val="none"/>
            </w:rPr>
            <w:fldChar w:fldCharType="end"/>
          </w:r>
        </w:p>
      </w:sdtContent>
    </w:sdt>
    <w:p w14:paraId="33BF56B0">
      <w:pPr>
        <w:keepNext w:val="0"/>
        <w:keepLines w:val="0"/>
        <w:pageBreakBefore w:val="0"/>
        <w:widowControl w:val="0"/>
        <w:numPr>
          <w:ilvl w:val="0"/>
          <w:numId w:val="0"/>
        </w:numPr>
        <w:tabs>
          <w:tab w:val="left" w:pos="6272"/>
        </w:tabs>
        <w:kinsoku/>
        <w:wordWrap/>
        <w:overflowPunct/>
        <w:topLinePunct w:val="0"/>
        <w:autoSpaceDE/>
        <w:autoSpaceDN/>
        <w:bidi w:val="0"/>
        <w:adjustRightInd w:val="0"/>
        <w:snapToGrid w:val="0"/>
        <w:spacing w:line="360" w:lineRule="auto"/>
        <w:ind w:right="0" w:rightChars="0"/>
        <w:jc w:val="both"/>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p>
    <w:p w14:paraId="69FE0F17">
      <w:pPr>
        <w:keepNext w:val="0"/>
        <w:keepLines w:val="0"/>
        <w:pageBreakBefore w:val="0"/>
        <w:widowControl w:val="0"/>
        <w:numPr>
          <w:ilvl w:val="0"/>
          <w:numId w:val="0"/>
        </w:numPr>
        <w:tabs>
          <w:tab w:val="left" w:pos="6272"/>
        </w:tabs>
        <w:kinsoku/>
        <w:wordWrap/>
        <w:overflowPunct/>
        <w:topLinePunct w:val="0"/>
        <w:autoSpaceDE/>
        <w:autoSpaceDN/>
        <w:bidi w:val="0"/>
        <w:adjustRightInd w:val="0"/>
        <w:snapToGrid w:val="0"/>
        <w:spacing w:line="360" w:lineRule="auto"/>
        <w:ind w:right="0" w:rightChars="0"/>
        <w:jc w:val="both"/>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p>
    <w:p w14:paraId="49010874">
      <w:pPr>
        <w:keepNext w:val="0"/>
        <w:keepLines w:val="0"/>
        <w:pageBreakBefore w:val="0"/>
        <w:widowControl w:val="0"/>
        <w:numPr>
          <w:ilvl w:val="0"/>
          <w:numId w:val="1"/>
        </w:numPr>
        <w:tabs>
          <w:tab w:val="left" w:pos="6272"/>
        </w:tabs>
        <w:kinsoku/>
        <w:wordWrap/>
        <w:overflowPunct/>
        <w:topLinePunct w:val="0"/>
        <w:autoSpaceDE/>
        <w:autoSpaceDN/>
        <w:bidi w:val="0"/>
        <w:adjustRightInd w:val="0"/>
        <w:snapToGrid w:val="0"/>
        <w:spacing w:line="360" w:lineRule="auto"/>
        <w:ind w:right="0" w:rightChars="0" w:firstLine="562" w:firstLineChars="200"/>
        <w:jc w:val="center"/>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sectPr>
          <w:footerReference r:id="rId5" w:type="default"/>
          <w:pgSz w:w="11906" w:h="16839"/>
          <w:pgMar w:top="1134" w:right="1486" w:bottom="850" w:left="1800" w:header="0" w:footer="0" w:gutter="0"/>
          <w:pgNumType w:fmt="decimal" w:start="1"/>
          <w:cols w:space="720" w:num="1"/>
        </w:sectPr>
      </w:pPr>
    </w:p>
    <w:p w14:paraId="4024AFD5">
      <w:pPr>
        <w:keepNext w:val="0"/>
        <w:keepLines w:val="0"/>
        <w:pageBreakBefore w:val="0"/>
        <w:widowControl w:val="0"/>
        <w:numPr>
          <w:ilvl w:val="0"/>
          <w:numId w:val="1"/>
        </w:numPr>
        <w:tabs>
          <w:tab w:val="left" w:pos="6272"/>
        </w:tabs>
        <w:kinsoku/>
        <w:wordWrap/>
        <w:overflowPunct/>
        <w:topLinePunct w:val="0"/>
        <w:autoSpaceDE/>
        <w:autoSpaceDN/>
        <w:bidi w:val="0"/>
        <w:adjustRightInd w:val="0"/>
        <w:snapToGrid w:val="0"/>
        <w:spacing w:line="360" w:lineRule="auto"/>
        <w:ind w:left="0" w:leftChars="0" w:right="0" w:rightChars="0" w:firstLine="562" w:firstLineChars="200"/>
        <w:jc w:val="center"/>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bookmarkStart w:id="4" w:name="_Toc4007"/>
      <w:r>
        <w:rPr>
          <w:rFonts w:hint="eastAsia" w:ascii="仿宋" w:hAnsi="仿宋" w:eastAsia="仿宋" w:cs="仿宋"/>
          <w:b/>
          <w:bCs/>
          <w:i w:val="0"/>
          <w:iCs w:val="0"/>
          <w:color w:val="auto"/>
          <w:kern w:val="0"/>
          <w:sz w:val="28"/>
          <w:szCs w:val="28"/>
          <w:highlight w:val="none"/>
          <w:u w:val="none"/>
          <w:shd w:val="clear" w:color="auto" w:fill="auto"/>
          <w:lang w:val="en-US" w:eastAsia="zh-CN"/>
        </w:rPr>
        <w:t>合同专用条款</w:t>
      </w:r>
      <w:bookmarkEnd w:id="3"/>
      <w:bookmarkEnd w:id="4"/>
    </w:p>
    <w:p w14:paraId="7F368EA5">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shd w:val="clear" w:color="auto" w:fill="auto"/>
        </w:rPr>
        <w:t>根据《中华人民共和国民法典》《中华人民共和国建筑法》《建设工程质量管理条例》及有关法律、法规，</w:t>
      </w:r>
      <w:r>
        <w:rPr>
          <w:rFonts w:hint="eastAsia" w:ascii="仿宋" w:hAnsi="仿宋" w:eastAsia="仿宋" w:cs="仿宋"/>
          <w:i w:val="0"/>
          <w:iCs w:val="0"/>
          <w:color w:val="auto"/>
          <w:kern w:val="0"/>
          <w:sz w:val="28"/>
          <w:szCs w:val="28"/>
          <w:highlight w:val="none"/>
          <w:shd w:val="clear" w:color="auto" w:fill="auto"/>
          <w:lang w:val="en-US" w:eastAsia="zh-CN"/>
        </w:rPr>
        <w:t>在乙方确认并承诺自身满足本项目所在地住建主管部门相关要求（如资质、资格等）的前提下，</w:t>
      </w:r>
      <w:r>
        <w:rPr>
          <w:rFonts w:hint="eastAsia" w:ascii="仿宋" w:hAnsi="仿宋" w:eastAsia="仿宋" w:cs="仿宋"/>
          <w:i w:val="0"/>
          <w:iCs w:val="0"/>
          <w:color w:val="auto"/>
          <w:kern w:val="0"/>
          <w:sz w:val="28"/>
          <w:szCs w:val="28"/>
          <w:highlight w:val="none"/>
          <w:shd w:val="clear" w:color="auto" w:fill="auto"/>
        </w:rPr>
        <w:t>甲乙双方在平等、自愿、公平和诚实信用的基础上，就乙方</w:t>
      </w:r>
      <w:r>
        <w:rPr>
          <w:rFonts w:hint="eastAsia" w:ascii="仿宋" w:hAnsi="仿宋" w:eastAsia="仿宋" w:cs="仿宋"/>
          <w:b w:val="0"/>
          <w:bCs w:val="0"/>
          <w:i w:val="0"/>
          <w:iCs w:val="0"/>
          <w:color w:val="auto"/>
          <w:kern w:val="0"/>
          <w:sz w:val="28"/>
          <w:szCs w:val="28"/>
          <w:highlight w:val="none"/>
          <w:u w:val="none"/>
          <w:shd w:val="clear" w:color="auto" w:fill="auto"/>
        </w:rPr>
        <w:t>承包</w:t>
      </w:r>
      <w:r>
        <w:rPr>
          <w:rFonts w:hint="eastAsia" w:ascii="仿宋" w:hAnsi="仿宋" w:eastAsia="仿宋" w:cs="仿宋"/>
          <w:b/>
          <w:bCs/>
          <w:i w:val="0"/>
          <w:iCs w:val="0"/>
          <w:color w:val="auto"/>
          <w:kern w:val="0"/>
          <w:sz w:val="28"/>
          <w:szCs w:val="28"/>
          <w:highlight w:val="none"/>
          <w:u w:val="single"/>
          <w:shd w:val="clear" w:color="auto" w:fill="auto"/>
          <w:lang w:val="en-US" w:eastAsia="zh-CN"/>
        </w:rPr>
        <w:t>南京现代表面处理科技产业中心项目A/B地块园林绿化工程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37693EA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rPr>
      </w:pPr>
      <w:bookmarkStart w:id="5" w:name="_Toc17579"/>
      <w:bookmarkStart w:id="6" w:name="_Toc26146"/>
      <w:bookmarkStart w:id="7" w:name="_Toc1208"/>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5"/>
      <w:bookmarkEnd w:id="6"/>
      <w:bookmarkEnd w:id="7"/>
    </w:p>
    <w:p w14:paraId="2346EE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u w:val="single"/>
          <w:shd w:val="clear" w:color="auto" w:fill="auto"/>
          <w:lang w:val="en-US" w:eastAsia="zh-CN"/>
        </w:rPr>
      </w:pPr>
      <w:bookmarkStart w:id="8" w:name="_Toc16762"/>
      <w:r>
        <w:rPr>
          <w:rFonts w:hint="eastAsia" w:ascii="仿宋" w:hAnsi="仿宋" w:eastAsia="仿宋" w:cs="仿宋"/>
          <w:i w:val="0"/>
          <w:iCs w:val="0"/>
          <w:color w:val="auto"/>
          <w:sz w:val="28"/>
          <w:szCs w:val="28"/>
          <w:highlight w:val="none"/>
          <w:shd w:val="clear" w:color="auto" w:fill="auto"/>
        </w:rPr>
        <w:t>1.1项目名称：</w:t>
      </w:r>
      <w:r>
        <w:rPr>
          <w:rFonts w:hint="eastAsia" w:ascii="仿宋" w:hAnsi="仿宋" w:eastAsia="仿宋" w:cs="仿宋"/>
          <w:b w:val="0"/>
          <w:bCs w:val="0"/>
          <w:i w:val="0"/>
          <w:iCs w:val="0"/>
          <w:color w:val="auto"/>
          <w:kern w:val="0"/>
          <w:sz w:val="28"/>
          <w:szCs w:val="28"/>
          <w:highlight w:val="none"/>
          <w:u w:val="single"/>
          <w:shd w:val="clear" w:color="auto" w:fill="auto"/>
          <w:lang w:val="en-US" w:eastAsia="zh-CN"/>
        </w:rPr>
        <w:t>南京现代表面处理科技产业中心项目A/B地块</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简称“本项目”）。</w:t>
      </w:r>
    </w:p>
    <w:p w14:paraId="774D55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rPr>
        <w:t>江苏省南京市六合区南京现代表面处理科技产业中心项目甲方指定地点</w:t>
      </w:r>
      <w:r>
        <w:rPr>
          <w:rFonts w:hint="eastAsia" w:ascii="仿宋" w:hAnsi="仿宋" w:eastAsia="仿宋" w:cs="仿宋"/>
          <w:i w:val="0"/>
          <w:iCs w:val="0"/>
          <w:color w:val="auto"/>
          <w:sz w:val="28"/>
          <w:szCs w:val="28"/>
          <w:highlight w:val="none"/>
          <w:u w:val="single"/>
          <w:shd w:val="clear" w:color="auto" w:fill="auto"/>
          <w:lang w:val="en-US" w:eastAsia="zh-CN"/>
        </w:rPr>
        <w:t>。</w:t>
      </w:r>
    </w:p>
    <w:p w14:paraId="257BF9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1.3本工程的甲供材料：</w:t>
      </w:r>
      <w:r>
        <w:rPr>
          <w:rFonts w:hint="eastAsia" w:ascii="仿宋" w:hAnsi="仿宋" w:eastAsia="仿宋" w:cs="仿宋"/>
          <w:i w:val="0"/>
          <w:iCs w:val="0"/>
          <w:color w:val="auto"/>
          <w:sz w:val="28"/>
          <w:szCs w:val="28"/>
          <w:highlight w:val="none"/>
          <w:u w:val="single"/>
          <w:shd w:val="clear" w:color="auto" w:fill="auto"/>
          <w:lang w:val="en-US" w:eastAsia="zh-CN"/>
        </w:rPr>
        <w:t>详见《招标清单》</w:t>
      </w:r>
      <w:r>
        <w:rPr>
          <w:rFonts w:hint="eastAsia" w:ascii="仿宋" w:hAnsi="仿宋" w:eastAsia="仿宋" w:cs="仿宋"/>
          <w:i w:val="0"/>
          <w:iCs w:val="0"/>
          <w:color w:val="auto"/>
          <w:sz w:val="28"/>
          <w:szCs w:val="28"/>
          <w:highlight w:val="none"/>
          <w:shd w:val="clear" w:color="auto" w:fill="auto"/>
          <w:lang w:val="en-US" w:eastAsia="zh-CN"/>
        </w:rPr>
        <w:t>。</w:t>
      </w:r>
    </w:p>
    <w:p w14:paraId="03A0C7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甲方提供现有的食宿场所，乙方食宿及在生活区产生的电费由乙方承担，相关费用已含于合同单价中，不另行单列计费。</w:t>
      </w:r>
    </w:p>
    <w:p w14:paraId="4566030F">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第二章、承包方式</w:t>
      </w:r>
      <w:bookmarkEnd w:id="8"/>
    </w:p>
    <w:p w14:paraId="6774E19F">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bookmarkStart w:id="9" w:name="_Toc27213"/>
      <w:bookmarkStart w:id="10" w:name="_Toc29805"/>
      <w:bookmarkStart w:id="11" w:name="_Toc9670"/>
      <w:r>
        <w:rPr>
          <w:rFonts w:hint="eastAsia" w:ascii="仿宋" w:hAnsi="仿宋" w:eastAsia="仿宋" w:cs="仿宋"/>
          <w:b w:val="0"/>
          <w:bCs w:val="0"/>
          <w:i w:val="0"/>
          <w:iCs w:val="0"/>
          <w:color w:val="auto"/>
          <w:sz w:val="28"/>
          <w:szCs w:val="28"/>
          <w:highlight w:val="none"/>
          <w:shd w:val="clear" w:color="auto" w:fill="auto"/>
          <w:lang w:val="en-US" w:eastAsia="zh-CN"/>
        </w:rPr>
        <w:t>2.1乙方对本工程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 w:hAnsi="仿宋" w:eastAsia="仿宋" w:cs="仿宋"/>
          <w:color w:val="auto"/>
          <w:sz w:val="28"/>
          <w:szCs w:val="28"/>
          <w:highlight w:val="none"/>
          <w:lang w:val="en-US" w:eastAsia="zh-CN"/>
        </w:rPr>
        <w:t>。</w:t>
      </w:r>
    </w:p>
    <w:p w14:paraId="50764D17">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2.2本工程竣工图由：</w:t>
      </w:r>
      <w:r>
        <w:rPr>
          <w:rFonts w:hint="eastAsia" w:ascii="仿宋" w:hAnsi="仿宋" w:eastAsia="仿宋" w:cs="仿宋"/>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甲方绘制/</w:t>
      </w:r>
      <w:r>
        <w:rPr>
          <w:rFonts w:hint="eastAsia" w:ascii="仿宋" w:hAnsi="仿宋" w:eastAsia="仿宋" w:cs="仿宋"/>
          <w:color w:val="auto"/>
          <w:sz w:val="28"/>
          <w:szCs w:val="28"/>
          <w:highlight w:val="none"/>
          <w:lang w:val="en-US" w:eastAsia="zh-CN"/>
        </w:rPr>
        <w:sym w:font="Wingdings 2" w:char="0052"/>
      </w:r>
      <w:r>
        <w:rPr>
          <w:rFonts w:hint="eastAsia" w:ascii="仿宋" w:hAnsi="仿宋" w:eastAsia="仿宋" w:cs="仿宋"/>
          <w:color w:val="auto"/>
          <w:sz w:val="28"/>
          <w:szCs w:val="28"/>
          <w:highlight w:val="none"/>
          <w:lang w:val="en-US" w:eastAsia="zh-CN"/>
        </w:rPr>
        <w:t>乙方绘制。</w:t>
      </w:r>
    </w:p>
    <w:p w14:paraId="435567D3">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第三章、乙方承包范围及主要工程内容</w:t>
      </w:r>
      <w:bookmarkEnd w:id="9"/>
      <w:bookmarkEnd w:id="10"/>
      <w:bookmarkEnd w:id="11"/>
    </w:p>
    <w:p w14:paraId="3E06A3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bookmarkStart w:id="12" w:name="_Toc10400"/>
      <w:bookmarkStart w:id="13" w:name="_Toc15548"/>
      <w:bookmarkStart w:id="14" w:name="_Toc15468"/>
      <w:r>
        <w:rPr>
          <w:rFonts w:hint="eastAsia" w:ascii="仿宋" w:hAnsi="仿宋" w:eastAsia="仿宋" w:cs="仿宋"/>
          <w:b w:val="0"/>
          <w:bCs w:val="0"/>
          <w:i w:val="0"/>
          <w:iCs w:val="0"/>
          <w:color w:val="auto"/>
          <w:sz w:val="28"/>
          <w:szCs w:val="28"/>
          <w:highlight w:val="none"/>
          <w:shd w:val="clear" w:color="auto" w:fill="auto"/>
          <w:lang w:val="en-US" w:eastAsia="zh-CN"/>
        </w:rPr>
        <w:t>3.1本项目及所辖的包括用地红线范围内的、本工程图纸（</w:t>
      </w:r>
      <w:r>
        <w:rPr>
          <w:rFonts w:hint="eastAsia" w:ascii="仿宋" w:hAnsi="仿宋" w:eastAsia="仿宋" w:cs="仿宋"/>
          <w:color w:val="auto"/>
          <w:sz w:val="28"/>
          <w:szCs w:val="28"/>
          <w:highlight w:val="none"/>
          <w:shd w:val="clear" w:color="auto" w:fill="auto"/>
        </w:rPr>
        <w:t>详见附件</w:t>
      </w:r>
      <w:r>
        <w:rPr>
          <w:rFonts w:hint="eastAsia" w:ascii="仿宋" w:hAnsi="仿宋" w:eastAsia="仿宋" w:cs="仿宋"/>
          <w:b w:val="0"/>
          <w:bCs w:val="0"/>
          <w:i w:val="0"/>
          <w:iCs w:val="0"/>
          <w:color w:val="auto"/>
          <w:sz w:val="28"/>
          <w:szCs w:val="28"/>
          <w:highlight w:val="none"/>
          <w:shd w:val="clear" w:color="auto" w:fill="auto"/>
          <w:lang w:val="en-US" w:eastAsia="zh-CN"/>
        </w:rPr>
        <w:t>）范围内的、经甲方权限领导审批的本工程与本项目其他专业施工界限文件（如有）范围内的</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嵌草砖铺装、仿石人行道铺装、仿石广场铺装、种植土回填、铺种草皮、验收绿地铺种草皮、排水沟铺设薄木板、预制混凝土立道牙安装含靠背、垫层找平（详见附件《南京现代表面处理科技产业中心项目-户外园林工程招标范围确认》） </w:t>
      </w:r>
      <w:r>
        <w:rPr>
          <w:rFonts w:hint="eastAsia" w:ascii="仿宋" w:hAnsi="仿宋" w:eastAsia="仿宋" w:cs="仿宋"/>
          <w:b w:val="0"/>
          <w:bCs w:val="0"/>
          <w:i w:val="0"/>
          <w:iCs w:val="0"/>
          <w:color w:val="auto"/>
          <w:sz w:val="28"/>
          <w:szCs w:val="28"/>
          <w:highlight w:val="none"/>
          <w:shd w:val="clear" w:color="auto" w:fill="auto"/>
          <w:lang w:val="en-US" w:eastAsia="zh-CN"/>
        </w:rPr>
        <w:t>等全部相关工程由乙方施工（具体施工范围按甲方要求），过程中</w:t>
      </w:r>
      <w:r>
        <w:rPr>
          <w:rFonts w:hint="eastAsia" w:ascii="仿宋" w:hAnsi="仿宋" w:eastAsia="仿宋" w:cs="仿宋"/>
          <w:i w:val="0"/>
          <w:iCs w:val="0"/>
          <w:color w:val="auto"/>
          <w:sz w:val="28"/>
          <w:szCs w:val="28"/>
          <w:highlight w:val="none"/>
          <w:lang w:val="en-US" w:eastAsia="zh-CN"/>
        </w:rPr>
        <w:t>产生的全部人员报酬、材料（本合同约定的甲供材除外）、机具、施工管理等由乙方解决。</w:t>
      </w:r>
    </w:p>
    <w:p w14:paraId="16909E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3.2乙方施工进度或质量等管理不能满足甲方要求时，甲方可随时减少乙方的承包范围和工程量并聘请第三方代乙方施工，额外产生的所有费用和损失由乙方承担。</w:t>
      </w:r>
    </w:p>
    <w:p w14:paraId="0C7C9A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3.3乙方对甲方本工程质量按合同约定承担责任，对本工程安全生产、文明施工、工期进度和甲供材料（如有）限额使用等相关事项承担全部责任。</w:t>
      </w:r>
    </w:p>
    <w:p w14:paraId="7F3B1E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3.4甲方有权调整乙方的承包范围及内容，乙方不得以任何理由拒绝，否则甲方有权不付款并单方解除合同。</w:t>
      </w:r>
    </w:p>
    <w:p w14:paraId="01A3BE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3.5乙方自备机具的维修及养护由乙方自行负责；乙方自备/采购的材料、设备或小型机具必须符合设计规范及本项目施工总承包合同的要求。</w:t>
      </w:r>
    </w:p>
    <w:p w14:paraId="6A7271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0A878C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3.7</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5ED14C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3.8乙方负责的内容还包括但不限于：</w:t>
      </w:r>
    </w:p>
    <w:p w14:paraId="7545BA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3.8.1严格执行甲方发布的质量通病细则。</w:t>
      </w:r>
    </w:p>
    <w:p w14:paraId="1213B2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3.8.2本工程图纸漏项、错项、无重大工程量变化的调整内容，图纸及清单未列明但属于本工程合理施工范围或完成本工程所需进行的施工内容。</w:t>
      </w:r>
    </w:p>
    <w:p w14:paraId="3E7A51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3.8.3本工程具体做法以甲方与建设单位书面确认的交楼标准及施工图纸为准。</w:t>
      </w:r>
    </w:p>
    <w:p w14:paraId="0758D7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3.8.4合同附件《招标清单》所列内容。</w:t>
      </w:r>
    </w:p>
    <w:p w14:paraId="1D0CAA6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3.8.5完成上述内容所需费用均包含在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合同总价内，不属于增加工程，除非双方额外签证，否则甲方不另行计费给乙方。</w:t>
      </w:r>
    </w:p>
    <w:p w14:paraId="36AE32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合同总价中一次性考虑，乙方不得就上述原因要求甲方增补费用及另行计价。</w:t>
      </w:r>
    </w:p>
    <w:p w14:paraId="088B5E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合同总价中，不另行计费。</w:t>
      </w:r>
    </w:p>
    <w:p w14:paraId="6A578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3.12本项目设计变更引起的增加工程，无论工程量大小及施工难度系数高低，如甲方要求乙方施工，乙方须按甲方要求施工，相关费用按本合同约定办理。</w:t>
      </w:r>
    </w:p>
    <w:p w14:paraId="534C52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合同总价内，不另行计费。甲供材料的卸车由乙方负责，费用已包含在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合同总价中，不另行计费。</w:t>
      </w:r>
    </w:p>
    <w:p w14:paraId="7637A9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施工过程中，负责本工程工作面上所用材料、机具、垃圾的清理，做到工完场清，并自行负责所有建筑垃圾、生活垃圾的处置。乙方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扣除。乙方提交的结算书须包含甲方项目部按照垃圾产生的责任单位进行数量和全部费用的分摊表，该表须甲方施工员、项目副经理、项目经理签认，否则甲方有权不结算且不违约。</w:t>
      </w:r>
    </w:p>
    <w:p w14:paraId="3D4326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w:t>
      </w:r>
      <w:r>
        <w:rPr>
          <w:rFonts w:hint="eastAsia" w:ascii="仿宋" w:hAnsi="仿宋" w:eastAsia="仿宋" w:cs="仿宋"/>
          <w:color w:val="auto"/>
          <w:sz w:val="28"/>
          <w:szCs w:val="28"/>
          <w:highlight w:val="none"/>
          <w:lang w:val="en-US" w:eastAsia="zh-CN"/>
        </w:rPr>
        <w:t>因乙方原因导致甲方被政府行政部门等单位处罚、导致本项目或本工</w:t>
      </w:r>
      <w:r>
        <w:rPr>
          <w:rFonts w:hint="eastAsia" w:ascii="仿宋" w:hAnsi="仿宋" w:eastAsia="仿宋" w:cs="仿宋"/>
          <w:i w:val="0"/>
          <w:iCs w:val="0"/>
          <w:color w:val="auto"/>
          <w:sz w:val="28"/>
          <w:szCs w:val="28"/>
          <w:highlight w:val="none"/>
          <w:lang w:val="en-US" w:eastAsia="zh-CN"/>
        </w:rPr>
        <w:t>程停工的，全部责任和损失均由乙方承担。</w:t>
      </w:r>
    </w:p>
    <w:p w14:paraId="67B5B6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u w:val="single"/>
          <w:lang w:val="en-US" w:eastAsia="zh-CN"/>
        </w:rPr>
      </w:pPr>
      <w:r>
        <w:rPr>
          <w:rFonts w:hint="eastAsia" w:ascii="仿宋" w:hAnsi="仿宋" w:eastAsia="仿宋" w:cs="仿宋"/>
          <w:i w:val="0"/>
          <w:iCs w:val="0"/>
          <w:color w:val="auto"/>
          <w:sz w:val="28"/>
          <w:szCs w:val="28"/>
          <w:highlight w:val="none"/>
          <w:lang w:val="en-US" w:eastAsia="zh-CN"/>
        </w:rPr>
        <w:t>3.16其他：</w:t>
      </w:r>
      <w:r>
        <w:rPr>
          <w:rFonts w:hint="eastAsia" w:ascii="仿宋" w:hAnsi="仿宋" w:eastAsia="仿宋" w:cs="仿宋"/>
          <w:i w:val="0"/>
          <w:iCs w:val="0"/>
          <w:color w:val="auto"/>
          <w:sz w:val="28"/>
          <w:szCs w:val="28"/>
          <w:highlight w:val="none"/>
          <w:u w:val="single"/>
          <w:lang w:val="en-US" w:eastAsia="zh-CN"/>
        </w:rPr>
        <w:t>无。</w:t>
      </w:r>
    </w:p>
    <w:p w14:paraId="006F7FEB">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第四章、工期</w:t>
      </w:r>
      <w:bookmarkEnd w:id="12"/>
      <w:bookmarkEnd w:id="13"/>
      <w:bookmarkEnd w:id="14"/>
    </w:p>
    <w:p w14:paraId="1D03B9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工期</w:t>
      </w:r>
    </w:p>
    <w:tbl>
      <w:tblPr>
        <w:tblStyle w:val="15"/>
        <w:tblpPr w:leftFromText="180" w:rightFromText="180" w:vertAnchor="text" w:horzAnchor="page" w:tblpX="1533" w:tblpY="205"/>
        <w:tblOverlap w:val="never"/>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556"/>
        <w:gridCol w:w="1194"/>
        <w:gridCol w:w="2209"/>
        <w:gridCol w:w="2167"/>
      </w:tblGrid>
      <w:tr w14:paraId="6286F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456" w:type="pct"/>
            <w:tcBorders>
              <w:tl2br w:val="nil"/>
              <w:tr2bl w:val="nil"/>
            </w:tcBorders>
            <w:noWrap/>
            <w:tcMar>
              <w:top w:w="15" w:type="dxa"/>
              <w:left w:w="15" w:type="dxa"/>
              <w:right w:w="15" w:type="dxa"/>
            </w:tcMar>
            <w:vAlign w:val="center"/>
          </w:tcPr>
          <w:p w14:paraId="79F518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b/>
                <w:bCs/>
                <w:i w:val="0"/>
                <w:iCs w:val="0"/>
                <w:color w:val="auto"/>
                <w:sz w:val="24"/>
                <w:szCs w:val="24"/>
                <w:highlight w:val="none"/>
                <w:u w:val="none"/>
                <w:shd w:val="clear" w:color="auto" w:fill="FFFFFF" w:themeFill="background1"/>
                <w:lang w:val="en-US" w:eastAsia="zh-CN"/>
              </w:rPr>
            </w:pPr>
            <w:r>
              <w:rPr>
                <w:rFonts w:hint="eastAsia" w:ascii="仿宋" w:hAnsi="仿宋" w:eastAsia="仿宋" w:cs="仿宋"/>
                <w:b/>
                <w:bCs/>
                <w:i w:val="0"/>
                <w:iCs w:val="0"/>
                <w:color w:val="auto"/>
                <w:sz w:val="24"/>
                <w:szCs w:val="24"/>
                <w:highlight w:val="none"/>
                <w:u w:val="none"/>
                <w:shd w:val="clear" w:color="auto" w:fill="FFFFFF" w:themeFill="background1"/>
                <w:lang w:val="en-US" w:eastAsia="zh-CN"/>
              </w:rPr>
              <w:t>组团</w:t>
            </w:r>
          </w:p>
        </w:tc>
        <w:tc>
          <w:tcPr>
            <w:tcW w:w="1429" w:type="pct"/>
            <w:tcBorders>
              <w:tl2br w:val="nil"/>
              <w:tr2bl w:val="nil"/>
            </w:tcBorders>
            <w:noWrap/>
            <w:tcMar>
              <w:top w:w="15" w:type="dxa"/>
              <w:left w:w="15" w:type="dxa"/>
              <w:right w:w="15" w:type="dxa"/>
            </w:tcMar>
            <w:vAlign w:val="center"/>
          </w:tcPr>
          <w:p w14:paraId="752CA0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b/>
                <w:bCs/>
                <w:i w:val="0"/>
                <w:iCs w:val="0"/>
                <w:color w:val="auto"/>
                <w:sz w:val="24"/>
                <w:szCs w:val="24"/>
                <w:highlight w:val="none"/>
                <w:u w:val="none"/>
                <w:shd w:val="clear" w:color="auto" w:fill="FFFFFF" w:themeFill="background1"/>
                <w:lang w:val="en-US" w:eastAsia="zh-CN"/>
              </w:rPr>
            </w:pPr>
            <w:r>
              <w:rPr>
                <w:rFonts w:hint="eastAsia" w:ascii="仿宋" w:hAnsi="仿宋" w:eastAsia="仿宋" w:cs="仿宋"/>
                <w:b/>
                <w:bCs/>
                <w:i w:val="0"/>
                <w:iCs w:val="0"/>
                <w:color w:val="auto"/>
                <w:sz w:val="24"/>
                <w:szCs w:val="24"/>
                <w:highlight w:val="none"/>
                <w:u w:val="none"/>
                <w:shd w:val="clear" w:color="auto" w:fill="FFFFFF" w:themeFill="background1"/>
                <w:lang w:val="en-US" w:eastAsia="zh-CN"/>
              </w:rPr>
              <w:t>内容</w:t>
            </w:r>
          </w:p>
        </w:tc>
        <w:tc>
          <w:tcPr>
            <w:tcW w:w="667" w:type="pct"/>
            <w:tcBorders>
              <w:tl2br w:val="nil"/>
              <w:tr2bl w:val="nil"/>
            </w:tcBorders>
            <w:noWrap/>
            <w:tcMar>
              <w:top w:w="15" w:type="dxa"/>
              <w:left w:w="15" w:type="dxa"/>
              <w:right w:w="15" w:type="dxa"/>
            </w:tcMar>
            <w:vAlign w:val="center"/>
          </w:tcPr>
          <w:p w14:paraId="4891FA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b/>
                <w:bCs/>
                <w:i w:val="0"/>
                <w:iCs w:val="0"/>
                <w:color w:val="auto"/>
                <w:sz w:val="24"/>
                <w:szCs w:val="24"/>
                <w:highlight w:val="none"/>
                <w:u w:val="none"/>
                <w:shd w:val="clear" w:color="auto" w:fill="FFFFFF" w:themeFill="background1"/>
                <w:lang w:val="en-US" w:eastAsia="zh-CN"/>
              </w:rPr>
            </w:pPr>
            <w:r>
              <w:rPr>
                <w:rFonts w:hint="eastAsia" w:ascii="仿宋" w:hAnsi="仿宋" w:eastAsia="仿宋" w:cs="仿宋"/>
                <w:b/>
                <w:bCs/>
                <w:i w:val="0"/>
                <w:iCs w:val="0"/>
                <w:color w:val="auto"/>
                <w:sz w:val="24"/>
                <w:szCs w:val="24"/>
                <w:highlight w:val="none"/>
                <w:u w:val="none"/>
                <w:shd w:val="clear" w:color="auto" w:fill="FFFFFF" w:themeFill="background1"/>
                <w:lang w:val="en-US" w:eastAsia="zh-CN"/>
              </w:rPr>
              <w:t>合同工期</w:t>
            </w:r>
          </w:p>
        </w:tc>
        <w:tc>
          <w:tcPr>
            <w:tcW w:w="1235" w:type="pct"/>
            <w:tcBorders>
              <w:tl2br w:val="nil"/>
              <w:tr2bl w:val="nil"/>
            </w:tcBorders>
            <w:noWrap/>
            <w:tcMar>
              <w:top w:w="15" w:type="dxa"/>
              <w:left w:w="15" w:type="dxa"/>
              <w:right w:w="15" w:type="dxa"/>
            </w:tcMar>
            <w:vAlign w:val="center"/>
          </w:tcPr>
          <w:p w14:paraId="58B0D0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b/>
                <w:bCs/>
                <w:i w:val="0"/>
                <w:iCs w:val="0"/>
                <w:color w:val="auto"/>
                <w:sz w:val="24"/>
                <w:szCs w:val="24"/>
                <w:highlight w:val="none"/>
                <w:u w:val="none"/>
                <w:shd w:val="clear" w:color="auto" w:fill="FFFFFF" w:themeFill="background1"/>
                <w:lang w:val="en-US" w:eastAsia="zh-CN"/>
              </w:rPr>
            </w:pPr>
            <w:r>
              <w:rPr>
                <w:rFonts w:hint="eastAsia" w:ascii="仿宋" w:hAnsi="仿宋" w:eastAsia="仿宋" w:cs="仿宋"/>
                <w:b/>
                <w:bCs/>
                <w:i w:val="0"/>
                <w:iCs w:val="0"/>
                <w:color w:val="auto"/>
                <w:sz w:val="24"/>
                <w:szCs w:val="24"/>
                <w:highlight w:val="none"/>
                <w:u w:val="none"/>
                <w:shd w:val="clear" w:color="auto" w:fill="FFFFFF" w:themeFill="background1"/>
                <w:lang w:val="en-US" w:eastAsia="zh-CN"/>
              </w:rPr>
              <w:t>计划进场开工日期</w:t>
            </w:r>
          </w:p>
        </w:tc>
        <w:tc>
          <w:tcPr>
            <w:tcW w:w="1211" w:type="pct"/>
            <w:tcBorders>
              <w:tl2br w:val="nil"/>
              <w:tr2bl w:val="nil"/>
            </w:tcBorders>
            <w:noWrap/>
            <w:tcMar>
              <w:top w:w="15" w:type="dxa"/>
              <w:left w:w="15" w:type="dxa"/>
              <w:right w:w="15" w:type="dxa"/>
            </w:tcMar>
            <w:vAlign w:val="center"/>
          </w:tcPr>
          <w:p w14:paraId="4CA21F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b/>
                <w:bCs/>
                <w:i w:val="0"/>
                <w:iCs w:val="0"/>
                <w:color w:val="auto"/>
                <w:sz w:val="24"/>
                <w:szCs w:val="24"/>
                <w:highlight w:val="none"/>
                <w:u w:val="none"/>
                <w:shd w:val="clear" w:color="auto" w:fill="FFFFFF" w:themeFill="background1"/>
                <w:lang w:val="en-US" w:eastAsia="zh-CN"/>
              </w:rPr>
            </w:pPr>
            <w:r>
              <w:rPr>
                <w:rFonts w:hint="eastAsia" w:ascii="仿宋" w:hAnsi="仿宋" w:eastAsia="仿宋" w:cs="仿宋"/>
                <w:b/>
                <w:bCs/>
                <w:i w:val="0"/>
                <w:iCs w:val="0"/>
                <w:color w:val="auto"/>
                <w:sz w:val="24"/>
                <w:szCs w:val="24"/>
                <w:highlight w:val="none"/>
                <w:u w:val="none"/>
                <w:shd w:val="clear" w:color="auto" w:fill="FFFFFF" w:themeFill="background1"/>
                <w:lang w:val="en-US" w:eastAsia="zh-CN"/>
              </w:rPr>
              <w:t>计划完工日期</w:t>
            </w:r>
          </w:p>
        </w:tc>
      </w:tr>
      <w:tr w14:paraId="2273B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56" w:type="pct"/>
            <w:tcBorders>
              <w:tl2br w:val="nil"/>
              <w:tr2bl w:val="nil"/>
            </w:tcBorders>
            <w:noWrap/>
            <w:tcMar>
              <w:top w:w="15" w:type="dxa"/>
              <w:left w:w="15" w:type="dxa"/>
              <w:right w:w="15" w:type="dxa"/>
            </w:tcMar>
            <w:vAlign w:val="center"/>
          </w:tcPr>
          <w:p w14:paraId="405DC8B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组团一</w:t>
            </w:r>
          </w:p>
        </w:tc>
        <w:tc>
          <w:tcPr>
            <w:tcW w:w="1429" w:type="pct"/>
            <w:tcBorders>
              <w:tl2br w:val="nil"/>
              <w:tr2bl w:val="nil"/>
            </w:tcBorders>
            <w:shd w:val="clear" w:color="auto" w:fill="auto"/>
            <w:noWrap/>
            <w:tcMar>
              <w:top w:w="15" w:type="dxa"/>
              <w:left w:w="15" w:type="dxa"/>
              <w:right w:w="15" w:type="dxa"/>
            </w:tcMar>
            <w:vAlign w:val="center"/>
          </w:tcPr>
          <w:p w14:paraId="5A906C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2、4号厂房周边（以甲方指定范围为准）</w:t>
            </w:r>
          </w:p>
        </w:tc>
        <w:tc>
          <w:tcPr>
            <w:tcW w:w="667" w:type="pct"/>
            <w:tcBorders>
              <w:tl2br w:val="nil"/>
              <w:tr2bl w:val="nil"/>
            </w:tcBorders>
            <w:shd w:val="clear" w:color="auto" w:fill="auto"/>
            <w:noWrap/>
            <w:tcMar>
              <w:top w:w="15" w:type="dxa"/>
              <w:left w:w="15" w:type="dxa"/>
              <w:right w:w="15" w:type="dxa"/>
            </w:tcMar>
            <w:vAlign w:val="center"/>
          </w:tcPr>
          <w:p w14:paraId="47AF8A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p>
          <w:p w14:paraId="04C7D9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个日历天</w:t>
            </w:r>
          </w:p>
        </w:tc>
        <w:tc>
          <w:tcPr>
            <w:tcW w:w="1235" w:type="pct"/>
            <w:tcBorders>
              <w:tl2br w:val="nil"/>
              <w:tr2bl w:val="nil"/>
            </w:tcBorders>
            <w:shd w:val="clear" w:color="auto" w:fill="auto"/>
            <w:noWrap/>
            <w:tcMar>
              <w:top w:w="15" w:type="dxa"/>
              <w:left w:w="15" w:type="dxa"/>
              <w:right w:w="15" w:type="dxa"/>
            </w:tcMar>
            <w:vAlign w:val="center"/>
          </w:tcPr>
          <w:p w14:paraId="7870E8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2026年3月1日</w:t>
            </w:r>
          </w:p>
        </w:tc>
        <w:tc>
          <w:tcPr>
            <w:tcW w:w="1211" w:type="pct"/>
            <w:tcBorders>
              <w:tl2br w:val="nil"/>
              <w:tr2bl w:val="nil"/>
            </w:tcBorders>
            <w:shd w:val="clear" w:color="auto" w:fill="auto"/>
            <w:noWrap/>
            <w:tcMar>
              <w:top w:w="15" w:type="dxa"/>
              <w:left w:w="15" w:type="dxa"/>
              <w:right w:w="15" w:type="dxa"/>
            </w:tcMar>
            <w:vAlign w:val="center"/>
          </w:tcPr>
          <w:p w14:paraId="569A0D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2026年3月31日</w:t>
            </w:r>
          </w:p>
        </w:tc>
      </w:tr>
      <w:tr w14:paraId="17259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56" w:type="pct"/>
            <w:tcBorders>
              <w:tl2br w:val="nil"/>
              <w:tr2bl w:val="nil"/>
            </w:tcBorders>
            <w:noWrap/>
            <w:tcMar>
              <w:top w:w="15" w:type="dxa"/>
              <w:left w:w="15" w:type="dxa"/>
              <w:right w:w="15" w:type="dxa"/>
            </w:tcMar>
            <w:vAlign w:val="center"/>
          </w:tcPr>
          <w:p w14:paraId="0EE00A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组团二</w:t>
            </w:r>
          </w:p>
        </w:tc>
        <w:tc>
          <w:tcPr>
            <w:tcW w:w="1429" w:type="pct"/>
            <w:tcBorders>
              <w:tl2br w:val="nil"/>
              <w:tr2bl w:val="nil"/>
            </w:tcBorders>
            <w:shd w:val="clear" w:color="auto" w:fill="auto"/>
            <w:noWrap/>
            <w:tcMar>
              <w:top w:w="15" w:type="dxa"/>
              <w:left w:w="15" w:type="dxa"/>
              <w:right w:w="15" w:type="dxa"/>
            </w:tcMar>
            <w:vAlign w:val="center"/>
          </w:tcPr>
          <w:p w14:paraId="470919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1、3、5、8号厂房周边（以甲方指定范围为准）</w:t>
            </w:r>
          </w:p>
        </w:tc>
        <w:tc>
          <w:tcPr>
            <w:tcW w:w="667" w:type="pct"/>
            <w:tcBorders>
              <w:tl2br w:val="nil"/>
              <w:tr2bl w:val="nil"/>
            </w:tcBorders>
            <w:shd w:val="clear" w:color="auto" w:fill="auto"/>
            <w:noWrap/>
            <w:tcMar>
              <w:top w:w="15" w:type="dxa"/>
              <w:left w:w="15" w:type="dxa"/>
              <w:right w:w="15" w:type="dxa"/>
            </w:tcMar>
            <w:vAlign w:val="center"/>
          </w:tcPr>
          <w:p w14:paraId="536E1D1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w:t>
            </w:r>
          </w:p>
          <w:p w14:paraId="54C47A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个日历天</w:t>
            </w:r>
          </w:p>
        </w:tc>
        <w:tc>
          <w:tcPr>
            <w:tcW w:w="1235" w:type="pct"/>
            <w:tcBorders>
              <w:tl2br w:val="nil"/>
              <w:tr2bl w:val="nil"/>
            </w:tcBorders>
            <w:shd w:val="clear" w:color="auto" w:fill="auto"/>
            <w:noWrap/>
            <w:tcMar>
              <w:top w:w="15" w:type="dxa"/>
              <w:left w:w="15" w:type="dxa"/>
              <w:right w:w="15" w:type="dxa"/>
            </w:tcMar>
            <w:vAlign w:val="center"/>
          </w:tcPr>
          <w:p w14:paraId="7BF899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2026年5月1日</w:t>
            </w:r>
          </w:p>
        </w:tc>
        <w:tc>
          <w:tcPr>
            <w:tcW w:w="1211" w:type="pct"/>
            <w:tcBorders>
              <w:tl2br w:val="nil"/>
              <w:tr2bl w:val="nil"/>
            </w:tcBorders>
            <w:shd w:val="clear" w:color="auto" w:fill="auto"/>
            <w:noWrap/>
            <w:tcMar>
              <w:top w:w="15" w:type="dxa"/>
              <w:left w:w="15" w:type="dxa"/>
              <w:right w:w="15" w:type="dxa"/>
            </w:tcMar>
            <w:vAlign w:val="center"/>
          </w:tcPr>
          <w:p w14:paraId="31450B3F">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2026年6月30日</w:t>
            </w:r>
          </w:p>
        </w:tc>
      </w:tr>
      <w:tr w14:paraId="3EED9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56" w:type="pct"/>
            <w:tcBorders>
              <w:tl2br w:val="nil"/>
              <w:tr2bl w:val="nil"/>
            </w:tcBorders>
            <w:noWrap/>
            <w:tcMar>
              <w:top w:w="15" w:type="dxa"/>
              <w:left w:w="15" w:type="dxa"/>
              <w:right w:w="15" w:type="dxa"/>
            </w:tcMar>
            <w:vAlign w:val="center"/>
          </w:tcPr>
          <w:p w14:paraId="60F9BE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组团三</w:t>
            </w:r>
          </w:p>
        </w:tc>
        <w:tc>
          <w:tcPr>
            <w:tcW w:w="1429" w:type="pct"/>
            <w:tcBorders>
              <w:tl2br w:val="nil"/>
              <w:tr2bl w:val="nil"/>
            </w:tcBorders>
            <w:shd w:val="clear" w:color="auto" w:fill="auto"/>
            <w:noWrap/>
            <w:tcMar>
              <w:top w:w="15" w:type="dxa"/>
              <w:left w:w="15" w:type="dxa"/>
              <w:right w:w="15" w:type="dxa"/>
            </w:tcMar>
            <w:vAlign w:val="center"/>
          </w:tcPr>
          <w:p w14:paraId="6DF0FE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6、7、9、10号厂房周边（以甲方指定范围为准）</w:t>
            </w:r>
          </w:p>
        </w:tc>
        <w:tc>
          <w:tcPr>
            <w:tcW w:w="667" w:type="pct"/>
            <w:tcBorders>
              <w:tl2br w:val="nil"/>
              <w:tr2bl w:val="nil"/>
            </w:tcBorders>
            <w:shd w:val="clear" w:color="auto" w:fill="auto"/>
            <w:noWrap/>
            <w:tcMar>
              <w:top w:w="15" w:type="dxa"/>
              <w:left w:w="15" w:type="dxa"/>
              <w:right w:w="15" w:type="dxa"/>
            </w:tcMar>
            <w:vAlign w:val="center"/>
          </w:tcPr>
          <w:p w14:paraId="08666D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92</w:t>
            </w:r>
          </w:p>
          <w:p w14:paraId="6AE3D46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个日历天</w:t>
            </w:r>
          </w:p>
        </w:tc>
        <w:tc>
          <w:tcPr>
            <w:tcW w:w="1235" w:type="pct"/>
            <w:tcBorders>
              <w:tl2br w:val="nil"/>
              <w:tr2bl w:val="nil"/>
            </w:tcBorders>
            <w:shd w:val="clear" w:color="auto" w:fill="auto"/>
            <w:noWrap/>
            <w:tcMar>
              <w:top w:w="15" w:type="dxa"/>
              <w:left w:w="15" w:type="dxa"/>
              <w:right w:w="15" w:type="dxa"/>
            </w:tcMar>
            <w:vAlign w:val="center"/>
          </w:tcPr>
          <w:p w14:paraId="2A7D29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2026年10月1日</w:t>
            </w:r>
          </w:p>
        </w:tc>
        <w:tc>
          <w:tcPr>
            <w:tcW w:w="1211" w:type="pct"/>
            <w:tcBorders>
              <w:tl2br w:val="nil"/>
              <w:tr2bl w:val="nil"/>
            </w:tcBorders>
            <w:shd w:val="clear" w:color="auto" w:fill="auto"/>
            <w:noWrap/>
            <w:tcMar>
              <w:top w:w="15" w:type="dxa"/>
              <w:left w:w="15" w:type="dxa"/>
              <w:right w:w="15" w:type="dxa"/>
            </w:tcMar>
            <w:vAlign w:val="center"/>
          </w:tcPr>
          <w:p w14:paraId="0E8108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2026年12月31日</w:t>
            </w:r>
          </w:p>
        </w:tc>
      </w:tr>
      <w:tr w14:paraId="2ECE5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56" w:type="pct"/>
            <w:tcBorders>
              <w:tl2br w:val="nil"/>
              <w:tr2bl w:val="nil"/>
            </w:tcBorders>
            <w:noWrap/>
            <w:tcMar>
              <w:top w:w="15" w:type="dxa"/>
              <w:left w:w="15" w:type="dxa"/>
              <w:right w:w="15" w:type="dxa"/>
            </w:tcMar>
            <w:vAlign w:val="center"/>
          </w:tcPr>
          <w:p w14:paraId="71AB0F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组团四</w:t>
            </w:r>
          </w:p>
        </w:tc>
        <w:tc>
          <w:tcPr>
            <w:tcW w:w="1429" w:type="pct"/>
            <w:tcBorders>
              <w:tl2br w:val="nil"/>
              <w:tr2bl w:val="nil"/>
            </w:tcBorders>
            <w:shd w:val="clear" w:color="auto" w:fill="auto"/>
            <w:noWrap/>
            <w:tcMar>
              <w:top w:w="15" w:type="dxa"/>
              <w:left w:w="15" w:type="dxa"/>
              <w:right w:w="15" w:type="dxa"/>
            </w:tcMar>
            <w:vAlign w:val="center"/>
          </w:tcPr>
          <w:p w14:paraId="3700646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B地块</w:t>
            </w:r>
          </w:p>
        </w:tc>
        <w:tc>
          <w:tcPr>
            <w:tcW w:w="667" w:type="pct"/>
            <w:tcBorders>
              <w:tl2br w:val="nil"/>
              <w:tr2bl w:val="nil"/>
            </w:tcBorders>
            <w:shd w:val="clear" w:color="auto" w:fill="auto"/>
            <w:noWrap/>
            <w:tcMar>
              <w:top w:w="15" w:type="dxa"/>
              <w:left w:w="15" w:type="dxa"/>
              <w:right w:w="15" w:type="dxa"/>
            </w:tcMar>
            <w:vAlign w:val="center"/>
          </w:tcPr>
          <w:p w14:paraId="7F1C84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69</w:t>
            </w:r>
          </w:p>
          <w:p w14:paraId="794C93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个日历天</w:t>
            </w:r>
          </w:p>
        </w:tc>
        <w:tc>
          <w:tcPr>
            <w:tcW w:w="1235" w:type="pct"/>
            <w:tcBorders>
              <w:tl2br w:val="nil"/>
              <w:tr2bl w:val="nil"/>
            </w:tcBorders>
            <w:shd w:val="clear" w:color="auto" w:fill="auto"/>
            <w:noWrap/>
            <w:tcMar>
              <w:top w:w="15" w:type="dxa"/>
              <w:left w:w="15" w:type="dxa"/>
              <w:right w:w="15" w:type="dxa"/>
            </w:tcMar>
            <w:vAlign w:val="center"/>
          </w:tcPr>
          <w:p w14:paraId="7B6A9B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2026年10月8日</w:t>
            </w:r>
          </w:p>
        </w:tc>
        <w:tc>
          <w:tcPr>
            <w:tcW w:w="1211" w:type="pct"/>
            <w:tcBorders>
              <w:tl2br w:val="nil"/>
              <w:tr2bl w:val="nil"/>
            </w:tcBorders>
            <w:shd w:val="clear" w:color="auto" w:fill="auto"/>
            <w:noWrap/>
            <w:tcMar>
              <w:top w:w="15" w:type="dxa"/>
              <w:left w:w="15" w:type="dxa"/>
              <w:right w:w="15" w:type="dxa"/>
            </w:tcMar>
            <w:vAlign w:val="center"/>
          </w:tcPr>
          <w:p w14:paraId="69EE01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2026年12月15日</w:t>
            </w:r>
          </w:p>
        </w:tc>
      </w:tr>
    </w:tbl>
    <w:p w14:paraId="645799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FFFFFF" w:themeFill="background1"/>
          <w:lang w:val="en-US" w:eastAsia="zh-CN"/>
        </w:rPr>
      </w:pPr>
      <w:r>
        <w:rPr>
          <w:rFonts w:hint="eastAsia" w:ascii="仿宋" w:hAnsi="仿宋" w:eastAsia="仿宋" w:cs="仿宋"/>
          <w:i w:val="0"/>
          <w:iCs w:val="0"/>
          <w:color w:val="auto"/>
          <w:sz w:val="28"/>
          <w:szCs w:val="28"/>
          <w:highlight w:val="none"/>
          <w:u w:val="none"/>
          <w:shd w:val="clear" w:color="auto" w:fill="FFFFFF" w:themeFill="background1"/>
          <w:lang w:val="en-US" w:eastAsia="zh-CN"/>
        </w:rPr>
        <w:t>工期以全面满足甲方要求为准。甲方通知后 24 小时内，乙方项目现场负责人及主要工作人员须进场开始工作，具体以甲方要求为准，必须满足甲方项目工期要求。</w:t>
      </w:r>
    </w:p>
    <w:p w14:paraId="6CBA8A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4.2</w:t>
      </w:r>
      <w:r>
        <w:rPr>
          <w:rFonts w:hint="eastAsia" w:ascii="仿宋" w:hAnsi="仿宋" w:eastAsia="仿宋" w:cs="仿宋"/>
          <w:b/>
          <w:bCs/>
          <w:i w:val="0"/>
          <w:iCs w:val="0"/>
          <w:color w:val="auto"/>
          <w:sz w:val="28"/>
          <w:szCs w:val="28"/>
          <w:highlight w:val="none"/>
          <w:lang w:val="en-US" w:eastAsia="zh-CN"/>
        </w:rPr>
        <w:t>乙方必须满足甲方的工期要求，配备符合本工程需求的熟练技术工人不少于</w:t>
      </w:r>
      <w:r>
        <w:rPr>
          <w:rFonts w:hint="eastAsia" w:ascii="仿宋" w:hAnsi="仿宋" w:eastAsia="仿宋" w:cs="仿宋"/>
          <w:b/>
          <w:bCs/>
          <w:i w:val="0"/>
          <w:iCs w:val="0"/>
          <w:color w:val="auto"/>
          <w:sz w:val="28"/>
          <w:szCs w:val="28"/>
          <w:highlight w:val="none"/>
          <w:u w:val="single"/>
          <w:lang w:val="en-US" w:eastAsia="zh-CN"/>
        </w:rPr>
        <w:t xml:space="preserve"> 30 </w:t>
      </w:r>
      <w:r>
        <w:rPr>
          <w:rFonts w:hint="eastAsia" w:ascii="仿宋" w:hAnsi="仿宋" w:eastAsia="仿宋" w:cs="仿宋"/>
          <w:b/>
          <w:bCs/>
          <w:i w:val="0"/>
          <w:iCs w:val="0"/>
          <w:color w:val="auto"/>
          <w:sz w:val="28"/>
          <w:szCs w:val="28"/>
          <w:highlight w:val="none"/>
          <w:lang w:val="en-US" w:eastAsia="zh-CN"/>
        </w:rPr>
        <w:t>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以满足</w:t>
      </w:r>
      <w:r>
        <w:rPr>
          <w:rFonts w:hint="eastAsia" w:ascii="仿宋" w:hAnsi="仿宋" w:eastAsia="仿宋" w:cs="仿宋"/>
          <w:color w:val="auto"/>
          <w:sz w:val="28"/>
          <w:szCs w:val="28"/>
          <w:highlight w:val="none"/>
          <w:lang w:val="en-US" w:eastAsia="zh-CN"/>
        </w:rPr>
        <w:t>甲方的</w:t>
      </w:r>
      <w:r>
        <w:rPr>
          <w:rFonts w:hint="eastAsia" w:ascii="仿宋" w:hAnsi="仿宋" w:eastAsia="仿宋" w:cs="仿宋"/>
          <w:color w:val="auto"/>
          <w:sz w:val="28"/>
          <w:szCs w:val="28"/>
          <w:highlight w:val="none"/>
        </w:rPr>
        <w:t>进度要求为准</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，随时增加或减少乙方人员以满足本工程施工要求。</w:t>
      </w:r>
      <w:r>
        <w:rPr>
          <w:rFonts w:ascii="微软雅黑" w:hAnsi="微软雅黑" w:eastAsia="微软雅黑" w:cs="微软雅黑"/>
          <w:i w:val="0"/>
          <w:iCs w:val="0"/>
          <w:caps w:val="0"/>
          <w:color w:val="auto"/>
          <w:spacing w:val="0"/>
          <w:sz w:val="18"/>
          <w:szCs w:val="18"/>
          <w:highlight w:val="none"/>
          <w:shd w:val="clear" w:fill="FFFFFF"/>
        </w:rPr>
        <w:t xml:space="preserve"> </w:t>
      </w:r>
    </w:p>
    <w:p w14:paraId="7212A6BD">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5" w:name="_Toc22079"/>
      <w:bookmarkStart w:id="16" w:name="_Toc2381"/>
      <w:bookmarkStart w:id="17" w:name="_Toc3824"/>
      <w:r>
        <w:rPr>
          <w:rFonts w:hint="eastAsia" w:ascii="仿宋" w:hAnsi="仿宋" w:eastAsia="仿宋" w:cs="仿宋"/>
          <w:b/>
          <w:bCs/>
          <w:i w:val="0"/>
          <w:iCs w:val="0"/>
          <w:color w:val="auto"/>
          <w:sz w:val="28"/>
          <w:szCs w:val="28"/>
          <w:highlight w:val="none"/>
          <w:shd w:val="clear" w:color="auto" w:fill="auto"/>
          <w:lang w:val="en-US" w:eastAsia="zh-CN"/>
        </w:rPr>
        <w:t>第五章、工程质量标准</w:t>
      </w:r>
      <w:bookmarkEnd w:id="15"/>
      <w:bookmarkEnd w:id="16"/>
      <w:bookmarkEnd w:id="17"/>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5148A3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5.1本工程质量标准：达到国家、</w:t>
      </w:r>
      <w:r>
        <w:rPr>
          <w:rFonts w:hint="eastAsia" w:ascii="仿宋" w:hAnsi="仿宋" w:eastAsia="仿宋" w:cs="仿宋"/>
          <w:color w:val="auto"/>
          <w:sz w:val="28"/>
          <w:szCs w:val="28"/>
          <w:highlight w:val="none"/>
          <w:lang w:val="en-US" w:eastAsia="zh-CN"/>
        </w:rPr>
        <w:t>本工程所在地政府主管部门、</w:t>
      </w:r>
      <w:r>
        <w:rPr>
          <w:rFonts w:hint="eastAsia" w:ascii="仿宋" w:hAnsi="仿宋" w:eastAsia="仿宋" w:cs="仿宋"/>
          <w:i w:val="0"/>
          <w:iCs w:val="0"/>
          <w:color w:val="auto"/>
          <w:sz w:val="28"/>
          <w:szCs w:val="28"/>
          <w:highlight w:val="none"/>
          <w:shd w:val="clear" w:color="auto" w:fill="auto"/>
          <w:lang w:val="en-US" w:eastAsia="zh-CN"/>
        </w:rPr>
        <w:t>行业相关施工质量验收规范的</w:t>
      </w:r>
      <w:r>
        <w:rPr>
          <w:rFonts w:hint="eastAsia" w:ascii="仿宋" w:hAnsi="仿宋" w:eastAsia="仿宋" w:cs="仿宋"/>
          <w:i w:val="0"/>
          <w:iCs w:val="0"/>
          <w:color w:val="auto"/>
          <w:sz w:val="28"/>
          <w:szCs w:val="28"/>
          <w:highlight w:val="none"/>
          <w:u w:val="single"/>
          <w:shd w:val="clear" w:color="auto" w:fill="auto"/>
          <w:lang w:val="en-US" w:eastAsia="zh-CN"/>
        </w:rPr>
        <w:t xml:space="preserve"> 优良 </w:t>
      </w:r>
      <w:r>
        <w:rPr>
          <w:rFonts w:hint="eastAsia" w:ascii="仿宋" w:hAnsi="仿宋" w:eastAsia="仿宋" w:cs="仿宋"/>
          <w:i w:val="0"/>
          <w:iCs w:val="0"/>
          <w:color w:val="auto"/>
          <w:sz w:val="28"/>
          <w:szCs w:val="28"/>
          <w:highlight w:val="none"/>
          <w:shd w:val="clear" w:color="auto" w:fill="auto"/>
          <w:lang w:val="en-US" w:eastAsia="zh-CN"/>
        </w:rPr>
        <w:t>标准。</w:t>
      </w:r>
    </w:p>
    <w:p w14:paraId="0DD74D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5.2质量要点：</w:t>
      </w:r>
      <w:bookmarkStart w:id="18" w:name="_Toc2060"/>
      <w:bookmarkStart w:id="19" w:name="_Toc19252"/>
      <w:bookmarkStart w:id="20" w:name="_Toc553"/>
    </w:p>
    <w:p w14:paraId="5D109D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5.2.1由于乙方原因导致工程任一部位质量达不到约定的质量标准或不符合施工规范的，该部位按相应的合同单价下浮10％结算且乙方无条件完成整改，所发生一切费用由乙方自行承担。</w:t>
      </w:r>
    </w:p>
    <w:p w14:paraId="152B61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5.2.2乙方必须以甲方验收合格为标准，无条件的接受返工、整改，工期不得顺延。 </w:t>
      </w:r>
    </w:p>
    <w:p w14:paraId="54B61066">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2" w:firstLineChars="200"/>
        <w:jc w:val="both"/>
        <w:textAlignment w:val="auto"/>
        <w:outlineLvl w:val="1"/>
        <w:rPr>
          <w:rFonts w:hint="default"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第六章、合同价款</w:t>
      </w:r>
      <w:bookmarkEnd w:id="18"/>
      <w:bookmarkEnd w:id="19"/>
      <w:bookmarkEnd w:id="20"/>
    </w:p>
    <w:p w14:paraId="528D8E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乙方完成合同所述工作、实现</w:t>
      </w:r>
      <w:r>
        <w:rPr>
          <w:rFonts w:hint="eastAsia" w:ascii="仿宋" w:hAnsi="仿宋" w:eastAsia="仿宋" w:cs="仿宋"/>
          <w:i w:val="0"/>
          <w:iCs w:val="0"/>
          <w:color w:val="auto"/>
          <w:sz w:val="28"/>
          <w:szCs w:val="28"/>
          <w:highlight w:val="none"/>
          <w:lang w:val="en-US" w:eastAsia="zh-CN"/>
        </w:rPr>
        <w:t>合同</w:t>
      </w:r>
      <w:r>
        <w:rPr>
          <w:rFonts w:hint="eastAsia" w:ascii="仿宋" w:hAnsi="仿宋" w:eastAsia="仿宋" w:cs="仿宋"/>
          <w:i w:val="0"/>
          <w:iCs w:val="0"/>
          <w:color w:val="auto"/>
          <w:sz w:val="28"/>
          <w:szCs w:val="28"/>
          <w:highlight w:val="none"/>
        </w:rPr>
        <w:t>工期要求、质量要求及承担合同义务、责任、风险的费用已包括在下列合同价（以打</w:t>
      </w:r>
      <w:r>
        <w:rPr>
          <w:rFonts w:hint="eastAsia" w:ascii="仿宋" w:hAnsi="仿宋" w:eastAsia="仿宋" w:cs="仿宋"/>
          <w:i w:val="0"/>
          <w:iCs w:val="0"/>
          <w:color w:val="auto"/>
          <w:sz w:val="28"/>
          <w:szCs w:val="28"/>
          <w:highlight w:val="none"/>
          <w:shd w:val="clear" w:color="auto" w:fill="auto"/>
          <w:lang w:val="en-US" w:eastAsia="zh-CN"/>
        </w:rPr>
        <w:sym w:font="Wingdings 2" w:char="0052"/>
      </w:r>
      <w:r>
        <w:rPr>
          <w:rFonts w:hint="eastAsia" w:ascii="仿宋" w:hAnsi="仿宋" w:eastAsia="仿宋" w:cs="仿宋"/>
          <w:i w:val="0"/>
          <w:iCs w:val="0"/>
          <w:color w:val="auto"/>
          <w:sz w:val="28"/>
          <w:szCs w:val="28"/>
          <w:highlight w:val="none"/>
        </w:rPr>
        <w:t>为准）中。</w:t>
      </w:r>
    </w:p>
    <w:p w14:paraId="0D45946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left"/>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bCs/>
          <w:i w:val="0"/>
          <w:iCs w:val="0"/>
          <w:color w:val="auto"/>
          <w:sz w:val="28"/>
          <w:szCs w:val="28"/>
          <w:highlight w:val="none"/>
          <w:lang w:val="en-US" w:eastAsia="zh-CN"/>
        </w:rPr>
        <w:t>本合同为固定单价合同，</w:t>
      </w:r>
      <w:r>
        <w:rPr>
          <w:rFonts w:hint="eastAsia" w:ascii="仿宋" w:hAnsi="仿宋" w:eastAsia="仿宋" w:cs="仿宋"/>
          <w:b/>
          <w:bCs/>
          <w:i w:val="0"/>
          <w:iCs w:val="0"/>
          <w:color w:val="auto"/>
          <w:sz w:val="28"/>
          <w:szCs w:val="28"/>
          <w:highlight w:val="none"/>
          <w:shd w:val="clear" w:color="auto" w:fill="auto"/>
          <w:lang w:val="en-US" w:eastAsia="zh-CN"/>
        </w:rPr>
        <w:t>工程量按合同约定计量规则计算</w:t>
      </w:r>
      <w:r>
        <w:rPr>
          <w:rFonts w:hint="eastAsia" w:ascii="仿宋" w:hAnsi="仿宋" w:eastAsia="仿宋" w:cs="仿宋"/>
          <w:b/>
          <w:bCs/>
          <w:i w:val="0"/>
          <w:iCs w:val="0"/>
          <w:color w:val="auto"/>
          <w:kern w:val="0"/>
          <w:sz w:val="28"/>
          <w:szCs w:val="28"/>
          <w:highlight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合同单价（详见附件《招标清单》）为全费用固定综合单价(仅不含增值税)，</w:t>
      </w:r>
      <w:r>
        <w:rPr>
          <w:rFonts w:hint="eastAsia" w:ascii="仿宋" w:hAnsi="仿宋" w:eastAsia="仿宋" w:cs="仿宋"/>
          <w:b/>
          <w:bCs/>
          <w:i w:val="0"/>
          <w:iCs w:val="0"/>
          <w:color w:val="auto"/>
          <w:sz w:val="28"/>
          <w:szCs w:val="28"/>
          <w:highlight w:val="none"/>
          <w:lang w:val="en-US" w:eastAsia="zh-CN"/>
        </w:rPr>
        <w:t>包含乙方完成合同文件所述内容的全部费用，</w:t>
      </w:r>
      <w:r>
        <w:rPr>
          <w:rFonts w:hint="eastAsia" w:ascii="仿宋" w:hAnsi="仿宋" w:eastAsia="仿宋" w:cs="仿宋"/>
          <w:b/>
          <w:bCs/>
          <w:i w:val="0"/>
          <w:iCs w:val="0"/>
          <w:color w:val="auto"/>
          <w:sz w:val="28"/>
          <w:szCs w:val="28"/>
          <w:highlight w:val="none"/>
          <w:shd w:val="clear" w:color="auto" w:fill="auto"/>
          <w:lang w:val="en-US" w:eastAsia="zh-CN"/>
        </w:rPr>
        <w:t>除合同另有约定外，不做任何调整（尤其不因乙方实际施工工程量的变化而增加）。乙方开具税率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%的增值税专用发票，税率按国家政策执行，如税率调整，税金随之调整。</w:t>
      </w:r>
      <w:r>
        <w:rPr>
          <w:rFonts w:hint="eastAsia" w:ascii="仿宋" w:hAnsi="仿宋" w:eastAsia="仿宋" w:cs="仿宋"/>
          <w:b/>
          <w:bCs/>
          <w:i w:val="0"/>
          <w:iCs w:val="0"/>
          <w:color w:val="auto"/>
          <w:sz w:val="28"/>
          <w:szCs w:val="28"/>
          <w:highlight w:val="none"/>
          <w:lang w:val="en-US" w:eastAsia="zh-CN"/>
        </w:rPr>
        <w:t>本合同暂定总价为人民币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，其中不含税暂定总价为人民币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，增值税税金为人民币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 xml:space="preserve">，此价仅供参考，不作结算用途。 </w:t>
      </w:r>
    </w:p>
    <w:p w14:paraId="57A407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left"/>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本合同为固定总价合同，合同总价为人民币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元整（详见附件），</w:t>
      </w:r>
      <w:r>
        <w:rPr>
          <w:rFonts w:hint="eastAsia" w:ascii="仿宋" w:hAnsi="仿宋" w:eastAsia="仿宋" w:cs="仿宋"/>
          <w:b/>
          <w:bCs/>
          <w:i w:val="0"/>
          <w:iCs w:val="0"/>
          <w:color w:val="auto"/>
          <w:sz w:val="28"/>
          <w:szCs w:val="28"/>
          <w:highlight w:val="none"/>
          <w:shd w:val="clear" w:color="auto" w:fill="auto"/>
          <w:lang w:val="en-US" w:eastAsia="zh-CN"/>
        </w:rPr>
        <w:t>此价含税，乙方开具税率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p>
    <w:p w14:paraId="0F360D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21" w:name="_Toc32757"/>
      <w:bookmarkStart w:id="22" w:name="_Toc9761"/>
      <w:r>
        <w:rPr>
          <w:rFonts w:hint="eastAsia" w:ascii="仿宋" w:hAnsi="仿宋" w:eastAsia="仿宋" w:cs="仿宋"/>
          <w:b w:val="0"/>
          <w:bCs w:val="0"/>
          <w:i w:val="0"/>
          <w:iCs w:val="0"/>
          <w:color w:val="auto"/>
          <w:sz w:val="28"/>
          <w:szCs w:val="28"/>
          <w:highlight w:val="none"/>
          <w:shd w:val="clear" w:color="auto" w:fill="auto"/>
          <w:lang w:val="en-US" w:eastAsia="zh-CN"/>
        </w:rPr>
        <w:t>6.2</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52"/>
      </w:r>
      <w:r>
        <w:rPr>
          <w:rFonts w:hint="eastAsia" w:ascii="仿宋" w:hAnsi="仿宋" w:eastAsia="仿宋" w:cs="仿宋"/>
          <w:b w:val="0"/>
          <w:bCs w:val="0"/>
          <w:i w:val="0"/>
          <w:iCs w:val="0"/>
          <w:color w:val="auto"/>
          <w:sz w:val="28"/>
          <w:szCs w:val="28"/>
          <w:highlight w:val="none"/>
          <w:shd w:val="clear" w:color="auto" w:fill="auto"/>
          <w:lang w:val="en-US" w:eastAsia="zh-CN"/>
        </w:rPr>
        <w:t>合同单价/</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合同总价适用于本项目用地红线范围内的本工程工作内容，已有价格的子目双方无需另行确定单价，均按已确定价格执行。</w:t>
      </w:r>
    </w:p>
    <w:p w14:paraId="64F480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6.3在本合同对应的招标过程中，乙方对招标清单、图纸、施工方案、技术要求等招采文件内容未经甲方同意而擅自更改，删除等，无论是否在本合同正文、附件中有所体现、表述，均属乙方欺瞒甲方的不诚信行为，该条款属无效条款，乙方须按甲方的招采要求（以甲方解释为准）执行。因此产生的损失、后果由乙方承担，甲方不承担任何损失和费用，甲方的损失由乙方全额赔偿，同时甲方有权单方解除合同且不付款。</w:t>
      </w:r>
    </w:p>
    <w:p w14:paraId="2B36CA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23" w:name="_Toc20193"/>
      <w:bookmarkStart w:id="24" w:name="_Toc19006"/>
      <w:r>
        <w:rPr>
          <w:rFonts w:hint="eastAsia" w:ascii="仿宋" w:hAnsi="仿宋" w:eastAsia="仿宋" w:cs="仿宋"/>
          <w:b/>
          <w:bCs/>
          <w:i w:val="0"/>
          <w:iCs w:val="0"/>
          <w:color w:val="auto"/>
          <w:sz w:val="28"/>
          <w:szCs w:val="28"/>
          <w:highlight w:val="none"/>
          <w:shd w:val="clear" w:color="auto" w:fill="auto"/>
          <w:lang w:val="en-US" w:eastAsia="zh-CN"/>
        </w:rPr>
        <w:t>第七章、计量计价方式及结算方式</w:t>
      </w:r>
      <w:bookmarkEnd w:id="23"/>
      <w:bookmarkEnd w:id="24"/>
    </w:p>
    <w:bookmarkEnd w:id="21"/>
    <w:bookmarkEnd w:id="22"/>
    <w:p w14:paraId="2CB8E1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25" w:name="_Toc16700"/>
      <w:bookmarkStart w:id="26" w:name="_Toc26012"/>
      <w:r>
        <w:rPr>
          <w:rFonts w:hint="eastAsia" w:ascii="仿宋" w:hAnsi="仿宋" w:eastAsia="仿宋" w:cs="仿宋"/>
          <w:b w:val="0"/>
          <w:bCs w:val="0"/>
          <w:color w:val="auto"/>
          <w:sz w:val="28"/>
          <w:szCs w:val="28"/>
          <w:highlight w:val="none"/>
          <w:lang w:val="en-US" w:eastAsia="zh-CN"/>
        </w:rPr>
        <w:t>7.1工程量计算原则</w:t>
      </w:r>
    </w:p>
    <w:p w14:paraId="692EC5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sym w:font="Wingdings 2" w:char="00A3"/>
      </w:r>
      <w:r>
        <w:rPr>
          <w:rFonts w:hint="eastAsia" w:ascii="仿宋" w:hAnsi="仿宋" w:eastAsia="仿宋" w:cs="仿宋"/>
          <w:b w:val="0"/>
          <w:bCs w:val="0"/>
          <w:color w:val="auto"/>
          <w:sz w:val="28"/>
          <w:szCs w:val="28"/>
          <w:highlight w:val="none"/>
          <w:lang w:val="en-US" w:eastAsia="zh-CN"/>
        </w:rPr>
        <w:t>总价包干合同；合同范围内的按合同约定的计算原则执行，合同无约定或合同范围外的签证、变更工程计量方式按本合同相关条款执行。</w:t>
      </w:r>
    </w:p>
    <w:p w14:paraId="298B2D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sym w:font="Wingdings 2" w:char="0052"/>
      </w:r>
      <w:r>
        <w:rPr>
          <w:rFonts w:hint="eastAsia" w:ascii="仿宋" w:hAnsi="仿宋" w:eastAsia="仿宋" w:cs="仿宋"/>
          <w:b w:val="0"/>
          <w:bCs w:val="0"/>
          <w:color w:val="auto"/>
          <w:sz w:val="28"/>
          <w:szCs w:val="28"/>
          <w:highlight w:val="none"/>
          <w:lang w:val="en-US" w:eastAsia="zh-CN"/>
        </w:rPr>
        <w:t>固定单价合同：合同范围内的按合同约定的计算原则执行，合同无约定或合同范围外的签证、变更工程计量方式按本合同相关条款（如专用合同7.2条款及通用条款的第六章等）执行。</w:t>
      </w:r>
    </w:p>
    <w:p w14:paraId="36FB6B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7.2工程量计量规则：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p>
    <w:p w14:paraId="04246E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7.3计价依据</w:t>
      </w:r>
    </w:p>
    <w:p w14:paraId="177640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7.3.1合同范围内的工程，按合同单价执行；</w:t>
      </w:r>
    </w:p>
    <w:p w14:paraId="01497F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7.3.2合同范围外的签证变更方法：</w:t>
      </w:r>
    </w:p>
    <w:p w14:paraId="25AB99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7.3.2.1合同中已有适用于变更工程的价格，按合同已有的价格执行；</w:t>
      </w:r>
    </w:p>
    <w:p w14:paraId="1D36BC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7.3.2.2合同中只有类似于变更工程的价格，可在合理范围内参照类似价格执行；</w:t>
      </w:r>
    </w:p>
    <w:p w14:paraId="4F01A6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7.3.2.3合同中没有适用或类似于变更工程的价格，按以下7.3.3计价规则执行。</w:t>
      </w:r>
    </w:p>
    <w:p w14:paraId="5EB9CB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7.3.3计价规则</w:t>
      </w:r>
    </w:p>
    <w:p w14:paraId="08C7ED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7.3.3.1本工程执行《江苏省建筑与装饰工程计价定额(2014)》、《江苏省安装工程计价定额(2014)》清单计价程序取费。采用清单计价，执行《建设工程工程量清单计价规范》（‌GB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江苏省城市园林绿化养护管理计价定额(2017)》及国家建设行政主管部门颁布的相关规定文件；若无合适的定额子目可参考或套用定额子目单价明显偏高的，由乙方按照市场价格合理报价给甲方做认质认价办理，经甲方确认综合单价后作为独立费计入总价（计取税金），不参与任何取费及上下浮</w:t>
      </w:r>
      <w:r>
        <w:rPr>
          <w:rFonts w:hint="eastAsia" w:ascii="仿宋" w:hAnsi="仿宋" w:eastAsia="仿宋" w:cs="仿宋"/>
          <w:b w:val="0"/>
          <w:bCs w:val="0"/>
          <w:i w:val="0"/>
          <w:iCs w:val="0"/>
          <w:color w:val="auto"/>
          <w:sz w:val="28"/>
          <w:szCs w:val="28"/>
          <w:highlight w:val="none"/>
          <w:lang w:val="en-US" w:eastAsia="zh-CN"/>
        </w:rPr>
        <w:t>。</w:t>
      </w:r>
    </w:p>
    <w:p w14:paraId="34178D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7.3.3.2材料价、人工价：执行本项目所在地建设工程主管部门颁布的施工同期信息价。信息价上没有颁布的材料，由乙方按施工同期的市场价格合理报价给甲方进行认质认价。报价文件须提供相关证明文件（含材料的厂家、品牌、型号、规格、材质等），经甲方确认综合单价后作为独立费计入总价（计取税金），甲乙双方认质认价的材料不参与任何取费及上下浮。</w:t>
      </w:r>
    </w:p>
    <w:p w14:paraId="5F23F5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7.3.3.3计价中除仅计取人工费、材料费、机具费作为直接工程费外，其余按系数计取的各类取费均不计取，其他所有措施费均不单独计取费用。</w:t>
      </w:r>
    </w:p>
    <w:p w14:paraId="1F88B3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7.3.3.4税率：按国家建设行政主管部门及国家税务部门的最新规定执行。</w:t>
      </w:r>
    </w:p>
    <w:p w14:paraId="25D6DC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27" w:name="_Toc27395"/>
      <w:r>
        <w:rPr>
          <w:rFonts w:hint="eastAsia" w:ascii="仿宋" w:hAnsi="仿宋" w:eastAsia="仿宋" w:cs="仿宋"/>
          <w:b w:val="0"/>
          <w:bCs w:val="0"/>
          <w:i w:val="0"/>
          <w:iCs w:val="0"/>
          <w:color w:val="auto"/>
          <w:sz w:val="28"/>
          <w:szCs w:val="28"/>
          <w:highlight w:val="none"/>
          <w:shd w:val="clear" w:color="auto" w:fill="auto"/>
          <w:lang w:val="en-US" w:eastAsia="zh-CN"/>
        </w:rPr>
        <w:t>7.3.3.5按上述计费方式得出的含税单价下浮后（下浮率按下表执行）作为最终价格（甲方直接确认的综合单价不参与上下浮的除外）：</w:t>
      </w:r>
    </w:p>
    <w:tbl>
      <w:tblPr>
        <w:tblStyle w:val="16"/>
        <w:tblW w:w="8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8" w:type="dxa"/>
          <w:bottom w:w="80" w:type="dxa"/>
          <w:right w:w="128" w:type="dxa"/>
        </w:tblCellMar>
      </w:tblPr>
      <w:tblGrid>
        <w:gridCol w:w="1118"/>
        <w:gridCol w:w="5042"/>
        <w:gridCol w:w="1429"/>
        <w:gridCol w:w="1079"/>
      </w:tblGrid>
      <w:tr w14:paraId="6440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420" w:hRule="atLeast"/>
          <w:tblHeader/>
          <w:jc w:val="center"/>
        </w:trPr>
        <w:tc>
          <w:tcPr>
            <w:tcW w:w="1118" w:type="dxa"/>
            <w:tcBorders>
              <w:top w:val="single" w:color="auto" w:sz="12" w:space="0"/>
              <w:left w:val="single" w:color="auto" w:sz="12" w:space="0"/>
              <w:bottom w:val="single" w:color="auto" w:sz="4" w:space="0"/>
              <w:right w:val="single" w:color="auto" w:sz="4" w:space="0"/>
            </w:tcBorders>
            <w:vAlign w:val="center"/>
          </w:tcPr>
          <w:p w14:paraId="1467B2F7">
            <w:pPr>
              <w:keepNext/>
              <w:keepLines w:val="0"/>
              <w:pageBreakBefore w:val="0"/>
              <w:widowControl w:val="0"/>
              <w:tabs>
                <w:tab w:val="left" w:pos="83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序号</w:t>
            </w:r>
          </w:p>
        </w:tc>
        <w:tc>
          <w:tcPr>
            <w:tcW w:w="5042" w:type="dxa"/>
            <w:tcBorders>
              <w:top w:val="single" w:color="auto" w:sz="12" w:space="0"/>
              <w:left w:val="single" w:color="auto" w:sz="4" w:space="0"/>
              <w:bottom w:val="single" w:color="auto" w:sz="4" w:space="0"/>
              <w:right w:val="single" w:color="auto" w:sz="4" w:space="0"/>
            </w:tcBorders>
            <w:vAlign w:val="center"/>
          </w:tcPr>
          <w:p w14:paraId="02B211B6">
            <w:pPr>
              <w:keepNext/>
              <w:keepLines w:val="0"/>
              <w:pageBreakBefore w:val="0"/>
              <w:widowControl w:val="0"/>
              <w:tabs>
                <w:tab w:val="left" w:pos="835"/>
              </w:tabs>
              <w:kinsoku/>
              <w:wordWrap/>
              <w:overflowPunct/>
              <w:topLinePunct w:val="0"/>
              <w:autoSpaceDE/>
              <w:autoSpaceDN/>
              <w:bidi w:val="0"/>
              <w:adjustRightInd w:val="0"/>
              <w:snapToGrid w:val="0"/>
              <w:spacing w:line="240" w:lineRule="auto"/>
              <w:ind w:left="0" w:leftChars="0" w:right="0" w:rightChars="0" w:firstLine="562" w:firstLineChars="200"/>
              <w:jc w:val="center"/>
              <w:textAlignment w:val="auto"/>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承包方式</w:t>
            </w:r>
          </w:p>
        </w:tc>
        <w:tc>
          <w:tcPr>
            <w:tcW w:w="1429" w:type="dxa"/>
            <w:tcBorders>
              <w:top w:val="single" w:color="auto" w:sz="12" w:space="0"/>
              <w:left w:val="single" w:color="auto" w:sz="4" w:space="0"/>
              <w:bottom w:val="single" w:color="auto" w:sz="4" w:space="0"/>
              <w:right w:val="single" w:color="auto" w:sz="4" w:space="0"/>
            </w:tcBorders>
            <w:vAlign w:val="center"/>
          </w:tcPr>
          <w:p w14:paraId="22F5350A">
            <w:pPr>
              <w:keepNext/>
              <w:keepLines w:val="0"/>
              <w:pageBreakBefore w:val="0"/>
              <w:widowControl w:val="0"/>
              <w:tabs>
                <w:tab w:val="left" w:pos="83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下浮率</w:t>
            </w:r>
          </w:p>
        </w:tc>
        <w:tc>
          <w:tcPr>
            <w:tcW w:w="1079" w:type="dxa"/>
            <w:tcBorders>
              <w:top w:val="single" w:color="auto" w:sz="12" w:space="0"/>
              <w:left w:val="single" w:color="auto" w:sz="4" w:space="0"/>
              <w:bottom w:val="single" w:color="auto" w:sz="4" w:space="0"/>
              <w:right w:val="single" w:color="auto" w:sz="12" w:space="0"/>
            </w:tcBorders>
            <w:vAlign w:val="center"/>
          </w:tcPr>
          <w:p w14:paraId="0D58F1F0">
            <w:pPr>
              <w:keepNext/>
              <w:keepLines w:val="0"/>
              <w:pageBreakBefore w:val="0"/>
              <w:widowControl w:val="0"/>
              <w:tabs>
                <w:tab w:val="left" w:pos="835"/>
              </w:tabs>
              <w:kinsoku/>
              <w:wordWrap/>
              <w:overflowPunct/>
              <w:topLinePunct w:val="0"/>
              <w:autoSpaceDE/>
              <w:autoSpaceDN/>
              <w:bidi w:val="0"/>
              <w:adjustRightInd w:val="0"/>
              <w:snapToGrid w:val="0"/>
              <w:spacing w:line="240" w:lineRule="auto"/>
              <w:ind w:left="0" w:leftChars="0" w:right="0" w:rightChars="0"/>
              <w:jc w:val="center"/>
              <w:textAlignment w:val="auto"/>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备注</w:t>
            </w:r>
          </w:p>
        </w:tc>
      </w:tr>
      <w:tr w14:paraId="68A2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378" w:hRule="atLeast"/>
          <w:jc w:val="center"/>
        </w:trPr>
        <w:tc>
          <w:tcPr>
            <w:tcW w:w="1118" w:type="dxa"/>
            <w:tcBorders>
              <w:top w:val="single" w:color="auto" w:sz="4" w:space="0"/>
              <w:left w:val="single" w:color="auto" w:sz="12" w:space="0"/>
              <w:bottom w:val="single" w:color="auto" w:sz="4" w:space="0"/>
              <w:right w:val="single" w:color="auto" w:sz="4" w:space="0"/>
            </w:tcBorders>
            <w:vAlign w:val="center"/>
          </w:tcPr>
          <w:p w14:paraId="06A75162">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w:t>
            </w:r>
          </w:p>
        </w:tc>
        <w:tc>
          <w:tcPr>
            <w:tcW w:w="5042" w:type="dxa"/>
            <w:tcBorders>
              <w:top w:val="single" w:color="auto" w:sz="4" w:space="0"/>
              <w:left w:val="single" w:color="auto" w:sz="4" w:space="0"/>
              <w:bottom w:val="single" w:color="auto" w:sz="4" w:space="0"/>
              <w:right w:val="single" w:color="auto" w:sz="4" w:space="0"/>
            </w:tcBorders>
            <w:vAlign w:val="center"/>
          </w:tcPr>
          <w:p w14:paraId="78645B5F">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包工包料</w:t>
            </w:r>
          </w:p>
        </w:tc>
        <w:tc>
          <w:tcPr>
            <w:tcW w:w="1429" w:type="dxa"/>
            <w:tcBorders>
              <w:top w:val="single" w:color="auto" w:sz="4" w:space="0"/>
              <w:left w:val="single" w:color="auto" w:sz="4" w:space="0"/>
              <w:bottom w:val="single" w:color="auto" w:sz="4" w:space="0"/>
              <w:right w:val="single" w:color="auto" w:sz="4" w:space="0"/>
            </w:tcBorders>
            <w:vAlign w:val="center"/>
          </w:tcPr>
          <w:p w14:paraId="267BAE36">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40%</w:t>
            </w:r>
          </w:p>
        </w:tc>
        <w:tc>
          <w:tcPr>
            <w:tcW w:w="1079" w:type="dxa"/>
            <w:tcBorders>
              <w:top w:val="single" w:color="auto" w:sz="4" w:space="0"/>
              <w:left w:val="single" w:color="auto" w:sz="4" w:space="0"/>
              <w:bottom w:val="single" w:color="auto" w:sz="4" w:space="0"/>
              <w:right w:val="single" w:color="auto" w:sz="12" w:space="0"/>
            </w:tcBorders>
            <w:vAlign w:val="center"/>
          </w:tcPr>
          <w:p w14:paraId="18A54191">
            <w:pPr>
              <w:keepLines w:val="0"/>
              <w:pageBreakBefore w:val="0"/>
              <w:widowControl w:val="0"/>
              <w:kinsoku/>
              <w:overflowPunct/>
              <w:topLinePunct w:val="0"/>
              <w:autoSpaceDE/>
              <w:autoSpaceDN/>
              <w:bidi w:val="0"/>
              <w:adjustRightInd w:val="0"/>
              <w:snapToGrid w:val="0"/>
              <w:spacing w:line="240" w:lineRule="auto"/>
              <w:ind w:left="0" w:leftChars="0" w:right="0" w:rightChars="0"/>
              <w:textAlignment w:val="auto"/>
              <w:rPr>
                <w:rFonts w:hint="eastAsia"/>
                <w:highlight w:val="none"/>
                <w:lang w:val="en-US" w:eastAsia="zh-CN"/>
              </w:rPr>
            </w:pPr>
          </w:p>
        </w:tc>
      </w:tr>
      <w:tr w14:paraId="5D85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118" w:type="dxa"/>
            <w:tcBorders>
              <w:top w:val="single" w:color="auto" w:sz="4" w:space="0"/>
              <w:left w:val="single" w:color="auto" w:sz="12" w:space="0"/>
              <w:bottom w:val="single" w:color="auto" w:sz="4" w:space="0"/>
              <w:right w:val="single" w:color="auto" w:sz="4" w:space="0"/>
            </w:tcBorders>
            <w:vAlign w:val="center"/>
          </w:tcPr>
          <w:p w14:paraId="16E43ADE">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w:t>
            </w:r>
          </w:p>
        </w:tc>
        <w:tc>
          <w:tcPr>
            <w:tcW w:w="5042" w:type="dxa"/>
            <w:tcBorders>
              <w:top w:val="single" w:color="auto" w:sz="4" w:space="0"/>
              <w:left w:val="single" w:color="auto" w:sz="4" w:space="0"/>
              <w:bottom w:val="single" w:color="auto" w:sz="4" w:space="0"/>
              <w:right w:val="single" w:color="auto" w:sz="4" w:space="0"/>
            </w:tcBorders>
            <w:vAlign w:val="center"/>
          </w:tcPr>
          <w:p w14:paraId="7CA302DF">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包工包部分材料（仅不含甲供材）</w:t>
            </w:r>
          </w:p>
        </w:tc>
        <w:tc>
          <w:tcPr>
            <w:tcW w:w="1429" w:type="dxa"/>
            <w:tcBorders>
              <w:top w:val="single" w:color="auto" w:sz="4" w:space="0"/>
              <w:left w:val="single" w:color="auto" w:sz="4" w:space="0"/>
              <w:bottom w:val="single" w:color="auto" w:sz="4" w:space="0"/>
              <w:right w:val="single" w:color="auto" w:sz="4" w:space="0"/>
            </w:tcBorders>
            <w:vAlign w:val="center"/>
          </w:tcPr>
          <w:p w14:paraId="16506046">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20%</w:t>
            </w:r>
          </w:p>
        </w:tc>
        <w:tc>
          <w:tcPr>
            <w:tcW w:w="1079" w:type="dxa"/>
            <w:tcBorders>
              <w:top w:val="single" w:color="auto" w:sz="4" w:space="0"/>
              <w:left w:val="single" w:color="auto" w:sz="4" w:space="0"/>
              <w:bottom w:val="single" w:color="auto" w:sz="4" w:space="0"/>
              <w:right w:val="single" w:color="auto" w:sz="12" w:space="0"/>
            </w:tcBorders>
            <w:vAlign w:val="center"/>
          </w:tcPr>
          <w:p w14:paraId="1015F7C0">
            <w:pPr>
              <w:keepLines w:val="0"/>
              <w:pageBreakBefore w:val="0"/>
              <w:widowControl w:val="0"/>
              <w:kinsoku/>
              <w:overflowPunct/>
              <w:topLinePunct w:val="0"/>
              <w:autoSpaceDE/>
              <w:autoSpaceDN/>
              <w:bidi w:val="0"/>
              <w:adjustRightInd w:val="0"/>
              <w:snapToGrid w:val="0"/>
              <w:spacing w:line="240" w:lineRule="auto"/>
              <w:ind w:left="0" w:leftChars="0" w:right="0" w:rightChars="0"/>
              <w:textAlignment w:val="auto"/>
              <w:rPr>
                <w:rFonts w:hint="eastAsia"/>
                <w:highlight w:val="none"/>
                <w:lang w:val="en-US" w:eastAsia="zh-CN"/>
              </w:rPr>
            </w:pPr>
          </w:p>
        </w:tc>
      </w:tr>
      <w:tr w14:paraId="26A5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118" w:type="dxa"/>
            <w:tcBorders>
              <w:top w:val="single" w:color="auto" w:sz="4" w:space="0"/>
              <w:left w:val="single" w:color="auto" w:sz="12" w:space="0"/>
              <w:bottom w:val="single" w:color="auto" w:sz="12" w:space="0"/>
              <w:right w:val="single" w:color="auto" w:sz="4" w:space="0"/>
            </w:tcBorders>
            <w:vAlign w:val="center"/>
          </w:tcPr>
          <w:p w14:paraId="20AA527B">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w:t>
            </w:r>
          </w:p>
        </w:tc>
        <w:tc>
          <w:tcPr>
            <w:tcW w:w="5042" w:type="dxa"/>
            <w:tcBorders>
              <w:top w:val="single" w:color="auto" w:sz="4" w:space="0"/>
              <w:left w:val="single" w:color="auto" w:sz="4" w:space="0"/>
              <w:bottom w:val="single" w:color="auto" w:sz="12" w:space="0"/>
              <w:right w:val="single" w:color="auto" w:sz="4" w:space="0"/>
            </w:tcBorders>
            <w:vAlign w:val="center"/>
          </w:tcPr>
          <w:p w14:paraId="0BD735A8">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包工</w:t>
            </w:r>
          </w:p>
        </w:tc>
        <w:tc>
          <w:tcPr>
            <w:tcW w:w="1429" w:type="dxa"/>
            <w:tcBorders>
              <w:top w:val="single" w:color="auto" w:sz="4" w:space="0"/>
              <w:left w:val="single" w:color="auto" w:sz="4" w:space="0"/>
              <w:bottom w:val="single" w:color="auto" w:sz="12" w:space="0"/>
              <w:right w:val="single" w:color="auto" w:sz="4" w:space="0"/>
            </w:tcBorders>
            <w:vAlign w:val="center"/>
          </w:tcPr>
          <w:p w14:paraId="5C3DFF5C">
            <w:pPr>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w:t>
            </w:r>
          </w:p>
        </w:tc>
        <w:tc>
          <w:tcPr>
            <w:tcW w:w="1079" w:type="dxa"/>
            <w:tcBorders>
              <w:top w:val="single" w:color="auto" w:sz="4" w:space="0"/>
              <w:left w:val="single" w:color="auto" w:sz="4" w:space="0"/>
              <w:bottom w:val="single" w:color="auto" w:sz="12" w:space="0"/>
              <w:right w:val="single" w:color="auto" w:sz="12" w:space="0"/>
            </w:tcBorders>
            <w:vAlign w:val="center"/>
          </w:tcPr>
          <w:p w14:paraId="2D2ED09A">
            <w:pPr>
              <w:keepLines w:val="0"/>
              <w:pageBreakBefore w:val="0"/>
              <w:widowControl w:val="0"/>
              <w:kinsoku/>
              <w:overflowPunct/>
              <w:topLinePunct w:val="0"/>
              <w:autoSpaceDE/>
              <w:autoSpaceDN/>
              <w:bidi w:val="0"/>
              <w:adjustRightInd w:val="0"/>
              <w:snapToGrid w:val="0"/>
              <w:spacing w:line="240" w:lineRule="auto"/>
              <w:ind w:left="0" w:leftChars="0" w:right="0" w:rightChars="0"/>
              <w:textAlignment w:val="auto"/>
              <w:rPr>
                <w:rFonts w:hint="eastAsia"/>
                <w:highlight w:val="none"/>
                <w:lang w:val="en-US" w:eastAsia="zh-CN"/>
              </w:rPr>
            </w:pPr>
          </w:p>
        </w:tc>
      </w:tr>
    </w:tbl>
    <w:p w14:paraId="53EF95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7.3.3.6结算时，如乙方已请款部分开具的发票税率与合同约定不同时，须提供已请款金额及相应税率，且须甲方财务部负责人签字确认</w:t>
      </w:r>
      <w:r>
        <w:rPr>
          <w:rFonts w:hint="eastAsia" w:ascii="仿宋" w:hAnsi="仿宋" w:eastAsia="仿宋" w:cs="仿宋"/>
          <w:b w:val="0"/>
          <w:bCs w:val="0"/>
          <w:color w:val="auto"/>
          <w:sz w:val="28"/>
          <w:szCs w:val="28"/>
          <w:highlight w:val="none"/>
          <w:lang w:val="en-US" w:eastAsia="zh-CN"/>
        </w:rPr>
        <w:t>，否则不予结算及付款。</w:t>
      </w:r>
    </w:p>
    <w:p w14:paraId="4B0C93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第八章、付款方式（每个组团独立付款）</w:t>
      </w:r>
      <w:bookmarkEnd w:id="25"/>
      <w:bookmarkEnd w:id="26"/>
      <w:bookmarkEnd w:id="27"/>
    </w:p>
    <w:p w14:paraId="59557C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277561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8.1.1本合同生效之日起，每满一个自然月为一个计费周期。乙方应于每个计费周期结束后的次月10日前，向甲方提交该计费周期的进度款支付申请。申请文件须包括经双方确认的已完合格工程量清单、对应造价文件，以及经甲方核实、与实名制报备及考勤记录完全一致的《建筑工人工资表》等甲方要求的全部资料。乙方提交的文件不完整或不符合要求的，甲方有权顺延审核及付款日期且不违约。</w:t>
      </w:r>
    </w:p>
    <w:p w14:paraId="76C6B8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甲方在收到乙方完整、合格的申请文件后进行审核。甲方审核无误后，向乙方支付至经甲方最终确认的、该计费周期内已完工工程量对应造价的70%。本笔款项的支付，不视为甲方对乙方已完工工程质量的最终认可及验收合格，亦不免除乙方对工程质量应承担的保修及其他任何责任。</w:t>
      </w:r>
    </w:p>
    <w:p w14:paraId="632ADD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前述款项中包含甲方通过“建筑工人工资专用账户”代付的乙方工人工资部分。该部分由甲方根据审核确认的《建筑工人工资表》直接支付至工人个人账户，剩余款项支付至乙方指定账户。建筑工人工资专用账户代付金额视为甲方已向乙方支付的合同款。</w:t>
      </w:r>
    </w:p>
    <w:p w14:paraId="0A7F29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8.1.2本工程任一组团的乙方承包内容全部施工完成，经政府主管部门竣工综合验收通过，且该组团经建设单位、监理单位、甲方验收通过并移交建设单位，乙方将该组团的所有资料原件、复印件（须详列清单、目录）移交甲方后，甲方支付至甲方最终确认的、该组团内已完合格工程量对应造价的80%。</w:t>
      </w:r>
    </w:p>
    <w:p w14:paraId="5FFE8B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前述款项中包含甲方通过“建筑工人工资专用账户”代付的乙方工人工资部分。该部分由甲方根据审核确认的《建筑工人工资表》直接支付至工人个人账户，剩余款项支付至乙方指定账户。建筑工人工资专用账户代付金额视为甲方已向乙方支付的合同款。</w:t>
      </w:r>
    </w:p>
    <w:p w14:paraId="426A62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8.1.3乙方向甲方申请该组团结算后，甲乙双方办理该组团的结算。双方就结算金额达成书面一致且乙方开具金额等于结算总价100%的发票给甲方后，甲方付至本工程该组团结算总价的97%。</w:t>
      </w:r>
    </w:p>
    <w:p w14:paraId="4E65F3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前述款项中包含甲方通过“建筑工人工资专用账户”代付的乙方工人工资部分。该部分由甲方根据审核确认的《建筑工人工资表》直接支付至工人个人账户，剩余款项支付至乙方指定账户。建筑工人工资专用账户代付金额视为甲方已向乙方支付的合同款。</w:t>
      </w:r>
    </w:p>
    <w:p w14:paraId="1C6D2A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8.1.4本工程任一组团结算总价的3%作为该组团的保修及养护金，保修期满且乙方如实履行保修及养护义务、责任后无息结清。本合同项下存在两个或两个以上保修期的，以最长保修期为准。</w:t>
      </w:r>
    </w:p>
    <w:p w14:paraId="2C5CE7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8.1付款方式二</w:t>
      </w:r>
    </w:p>
    <w:p w14:paraId="43B132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single"/>
          <w:shd w:val="clear" w:color="auto" w:fill="auto"/>
          <w:lang w:val="en-US" w:eastAsia="zh-CN"/>
        </w:rPr>
      </w:pPr>
      <w:r>
        <w:rPr>
          <w:rFonts w:hint="eastAsia" w:ascii="仿宋" w:hAnsi="仿宋" w:eastAsia="仿宋" w:cs="仿宋"/>
          <w:b w:val="0"/>
          <w:bCs w:val="0"/>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w:t>
      </w:r>
    </w:p>
    <w:p w14:paraId="2EF28A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28" w:name="_Toc5830"/>
      <w:bookmarkStart w:id="29" w:name="_Toc22317"/>
      <w:bookmarkStart w:id="30" w:name="_Toc24215"/>
      <w:r>
        <w:rPr>
          <w:rFonts w:hint="eastAsia" w:ascii="仿宋" w:hAnsi="仿宋" w:eastAsia="仿宋" w:cs="仿宋"/>
          <w:i w:val="0"/>
          <w:iCs w:val="0"/>
          <w:color w:val="auto"/>
          <w:sz w:val="28"/>
          <w:szCs w:val="28"/>
          <w:highlight w:val="none"/>
          <w:lang w:val="en-US" w:eastAsia="zh-CN"/>
        </w:rPr>
        <w:t>8.2</w:t>
      </w:r>
      <w:r>
        <w:rPr>
          <w:rFonts w:hint="eastAsia" w:ascii="仿宋" w:hAnsi="仿宋" w:eastAsia="仿宋" w:cs="仿宋"/>
          <w:b w:val="0"/>
          <w:bCs w:val="0"/>
          <w:i w:val="0"/>
          <w:iCs w:val="0"/>
          <w:color w:val="auto"/>
          <w:sz w:val="28"/>
          <w:szCs w:val="28"/>
          <w:highlight w:val="none"/>
          <w:shd w:val="clear" w:color="auto" w:fill="auto"/>
          <w:lang w:val="en-US" w:eastAsia="zh-CN"/>
        </w:rPr>
        <w:t>合同履约保证金为人民币</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壹万 </w:t>
      </w:r>
      <w:r>
        <w:rPr>
          <w:rFonts w:hint="eastAsia" w:ascii="仿宋" w:hAnsi="仿宋" w:eastAsia="仿宋" w:cs="仿宋"/>
          <w:b w:val="0"/>
          <w:bCs w:val="0"/>
          <w:i w:val="0"/>
          <w:iCs w:val="0"/>
          <w:color w:val="auto"/>
          <w:sz w:val="28"/>
          <w:szCs w:val="28"/>
          <w:highlight w:val="none"/>
          <w:shd w:val="clear" w:color="auto" w:fill="auto"/>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则甲方在支付本合同的第一笔合同款时一并无息原路退回剩余的履约保证金。</w:t>
      </w:r>
    </w:p>
    <w:p w14:paraId="6959B9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第九章、双方责任和权利</w:t>
      </w:r>
      <w:bookmarkEnd w:id="28"/>
      <w:bookmarkEnd w:id="29"/>
      <w:bookmarkEnd w:id="30"/>
    </w:p>
    <w:p w14:paraId="70B4DF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31" w:name="_Toc15487"/>
      <w:bookmarkStart w:id="32" w:name="_Toc11799"/>
      <w:bookmarkStart w:id="33" w:name="_Toc5199"/>
      <w:bookmarkStart w:id="34" w:name="_Toc29715"/>
      <w:bookmarkStart w:id="35" w:name="_Toc26064"/>
      <w:r>
        <w:rPr>
          <w:rFonts w:hint="eastAsia" w:ascii="仿宋" w:hAnsi="仿宋" w:eastAsia="仿宋" w:cs="仿宋"/>
          <w:b w:val="0"/>
          <w:bCs w:val="0"/>
          <w:i w:val="0"/>
          <w:iCs w:val="0"/>
          <w:color w:val="auto"/>
          <w:sz w:val="28"/>
          <w:szCs w:val="28"/>
          <w:highlight w:val="none"/>
          <w:shd w:val="clear" w:color="auto" w:fill="auto"/>
          <w:lang w:val="en-US" w:eastAsia="zh-CN"/>
        </w:rPr>
        <w:t>9.1甲方责任和权利</w:t>
      </w:r>
      <w:bookmarkEnd w:id="31"/>
      <w:bookmarkEnd w:id="32"/>
      <w:bookmarkEnd w:id="33"/>
      <w:bookmarkEnd w:id="34"/>
      <w:bookmarkEnd w:id="35"/>
    </w:p>
    <w:p w14:paraId="63240D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9.1.1向乙方提供签章电子版的施工图纸（含图纸变更通知、图纸会审记录等） </w:t>
      </w:r>
    </w:p>
    <w:p w14:paraId="0C533B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9.2乙方责任和权利</w:t>
      </w:r>
    </w:p>
    <w:p w14:paraId="398238E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w:t>
      </w:r>
      <w:r>
        <w:rPr>
          <w:rFonts w:hint="eastAsia" w:ascii="仿宋" w:hAnsi="仿宋" w:eastAsia="仿宋" w:cs="仿宋"/>
          <w:i w:val="0"/>
          <w:iCs w:val="0"/>
          <w:color w:val="auto"/>
          <w:sz w:val="28"/>
          <w:szCs w:val="28"/>
          <w:highlight w:val="none"/>
          <w:lang w:val="en-US" w:eastAsia="zh-CN"/>
        </w:rPr>
        <w:t>施工前，乙方须仔细阅读本工程相关图纸、资料，并提出合理化建议。因乙方未对图纸等资料进行实际核查而导致的不良后果、责任及损失均由乙方承担</w:t>
      </w:r>
      <w:r>
        <w:rPr>
          <w:rFonts w:hint="eastAsia" w:ascii="仿宋" w:hAnsi="仿宋" w:eastAsia="仿宋" w:cs="仿宋"/>
          <w:b w:val="0"/>
          <w:bCs w:val="0"/>
          <w:i w:val="0"/>
          <w:iCs w:val="0"/>
          <w:color w:val="auto"/>
          <w:sz w:val="28"/>
          <w:szCs w:val="28"/>
          <w:highlight w:val="none"/>
          <w:lang w:val="en-US" w:eastAsia="zh-CN"/>
        </w:rPr>
        <w:t>。</w:t>
      </w:r>
    </w:p>
    <w:p w14:paraId="2D27B4A5">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乙方必须严格按照甲方、政府主管部门、设计图纸的要求施工。施工过程中，发现有质量问题或异常情形等，须立即向甲方提出书面报告，征得甲方的书面同意方能继续施工。因乙方原因导致的质量事故，由乙方赔偿甲方所有损失。</w:t>
      </w:r>
    </w:p>
    <w:p w14:paraId="1484692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9.2.3乙方须按时完成阶段性施工任务，保证符合甲方的质量、工期要求，因乙方原因导致的工期延误及甲方因此遭受的损失均由乙方赔偿甲方。乙方遵守甲方管理制度，服从甲方管理。</w:t>
      </w:r>
    </w:p>
    <w:p w14:paraId="43E10D06">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9.2.4施工过程中，乙方指定专人认真做好施工记录，工程竣工后须及时将资料整理完整，移交甲方资料员。</w:t>
      </w:r>
    </w:p>
    <w:p w14:paraId="3BB45465">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798EEDCC">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9.2.6乙方须严格遵守国家及地方关于安全生产与文明施工的法律法规、规章及强制性标准，并严格执行住建主管部门的相关规定。乙方须在施工现场配备至少</w:t>
      </w:r>
      <w:r>
        <w:rPr>
          <w:rFonts w:hint="eastAsia" w:ascii="仿宋" w:hAnsi="仿宋" w:eastAsia="仿宋" w:cs="仿宋"/>
          <w:b w:val="0"/>
          <w:bCs w:val="0"/>
          <w:i w:val="0"/>
          <w:iCs w:val="0"/>
          <w:color w:val="auto"/>
          <w:sz w:val="28"/>
          <w:szCs w:val="28"/>
          <w:highlight w:val="none"/>
          <w:u w:val="single"/>
          <w:lang w:val="en-US" w:eastAsia="zh-CN"/>
        </w:rPr>
        <w:t xml:space="preserve"> 1 </w:t>
      </w:r>
      <w:r>
        <w:rPr>
          <w:rFonts w:hint="eastAsia" w:ascii="仿宋" w:hAnsi="仿宋" w:eastAsia="仿宋" w:cs="仿宋"/>
          <w:b w:val="0"/>
          <w:bCs w:val="0"/>
          <w:i w:val="0"/>
          <w:iCs w:val="0"/>
          <w:color w:val="auto"/>
          <w:sz w:val="28"/>
          <w:szCs w:val="28"/>
          <w:highlight w:val="none"/>
          <w:lang w:val="en-US" w:eastAsia="zh-CN"/>
        </w:rPr>
        <w:t>名专职安全员。</w:t>
      </w:r>
    </w:p>
    <w:p w14:paraId="41D439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36" w:name="_Toc26423"/>
      <w:bookmarkStart w:id="37" w:name="_Toc31665"/>
      <w:bookmarkStart w:id="38" w:name="_Toc15027"/>
      <w:bookmarkStart w:id="39" w:name="_Toc31919"/>
      <w:bookmarkStart w:id="40" w:name="_Toc24173"/>
      <w:r>
        <w:rPr>
          <w:rFonts w:hint="eastAsia" w:ascii="仿宋" w:hAnsi="仿宋" w:eastAsia="仿宋" w:cs="仿宋"/>
          <w:b/>
          <w:bCs/>
          <w:i w:val="0"/>
          <w:iCs w:val="0"/>
          <w:color w:val="auto"/>
          <w:sz w:val="28"/>
          <w:szCs w:val="28"/>
          <w:highlight w:val="none"/>
          <w:shd w:val="clear" w:color="auto" w:fill="auto"/>
          <w:lang w:val="en-US" w:eastAsia="zh-CN"/>
        </w:rPr>
        <w:t>第十章、</w:t>
      </w:r>
      <w:bookmarkEnd w:id="36"/>
      <w:bookmarkEnd w:id="37"/>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38"/>
    </w:p>
    <w:p w14:paraId="7306F0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bookmarkStart w:id="41" w:name="_Toc6916"/>
      <w:r>
        <w:rPr>
          <w:rFonts w:hint="eastAsia" w:ascii="仿宋" w:hAnsi="仿宋" w:eastAsia="仿宋" w:cs="仿宋"/>
          <w:i w:val="0"/>
          <w:iCs w:val="0"/>
          <w:color w:val="auto"/>
          <w:sz w:val="28"/>
          <w:szCs w:val="28"/>
          <w:highlight w:val="none"/>
          <w:shd w:val="clear" w:color="auto" w:fill="auto"/>
          <w:lang w:val="en-US" w:eastAsia="zh-CN"/>
        </w:rPr>
        <w:t>10.1</w:t>
      </w:r>
      <w:r>
        <w:rPr>
          <w:rFonts w:hint="eastAsia" w:ascii="仿宋" w:hAnsi="仿宋" w:eastAsia="仿宋" w:cs="仿宋"/>
          <w:i w:val="0"/>
          <w:iCs w:val="0"/>
          <w:color w:val="auto"/>
          <w:sz w:val="28"/>
          <w:szCs w:val="28"/>
          <w:highlight w:val="none"/>
          <w:lang w:val="en-US" w:eastAsia="zh-CN"/>
        </w:rPr>
        <w:t>乙方使用的甲供材料以甲方出入库单所列数据为准，乙方参加甲供材的验收、签收与出库。</w:t>
      </w:r>
      <w:r>
        <w:rPr>
          <w:rFonts w:hint="eastAsia" w:ascii="仿宋" w:hAnsi="仿宋" w:eastAsia="仿宋" w:cs="仿宋"/>
          <w:b w:val="0"/>
          <w:bCs w:val="0"/>
          <w:i w:val="0"/>
          <w:iCs w:val="0"/>
          <w:color w:val="auto"/>
          <w:sz w:val="28"/>
          <w:szCs w:val="28"/>
          <w:highlight w:val="none"/>
          <w:u w:val="none"/>
          <w:lang w:val="en-US" w:eastAsia="zh-CN"/>
        </w:rPr>
        <w:t>甲供材损耗率为</w:t>
      </w:r>
      <w:r>
        <w:rPr>
          <w:rFonts w:hint="eastAsia" w:ascii="仿宋" w:hAnsi="仿宋" w:eastAsia="仿宋" w:cs="仿宋"/>
          <w:b w:val="0"/>
          <w:bCs w:val="0"/>
          <w:i w:val="0"/>
          <w:iCs w:val="0"/>
          <w:color w:val="auto"/>
          <w:sz w:val="28"/>
          <w:szCs w:val="28"/>
          <w:highlight w:val="none"/>
          <w:u w:val="single"/>
          <w:lang w:val="en-US" w:eastAsia="zh-CN"/>
        </w:rPr>
        <w:t>0</w:t>
      </w:r>
      <w:r>
        <w:rPr>
          <w:rFonts w:hint="eastAsia" w:ascii="仿宋" w:hAnsi="仿宋" w:eastAsia="仿宋" w:cs="仿宋"/>
          <w:b w:val="0"/>
          <w:bCs w:val="0"/>
          <w:i w:val="0"/>
          <w:iCs w:val="0"/>
          <w:color w:val="auto"/>
          <w:sz w:val="28"/>
          <w:szCs w:val="28"/>
          <w:highlight w:val="none"/>
          <w:u w:val="none"/>
          <w:lang w:val="en-US" w:eastAsia="zh-CN"/>
        </w:rPr>
        <w:t>% ，</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材料甲方采购</w:t>
      </w:r>
      <w:r>
        <w:rPr>
          <w:rFonts w:hint="eastAsia" w:ascii="仿宋" w:hAnsi="仿宋" w:eastAsia="仿宋" w:cs="仿宋"/>
          <w:b w:val="0"/>
          <w:bCs w:val="0"/>
          <w:i w:val="0"/>
          <w:iCs w:val="0"/>
          <w:color w:val="auto"/>
          <w:sz w:val="28"/>
          <w:szCs w:val="28"/>
          <w:highlight w:val="none"/>
        </w:rPr>
        <w:t>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i w:val="0"/>
          <w:iCs w:val="0"/>
          <w:color w:val="auto"/>
          <w:sz w:val="28"/>
          <w:szCs w:val="28"/>
          <w:highlight w:val="none"/>
          <w:shd w:val="clear" w:color="auto" w:fill="auto"/>
          <w:lang w:val="en-US" w:eastAsia="zh-CN"/>
        </w:rPr>
        <w:t>。</w:t>
      </w:r>
    </w:p>
    <w:p w14:paraId="424EAF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i w:val="0"/>
          <w:iCs w:val="0"/>
          <w:color w:val="auto"/>
          <w:sz w:val="28"/>
          <w:szCs w:val="28"/>
          <w:highlight w:val="none"/>
          <w:shd w:val="clear" w:color="auto" w:fill="auto"/>
          <w:lang w:val="en-US" w:eastAsia="zh-CN"/>
        </w:rPr>
        <w:t>10.2甲供材损耗率计算办法：</w:t>
      </w:r>
      <w:r>
        <w:rPr>
          <w:rFonts w:hint="eastAsia" w:ascii="仿宋" w:hAnsi="仿宋" w:eastAsia="仿宋" w:cs="仿宋"/>
          <w:b w:val="0"/>
          <w:bCs w:val="0"/>
          <w:i w:val="0"/>
          <w:iCs w:val="0"/>
          <w:color w:val="auto"/>
          <w:sz w:val="28"/>
          <w:szCs w:val="28"/>
          <w:highlight w:val="none"/>
          <w:u w:val="single"/>
          <w:lang w:val="en-US" w:eastAsia="zh-CN"/>
        </w:rPr>
        <w:t>/</w:t>
      </w:r>
      <w:r>
        <w:rPr>
          <w:rFonts w:hint="eastAsia" w:ascii="仿宋" w:hAnsi="仿宋" w:eastAsia="仿宋" w:cs="仿宋"/>
          <w:b w:val="0"/>
          <w:bCs w:val="0"/>
          <w:i w:val="0"/>
          <w:iCs w:val="0"/>
          <w:color w:val="auto"/>
          <w:sz w:val="28"/>
          <w:szCs w:val="28"/>
          <w:highlight w:val="none"/>
          <w:u w:val="none"/>
          <w:lang w:val="en-US" w:eastAsia="zh-CN"/>
        </w:rPr>
        <w:t>。</w:t>
      </w:r>
    </w:p>
    <w:p w14:paraId="1AD6DF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lang w:val="en-US" w:eastAsia="zh-CN"/>
        </w:rPr>
        <w:t>10.3乙方须自行单独向甲方申请、独立保存、独立管理甲供材，在签收和退还材料时，甲方乙方本合同执行联系人共同签名，作为损耗率结算依据。</w:t>
      </w:r>
    </w:p>
    <w:p w14:paraId="74824B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default"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第十一章、验收及保修</w:t>
      </w:r>
      <w:bookmarkEnd w:id="39"/>
      <w:bookmarkEnd w:id="40"/>
      <w:bookmarkEnd w:id="41"/>
      <w:r>
        <w:rPr>
          <w:rFonts w:hint="eastAsia" w:ascii="仿宋" w:hAnsi="仿宋" w:eastAsia="仿宋" w:cs="仿宋"/>
          <w:b/>
          <w:bCs/>
          <w:i w:val="0"/>
          <w:iCs w:val="0"/>
          <w:color w:val="auto"/>
          <w:sz w:val="28"/>
          <w:szCs w:val="28"/>
          <w:highlight w:val="none"/>
          <w:shd w:val="clear" w:color="auto" w:fill="auto"/>
          <w:lang w:val="en-US" w:eastAsia="zh-CN"/>
        </w:rPr>
        <w:t>、养护</w:t>
      </w:r>
    </w:p>
    <w:p w14:paraId="3E93E2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bookmarkStart w:id="42" w:name="_Toc12301"/>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1</w:t>
      </w:r>
    </w:p>
    <w:p w14:paraId="109E5A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52"/>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rPr>
        <w:t>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政府主管部门、监理单位、</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。保修期内，该组团如出现较大质量缺陷，乙方履行保修义务（</w:t>
      </w:r>
      <w:r>
        <w:rPr>
          <w:rFonts w:hint="eastAsia" w:ascii="仿宋" w:hAnsi="仿宋" w:eastAsia="仿宋" w:cs="仿宋"/>
          <w:i w:val="0"/>
          <w:iCs w:val="0"/>
          <w:color w:val="auto"/>
          <w:sz w:val="28"/>
          <w:szCs w:val="28"/>
          <w:highlight w:val="none"/>
          <w:shd w:val="clear" w:color="auto" w:fill="auto"/>
          <w:lang w:val="en-US" w:eastAsia="zh-CN"/>
        </w:rPr>
        <w:t>返修</w:t>
      </w:r>
      <w:r>
        <w:rPr>
          <w:rFonts w:hint="eastAsia" w:ascii="仿宋" w:hAnsi="仿宋" w:eastAsia="仿宋" w:cs="仿宋"/>
          <w:i w:val="0"/>
          <w:iCs w:val="0"/>
          <w:color w:val="auto"/>
          <w:sz w:val="28"/>
          <w:szCs w:val="28"/>
          <w:highlight w:val="none"/>
          <w:shd w:val="clear" w:color="auto" w:fill="auto"/>
          <w:lang w:eastAsia="zh-CN"/>
        </w:rPr>
        <w:t>）至验收合格后，</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lang w:eastAsia="zh-CN"/>
        </w:rPr>
        <w:t>期自</w:t>
      </w:r>
      <w:r>
        <w:rPr>
          <w:rFonts w:hint="eastAsia" w:ascii="仿宋" w:hAnsi="仿宋" w:eastAsia="仿宋" w:cs="仿宋"/>
          <w:i w:val="0"/>
          <w:iCs w:val="0"/>
          <w:color w:val="auto"/>
          <w:sz w:val="28"/>
          <w:szCs w:val="28"/>
          <w:highlight w:val="none"/>
          <w:shd w:val="clear" w:color="auto" w:fill="auto"/>
          <w:lang w:val="en-US" w:eastAsia="zh-CN"/>
        </w:rPr>
        <w:t>返修验收合格之日起</w:t>
      </w:r>
      <w:r>
        <w:rPr>
          <w:rFonts w:hint="eastAsia" w:ascii="仿宋" w:hAnsi="仿宋" w:eastAsia="仿宋" w:cs="仿宋"/>
          <w:i w:val="0"/>
          <w:iCs w:val="0"/>
          <w:color w:val="auto"/>
          <w:sz w:val="28"/>
          <w:szCs w:val="28"/>
          <w:highlight w:val="none"/>
          <w:shd w:val="clear" w:color="auto" w:fill="auto"/>
          <w:lang w:eastAsia="zh-CN"/>
        </w:rPr>
        <w:t>顺延。</w:t>
      </w:r>
    </w:p>
    <w:p w14:paraId="59E8C8B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w:t>
      </w:r>
      <w:r>
        <w:rPr>
          <w:rFonts w:hint="eastAsia" w:ascii="仿宋" w:hAnsi="仿宋" w:eastAsia="仿宋" w:cs="仿宋"/>
          <w:i w:val="0"/>
          <w:iCs w:val="0"/>
          <w:color w:val="auto"/>
          <w:sz w:val="28"/>
          <w:szCs w:val="28"/>
          <w:highlight w:val="none"/>
          <w:shd w:val="clear" w:color="auto" w:fill="auto"/>
          <w:lang w:val="en-US" w:eastAsia="zh-CN"/>
        </w:rPr>
        <w:t>成</w:t>
      </w:r>
      <w:r>
        <w:rPr>
          <w:rFonts w:hint="eastAsia" w:ascii="仿宋" w:hAnsi="仿宋" w:eastAsia="仿宋" w:cs="仿宋"/>
          <w:i w:val="0"/>
          <w:iCs w:val="0"/>
          <w:color w:val="auto"/>
          <w:sz w:val="28"/>
          <w:szCs w:val="28"/>
          <w:highlight w:val="none"/>
          <w:shd w:val="clear" w:color="auto" w:fill="auto"/>
        </w:rPr>
        <w:t>，乙方自检符合质量要求后提请甲方及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保修期内，</w:t>
      </w:r>
      <w:r>
        <w:rPr>
          <w:rFonts w:hint="eastAsia" w:ascii="仿宋" w:hAnsi="仿宋" w:eastAsia="仿宋" w:cs="仿宋"/>
          <w:i w:val="0"/>
          <w:iCs w:val="0"/>
          <w:color w:val="auto"/>
          <w:sz w:val="28"/>
          <w:szCs w:val="28"/>
          <w:highlight w:val="none"/>
          <w:shd w:val="clear" w:color="auto" w:fill="auto"/>
          <w:lang w:val="en-US" w:eastAsia="zh-CN"/>
        </w:rPr>
        <w:t>本工程如</w:t>
      </w:r>
      <w:r>
        <w:rPr>
          <w:rFonts w:hint="eastAsia" w:ascii="仿宋" w:hAnsi="仿宋" w:eastAsia="仿宋" w:cs="仿宋"/>
          <w:i w:val="0"/>
          <w:iCs w:val="0"/>
          <w:color w:val="auto"/>
          <w:sz w:val="28"/>
          <w:szCs w:val="28"/>
          <w:highlight w:val="none"/>
          <w:shd w:val="clear" w:color="auto" w:fill="auto"/>
        </w:rPr>
        <w:t>出现较大质量缺陷，乙方履行</w:t>
      </w:r>
      <w:r>
        <w:rPr>
          <w:rFonts w:hint="eastAsia" w:ascii="仿宋" w:hAnsi="仿宋" w:eastAsia="仿宋" w:cs="仿宋"/>
          <w:i w:val="0"/>
          <w:iCs w:val="0"/>
          <w:color w:val="auto"/>
          <w:sz w:val="28"/>
          <w:szCs w:val="28"/>
          <w:highlight w:val="none"/>
          <w:shd w:val="clear" w:color="auto" w:fill="auto"/>
          <w:lang w:val="en-US" w:eastAsia="zh-CN"/>
        </w:rPr>
        <w:t>返</w:t>
      </w:r>
      <w:r>
        <w:rPr>
          <w:rFonts w:hint="eastAsia" w:ascii="仿宋" w:hAnsi="仿宋" w:eastAsia="仿宋" w:cs="仿宋"/>
          <w:i w:val="0"/>
          <w:iCs w:val="0"/>
          <w:color w:val="auto"/>
          <w:sz w:val="28"/>
          <w:szCs w:val="28"/>
          <w:highlight w:val="none"/>
          <w:shd w:val="clear" w:color="auto" w:fill="auto"/>
        </w:rPr>
        <w:t>修义务至验收合格后，</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rPr>
        <w:t>期自</w:t>
      </w:r>
      <w:r>
        <w:rPr>
          <w:rFonts w:hint="eastAsia" w:ascii="仿宋" w:hAnsi="仿宋" w:eastAsia="仿宋" w:cs="仿宋"/>
          <w:i w:val="0"/>
          <w:iCs w:val="0"/>
          <w:color w:val="auto"/>
          <w:sz w:val="28"/>
          <w:szCs w:val="28"/>
          <w:highlight w:val="none"/>
          <w:shd w:val="clear" w:color="auto" w:fill="auto"/>
          <w:lang w:val="en-US" w:eastAsia="zh-CN"/>
        </w:rPr>
        <w:t>返修验收合格之日起</w:t>
      </w:r>
      <w:r>
        <w:rPr>
          <w:rFonts w:hint="eastAsia" w:ascii="仿宋" w:hAnsi="仿宋" w:eastAsia="仿宋" w:cs="仿宋"/>
          <w:i w:val="0"/>
          <w:iCs w:val="0"/>
          <w:color w:val="auto"/>
          <w:sz w:val="28"/>
          <w:szCs w:val="28"/>
          <w:highlight w:val="none"/>
          <w:shd w:val="clear" w:color="auto" w:fill="auto"/>
        </w:rPr>
        <w:t>顺延</w:t>
      </w:r>
      <w:r>
        <w:rPr>
          <w:rFonts w:hint="eastAsia" w:ascii="仿宋" w:hAnsi="仿宋" w:eastAsia="仿宋" w:cs="仿宋"/>
          <w:i w:val="0"/>
          <w:iCs w:val="0"/>
          <w:color w:val="auto"/>
          <w:sz w:val="28"/>
          <w:szCs w:val="28"/>
          <w:highlight w:val="none"/>
          <w:shd w:val="clear" w:color="auto" w:fill="auto"/>
          <w:lang w:eastAsia="zh-CN"/>
        </w:rPr>
        <w:t>。</w:t>
      </w:r>
    </w:p>
    <w:p w14:paraId="203597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b/>
          <w:bCs/>
          <w:i w:val="0"/>
          <w:iCs w:val="0"/>
          <w:color w:val="auto"/>
          <w:sz w:val="28"/>
          <w:szCs w:val="28"/>
          <w:highlight w:val="none"/>
          <w:shd w:val="clear" w:color="auto" w:fill="auto"/>
        </w:rPr>
        <w:t>本工程任一组团的保修期为</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二 </w:t>
      </w:r>
      <w:r>
        <w:rPr>
          <w:rFonts w:hint="eastAsia" w:ascii="仿宋" w:hAnsi="仿宋" w:eastAsia="仿宋" w:cs="仿宋"/>
          <w:b/>
          <w:bCs/>
          <w:i w:val="0"/>
          <w:iCs w:val="0"/>
          <w:color w:val="auto"/>
          <w:sz w:val="28"/>
          <w:szCs w:val="28"/>
          <w:highlight w:val="none"/>
          <w:shd w:val="clear" w:color="auto" w:fill="auto"/>
        </w:rPr>
        <w:t>年，</w:t>
      </w:r>
      <w:r>
        <w:rPr>
          <w:rFonts w:hint="eastAsia" w:ascii="仿宋" w:hAnsi="仿宋" w:eastAsia="仿宋" w:cs="仿宋"/>
          <w:b/>
          <w:bCs/>
          <w:i w:val="0"/>
          <w:iCs w:val="0"/>
          <w:color w:val="auto"/>
          <w:sz w:val="28"/>
          <w:szCs w:val="28"/>
          <w:highlight w:val="none"/>
          <w:shd w:val="clear" w:color="auto" w:fill="auto"/>
          <w:lang w:val="en-US" w:eastAsia="zh-CN"/>
        </w:rPr>
        <w:t>养护期为三个月</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rPr>
        <w:t>国家或甲方与本项目建设单位另有更长期限规定的，从其规定。保修期</w:t>
      </w:r>
      <w:r>
        <w:rPr>
          <w:rFonts w:hint="eastAsia" w:ascii="仿宋" w:hAnsi="仿宋" w:eastAsia="仿宋" w:cs="仿宋"/>
          <w:b/>
          <w:bCs/>
          <w:i w:val="0"/>
          <w:iCs w:val="0"/>
          <w:color w:val="auto"/>
          <w:sz w:val="28"/>
          <w:szCs w:val="28"/>
          <w:highlight w:val="none"/>
          <w:shd w:val="clear" w:color="auto" w:fill="auto"/>
          <w:lang w:eastAsia="zh-CN"/>
        </w:rPr>
        <w:t>、</w:t>
      </w:r>
      <w:r>
        <w:rPr>
          <w:rFonts w:hint="eastAsia" w:ascii="仿宋" w:hAnsi="仿宋" w:eastAsia="仿宋" w:cs="仿宋"/>
          <w:b/>
          <w:bCs/>
          <w:i w:val="0"/>
          <w:iCs w:val="0"/>
          <w:color w:val="auto"/>
          <w:sz w:val="28"/>
          <w:szCs w:val="28"/>
          <w:highlight w:val="none"/>
          <w:shd w:val="clear" w:color="auto" w:fill="auto"/>
          <w:lang w:val="en-US" w:eastAsia="zh-CN"/>
        </w:rPr>
        <w:t>养护期均</w:t>
      </w:r>
      <w:r>
        <w:rPr>
          <w:rFonts w:hint="eastAsia" w:ascii="仿宋" w:hAnsi="仿宋" w:eastAsia="仿宋" w:cs="仿宋"/>
          <w:b/>
          <w:bCs/>
          <w:i w:val="0"/>
          <w:iCs w:val="0"/>
          <w:color w:val="auto"/>
          <w:sz w:val="28"/>
          <w:szCs w:val="28"/>
          <w:highlight w:val="none"/>
          <w:u w:val="single"/>
          <w:shd w:val="clear" w:color="auto" w:fill="auto"/>
          <w:lang w:val="en-US" w:eastAsia="zh-CN"/>
        </w:rPr>
        <w:t>自该组团</w:t>
      </w:r>
      <w:r>
        <w:rPr>
          <w:rFonts w:hint="eastAsia" w:ascii="仿宋" w:hAnsi="仿宋" w:eastAsia="仿宋" w:cs="仿宋"/>
          <w:b/>
          <w:bCs/>
          <w:i w:val="0"/>
          <w:iCs w:val="0"/>
          <w:color w:val="auto"/>
          <w:sz w:val="28"/>
          <w:szCs w:val="28"/>
          <w:highlight w:val="none"/>
          <w:shd w:val="clear" w:color="auto" w:fill="auto"/>
        </w:rPr>
        <w:t>经甲方及</w:t>
      </w:r>
      <w:r>
        <w:rPr>
          <w:rFonts w:hint="eastAsia" w:ascii="仿宋" w:hAnsi="仿宋" w:eastAsia="仿宋" w:cs="仿宋"/>
          <w:b/>
          <w:bCs/>
          <w:i w:val="0"/>
          <w:iCs w:val="0"/>
          <w:color w:val="auto"/>
          <w:sz w:val="28"/>
          <w:szCs w:val="28"/>
          <w:highlight w:val="none"/>
          <w:shd w:val="clear" w:color="auto" w:fill="auto"/>
          <w:lang w:eastAsia="zh-CN"/>
        </w:rPr>
        <w:t>建设单位</w:t>
      </w:r>
      <w:r>
        <w:rPr>
          <w:rFonts w:hint="eastAsia" w:ascii="仿宋" w:hAnsi="仿宋" w:eastAsia="仿宋" w:cs="仿宋"/>
          <w:b/>
          <w:bCs/>
          <w:i w:val="0"/>
          <w:iCs w:val="0"/>
          <w:color w:val="auto"/>
          <w:sz w:val="28"/>
          <w:szCs w:val="28"/>
          <w:highlight w:val="none"/>
          <w:shd w:val="clear" w:color="auto" w:fill="auto"/>
        </w:rPr>
        <w:t>验收合格后，移交给</w:t>
      </w:r>
      <w:r>
        <w:rPr>
          <w:rFonts w:hint="eastAsia" w:ascii="仿宋" w:hAnsi="仿宋" w:eastAsia="仿宋" w:cs="仿宋"/>
          <w:b/>
          <w:bCs/>
          <w:i w:val="0"/>
          <w:iCs w:val="0"/>
          <w:color w:val="auto"/>
          <w:sz w:val="28"/>
          <w:szCs w:val="28"/>
          <w:highlight w:val="none"/>
          <w:shd w:val="clear" w:color="auto" w:fill="auto"/>
          <w:lang w:val="en-US" w:eastAsia="zh-CN"/>
        </w:rPr>
        <w:t>建设单位签名确认</w:t>
      </w:r>
      <w:r>
        <w:rPr>
          <w:rFonts w:hint="eastAsia" w:ascii="仿宋" w:hAnsi="仿宋" w:eastAsia="仿宋" w:cs="仿宋"/>
          <w:b/>
          <w:bCs/>
          <w:i w:val="0"/>
          <w:iCs w:val="0"/>
          <w:color w:val="auto"/>
          <w:sz w:val="28"/>
          <w:szCs w:val="28"/>
          <w:highlight w:val="none"/>
          <w:shd w:val="clear" w:color="auto" w:fill="auto"/>
        </w:rPr>
        <w:t>使用</w:t>
      </w:r>
      <w:r>
        <w:rPr>
          <w:rFonts w:hint="eastAsia" w:ascii="仿宋" w:hAnsi="仿宋" w:eastAsia="仿宋" w:cs="仿宋"/>
          <w:b/>
          <w:bCs/>
          <w:i w:val="0"/>
          <w:iCs w:val="0"/>
          <w:color w:val="auto"/>
          <w:sz w:val="28"/>
          <w:szCs w:val="28"/>
          <w:highlight w:val="none"/>
          <w:shd w:val="clear" w:color="auto" w:fill="auto"/>
          <w:lang w:val="en-US" w:eastAsia="zh-CN"/>
        </w:rPr>
        <w:t>次</w:t>
      </w:r>
      <w:r>
        <w:rPr>
          <w:rFonts w:hint="eastAsia" w:ascii="仿宋" w:hAnsi="仿宋" w:eastAsia="仿宋" w:cs="仿宋"/>
          <w:b/>
          <w:bCs/>
          <w:i w:val="0"/>
          <w:iCs w:val="0"/>
          <w:color w:val="auto"/>
          <w:sz w:val="28"/>
          <w:szCs w:val="28"/>
          <w:highlight w:val="none"/>
          <w:shd w:val="clear" w:color="auto" w:fill="auto"/>
        </w:rPr>
        <w:t>日起计</w:t>
      </w:r>
      <w:r>
        <w:rPr>
          <w:rFonts w:hint="eastAsia" w:ascii="仿宋" w:hAnsi="仿宋" w:eastAsia="仿宋" w:cs="仿宋"/>
          <w:b/>
          <w:bCs/>
          <w:i w:val="0"/>
          <w:iCs w:val="0"/>
          <w:color w:val="auto"/>
          <w:sz w:val="28"/>
          <w:szCs w:val="28"/>
          <w:highlight w:val="none"/>
          <w:shd w:val="clear" w:color="auto" w:fill="auto"/>
        </w:rPr>
        <w:t>。</w:t>
      </w:r>
    </w:p>
    <w:p w14:paraId="0BAAC60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rPr>
          <w:rFonts w:hint="default" w:ascii="仿宋" w:hAnsi="仿宋" w:eastAsia="仿宋" w:cs="仿宋"/>
          <w:color w:val="auto"/>
          <w:sz w:val="28"/>
          <w:szCs w:val="28"/>
          <w:highlight w:val="none"/>
          <w:shd w:val="clear" w:color="auto" w:fill="auto"/>
          <w:lang w:val="en-US"/>
        </w:rPr>
      </w:pPr>
      <w:r>
        <w:rPr>
          <w:rFonts w:hint="eastAsia" w:ascii="仿宋" w:hAnsi="仿宋" w:eastAsia="仿宋" w:cs="仿宋"/>
          <w:b w:val="0"/>
          <w:bCs w:val="0"/>
          <w:i w:val="0"/>
          <w:iCs w:val="0"/>
          <w:color w:val="auto"/>
          <w:sz w:val="28"/>
          <w:szCs w:val="28"/>
          <w:highlight w:val="none"/>
          <w:shd w:val="clear" w:color="auto" w:fill="auto"/>
          <w:lang w:val="en-US" w:eastAsia="zh-CN"/>
        </w:rPr>
        <w:t>11.3养护</w:t>
      </w:r>
    </w:p>
    <w:p w14:paraId="4613AA8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z w:val="28"/>
          <w:szCs w:val="28"/>
          <w:highlight w:val="none"/>
          <w:shd w:val="clear" w:color="auto" w:fill="auto"/>
        </w:rPr>
        <w:t>1</w:t>
      </w:r>
      <w:r>
        <w:rPr>
          <w:rFonts w:hint="eastAsia" w:ascii="仿宋" w:hAnsi="仿宋" w:eastAsia="仿宋" w:cs="仿宋"/>
          <w:color w:val="auto"/>
          <w:sz w:val="28"/>
          <w:szCs w:val="28"/>
          <w:highlight w:val="none"/>
          <w:shd w:val="clear" w:color="auto" w:fill="auto"/>
          <w:lang w:val="en-US" w:eastAsia="zh-CN"/>
        </w:rPr>
        <w:t>1.3.</w:t>
      </w:r>
      <w:r>
        <w:rPr>
          <w:rFonts w:hint="eastAsia" w:ascii="仿宋" w:hAnsi="仿宋" w:eastAsia="仿宋" w:cs="仿宋"/>
          <w:color w:val="auto"/>
          <w:sz w:val="28"/>
          <w:szCs w:val="28"/>
          <w:highlight w:val="none"/>
          <w:shd w:val="clear" w:color="auto" w:fill="auto"/>
        </w:rPr>
        <w:t>1本工程范围内所涉及的全部</w:t>
      </w:r>
      <w:r>
        <w:rPr>
          <w:rFonts w:hint="eastAsia" w:ascii="仿宋" w:hAnsi="仿宋" w:eastAsia="仿宋" w:cs="仿宋"/>
          <w:color w:val="auto"/>
          <w:sz w:val="28"/>
          <w:szCs w:val="28"/>
          <w:highlight w:val="none"/>
          <w:shd w:val="clear" w:color="auto" w:fill="auto"/>
          <w:lang w:val="en-US" w:eastAsia="zh-CN"/>
        </w:rPr>
        <w:t>植物</w:t>
      </w:r>
      <w:r>
        <w:rPr>
          <w:rFonts w:hint="eastAsia" w:ascii="仿宋" w:hAnsi="仿宋" w:eastAsia="仿宋" w:cs="仿宋"/>
          <w:color w:val="auto"/>
          <w:sz w:val="28"/>
          <w:szCs w:val="28"/>
          <w:highlight w:val="none"/>
          <w:shd w:val="clear" w:color="auto" w:fill="auto"/>
        </w:rPr>
        <w:t>养护责任均由乙方承担。</w:t>
      </w:r>
    </w:p>
    <w:p w14:paraId="2D11445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z w:val="28"/>
          <w:szCs w:val="28"/>
          <w:highlight w:val="none"/>
          <w:shd w:val="clear" w:color="auto" w:fill="auto"/>
        </w:rPr>
        <w:t>1</w:t>
      </w:r>
      <w:r>
        <w:rPr>
          <w:rFonts w:hint="eastAsia" w:ascii="仿宋" w:hAnsi="仿宋" w:eastAsia="仿宋" w:cs="仿宋"/>
          <w:color w:val="auto"/>
          <w:sz w:val="28"/>
          <w:szCs w:val="28"/>
          <w:highlight w:val="none"/>
          <w:shd w:val="clear" w:color="auto" w:fill="auto"/>
          <w:lang w:val="en-US" w:eastAsia="zh-CN"/>
        </w:rPr>
        <w:t>1.3</w:t>
      </w:r>
      <w:r>
        <w:rPr>
          <w:rFonts w:hint="eastAsia" w:ascii="仿宋" w:hAnsi="仿宋" w:eastAsia="仿宋" w:cs="仿宋"/>
          <w:color w:val="auto"/>
          <w:sz w:val="28"/>
          <w:szCs w:val="28"/>
          <w:highlight w:val="none"/>
          <w:shd w:val="clear" w:color="auto" w:fill="auto"/>
        </w:rPr>
        <w:t>.2养护期内</w:t>
      </w:r>
      <w:r>
        <w:rPr>
          <w:rFonts w:hint="eastAsia" w:ascii="仿宋" w:hAnsi="仿宋" w:eastAsia="仿宋" w:cs="仿宋"/>
          <w:b/>
          <w:bCs/>
          <w:i w:val="0"/>
          <w:iCs w:val="0"/>
          <w:color w:val="auto"/>
          <w:sz w:val="28"/>
          <w:szCs w:val="28"/>
          <w:highlight w:val="none"/>
          <w:shd w:val="clear" w:color="auto" w:fill="auto"/>
          <w:lang w:val="en-US" w:eastAsia="zh-CN"/>
        </w:rPr>
        <w:t>要求当季</w:t>
      </w:r>
      <w:r>
        <w:rPr>
          <w:rFonts w:hint="eastAsia" w:ascii="仿宋" w:hAnsi="仿宋" w:eastAsia="仿宋" w:cs="仿宋"/>
          <w:color w:val="auto"/>
          <w:sz w:val="28"/>
          <w:szCs w:val="28"/>
          <w:highlight w:val="none"/>
          <w:shd w:val="clear" w:color="auto" w:fill="auto"/>
        </w:rPr>
        <w:t>草皮、花卉、灌木等成活率到95%以上，乔木成活率100%。养护标准为：所有植物生长健壮，无病虫害，无杂草，无枯枝、死株，效果符合甲方</w:t>
      </w:r>
      <w:r>
        <w:rPr>
          <w:rFonts w:hint="eastAsia" w:ascii="仿宋" w:hAnsi="仿宋" w:eastAsia="仿宋" w:cs="仿宋"/>
          <w:color w:val="auto"/>
          <w:sz w:val="28"/>
          <w:szCs w:val="28"/>
          <w:highlight w:val="none"/>
          <w:shd w:val="clear" w:color="auto" w:fill="auto"/>
          <w:lang w:eastAsia="zh-CN"/>
        </w:rPr>
        <w:t>、</w:t>
      </w:r>
      <w:r>
        <w:rPr>
          <w:rFonts w:hint="eastAsia" w:ascii="仿宋" w:hAnsi="仿宋" w:eastAsia="仿宋" w:cs="仿宋"/>
          <w:color w:val="auto"/>
          <w:sz w:val="28"/>
          <w:szCs w:val="28"/>
          <w:highlight w:val="none"/>
          <w:shd w:val="clear" w:color="auto" w:fill="auto"/>
          <w:lang w:val="en-US" w:eastAsia="zh-CN"/>
        </w:rPr>
        <w:t>建设单位</w:t>
      </w:r>
      <w:r>
        <w:rPr>
          <w:rFonts w:hint="eastAsia" w:ascii="仿宋" w:hAnsi="仿宋" w:eastAsia="仿宋" w:cs="仿宋"/>
          <w:color w:val="auto"/>
          <w:sz w:val="28"/>
          <w:szCs w:val="28"/>
          <w:highlight w:val="none"/>
          <w:shd w:val="clear" w:color="auto" w:fill="auto"/>
        </w:rPr>
        <w:t>及</w:t>
      </w:r>
      <w:r>
        <w:rPr>
          <w:rFonts w:hint="eastAsia" w:ascii="仿宋" w:hAnsi="仿宋" w:eastAsia="仿宋" w:cs="仿宋"/>
          <w:color w:val="auto"/>
          <w:sz w:val="28"/>
          <w:szCs w:val="28"/>
          <w:highlight w:val="none"/>
          <w:shd w:val="clear" w:color="auto" w:fill="auto"/>
          <w:lang w:val="en-US" w:eastAsia="zh-CN"/>
        </w:rPr>
        <w:t>本工程</w:t>
      </w:r>
      <w:r>
        <w:rPr>
          <w:rFonts w:hint="eastAsia" w:ascii="仿宋" w:hAnsi="仿宋" w:eastAsia="仿宋" w:cs="仿宋"/>
          <w:color w:val="auto"/>
          <w:sz w:val="28"/>
          <w:szCs w:val="28"/>
          <w:highlight w:val="none"/>
          <w:shd w:val="clear" w:color="auto" w:fill="auto"/>
        </w:rPr>
        <w:t>设计</w:t>
      </w:r>
      <w:r>
        <w:rPr>
          <w:rFonts w:hint="eastAsia" w:ascii="仿宋" w:hAnsi="仿宋" w:eastAsia="仿宋" w:cs="仿宋"/>
          <w:color w:val="auto"/>
          <w:sz w:val="28"/>
          <w:szCs w:val="28"/>
          <w:highlight w:val="none"/>
          <w:shd w:val="clear" w:color="auto" w:fill="auto"/>
          <w:lang w:val="en-US" w:eastAsia="zh-CN"/>
        </w:rPr>
        <w:t>图纸的</w:t>
      </w:r>
      <w:r>
        <w:rPr>
          <w:rFonts w:hint="eastAsia" w:ascii="仿宋" w:hAnsi="仿宋" w:eastAsia="仿宋" w:cs="仿宋"/>
          <w:color w:val="auto"/>
          <w:sz w:val="28"/>
          <w:szCs w:val="28"/>
          <w:highlight w:val="none"/>
          <w:shd w:val="clear" w:color="auto" w:fill="auto"/>
        </w:rPr>
        <w:t>要求。</w:t>
      </w:r>
    </w:p>
    <w:p w14:paraId="509758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z w:val="28"/>
          <w:szCs w:val="28"/>
          <w:highlight w:val="none"/>
          <w:shd w:val="clear" w:color="auto" w:fill="auto"/>
          <w:lang w:eastAsia="zh-CN"/>
        </w:rPr>
        <w:t>1</w:t>
      </w:r>
      <w:r>
        <w:rPr>
          <w:rFonts w:hint="eastAsia" w:ascii="仿宋" w:hAnsi="仿宋" w:eastAsia="仿宋" w:cs="仿宋"/>
          <w:color w:val="auto"/>
          <w:sz w:val="28"/>
          <w:szCs w:val="28"/>
          <w:highlight w:val="none"/>
          <w:shd w:val="clear" w:color="auto" w:fill="auto"/>
          <w:lang w:val="en-US" w:eastAsia="zh-CN"/>
        </w:rPr>
        <w:t>1.3.4</w:t>
      </w:r>
      <w:r>
        <w:rPr>
          <w:rFonts w:hint="eastAsia" w:ascii="仿宋" w:hAnsi="仿宋" w:eastAsia="仿宋" w:cs="仿宋"/>
          <w:color w:val="auto"/>
          <w:sz w:val="28"/>
          <w:szCs w:val="28"/>
          <w:highlight w:val="none"/>
          <w:shd w:val="clear" w:color="auto" w:fill="auto"/>
        </w:rPr>
        <w:t>乙方须</w:t>
      </w:r>
      <w:r>
        <w:rPr>
          <w:rFonts w:hint="eastAsia" w:ascii="仿宋" w:hAnsi="仿宋" w:eastAsia="仿宋" w:cs="仿宋"/>
          <w:color w:val="auto"/>
          <w:sz w:val="28"/>
          <w:szCs w:val="28"/>
          <w:highlight w:val="none"/>
          <w:shd w:val="clear" w:color="auto" w:fill="auto"/>
          <w:lang w:val="en-US" w:eastAsia="zh-CN"/>
        </w:rPr>
        <w:t>安排</w:t>
      </w:r>
      <w:r>
        <w:rPr>
          <w:rFonts w:hint="eastAsia" w:ascii="仿宋" w:hAnsi="仿宋" w:eastAsia="仿宋" w:cs="仿宋"/>
          <w:color w:val="auto"/>
          <w:sz w:val="28"/>
          <w:szCs w:val="28"/>
          <w:highlight w:val="none"/>
          <w:shd w:val="clear" w:color="auto" w:fill="auto"/>
        </w:rPr>
        <w:t>专人负责养护期内的日常浇水、施肥、病虫害防治、修剪</w:t>
      </w:r>
      <w:r>
        <w:rPr>
          <w:rFonts w:hint="eastAsia" w:ascii="仿宋" w:hAnsi="仿宋" w:eastAsia="仿宋" w:cs="仿宋"/>
          <w:color w:val="auto"/>
          <w:sz w:val="28"/>
          <w:szCs w:val="28"/>
          <w:highlight w:val="none"/>
          <w:shd w:val="clear" w:color="auto" w:fill="auto"/>
          <w:lang w:eastAsia="zh-CN"/>
        </w:rPr>
        <w:t>、</w:t>
      </w:r>
      <w:r>
        <w:rPr>
          <w:rFonts w:hint="eastAsia" w:ascii="仿宋" w:hAnsi="仿宋" w:eastAsia="仿宋" w:cs="仿宋"/>
          <w:color w:val="auto"/>
          <w:sz w:val="28"/>
          <w:szCs w:val="28"/>
          <w:highlight w:val="none"/>
          <w:shd w:val="clear" w:color="auto" w:fill="auto"/>
          <w:lang w:val="en-US" w:eastAsia="zh-CN"/>
        </w:rPr>
        <w:t>补植</w:t>
      </w:r>
      <w:r>
        <w:rPr>
          <w:rFonts w:hint="eastAsia" w:ascii="仿宋" w:hAnsi="仿宋" w:eastAsia="仿宋" w:cs="仿宋"/>
          <w:color w:val="auto"/>
          <w:sz w:val="28"/>
          <w:szCs w:val="28"/>
          <w:highlight w:val="none"/>
          <w:shd w:val="clear" w:color="auto" w:fill="auto"/>
        </w:rPr>
        <w:t>等全部工作，并承担全部费用及风险。</w:t>
      </w:r>
      <w:bookmarkStart w:id="383" w:name="_GoBack"/>
      <w:bookmarkEnd w:id="383"/>
    </w:p>
    <w:p w14:paraId="5D6218A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z w:val="28"/>
          <w:szCs w:val="28"/>
          <w:highlight w:val="none"/>
          <w:shd w:val="clear" w:color="auto" w:fill="auto"/>
          <w:lang w:val="en-US" w:eastAsia="zh-CN"/>
        </w:rPr>
        <w:t>11.3.5</w:t>
      </w:r>
      <w:r>
        <w:rPr>
          <w:rFonts w:hint="eastAsia" w:ascii="仿宋" w:hAnsi="仿宋" w:eastAsia="仿宋" w:cs="仿宋"/>
          <w:color w:val="auto"/>
          <w:sz w:val="28"/>
          <w:szCs w:val="28"/>
          <w:highlight w:val="none"/>
          <w:shd w:val="clear" w:color="auto" w:fill="auto"/>
        </w:rPr>
        <w:t>养护期内，如出现</w:t>
      </w:r>
      <w:r>
        <w:rPr>
          <w:rFonts w:hint="eastAsia" w:ascii="仿宋" w:hAnsi="仿宋" w:eastAsia="仿宋" w:cs="仿宋"/>
          <w:b/>
          <w:bCs/>
          <w:i w:val="0"/>
          <w:iCs w:val="0"/>
          <w:color w:val="auto"/>
          <w:sz w:val="28"/>
          <w:szCs w:val="28"/>
          <w:highlight w:val="none"/>
          <w:shd w:val="clear" w:color="auto" w:fill="auto"/>
          <w:lang w:val="en-US" w:eastAsia="zh-CN"/>
        </w:rPr>
        <w:t>超出前述成活率比例的</w:t>
      </w:r>
      <w:r>
        <w:rPr>
          <w:rFonts w:hint="eastAsia" w:ascii="仿宋" w:hAnsi="仿宋" w:eastAsia="仿宋" w:cs="仿宋"/>
          <w:color w:val="auto"/>
          <w:sz w:val="28"/>
          <w:szCs w:val="28"/>
          <w:highlight w:val="none"/>
          <w:shd w:val="clear" w:color="auto" w:fill="auto"/>
        </w:rPr>
        <w:t>任何植物枯萎、死亡或效果不达标的情况，乙方应在接到甲方通知后48小时内响应，并在下一个适宜的种植季节（一般为春季或秋季）无条件完成补种。补种后，相应部分的养护期应自补种验收合格之日起重新计算。</w:t>
      </w:r>
    </w:p>
    <w:p w14:paraId="6A67413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z w:val="28"/>
          <w:szCs w:val="28"/>
          <w:highlight w:val="none"/>
          <w:shd w:val="clear" w:color="auto" w:fill="auto"/>
          <w:lang w:val="en-US" w:eastAsia="zh-CN"/>
        </w:rPr>
        <w:t>11.3.6</w:t>
      </w:r>
      <w:r>
        <w:rPr>
          <w:rFonts w:hint="eastAsia" w:ascii="仿宋" w:hAnsi="仿宋" w:eastAsia="仿宋" w:cs="仿宋"/>
          <w:color w:val="auto"/>
          <w:sz w:val="28"/>
          <w:szCs w:val="28"/>
          <w:highlight w:val="none"/>
          <w:shd w:val="clear" w:color="auto" w:fill="auto"/>
        </w:rPr>
        <w:t>乙方未能及时响应或补种的，甲方有权自行或委托第三方进行补种与养护，所产生的一切费用（包括但不限于苗木费、人工费、管理费）将由甲方从应付乙方的任何款项中直接扣除，且无需乙方另行确认。</w:t>
      </w:r>
    </w:p>
    <w:p w14:paraId="191F82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color w:val="auto"/>
          <w:sz w:val="28"/>
          <w:szCs w:val="28"/>
          <w:highlight w:val="none"/>
          <w:shd w:val="clear" w:color="auto" w:fill="auto"/>
          <w:lang w:val="en-US" w:eastAsia="zh-CN"/>
        </w:rPr>
        <w:t>11.3.7除</w:t>
      </w:r>
      <w:r>
        <w:rPr>
          <w:rFonts w:hint="eastAsia" w:ascii="仿宋" w:hAnsi="仿宋" w:eastAsia="仿宋" w:cs="仿宋"/>
          <w:color w:val="auto"/>
          <w:sz w:val="28"/>
          <w:szCs w:val="28"/>
          <w:highlight w:val="none"/>
          <w:shd w:val="clear" w:color="auto" w:fill="auto"/>
        </w:rPr>
        <w:t>养护所需</w:t>
      </w:r>
      <w:r>
        <w:rPr>
          <w:rFonts w:hint="eastAsia" w:ascii="仿宋" w:hAnsi="仿宋" w:eastAsia="仿宋" w:cs="仿宋"/>
          <w:color w:val="auto"/>
          <w:sz w:val="28"/>
          <w:szCs w:val="28"/>
          <w:highlight w:val="none"/>
          <w:shd w:val="clear" w:color="auto" w:fill="auto"/>
          <w:lang w:val="en-US" w:eastAsia="zh-CN"/>
        </w:rPr>
        <w:t>的</w:t>
      </w:r>
      <w:r>
        <w:rPr>
          <w:rFonts w:hint="eastAsia" w:ascii="仿宋" w:hAnsi="仿宋" w:eastAsia="仿宋" w:cs="仿宋"/>
          <w:color w:val="auto"/>
          <w:sz w:val="28"/>
          <w:szCs w:val="28"/>
          <w:highlight w:val="none"/>
          <w:shd w:val="clear" w:color="auto" w:fill="auto"/>
        </w:rPr>
        <w:t>水电费由甲方</w:t>
      </w:r>
      <w:r>
        <w:rPr>
          <w:rFonts w:hint="eastAsia" w:ascii="仿宋" w:hAnsi="仿宋" w:eastAsia="仿宋" w:cs="仿宋"/>
          <w:color w:val="auto"/>
          <w:sz w:val="28"/>
          <w:szCs w:val="28"/>
          <w:highlight w:val="none"/>
          <w:shd w:val="clear" w:color="auto" w:fill="auto"/>
          <w:lang w:val="en-US" w:eastAsia="zh-CN"/>
        </w:rPr>
        <w:t>承担外，</w:t>
      </w:r>
      <w:r>
        <w:rPr>
          <w:rFonts w:hint="eastAsia" w:ascii="仿宋" w:hAnsi="仿宋" w:eastAsia="仿宋" w:cs="仿宋"/>
          <w:color w:val="auto"/>
          <w:sz w:val="28"/>
          <w:szCs w:val="28"/>
          <w:highlight w:val="none"/>
          <w:shd w:val="clear" w:color="auto" w:fill="auto"/>
        </w:rPr>
        <w:t>乙方为履行本合同项下养护</w:t>
      </w:r>
      <w:r>
        <w:rPr>
          <w:rFonts w:hint="eastAsia" w:ascii="仿宋" w:hAnsi="仿宋" w:eastAsia="仿宋" w:cs="仿宋"/>
          <w:color w:val="auto"/>
          <w:sz w:val="28"/>
          <w:szCs w:val="28"/>
          <w:highlight w:val="none"/>
          <w:shd w:val="clear" w:color="auto" w:fill="auto"/>
          <w:lang w:val="en-US" w:eastAsia="zh-CN"/>
        </w:rPr>
        <w:t>工作</w:t>
      </w:r>
      <w:r>
        <w:rPr>
          <w:rFonts w:hint="eastAsia" w:ascii="仿宋" w:hAnsi="仿宋" w:eastAsia="仿宋" w:cs="仿宋"/>
          <w:color w:val="auto"/>
          <w:sz w:val="28"/>
          <w:szCs w:val="28"/>
          <w:highlight w:val="none"/>
          <w:shd w:val="clear" w:color="auto" w:fill="auto"/>
        </w:rPr>
        <w:t>及养护期内的补种义务所需的人工</w:t>
      </w:r>
      <w:r>
        <w:rPr>
          <w:rFonts w:hint="eastAsia" w:ascii="仿宋" w:hAnsi="仿宋" w:eastAsia="仿宋" w:cs="仿宋"/>
          <w:color w:val="auto"/>
          <w:sz w:val="28"/>
          <w:szCs w:val="28"/>
          <w:highlight w:val="none"/>
          <w:shd w:val="clear" w:color="auto" w:fill="auto"/>
          <w:lang w:eastAsia="zh-CN"/>
        </w:rPr>
        <w:t>（</w:t>
      </w:r>
      <w:r>
        <w:rPr>
          <w:rFonts w:hint="eastAsia" w:ascii="仿宋" w:hAnsi="仿宋" w:eastAsia="仿宋" w:cs="仿宋"/>
          <w:color w:val="auto"/>
          <w:sz w:val="28"/>
          <w:szCs w:val="28"/>
          <w:highlight w:val="none"/>
          <w:shd w:val="clear" w:color="auto" w:fill="auto"/>
          <w:lang w:val="en-US" w:eastAsia="zh-CN"/>
        </w:rPr>
        <w:t>含相关食宿</w:t>
      </w:r>
      <w:r>
        <w:rPr>
          <w:rFonts w:hint="eastAsia" w:ascii="仿宋" w:hAnsi="仿宋" w:eastAsia="仿宋" w:cs="仿宋"/>
          <w:color w:val="auto"/>
          <w:sz w:val="28"/>
          <w:szCs w:val="28"/>
          <w:highlight w:val="none"/>
          <w:shd w:val="clear" w:color="auto" w:fill="auto"/>
          <w:lang w:eastAsia="zh-CN"/>
        </w:rPr>
        <w:t>）</w:t>
      </w:r>
      <w:r>
        <w:rPr>
          <w:rFonts w:hint="eastAsia" w:ascii="仿宋" w:hAnsi="仿宋" w:eastAsia="仿宋" w:cs="仿宋"/>
          <w:color w:val="auto"/>
          <w:sz w:val="28"/>
          <w:szCs w:val="28"/>
          <w:highlight w:val="none"/>
          <w:shd w:val="clear" w:color="auto" w:fill="auto"/>
        </w:rPr>
        <w:t>、材料、机械、管理、利润、风险、税金</w:t>
      </w:r>
      <w:r>
        <w:rPr>
          <w:rFonts w:hint="eastAsia" w:ascii="仿宋" w:hAnsi="仿宋" w:eastAsia="仿宋" w:cs="仿宋"/>
          <w:color w:val="auto"/>
          <w:sz w:val="28"/>
          <w:szCs w:val="28"/>
          <w:highlight w:val="none"/>
          <w:shd w:val="clear" w:color="auto" w:fill="auto"/>
          <w:lang w:eastAsia="zh-CN"/>
        </w:rPr>
        <w:t>、</w:t>
      </w:r>
      <w:r>
        <w:rPr>
          <w:rFonts w:hint="eastAsia" w:ascii="仿宋" w:hAnsi="仿宋" w:eastAsia="仿宋" w:cs="仿宋"/>
          <w:color w:val="auto"/>
          <w:sz w:val="28"/>
          <w:szCs w:val="28"/>
          <w:highlight w:val="none"/>
          <w:shd w:val="clear" w:color="auto" w:fill="auto"/>
          <w:lang w:val="en-US" w:eastAsia="zh-CN"/>
        </w:rPr>
        <w:t>保险</w:t>
      </w:r>
      <w:r>
        <w:rPr>
          <w:rFonts w:hint="eastAsia" w:ascii="仿宋" w:hAnsi="仿宋" w:eastAsia="仿宋" w:cs="仿宋"/>
          <w:color w:val="auto"/>
          <w:sz w:val="28"/>
          <w:szCs w:val="28"/>
          <w:highlight w:val="none"/>
          <w:shd w:val="clear" w:color="auto" w:fill="auto"/>
        </w:rPr>
        <w:t>等一切费用，均已包含在合同单价中，甲方无需就该等养护及补种工作另行支付任何费用</w:t>
      </w:r>
      <w:r>
        <w:rPr>
          <w:rFonts w:hint="eastAsia" w:ascii="仿宋" w:hAnsi="仿宋" w:eastAsia="仿宋" w:cs="仿宋"/>
          <w:b/>
          <w:bCs/>
          <w:i w:val="0"/>
          <w:iCs w:val="0"/>
          <w:color w:val="auto"/>
          <w:sz w:val="28"/>
          <w:szCs w:val="28"/>
          <w:highlight w:val="none"/>
          <w:shd w:val="clear" w:color="auto" w:fill="auto"/>
          <w:lang w:val="en-US" w:eastAsia="zh-CN"/>
        </w:rPr>
        <w:t>。</w:t>
      </w:r>
    </w:p>
    <w:bookmarkEnd w:id="42"/>
    <w:p w14:paraId="53DFB9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43" w:name="_Toc7932"/>
      <w:bookmarkStart w:id="44" w:name="_Toc24202"/>
      <w:bookmarkStart w:id="45" w:name="_Toc10092"/>
      <w:bookmarkStart w:id="46" w:name="_Toc3557"/>
      <w:bookmarkStart w:id="47" w:name="_Toc4245"/>
      <w:bookmarkStart w:id="48" w:name="_Toc14868"/>
      <w:bookmarkStart w:id="49" w:name="_Toc15001"/>
      <w:r>
        <w:rPr>
          <w:rFonts w:hint="eastAsia" w:ascii="仿宋" w:hAnsi="仿宋" w:eastAsia="仿宋" w:cs="仿宋"/>
          <w:b/>
          <w:bCs/>
          <w:i w:val="0"/>
          <w:iCs w:val="0"/>
          <w:color w:val="auto"/>
          <w:sz w:val="28"/>
          <w:szCs w:val="28"/>
          <w:highlight w:val="none"/>
          <w:shd w:val="clear" w:color="auto" w:fill="auto"/>
          <w:lang w:val="en-US" w:eastAsia="zh-CN"/>
        </w:rPr>
        <w:t>第十二章、其他</w:t>
      </w:r>
      <w:bookmarkEnd w:id="43"/>
      <w:bookmarkEnd w:id="44"/>
      <w:bookmarkEnd w:id="45"/>
      <w:bookmarkEnd w:id="46"/>
      <w:bookmarkEnd w:id="47"/>
      <w:bookmarkEnd w:id="48"/>
      <w:bookmarkEnd w:id="49"/>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4EBEE2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.1甲乙双方联系人</w:t>
      </w:r>
    </w:p>
    <w:p w14:paraId="3AD4E1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.1.1</w:t>
      </w:r>
      <w:r>
        <w:rPr>
          <w:rFonts w:hint="eastAsia" w:ascii="仿宋" w:hAnsi="仿宋" w:eastAsia="仿宋" w:cs="仿宋"/>
          <w:b w:val="0"/>
          <w:bCs w:val="0"/>
          <w:i w:val="0"/>
          <w:iCs w:val="0"/>
          <w:color w:val="auto"/>
          <w:sz w:val="28"/>
          <w:szCs w:val="28"/>
          <w:highlight w:val="none"/>
          <w:shd w:val="clear" w:color="auto" w:fill="auto"/>
          <w:lang w:val="en-US" w:eastAsia="zh-CN"/>
        </w:rPr>
        <w:t>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 w:hAnsi="仿宋" w:eastAsia="仿宋" w:cs="仿宋"/>
          <w:b w:val="0"/>
          <w:bCs w:val="0"/>
          <w:i w:val="0"/>
          <w:iCs w:val="0"/>
          <w:color w:val="auto"/>
          <w:sz w:val="28"/>
          <w:szCs w:val="28"/>
          <w:highlight w:val="none"/>
          <w:shd w:val="clear" w:color="auto" w:fill="auto"/>
          <w:lang w:val="en-US" w:eastAsia="zh-CN"/>
        </w:rPr>
        <w:t>为本项目甲方负责人及甲方合同执行联系人，联系电话：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 w:hAnsi="仿宋" w:eastAsia="仿宋" w:cs="仿宋"/>
          <w:b w:val="0"/>
          <w:bCs w:val="0"/>
          <w:i w:val="0"/>
          <w:iCs w:val="0"/>
          <w:color w:val="auto"/>
          <w:sz w:val="28"/>
          <w:szCs w:val="28"/>
          <w:highlight w:val="none"/>
          <w:shd w:val="clear" w:color="auto" w:fill="auto"/>
          <w:lang w:val="en-US" w:eastAsia="zh-CN"/>
        </w:rPr>
        <w:t>未经甲方加盖公章确认，甲方项目负责人及合同执行联系人、签约代表及其他职员均无权代表甲方做出减损、放弃甲方权利、乙方义务、乙方责任的行为，也无权做出增加甲方义务的行为。甲方对乙方发出的业务通知、单据、函件等文件、资料(包括但不限于收货单、确认单、联系函等)，须经甲方项目负责人及合同执行联系人签名并加盖甲方项目章(样式详见附件)方为有效，否则为无效文件，仅盖章或者仅签名的文件亦无效。甲方项目负责人及合同执行联系人系唯一有权对乙方该等文件、资料进行签名的主体，该权限具有人身专属性，不得转授权或委托第三方行使。非经甲方项目负责人及合同执行联系人本人签字确认并加盖甲方项目章的文件、资料，甲方均不认可，对甲方不产生约束力。甲方变更项目负责人、合同执行联系人的，甲方以书面形式通知乙方。</w:t>
      </w:r>
    </w:p>
    <w:p w14:paraId="51F828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.1.2乙方指定</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（身份证号码：</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微信号：</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val="en-US"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手机：</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电子邮箱：</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w:t>
      </w:r>
      <w:r>
        <w:rPr>
          <w:rFonts w:hint="eastAsia" w:ascii="仿宋" w:hAnsi="仿宋" w:eastAsia="仿宋" w:cs="仿宋"/>
          <w:b w:val="0"/>
          <w:bCs w:val="0"/>
          <w:i w:val="0"/>
          <w:iCs w:val="0"/>
          <w:color w:val="auto"/>
          <w:sz w:val="28"/>
          <w:szCs w:val="28"/>
          <w:highlight w:val="none"/>
          <w:shd w:val="clear" w:color="auto" w:fill="auto"/>
          <w:lang w:eastAsia="zh-CN"/>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在</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为乙方</w:t>
      </w:r>
      <w:r>
        <w:rPr>
          <w:rFonts w:hint="eastAsia" w:ascii="仿宋" w:hAnsi="仿宋" w:eastAsia="仿宋" w:cs="仿宋"/>
          <w:b w:val="0"/>
          <w:bCs w:val="0"/>
          <w:i w:val="0"/>
          <w:iCs w:val="0"/>
          <w:color w:val="auto"/>
          <w:sz w:val="28"/>
          <w:szCs w:val="28"/>
          <w:highlight w:val="none"/>
          <w:shd w:val="clear" w:color="auto" w:fill="auto"/>
          <w:lang w:val="en-US" w:eastAsia="zh-CN"/>
        </w:rPr>
        <w:t>授权</w:t>
      </w:r>
      <w:r>
        <w:rPr>
          <w:rFonts w:hint="eastAsia" w:ascii="仿宋" w:hAnsi="仿宋" w:eastAsia="仿宋" w:cs="仿宋"/>
          <w:b w:val="0"/>
          <w:bCs w:val="0"/>
          <w:i w:val="0"/>
          <w:iCs w:val="0"/>
          <w:color w:val="auto"/>
          <w:sz w:val="28"/>
          <w:szCs w:val="28"/>
          <w:highlight w:val="none"/>
          <w:shd w:val="clear" w:color="auto" w:fill="auto"/>
          <w:lang w:eastAsia="zh-CN"/>
        </w:rPr>
        <w:t>处理与本合同</w:t>
      </w:r>
      <w:r>
        <w:rPr>
          <w:rFonts w:hint="eastAsia" w:ascii="仿宋" w:hAnsi="仿宋" w:eastAsia="仿宋" w:cs="仿宋"/>
          <w:b w:val="0"/>
          <w:bCs w:val="0"/>
          <w:i w:val="0"/>
          <w:iCs w:val="0"/>
          <w:color w:val="auto"/>
          <w:sz w:val="28"/>
          <w:szCs w:val="28"/>
          <w:highlight w:val="none"/>
          <w:shd w:val="clear" w:color="auto" w:fill="auto"/>
          <w:lang w:val="en-US" w:eastAsia="zh-CN"/>
        </w:rPr>
        <w:t>相关</w:t>
      </w:r>
      <w:r>
        <w:rPr>
          <w:rFonts w:hint="eastAsia" w:ascii="仿宋" w:hAnsi="仿宋" w:eastAsia="仿宋" w:cs="仿宋"/>
          <w:b w:val="0"/>
          <w:bCs w:val="0"/>
          <w:i w:val="0"/>
          <w:iCs w:val="0"/>
          <w:color w:val="auto"/>
          <w:sz w:val="28"/>
          <w:szCs w:val="28"/>
          <w:highlight w:val="none"/>
          <w:shd w:val="clear" w:color="auto" w:fill="auto"/>
          <w:lang w:eastAsia="zh-CN"/>
        </w:rPr>
        <w:t>事项</w:t>
      </w:r>
      <w:r>
        <w:rPr>
          <w:rFonts w:hint="eastAsia" w:ascii="仿宋" w:hAnsi="仿宋" w:eastAsia="仿宋" w:cs="仿宋"/>
          <w:b w:val="0"/>
          <w:bCs w:val="0"/>
          <w:i w:val="0"/>
          <w:iCs w:val="0"/>
          <w:color w:val="auto"/>
          <w:sz w:val="28"/>
          <w:szCs w:val="28"/>
          <w:highlight w:val="none"/>
          <w:shd w:val="clear" w:color="auto" w:fill="auto"/>
          <w:lang w:val="en-US" w:eastAsia="zh-CN"/>
        </w:rPr>
        <w:t>的合同执行代表，负责与甲方公司总部办理</w:t>
      </w:r>
      <w:r>
        <w:rPr>
          <w:rFonts w:hint="eastAsia" w:ascii="仿宋" w:hAnsi="仿宋" w:eastAsia="仿宋" w:cs="仿宋"/>
          <w:b w:val="0"/>
          <w:bCs w:val="0"/>
          <w:i w:val="0"/>
          <w:iCs w:val="0"/>
          <w:color w:val="auto"/>
          <w:sz w:val="28"/>
          <w:szCs w:val="28"/>
          <w:highlight w:val="none"/>
          <w:shd w:val="clear" w:color="auto" w:fill="auto"/>
          <w:lang w:eastAsia="zh-CN"/>
        </w:rPr>
        <w:t>相关事务（如负责双方来往</w:t>
      </w:r>
      <w:r>
        <w:rPr>
          <w:rFonts w:hint="eastAsia" w:ascii="仿宋" w:hAnsi="仿宋" w:eastAsia="仿宋" w:cs="仿宋"/>
          <w:b w:val="0"/>
          <w:bCs w:val="0"/>
          <w:i w:val="0"/>
          <w:iCs w:val="0"/>
          <w:color w:val="auto"/>
          <w:sz w:val="28"/>
          <w:szCs w:val="28"/>
          <w:highlight w:val="none"/>
          <w:shd w:val="clear" w:color="auto" w:fill="auto"/>
          <w:lang w:val="en-US" w:eastAsia="zh-CN"/>
        </w:rPr>
        <w:t>函件</w:t>
      </w:r>
      <w:r>
        <w:rPr>
          <w:rFonts w:hint="eastAsia" w:ascii="仿宋" w:hAnsi="仿宋" w:eastAsia="仿宋" w:cs="仿宋"/>
          <w:b w:val="0"/>
          <w:bCs w:val="0"/>
          <w:i w:val="0"/>
          <w:iCs w:val="0"/>
          <w:color w:val="auto"/>
          <w:sz w:val="28"/>
          <w:szCs w:val="28"/>
          <w:highlight w:val="none"/>
          <w:shd w:val="clear" w:color="auto" w:fill="auto"/>
          <w:lang w:eastAsia="zh-CN"/>
        </w:rPr>
        <w:t>签收、签字、验收、确定增减</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款、确定结算金额、</w:t>
      </w:r>
      <w:r>
        <w:rPr>
          <w:rFonts w:hint="eastAsia" w:ascii="仿宋" w:hAnsi="仿宋" w:eastAsia="仿宋" w:cs="仿宋"/>
          <w:b w:val="0"/>
          <w:bCs w:val="0"/>
          <w:i w:val="0"/>
          <w:iCs w:val="0"/>
          <w:color w:val="auto"/>
          <w:sz w:val="28"/>
          <w:szCs w:val="28"/>
          <w:highlight w:val="none"/>
          <w:shd w:val="clear" w:color="auto" w:fill="auto"/>
          <w:lang w:val="en-US" w:eastAsia="zh-CN"/>
        </w:rPr>
        <w:t>收</w:t>
      </w:r>
      <w:r>
        <w:rPr>
          <w:rFonts w:hint="eastAsia" w:ascii="仿宋" w:hAnsi="仿宋" w:eastAsia="仿宋" w:cs="仿宋"/>
          <w:b w:val="0"/>
          <w:bCs w:val="0"/>
          <w:i w:val="0"/>
          <w:iCs w:val="0"/>
          <w:color w:val="auto"/>
          <w:sz w:val="28"/>
          <w:szCs w:val="28"/>
          <w:highlight w:val="none"/>
          <w:shd w:val="clear" w:color="auto" w:fill="auto"/>
          <w:lang w:eastAsia="zh-CN"/>
        </w:rPr>
        <w:t>款、签收并签认甲方对乙方违约行为作出的处理通知等行为）。</w:t>
      </w:r>
    </w:p>
    <w:p w14:paraId="455A97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12.1.3</w:t>
      </w:r>
      <w:r>
        <w:rPr>
          <w:rFonts w:hint="eastAsia" w:ascii="仿宋" w:hAnsi="仿宋" w:eastAsia="仿宋" w:cs="仿宋"/>
          <w:b w:val="0"/>
          <w:bCs w:val="0"/>
          <w:i w:val="0"/>
          <w:iCs w:val="0"/>
          <w:color w:val="auto"/>
          <w:sz w:val="28"/>
          <w:szCs w:val="28"/>
          <w:highlight w:val="none"/>
          <w:shd w:val="clear" w:color="auto" w:fill="auto"/>
          <w:lang w:eastAsia="zh-CN"/>
        </w:rPr>
        <w:t>乙方指定</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（身份证号码：</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微信号：</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val="en-US"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手机：</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电子邮箱：</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本合同的乙方现场负责人，在</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乙方授权处理本项目施工现场相关事项的合同执行代表，负责与甲方项目现场的工作签认、安排等全部事务。现场负责人必</w:t>
      </w:r>
      <w:r>
        <w:rPr>
          <w:rFonts w:hint="eastAsia" w:ascii="仿宋" w:hAnsi="仿宋" w:eastAsia="仿宋" w:cs="仿宋"/>
          <w:b w:val="0"/>
          <w:bCs w:val="0"/>
          <w:i w:val="0"/>
          <w:iCs w:val="0"/>
          <w:color w:val="auto"/>
          <w:sz w:val="28"/>
          <w:szCs w:val="28"/>
          <w:highlight w:val="none"/>
          <w:shd w:val="clear" w:color="auto" w:fill="auto"/>
          <w:lang w:eastAsia="zh-CN"/>
        </w:rPr>
        <w:t>须常</w:t>
      </w:r>
      <w:r>
        <w:rPr>
          <w:rFonts w:hint="eastAsia" w:ascii="仿宋" w:hAnsi="仿宋" w:eastAsia="仿宋" w:cs="仿宋"/>
          <w:b w:val="0"/>
          <w:bCs w:val="0"/>
          <w:i w:val="0"/>
          <w:iCs w:val="0"/>
          <w:color w:val="auto"/>
          <w:sz w:val="28"/>
          <w:szCs w:val="28"/>
          <w:highlight w:val="none"/>
          <w:shd w:val="clear" w:color="auto" w:fill="auto"/>
          <w:lang w:val="en-US" w:eastAsia="zh-CN"/>
        </w:rPr>
        <w:t>驻本项目</w:t>
      </w:r>
      <w:r>
        <w:rPr>
          <w:rFonts w:hint="eastAsia" w:ascii="仿宋" w:hAnsi="仿宋" w:eastAsia="仿宋" w:cs="仿宋"/>
          <w:b w:val="0"/>
          <w:bCs w:val="0"/>
          <w:i w:val="0"/>
          <w:iCs w:val="0"/>
          <w:color w:val="auto"/>
          <w:sz w:val="28"/>
          <w:szCs w:val="28"/>
          <w:highlight w:val="none"/>
          <w:shd w:val="clear" w:color="auto" w:fill="auto"/>
          <w:lang w:eastAsia="zh-CN"/>
        </w:rPr>
        <w:t>施工现场。</w:t>
      </w:r>
    </w:p>
    <w:p w14:paraId="75939CB3">
      <w:pPr>
        <w:keepNext w:val="0"/>
        <w:keepLines w:val="0"/>
        <w:pageBreakBefore w:val="0"/>
        <w:widowControl w:val="0"/>
        <w:shd w:val="clear" w:color="auto" w:fill="auto"/>
        <w:tabs>
          <w:tab w:val="left" w:pos="189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乙方对乙方授权代表及乙方现场负责人的行为均予认可并承担一切责任。乙方如需更换授权或现场负责人，须提前三个工作日书面报经甲方同意，否则不得更换。</w:t>
      </w:r>
    </w:p>
    <w:p w14:paraId="140BF7A7">
      <w:pPr>
        <w:keepNext w:val="0"/>
        <w:keepLines w:val="0"/>
        <w:pageBreakBefore w:val="0"/>
        <w:widowControl w:val="0"/>
        <w:shd w:val="clear" w:color="auto" w:fill="auto"/>
        <w:tabs>
          <w:tab w:val="left" w:pos="189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p>
    <w:p w14:paraId="550D719F">
      <w:pPr>
        <w:keepNext w:val="0"/>
        <w:keepLines w:val="0"/>
        <w:pageBreakBefore w:val="0"/>
        <w:widowControl w:val="0"/>
        <w:kinsoku/>
        <w:wordWrap/>
        <w:overflowPunct/>
        <w:topLinePunct w:val="0"/>
        <w:autoSpaceDE/>
        <w:autoSpaceDN/>
        <w:bidi w:val="0"/>
        <w:adjustRightInd w:val="0"/>
        <w:snapToGrid w:val="0"/>
        <w:spacing w:line="360" w:lineRule="auto"/>
        <w:ind w:left="422" w:leftChars="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乙方(盖章):</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w:t>
      </w:r>
    </w:p>
    <w:p w14:paraId="56B9AB72">
      <w:pPr>
        <w:keepNext w:val="0"/>
        <w:keepLines w:val="0"/>
        <w:pageBreakBefore w:val="0"/>
        <w:widowControl w:val="0"/>
        <w:kinsoku/>
        <w:wordWrap/>
        <w:overflowPunct/>
        <w:topLinePunct w:val="0"/>
        <w:autoSpaceDE/>
        <w:autoSpaceDN/>
        <w:bidi w:val="0"/>
        <w:adjustRightInd w:val="0"/>
        <w:snapToGrid w:val="0"/>
        <w:spacing w:after="0" w:line="360" w:lineRule="auto"/>
        <w:ind w:left="422" w:leftChars="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2CADE0AF">
      <w:pPr>
        <w:keepNext w:val="0"/>
        <w:keepLines w:val="0"/>
        <w:pageBreakBefore w:val="0"/>
        <w:widowControl w:val="0"/>
        <w:kinsoku/>
        <w:wordWrap/>
        <w:overflowPunct/>
        <w:topLinePunct w:val="0"/>
        <w:autoSpaceDE/>
        <w:autoSpaceDN/>
        <w:bidi w:val="0"/>
        <w:adjustRightInd w:val="0"/>
        <w:snapToGrid w:val="0"/>
        <w:spacing w:line="360" w:lineRule="auto"/>
        <w:ind w:left="422" w:leftChars="0" w:right="0" w:rightChars="0" w:hanging="422" w:hangingChars="1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 xml:space="preserve">：91441900732168546R     </w:t>
      </w: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p>
    <w:p w14:paraId="0E93E6FB">
      <w:pPr>
        <w:keepNext w:val="0"/>
        <w:keepLines w:val="0"/>
        <w:pageBreakBefore w:val="0"/>
        <w:widowControl w:val="0"/>
        <w:kinsoku/>
        <w:wordWrap/>
        <w:overflowPunct/>
        <w:topLinePunct w:val="0"/>
        <w:autoSpaceDE/>
        <w:autoSpaceDN/>
        <w:bidi w:val="0"/>
        <w:adjustRightInd w:val="0"/>
        <w:snapToGrid w:val="0"/>
        <w:spacing w:line="360" w:lineRule="auto"/>
        <w:ind w:left="422" w:leftChars="0" w:right="0" w:rightChars="0" w:hanging="422" w:hangingChars="1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账  号：548000013639239                  账  号：</w:t>
      </w:r>
      <w:r>
        <w:rPr>
          <w:rFonts w:hint="eastAsia" w:ascii="仿宋" w:hAnsi="仿宋" w:eastAsia="仿宋" w:cs="仿宋"/>
          <w:b/>
          <w:bCs/>
          <w:color w:val="auto"/>
          <w:sz w:val="24"/>
          <w:szCs w:val="24"/>
          <w:highlight w:val="none"/>
          <w:lang w:val="en-US" w:eastAsia="zh-CN"/>
        </w:rPr>
        <w:t xml:space="preserve"> </w:t>
      </w:r>
    </w:p>
    <w:p w14:paraId="380EF155">
      <w:pPr>
        <w:keepNext w:val="0"/>
        <w:keepLines w:val="0"/>
        <w:pageBreakBefore w:val="0"/>
        <w:widowControl w:val="0"/>
        <w:kinsoku/>
        <w:wordWrap/>
        <w:overflowPunct/>
        <w:topLinePunct w:val="0"/>
        <w:autoSpaceDE/>
        <w:autoSpaceDN/>
        <w:bidi w:val="0"/>
        <w:adjustRightInd w:val="0"/>
        <w:snapToGrid w:val="0"/>
        <w:spacing w:line="360" w:lineRule="auto"/>
        <w:ind w:left="422" w:leftChars="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开户行：东莞银行股份有限公司元美支行     开户行：</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w:t>
      </w:r>
    </w:p>
    <w:p w14:paraId="2DBB4B51">
      <w:pPr>
        <w:keepNext w:val="0"/>
        <w:keepLines w:val="0"/>
        <w:pageBreakBefore w:val="0"/>
        <w:widowControl w:val="0"/>
        <w:kinsoku/>
        <w:wordWrap/>
        <w:overflowPunct/>
        <w:topLinePunct w:val="0"/>
        <w:autoSpaceDE/>
        <w:autoSpaceDN/>
        <w:bidi w:val="0"/>
        <w:adjustRightInd w:val="0"/>
        <w:snapToGrid w:val="0"/>
        <w:spacing w:line="360" w:lineRule="auto"/>
        <w:ind w:left="5963" w:leftChars="0" w:right="0" w:rightChars="0" w:hanging="5963" w:hangingChars="24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地 址：广东省东莞市南城街道鸿福路</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地  址：</w:t>
      </w:r>
      <w:r>
        <w:rPr>
          <w:rFonts w:hint="eastAsia" w:ascii="仿宋" w:hAnsi="仿宋" w:eastAsia="仿宋" w:cs="仿宋"/>
          <w:b/>
          <w:bCs/>
          <w:color w:val="auto"/>
          <w:sz w:val="24"/>
          <w:szCs w:val="24"/>
          <w:highlight w:val="none"/>
          <w:lang w:val="en-US" w:eastAsia="zh-CN"/>
        </w:rPr>
        <w:t xml:space="preserve"> </w:t>
      </w:r>
    </w:p>
    <w:p w14:paraId="43B9D0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106号1栋1712室01</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w:t>
      </w:r>
    </w:p>
    <w:p w14:paraId="783B7336">
      <w:pPr>
        <w:keepNext w:val="0"/>
        <w:keepLines w:val="0"/>
        <w:pageBreakBefore w:val="0"/>
        <w:widowControl w:val="0"/>
        <w:kinsoku/>
        <w:wordWrap/>
        <w:overflowPunct/>
        <w:topLinePunct w:val="0"/>
        <w:autoSpaceDE/>
        <w:autoSpaceDN/>
        <w:bidi w:val="0"/>
        <w:adjustRightInd w:val="0"/>
        <w:snapToGrid w:val="0"/>
        <w:spacing w:line="360" w:lineRule="auto"/>
        <w:ind w:left="5963" w:leftChars="0" w:right="0" w:rightChars="0" w:hanging="5963" w:hangingChars="24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 xml:space="preserve">电  话：0769-22311322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电  话:</w:t>
      </w:r>
      <w:r>
        <w:rPr>
          <w:rFonts w:hint="eastAsia" w:ascii="仿宋" w:hAnsi="仿宋" w:eastAsia="仿宋" w:cs="仿宋"/>
          <w:b/>
          <w:bCs/>
          <w:color w:val="auto"/>
          <w:sz w:val="24"/>
          <w:szCs w:val="24"/>
          <w:highlight w:val="none"/>
          <w:lang w:val="en-US" w:eastAsia="zh-CN"/>
        </w:rPr>
        <w:t xml:space="preserve"> </w:t>
      </w:r>
    </w:p>
    <w:p w14:paraId="3E1EADE2">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r>
        <w:rPr>
          <w:rFonts w:hint="eastAsia" w:ascii="仿宋" w:hAnsi="仿宋" w:eastAsia="仿宋" w:cs="仿宋"/>
          <w:i w:val="0"/>
          <w:iCs w:val="0"/>
          <w:color w:val="auto"/>
          <w:sz w:val="24"/>
          <w:szCs w:val="24"/>
          <w:highlight w:val="none"/>
          <w:u w:val="none"/>
          <w:shd w:val="clear" w:color="auto" w:fill="auto"/>
          <w:lang w:val="en-US" w:eastAsia="zh-CN"/>
        </w:rPr>
        <w:t>【</w:t>
      </w:r>
      <w:r>
        <w:rPr>
          <w:rFonts w:hint="eastAsia" w:ascii="仿宋" w:hAnsi="仿宋" w:eastAsia="仿宋" w:cs="仿宋"/>
          <w:b/>
          <w:bCs/>
          <w:i w:val="0"/>
          <w:iCs w:val="0"/>
          <w:color w:val="auto"/>
          <w:sz w:val="24"/>
          <w:szCs w:val="24"/>
          <w:highlight w:val="none"/>
          <w:u w:val="none"/>
          <w:shd w:val="clear" w:color="auto" w:fill="auto"/>
          <w:lang w:val="en-US" w:eastAsia="zh-CN"/>
        </w:rPr>
        <w:t>甲方人员如有营私舞弊、吃拿卡要等损害乙方合法权益的行为，乙方可拨打投诉专线 4000968086或发邮件至投诉邮箱:zhglzx@nanfeng.cn，也可至广东省东莞市南城街道鸿福路106号南峰中心12楼内控中心办公室面诉。</w:t>
      </w:r>
      <w:r>
        <w:rPr>
          <w:rFonts w:hint="eastAsia" w:ascii="仿宋" w:hAnsi="仿宋" w:eastAsia="仿宋" w:cs="仿宋"/>
          <w:i w:val="0"/>
          <w:iCs w:val="0"/>
          <w:color w:val="auto"/>
          <w:sz w:val="24"/>
          <w:szCs w:val="24"/>
          <w:highlight w:val="none"/>
          <w:u w:val="none"/>
          <w:shd w:val="clear" w:color="auto" w:fill="auto"/>
          <w:lang w:val="en-US" w:eastAsia="zh-CN"/>
        </w:rPr>
        <w:t>】</w:t>
      </w:r>
    </w:p>
    <w:p w14:paraId="587905A9">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5D88F511">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58D3B55D">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0A2D859D">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0C0FDD67">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2C95E86E">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61D887D1">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5019F415">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4BC1AFE4">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63152D66">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仿宋" w:hAnsi="仿宋" w:eastAsia="仿宋" w:cs="仿宋"/>
          <w:i w:val="0"/>
          <w:iCs w:val="0"/>
          <w:color w:val="auto"/>
          <w:sz w:val="24"/>
          <w:szCs w:val="24"/>
          <w:highlight w:val="none"/>
          <w:u w:val="none"/>
          <w:shd w:val="clear" w:color="auto" w:fill="auto"/>
          <w:lang w:val="en-US" w:eastAsia="zh-CN"/>
        </w:rPr>
      </w:pPr>
    </w:p>
    <w:p w14:paraId="0948BCC2">
      <w:pPr>
        <w:keepNext w:val="0"/>
        <w:keepLines w:val="0"/>
        <w:pageBreakBefore w:val="0"/>
        <w:widowControl w:val="0"/>
        <w:numPr>
          <w:ilvl w:val="0"/>
          <w:numId w:val="1"/>
        </w:numPr>
        <w:tabs>
          <w:tab w:val="left" w:pos="6272"/>
        </w:tabs>
        <w:kinsoku/>
        <w:wordWrap/>
        <w:overflowPunct/>
        <w:topLinePunct w:val="0"/>
        <w:autoSpaceDE/>
        <w:autoSpaceDN/>
        <w:bidi w:val="0"/>
        <w:adjustRightInd w:val="0"/>
        <w:snapToGrid w:val="0"/>
        <w:spacing w:line="360" w:lineRule="auto"/>
        <w:ind w:left="0" w:leftChars="0" w:right="0" w:rightChars="0" w:firstLine="562" w:firstLineChars="200"/>
        <w:jc w:val="center"/>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bookmarkStart w:id="50" w:name="_Toc1733"/>
      <w:bookmarkStart w:id="51" w:name="_Toc24286"/>
      <w:r>
        <w:rPr>
          <w:rFonts w:hint="eastAsia" w:ascii="仿宋" w:hAnsi="仿宋" w:eastAsia="仿宋" w:cs="仿宋"/>
          <w:b/>
          <w:bCs/>
          <w:i w:val="0"/>
          <w:iCs w:val="0"/>
          <w:color w:val="auto"/>
          <w:kern w:val="0"/>
          <w:sz w:val="28"/>
          <w:szCs w:val="28"/>
          <w:highlight w:val="none"/>
          <w:u w:val="none"/>
          <w:shd w:val="clear" w:color="auto" w:fill="auto"/>
          <w:lang w:val="en-US" w:eastAsia="zh-CN"/>
        </w:rPr>
        <w:t>合同通用条款</w:t>
      </w:r>
      <w:bookmarkEnd w:id="50"/>
      <w:bookmarkEnd w:id="51"/>
    </w:p>
    <w:p w14:paraId="10C4AC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52" w:name="_Toc29752"/>
      <w:bookmarkStart w:id="53" w:name="_Toc4154"/>
      <w:r>
        <w:rPr>
          <w:rFonts w:hint="eastAsia" w:ascii="仿宋" w:hAnsi="仿宋" w:eastAsia="仿宋" w:cs="仿宋"/>
          <w:b/>
          <w:bCs/>
          <w:i w:val="0"/>
          <w:iCs w:val="0"/>
          <w:color w:val="auto"/>
          <w:sz w:val="28"/>
          <w:szCs w:val="28"/>
          <w:highlight w:val="none"/>
          <w:shd w:val="clear" w:color="auto" w:fill="auto"/>
          <w:lang w:val="en-US" w:eastAsia="zh-CN"/>
        </w:rPr>
        <w:t>第一章、承包方式</w:t>
      </w:r>
      <w:bookmarkEnd w:id="52"/>
      <w:bookmarkEnd w:id="53"/>
    </w:p>
    <w:p w14:paraId="782BB46F">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1.1包第三方检测合格且承担所有费用，包所有机械设备（含进退场），包安全文明施工，</w:t>
      </w:r>
      <w:r>
        <w:rPr>
          <w:rFonts w:hint="eastAsia" w:ascii="仿宋" w:hAnsi="仿宋" w:eastAsia="仿宋" w:cs="仿宋"/>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w:t>
      </w:r>
      <w:r>
        <w:rPr>
          <w:rFonts w:hint="eastAsia" w:ascii="仿宋" w:hAnsi="仿宋" w:eastAsia="仿宋" w:cs="仿宋"/>
          <w:strike w:val="0"/>
          <w:dstrike w:val="0"/>
          <w:color w:val="auto"/>
          <w:sz w:val="28"/>
          <w:szCs w:val="28"/>
          <w:highlight w:val="none"/>
          <w:u w:val="none"/>
          <w:lang w:val="en-US" w:eastAsia="zh-CN"/>
        </w:rPr>
        <w:t>包本工程检测合格，</w:t>
      </w:r>
      <w:r>
        <w:rPr>
          <w:rFonts w:hint="eastAsia" w:ascii="仿宋" w:hAnsi="仿宋" w:eastAsia="仿宋" w:cs="仿宋"/>
          <w:strike w:val="0"/>
          <w:color w:val="auto"/>
          <w:sz w:val="28"/>
          <w:szCs w:val="28"/>
          <w:highlight w:val="none"/>
          <w:u w:val="none"/>
          <w:lang w:val="en-US" w:eastAsia="zh-CN"/>
        </w:rPr>
        <w:t>包</w:t>
      </w:r>
      <w:r>
        <w:rPr>
          <w:rFonts w:hint="eastAsia" w:ascii="仿宋" w:hAnsi="仿宋" w:eastAsia="仿宋" w:cs="仿宋"/>
          <w:color w:val="auto"/>
          <w:sz w:val="28"/>
          <w:szCs w:val="28"/>
          <w:highlight w:val="none"/>
          <w:lang w:val="en-US" w:eastAsia="zh-CN"/>
        </w:rPr>
        <w:t>工期，包一切措施，包质量，包各种风险，包保险，包竣工图绘制，包配合竣工资料编制（如有），包资料（包各种形式的资料编写、收集、归档，并满足竣工验收要求及甲方与建设单位结算要求），包成品保护，包场地清理，包各种情形所要求的赶工措施及产生的费用，包因乙方原因引起的所有返工的人工、材料及机械费，包安全，包验收合格，包保修，包乙方人员生活用电，包管理，包利润，包税金，包物价上涨，包其他工种配合可能产生的降效及产生的费用，包本工程施工过程中一切风险因素、全部内容及费用。</w:t>
      </w:r>
    </w:p>
    <w:p w14:paraId="60E6A3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54" w:name="_Toc7619"/>
      <w:bookmarkStart w:id="55" w:name="_Toc21711"/>
      <w:r>
        <w:rPr>
          <w:rFonts w:hint="eastAsia" w:ascii="仿宋" w:hAnsi="仿宋" w:eastAsia="仿宋" w:cs="仿宋"/>
          <w:b/>
          <w:bCs/>
          <w:i w:val="0"/>
          <w:iCs w:val="0"/>
          <w:color w:val="auto"/>
          <w:sz w:val="28"/>
          <w:szCs w:val="28"/>
          <w:highlight w:val="none"/>
          <w:shd w:val="clear" w:color="auto" w:fill="auto"/>
          <w:lang w:val="en-US" w:eastAsia="zh-CN"/>
        </w:rPr>
        <w:t>第二章、承包范围及主要工程内容</w:t>
      </w:r>
      <w:bookmarkEnd w:id="54"/>
      <w:bookmarkEnd w:id="55"/>
    </w:p>
    <w:p w14:paraId="499B0BCF">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lang w:val="en-US" w:eastAsia="zh-CN"/>
        </w:rPr>
        <w:t>2.1甲方提供的，经甲方权限流程审批的本工程</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招标清单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）、交楼标准、图纸会审、</w:t>
      </w:r>
      <w:r>
        <w:rPr>
          <w:rFonts w:hint="eastAsia" w:ascii="仿宋" w:hAnsi="仿宋" w:eastAsia="仿宋" w:cs="仿宋"/>
          <w:i w:val="0"/>
          <w:iCs w:val="0"/>
          <w:color w:val="auto"/>
          <w:sz w:val="28"/>
          <w:szCs w:val="28"/>
          <w:highlight w:val="none"/>
          <w:lang w:val="en-US" w:eastAsia="zh-CN"/>
        </w:rPr>
        <w:t>经甲方权限流程审批</w:t>
      </w:r>
      <w:r>
        <w:rPr>
          <w:rFonts w:hint="eastAsia" w:ascii="仿宋" w:hAnsi="仿宋" w:eastAsia="仿宋" w:cs="仿宋"/>
          <w:b w:val="0"/>
          <w:bCs w:val="0"/>
          <w:i w:val="0"/>
          <w:iCs w:val="0"/>
          <w:color w:val="auto"/>
          <w:sz w:val="28"/>
          <w:szCs w:val="28"/>
          <w:highlight w:val="none"/>
          <w:lang w:val="en-US" w:eastAsia="zh-CN"/>
        </w:rPr>
        <w:t>的</w:t>
      </w:r>
      <w:r>
        <w:rPr>
          <w:rFonts w:hint="eastAsia" w:ascii="仿宋" w:hAnsi="仿宋" w:eastAsia="仿宋" w:cs="仿宋"/>
          <w:b w:val="0"/>
          <w:bCs w:val="0"/>
          <w:color w:val="auto"/>
          <w:sz w:val="28"/>
          <w:szCs w:val="28"/>
          <w:highlight w:val="none"/>
          <w:lang w:val="en-US" w:eastAsia="zh-CN"/>
        </w:rPr>
        <w:t>施工方案或施工组织设计等</w:t>
      </w:r>
      <w:r>
        <w:rPr>
          <w:rFonts w:hint="eastAsia" w:ascii="仿宋" w:hAnsi="仿宋" w:eastAsia="仿宋" w:cs="仿宋"/>
          <w:b w:val="0"/>
          <w:bCs w:val="0"/>
          <w:color w:val="auto"/>
          <w:sz w:val="28"/>
          <w:szCs w:val="28"/>
          <w:highlight w:val="none"/>
          <w:lang w:eastAsia="zh-CN"/>
        </w:rPr>
        <w:t>文件</w:t>
      </w:r>
      <w:r>
        <w:rPr>
          <w:rFonts w:hint="eastAsia" w:ascii="仿宋" w:hAnsi="仿宋" w:eastAsia="仿宋" w:cs="仿宋"/>
          <w:b w:val="0"/>
          <w:bCs w:val="0"/>
          <w:i w:val="0"/>
          <w:iCs w:val="0"/>
          <w:color w:val="auto"/>
          <w:sz w:val="28"/>
          <w:szCs w:val="28"/>
          <w:highlight w:val="none"/>
          <w:lang w:val="en-US" w:eastAsia="zh-CN"/>
        </w:rPr>
        <w:t>所含内容由乙方施工，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4EB8F33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b w:val="0"/>
          <w:bCs w:val="0"/>
          <w:i w:val="0"/>
          <w:iCs w:val="0"/>
          <w:color w:val="auto"/>
          <w:sz w:val="28"/>
          <w:szCs w:val="28"/>
          <w:highlight w:val="none"/>
          <w:u w:val="none"/>
          <w:shd w:val="clear" w:color="auto" w:fill="auto"/>
          <w:lang w:val="en-US" w:eastAsia="zh-CN"/>
        </w:rPr>
        <w:t>2.2</w:t>
      </w:r>
      <w:r>
        <w:rPr>
          <w:rFonts w:hint="eastAsia" w:ascii="仿宋" w:hAnsi="仿宋" w:eastAsia="仿宋" w:cs="仿宋"/>
          <w:b w:val="0"/>
          <w:bCs w:val="0"/>
          <w:i w:val="0"/>
          <w:iCs w:val="0"/>
          <w:color w:val="auto"/>
          <w:sz w:val="28"/>
          <w:szCs w:val="28"/>
          <w:highlight w:val="none"/>
          <w:shd w:val="clear" w:color="auto" w:fill="auto"/>
          <w:lang w:val="en-US" w:eastAsia="zh-CN"/>
        </w:rPr>
        <w:t>乙方施工前，须在甲方施工员组织下对甲方（或其他单位）交付的施工界面进行检查，并签订好《工完场清交接单》（格式详见附件）后方可进场施工；如乙方未签订《工完场清交接单》即施工的，视乙方认为适于施工并作为乙方施工前提，因该界面导致乙方施工内容不符合合同要求的，乙方自费返工至符合合同要求且不得向甲方（或其他施工单位）索赔。对该违约行为，甲方对责任单位（包括上一道工序施工单位）收取1000元/次的违约金。</w:t>
      </w:r>
    </w:p>
    <w:p w14:paraId="2FE39D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b w:val="0"/>
          <w:bCs w:val="0"/>
          <w:i w:val="0"/>
          <w:iCs w:val="0"/>
          <w:color w:val="auto"/>
          <w:sz w:val="28"/>
          <w:szCs w:val="28"/>
          <w:highlight w:val="none"/>
          <w:u w:val="none"/>
          <w:shd w:val="clear" w:color="auto" w:fill="auto"/>
          <w:lang w:val="en-US" w:eastAsia="zh-CN"/>
        </w:rPr>
        <w:t>2.3</w:t>
      </w:r>
      <w:r>
        <w:rPr>
          <w:rFonts w:hint="eastAsia" w:ascii="仿宋" w:hAnsi="仿宋" w:eastAsia="仿宋" w:cs="仿宋"/>
          <w:b w:val="0"/>
          <w:bCs w:val="0"/>
          <w:i w:val="0"/>
          <w:iCs w:val="0"/>
          <w:color w:val="auto"/>
          <w:sz w:val="28"/>
          <w:szCs w:val="28"/>
          <w:highlight w:val="none"/>
          <w:shd w:val="clear" w:color="auto" w:fill="auto"/>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合同价格中，甲方无需另行支付费用给乙方。</w:t>
      </w:r>
    </w:p>
    <w:p w14:paraId="235B96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lang w:val="en-US" w:eastAsia="zh-CN"/>
        </w:rPr>
        <w:t>2.4</w:t>
      </w:r>
      <w:r>
        <w:rPr>
          <w:rFonts w:hint="eastAsia" w:ascii="仿宋" w:hAnsi="仿宋" w:eastAsia="仿宋" w:cs="仿宋"/>
          <w:i w:val="0"/>
          <w:iCs w:val="0"/>
          <w:color w:val="auto"/>
          <w:sz w:val="28"/>
          <w:szCs w:val="28"/>
          <w:highlight w:val="none"/>
          <w:u w:val="none"/>
          <w:shd w:val="clear" w:color="auto" w:fill="auto"/>
          <w:lang w:eastAsia="zh-CN"/>
        </w:rPr>
        <w:t>本项目</w:t>
      </w:r>
      <w:r>
        <w:rPr>
          <w:rFonts w:hint="eastAsia" w:ascii="仿宋" w:hAnsi="仿宋" w:eastAsia="仿宋" w:cs="仿宋"/>
          <w:i w:val="0"/>
          <w:iCs w:val="0"/>
          <w:color w:val="auto"/>
          <w:sz w:val="28"/>
          <w:szCs w:val="28"/>
          <w:highlight w:val="none"/>
          <w:u w:val="none"/>
          <w:shd w:val="clear" w:color="auto" w:fill="auto"/>
        </w:rPr>
        <w:t>设计变更引起的增加工程，</w:t>
      </w:r>
      <w:r>
        <w:rPr>
          <w:rFonts w:hint="eastAsia" w:ascii="仿宋" w:hAnsi="仿宋" w:eastAsia="仿宋" w:cs="仿宋"/>
          <w:i w:val="0"/>
          <w:iCs w:val="0"/>
          <w:color w:val="auto"/>
          <w:sz w:val="28"/>
          <w:szCs w:val="28"/>
          <w:highlight w:val="none"/>
          <w:u w:val="none"/>
          <w:shd w:val="clear" w:color="auto" w:fill="auto"/>
          <w:lang w:val="en-US" w:eastAsia="zh-CN"/>
        </w:rPr>
        <w:t>无论工程量大小及施工难度系数高低，如甲方要求</w:t>
      </w:r>
      <w:r>
        <w:rPr>
          <w:rFonts w:hint="eastAsia" w:ascii="仿宋" w:hAnsi="仿宋" w:eastAsia="仿宋" w:cs="仿宋"/>
          <w:i w:val="0"/>
          <w:iCs w:val="0"/>
          <w:color w:val="auto"/>
          <w:sz w:val="28"/>
          <w:szCs w:val="28"/>
          <w:highlight w:val="none"/>
          <w:u w:val="none"/>
          <w:shd w:val="clear" w:color="auto" w:fill="auto"/>
        </w:rPr>
        <w:t>乙方</w:t>
      </w:r>
      <w:r>
        <w:rPr>
          <w:rFonts w:hint="eastAsia" w:ascii="仿宋" w:hAnsi="仿宋" w:eastAsia="仿宋" w:cs="仿宋"/>
          <w:i w:val="0"/>
          <w:iCs w:val="0"/>
          <w:color w:val="auto"/>
          <w:sz w:val="28"/>
          <w:szCs w:val="28"/>
          <w:highlight w:val="none"/>
          <w:u w:val="none"/>
          <w:shd w:val="clear" w:color="auto" w:fill="auto"/>
          <w:lang w:val="en-US" w:eastAsia="zh-CN"/>
        </w:rPr>
        <w:t>施工，乙方须按甲方要求施工</w:t>
      </w:r>
      <w:r>
        <w:rPr>
          <w:rFonts w:hint="eastAsia" w:ascii="仿宋" w:hAnsi="仿宋" w:eastAsia="仿宋" w:cs="仿宋"/>
          <w:i w:val="0"/>
          <w:iCs w:val="0"/>
          <w:color w:val="auto"/>
          <w:sz w:val="28"/>
          <w:szCs w:val="28"/>
          <w:highlight w:val="none"/>
          <w:u w:val="none"/>
          <w:shd w:val="clear" w:color="auto" w:fill="auto"/>
        </w:rPr>
        <w:t>，</w:t>
      </w:r>
      <w:r>
        <w:rPr>
          <w:rFonts w:hint="eastAsia" w:ascii="仿宋" w:hAnsi="仿宋" w:eastAsia="仿宋" w:cs="仿宋"/>
          <w:i w:val="0"/>
          <w:iCs w:val="0"/>
          <w:color w:val="auto"/>
          <w:sz w:val="28"/>
          <w:szCs w:val="28"/>
          <w:highlight w:val="none"/>
          <w:u w:val="none"/>
          <w:shd w:val="clear" w:color="auto" w:fill="auto"/>
          <w:lang w:val="en-US" w:eastAsia="zh-CN"/>
        </w:rPr>
        <w:t>相关费用</w:t>
      </w:r>
      <w:r>
        <w:rPr>
          <w:rFonts w:hint="eastAsia" w:ascii="仿宋" w:hAnsi="仿宋" w:eastAsia="仿宋" w:cs="仿宋"/>
          <w:i w:val="0"/>
          <w:iCs w:val="0"/>
          <w:color w:val="auto"/>
          <w:sz w:val="28"/>
          <w:szCs w:val="28"/>
          <w:highlight w:val="none"/>
          <w:u w:val="none"/>
          <w:shd w:val="clear" w:color="auto" w:fill="auto"/>
        </w:rPr>
        <w:t>按本合同</w:t>
      </w:r>
      <w:r>
        <w:rPr>
          <w:rFonts w:hint="eastAsia" w:ascii="仿宋" w:hAnsi="仿宋" w:eastAsia="仿宋" w:cs="仿宋"/>
          <w:i w:val="0"/>
          <w:iCs w:val="0"/>
          <w:color w:val="auto"/>
          <w:sz w:val="28"/>
          <w:szCs w:val="28"/>
          <w:highlight w:val="none"/>
          <w:u w:val="none"/>
          <w:shd w:val="clear" w:color="auto" w:fill="auto"/>
          <w:lang w:val="en-US" w:eastAsia="zh-CN"/>
        </w:rPr>
        <w:t>约定办理</w:t>
      </w:r>
      <w:r>
        <w:rPr>
          <w:rFonts w:hint="eastAsia" w:ascii="仿宋" w:hAnsi="仿宋" w:eastAsia="仿宋" w:cs="仿宋"/>
          <w:b w:val="0"/>
          <w:bCs w:val="0"/>
          <w:i w:val="0"/>
          <w:iCs w:val="0"/>
          <w:color w:val="auto"/>
          <w:sz w:val="28"/>
          <w:szCs w:val="28"/>
          <w:highlight w:val="none"/>
          <w:u w:val="none"/>
          <w:shd w:val="clear" w:color="auto" w:fill="auto"/>
        </w:rPr>
        <w:t>。</w:t>
      </w:r>
    </w:p>
    <w:p w14:paraId="0AB4CF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w:t>
      </w:r>
      <w:r>
        <w:rPr>
          <w:rFonts w:hint="eastAsia" w:ascii="仿宋" w:hAnsi="仿宋" w:eastAsia="仿宋" w:cs="仿宋"/>
          <w:b w:val="0"/>
          <w:bCs w:val="0"/>
          <w:i w:val="0"/>
          <w:iCs w:val="0"/>
          <w:color w:val="auto"/>
          <w:sz w:val="28"/>
          <w:szCs w:val="28"/>
          <w:highlight w:val="none"/>
          <w:u w:val="none"/>
          <w:shd w:val="clear" w:color="auto" w:fill="auto"/>
          <w:lang w:eastAsia="zh-CN"/>
        </w:rPr>
        <w:t>向甲方支付违约金</w:t>
      </w:r>
      <w:r>
        <w:rPr>
          <w:rFonts w:hint="eastAsia" w:ascii="仿宋" w:hAnsi="仿宋" w:eastAsia="仿宋" w:cs="仿宋"/>
          <w:b w:val="0"/>
          <w:bCs w:val="0"/>
          <w:i w:val="0"/>
          <w:iCs w:val="0"/>
          <w:color w:val="auto"/>
          <w:sz w:val="28"/>
          <w:szCs w:val="28"/>
          <w:highlight w:val="none"/>
          <w:u w:val="none"/>
          <w:shd w:val="clear" w:color="auto" w:fill="auto"/>
        </w:rPr>
        <w:t>人民币两千元），并在甲方通知施工之日起三个工作日内书面向甲方申报工程单价（申报格式以甲方确定的为准），逾期不报视为乙方同意甲方单方确定的结算价格</w:t>
      </w:r>
      <w:r>
        <w:rPr>
          <w:rFonts w:hint="eastAsia" w:ascii="仿宋" w:hAnsi="仿宋" w:eastAsia="仿宋" w:cs="仿宋"/>
          <w:b w:val="0"/>
          <w:bCs w:val="0"/>
          <w:i w:val="0"/>
          <w:iCs w:val="0"/>
          <w:color w:val="auto"/>
          <w:sz w:val="28"/>
          <w:szCs w:val="28"/>
          <w:highlight w:val="none"/>
          <w:u w:val="none"/>
          <w:shd w:val="clear" w:color="auto" w:fill="auto"/>
          <w:lang w:eastAsia="zh-CN"/>
        </w:rPr>
        <w:t>。</w:t>
      </w:r>
    </w:p>
    <w:p w14:paraId="6E0E37D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2.5</w:t>
      </w:r>
      <w:r>
        <w:rPr>
          <w:rFonts w:hint="eastAsia" w:ascii="仿宋" w:hAnsi="仿宋" w:eastAsia="仿宋" w:cs="仿宋"/>
          <w:i w:val="0"/>
          <w:iCs w:val="0"/>
          <w:color w:val="auto"/>
          <w:sz w:val="28"/>
          <w:szCs w:val="28"/>
          <w:highlight w:val="none"/>
          <w:u w:val="none"/>
          <w:shd w:val="clear" w:color="auto" w:fill="auto"/>
        </w:rPr>
        <w:t>乙方负责</w:t>
      </w:r>
      <w:r>
        <w:rPr>
          <w:rFonts w:hint="eastAsia" w:ascii="仿宋" w:hAnsi="仿宋" w:eastAsia="仿宋" w:cs="仿宋"/>
          <w:i w:val="0"/>
          <w:iCs w:val="0"/>
          <w:color w:val="auto"/>
          <w:sz w:val="28"/>
          <w:szCs w:val="28"/>
          <w:highlight w:val="none"/>
          <w:u w:val="none"/>
          <w:shd w:val="clear" w:color="auto" w:fill="auto"/>
          <w:lang w:eastAsia="zh-CN"/>
        </w:rPr>
        <w:t>本工程</w:t>
      </w:r>
      <w:r>
        <w:rPr>
          <w:rFonts w:hint="eastAsia" w:ascii="仿宋" w:hAnsi="仿宋" w:eastAsia="仿宋" w:cs="仿宋"/>
          <w:i w:val="0"/>
          <w:iCs w:val="0"/>
          <w:color w:val="auto"/>
          <w:sz w:val="28"/>
          <w:szCs w:val="28"/>
          <w:highlight w:val="none"/>
          <w:u w:val="none"/>
          <w:shd w:val="clear" w:color="auto" w:fill="auto"/>
        </w:rPr>
        <w:t>施工现场内所需材料、机具的</w:t>
      </w:r>
      <w:r>
        <w:rPr>
          <w:rFonts w:hint="eastAsia" w:ascii="仿宋" w:hAnsi="仿宋" w:eastAsia="仿宋" w:cs="仿宋"/>
          <w:b w:val="0"/>
          <w:bCs w:val="0"/>
          <w:i w:val="0"/>
          <w:iCs w:val="0"/>
          <w:color w:val="auto"/>
          <w:sz w:val="28"/>
          <w:szCs w:val="28"/>
          <w:highlight w:val="none"/>
          <w:u w:val="none"/>
          <w:shd w:val="clear" w:color="auto" w:fill="auto"/>
        </w:rPr>
        <w:t>运输</w:t>
      </w:r>
      <w:r>
        <w:rPr>
          <w:rFonts w:hint="eastAsia" w:ascii="仿宋" w:hAnsi="仿宋" w:eastAsia="仿宋" w:cs="仿宋"/>
          <w:b w:val="0"/>
          <w:bCs w:val="0"/>
          <w:i w:val="0"/>
          <w:iCs w:val="0"/>
          <w:color w:val="auto"/>
          <w:sz w:val="28"/>
          <w:szCs w:val="28"/>
          <w:highlight w:val="none"/>
          <w:u w:val="none"/>
          <w:shd w:val="clear" w:color="auto" w:fill="auto"/>
          <w:lang w:val="en-US" w:eastAsia="zh-CN"/>
        </w:rPr>
        <w:t>。</w:t>
      </w:r>
    </w:p>
    <w:p w14:paraId="21309E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lang w:val="en-US" w:eastAsia="zh-CN"/>
        </w:rPr>
        <w:t>2.6</w:t>
      </w:r>
      <w:r>
        <w:rPr>
          <w:rFonts w:hint="eastAsia" w:ascii="仿宋" w:hAnsi="仿宋" w:eastAsia="仿宋" w:cs="仿宋"/>
          <w:i w:val="0"/>
          <w:iCs w:val="0"/>
          <w:color w:val="auto"/>
          <w:sz w:val="28"/>
          <w:szCs w:val="28"/>
          <w:highlight w:val="none"/>
          <w:u w:val="none"/>
          <w:shd w:val="clear" w:color="auto" w:fill="auto"/>
        </w:rPr>
        <w:t>乙方负责</w:t>
      </w:r>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i w:val="0"/>
          <w:iCs w:val="0"/>
          <w:color w:val="auto"/>
          <w:sz w:val="28"/>
          <w:szCs w:val="28"/>
          <w:highlight w:val="none"/>
          <w:u w:val="none"/>
          <w:shd w:val="clear" w:color="auto" w:fill="auto"/>
        </w:rPr>
        <w:t>材料、机具堆放场的</w:t>
      </w:r>
      <w:r>
        <w:rPr>
          <w:rFonts w:hint="eastAsia" w:ascii="仿宋" w:hAnsi="仿宋" w:eastAsia="仿宋" w:cs="仿宋"/>
          <w:i w:val="0"/>
          <w:iCs w:val="0"/>
          <w:color w:val="auto"/>
          <w:sz w:val="28"/>
          <w:szCs w:val="28"/>
          <w:highlight w:val="none"/>
          <w:u w:val="none"/>
          <w:shd w:val="clear" w:color="auto" w:fill="auto"/>
          <w:lang w:val="en-US" w:eastAsia="zh-CN"/>
        </w:rPr>
        <w:t>安全</w:t>
      </w:r>
      <w:r>
        <w:rPr>
          <w:rFonts w:hint="eastAsia" w:ascii="仿宋" w:hAnsi="仿宋" w:eastAsia="仿宋" w:cs="仿宋"/>
          <w:i w:val="0"/>
          <w:iCs w:val="0"/>
          <w:color w:val="auto"/>
          <w:sz w:val="28"/>
          <w:szCs w:val="28"/>
          <w:highlight w:val="none"/>
          <w:u w:val="none"/>
          <w:shd w:val="clear" w:color="auto" w:fill="auto"/>
        </w:rPr>
        <w:t>文明施工工作。</w:t>
      </w:r>
      <w:bookmarkStart w:id="56" w:name="_Toc10183"/>
      <w:bookmarkStart w:id="57" w:name="_Toc28064"/>
    </w:p>
    <w:p w14:paraId="0C98A0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2.7</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相关费用已包含在合同单价中，不另行单列计费</w:t>
      </w:r>
      <w:r>
        <w:rPr>
          <w:rFonts w:hint="eastAsia" w:ascii="仿宋" w:hAnsi="仿宋" w:eastAsia="仿宋" w:cs="仿宋"/>
          <w:i w:val="0"/>
          <w:iCs w:val="0"/>
          <w:color w:val="auto"/>
          <w:sz w:val="28"/>
          <w:szCs w:val="28"/>
          <w:highlight w:val="none"/>
          <w:shd w:val="clear" w:color="auto" w:fill="auto"/>
        </w:rPr>
        <w:t>。</w:t>
      </w:r>
    </w:p>
    <w:p w14:paraId="4D6564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2.8</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负责</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471E04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第三章、工期</w:t>
      </w:r>
      <w:bookmarkEnd w:id="56"/>
      <w:bookmarkEnd w:id="57"/>
    </w:p>
    <w:p w14:paraId="59503E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3.1本合同工期为计划工期，实际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 w:hAnsi="仿宋" w:eastAsia="仿宋" w:cs="仿宋"/>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i w:val="0"/>
          <w:iCs w:val="0"/>
          <w:color w:val="auto"/>
          <w:sz w:val="28"/>
          <w:szCs w:val="28"/>
          <w:highlight w:val="none"/>
          <w:u w:val="none"/>
          <w:shd w:val="clear" w:color="auto" w:fill="auto"/>
          <w:lang w:val="en-US" w:eastAsia="zh-CN"/>
        </w:rPr>
        <w:t>合同单价/</w:t>
      </w:r>
      <w:r>
        <w:rPr>
          <w:rFonts w:hint="eastAsia" w:ascii="仿宋" w:hAnsi="仿宋" w:eastAsia="仿宋" w:cs="仿宋"/>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i w:val="0"/>
          <w:iCs w:val="0"/>
          <w:color w:val="auto"/>
          <w:sz w:val="28"/>
          <w:szCs w:val="28"/>
          <w:highlight w:val="none"/>
          <w:u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2133AF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3.2</w:t>
      </w:r>
      <w:r>
        <w:rPr>
          <w:rFonts w:hint="eastAsia" w:ascii="仿宋" w:hAnsi="仿宋" w:eastAsia="仿宋" w:cs="仿宋"/>
          <w:i w:val="0"/>
          <w:iCs w:val="0"/>
          <w:color w:val="auto"/>
          <w:sz w:val="28"/>
          <w:szCs w:val="28"/>
          <w:highlight w:val="none"/>
          <w:shd w:val="clear" w:color="auto" w:fill="auto"/>
          <w:lang w:val="en-US" w:eastAsia="zh-CN"/>
        </w:rPr>
        <w:t>乙方提交的开工资料须满足甲方要求。乙方在收到甲方项目经理签发并加盖甲方项目章的开工令（格式详见附件）后，按开工令要求进场。</w:t>
      </w:r>
    </w:p>
    <w:p w14:paraId="6D8DB3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3.3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3EB978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3.4乙方须严格遵照甲方制订的施工进度计划施工及完成相关工作，接受甲方项目部施工任务安排，否则</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乙方按合同约定向甲方支付违约金</w:t>
      </w:r>
      <w:r>
        <w:rPr>
          <w:rFonts w:hint="eastAsia" w:ascii="仿宋" w:hAnsi="仿宋" w:eastAsia="仿宋" w:cs="仿宋"/>
          <w:i w:val="0"/>
          <w:iCs w:val="0"/>
          <w:color w:val="auto"/>
          <w:sz w:val="28"/>
          <w:szCs w:val="28"/>
          <w:highlight w:val="none"/>
          <w:u w:val="none"/>
          <w:shd w:val="clear" w:color="auto" w:fill="auto"/>
          <w:lang w:val="en-US" w:eastAsia="zh-CN"/>
        </w:rPr>
        <w:t>。</w:t>
      </w:r>
    </w:p>
    <w:p w14:paraId="4A7354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3.5乙方已充分考虑天气因素、除不可抗力（如：地震、海啸、瘟疫、骚乱、戒严、暴动、战争等法定情形）外其他原因可能对工期的影响，乙方同意不因任何原因要求延长工期。</w:t>
      </w:r>
    </w:p>
    <w:p w14:paraId="65E119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3.6本工程施工过程出现赶工、交叉作业、停工（包括建设单位原因造成的停工）及工人工资、材料费、机具费上涨等导致乙方成本、费用发生增加，乙方不因此要求甲方对合同价格进行调整和另行增补费用。</w:t>
      </w:r>
    </w:p>
    <w:p w14:paraId="485E5D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3.7春节、元旦、五一、十一、周末等法定节假日、休息日及技术要求或进度计划要求进行赶工、加班等费用已包含在本合同约定的☑合同单价/□合同总价内，甲方无需另行付费给乙方。</w:t>
      </w:r>
    </w:p>
    <w:p w14:paraId="1AF6A4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3.8乙方在本合同签订前已勘察本项目现场，对本工程特性全部清楚，因甲方原因导致施工计划调整的，乙方免费积极配合。</w:t>
      </w:r>
    </w:p>
    <w:p w14:paraId="3FC11F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3.9乙方认为甲方或其他单位未配合提供所需工作面、机具及材料而影响施工进度时，须书面告知甲方并按甲方要求办理相关事宜，否则视为不影响乙方施工，乙方不得因此要求延长工期。</w:t>
      </w:r>
    </w:p>
    <w:p w14:paraId="5D5C22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3.10乙方须严格遵照甲方制订的施工进度计划开展具体施工工作，每</w:t>
      </w:r>
      <w:r>
        <w:rPr>
          <w:rFonts w:hint="eastAsia" w:ascii="仿宋" w:hAnsi="仿宋" w:eastAsia="仿宋" w:cs="仿宋"/>
          <w:b w:val="0"/>
          <w:bCs w:val="0"/>
          <w:i w:val="0"/>
          <w:iCs w:val="0"/>
          <w:color w:val="auto"/>
          <w:sz w:val="28"/>
          <w:szCs w:val="28"/>
          <w:highlight w:val="none"/>
          <w:u w:val="none"/>
          <w:lang w:val="en-US" w:eastAsia="zh-CN"/>
        </w:rPr>
        <w:t>周</w:t>
      </w:r>
      <w:r>
        <w:rPr>
          <w:rFonts w:hint="eastAsia" w:ascii="仿宋" w:hAnsi="仿宋" w:eastAsia="仿宋" w:cs="仿宋"/>
          <w:i w:val="0"/>
          <w:iCs w:val="0"/>
          <w:color w:val="auto"/>
          <w:sz w:val="28"/>
          <w:szCs w:val="28"/>
          <w:highlight w:val="none"/>
          <w:u w:val="none"/>
          <w:shd w:val="clear" w:color="auto" w:fill="auto"/>
          <w:lang w:val="en-US" w:eastAsia="zh-CN"/>
        </w:rPr>
        <w:t>必须到甲方项目部在《施工任务表》上签认施工任务并保证完成，否则向甲方支付违约金人民币五千元/次。</w:t>
      </w:r>
    </w:p>
    <w:p w14:paraId="1E938A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3.11本项目竣工验收移交甲方后、保修期结束前，如甲方在本项目内有新增工程且要求乙方进行报价施工时，乙方须予配合。</w:t>
      </w:r>
    </w:p>
    <w:p w14:paraId="0EFEFF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58" w:name="_Toc29199"/>
      <w:bookmarkStart w:id="59" w:name="_Toc3219"/>
      <w:r>
        <w:rPr>
          <w:rFonts w:hint="eastAsia" w:ascii="仿宋" w:hAnsi="仿宋" w:eastAsia="仿宋" w:cs="仿宋"/>
          <w:b/>
          <w:bCs/>
          <w:i w:val="0"/>
          <w:iCs w:val="0"/>
          <w:color w:val="auto"/>
          <w:sz w:val="28"/>
          <w:szCs w:val="28"/>
          <w:highlight w:val="none"/>
          <w:shd w:val="clear" w:color="auto" w:fill="auto"/>
          <w:lang w:val="en-US" w:eastAsia="zh-CN"/>
        </w:rPr>
        <w:t>第四章、工程质量标准</w:t>
      </w:r>
      <w:bookmarkEnd w:id="58"/>
      <w:bookmarkEnd w:id="59"/>
    </w:p>
    <w:p w14:paraId="0F86FE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lang w:val="en-US" w:eastAsia="zh-CN"/>
        </w:rPr>
        <w:t>4.1</w:t>
      </w:r>
      <w:r>
        <w:rPr>
          <w:rFonts w:hint="eastAsia" w:ascii="仿宋" w:hAnsi="仿宋" w:eastAsia="仿宋" w:cs="仿宋"/>
          <w:color w:val="auto"/>
          <w:sz w:val="28"/>
          <w:szCs w:val="28"/>
          <w:highlight w:val="none"/>
        </w:rPr>
        <w:t>甲方（或监理、建设单位、政府部门）检查、验收本工程或本项目时，乙方须安排管理人员配合检查、验收，否则每次向甲方支付违约金人民币壹仟元。乙方施工过程中必须进行质量自检，并按甲方要求全面整改，严格执行三级检查制度。乙方须坚决落实甲方、政府部门提出的整改要求，凡未按要求落实整改的，乙方向甲方支付违约金1000元/次，如整改二次以上，乙方向甲方支付违约金2000元/次。</w:t>
      </w:r>
      <w:r>
        <w:rPr>
          <w:rFonts w:hint="eastAsia" w:ascii="仿宋" w:hAnsi="仿宋" w:eastAsia="仿宋" w:cs="仿宋"/>
          <w:i w:val="0"/>
          <w:iCs w:val="0"/>
          <w:color w:val="auto"/>
          <w:sz w:val="28"/>
          <w:szCs w:val="28"/>
          <w:highlight w:val="none"/>
          <w:u w:val="none"/>
          <w:shd w:val="clear" w:color="auto" w:fill="auto"/>
        </w:rPr>
        <w:t xml:space="preserve"> </w:t>
      </w:r>
    </w:p>
    <w:p w14:paraId="5E2DFB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color w:val="auto"/>
          <w:sz w:val="28"/>
          <w:szCs w:val="28"/>
          <w:highlight w:val="none"/>
          <w:lang w:val="en-US" w:eastAsia="zh-CN"/>
        </w:rPr>
        <w:t>4.2由于乙方原因导致本工程任一部位质量达不到合同约定的质量标准或不符合施工规范的，乙方无条件完成整改，所发生的一切费用由乙方承担。凡是发生第二次相同问题再整改的，乙方每次向甲方支付违约金壹仟元。</w:t>
      </w:r>
      <w:r>
        <w:rPr>
          <w:rFonts w:hint="eastAsia" w:ascii="仿宋" w:hAnsi="仿宋" w:eastAsia="仿宋" w:cs="仿宋"/>
          <w:i w:val="0"/>
          <w:iCs w:val="0"/>
          <w:color w:val="auto"/>
          <w:sz w:val="28"/>
          <w:szCs w:val="28"/>
          <w:highlight w:val="none"/>
          <w:u w:val="none"/>
          <w:shd w:val="clear" w:color="auto" w:fill="auto"/>
        </w:rPr>
        <w:t xml:space="preserve">                    </w:t>
      </w:r>
    </w:p>
    <w:p w14:paraId="410861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2"/>
        <w:rPr>
          <w:rFonts w:hint="eastAsia" w:ascii="仿宋" w:hAnsi="仿宋" w:eastAsia="仿宋" w:cs="仿宋"/>
          <w:color w:val="auto"/>
          <w:sz w:val="28"/>
          <w:szCs w:val="28"/>
          <w:highlight w:val="none"/>
          <w:lang w:val="en-US" w:eastAsia="zh-CN"/>
        </w:rPr>
      </w:pPr>
      <w:bookmarkStart w:id="60" w:name="_Toc20800"/>
      <w:bookmarkStart w:id="61" w:name="_Toc14414"/>
      <w:r>
        <w:rPr>
          <w:rFonts w:hint="eastAsia" w:ascii="仿宋" w:hAnsi="仿宋" w:eastAsia="仿宋" w:cs="仿宋"/>
          <w:color w:val="auto"/>
          <w:sz w:val="28"/>
          <w:szCs w:val="28"/>
          <w:highlight w:val="none"/>
          <w:lang w:val="en-US" w:eastAsia="zh-CN"/>
        </w:rPr>
        <w:t>4.3乙供材料收货验收流程及标准</w:t>
      </w:r>
      <w:bookmarkEnd w:id="60"/>
      <w:bookmarkEnd w:id="61"/>
    </w:p>
    <w:p w14:paraId="1A670C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4.3.1乙方签约后1日内将所有拟进入施工现场的材料、机械、仪表、设备等报订货进场计划申报单，将其明细报交甲方项目部核实并存档，清单须包含材料的名称、规格、材质、型号、数量、订货时间（附合同或订货依据）、抵达乙方时间、抵达施工现场时间等内容，各方签字确认后留存，以作为各阶段进度计划的附页及退场时的核查依据。</w:t>
      </w:r>
    </w:p>
    <w:p w14:paraId="643DE9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乙方在选择运输材料的设备时，须提前向甲方项目部安全员报备，选择适合的路线准时抵达，避免现场车辆拥堵，运输设备总重不得超过现场道路限载，并服从甲方项目人员指挥，装卸时注意施工安全。</w:t>
      </w:r>
    </w:p>
    <w:p w14:paraId="7E1A57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乙方的施工周转材料和小型机具，进场前应报甲方项目部检查，做好特殊标记，由备案人员清点后方可使用，无特殊标记的周转材料不得进场，私自进场的不得外运。</w:t>
      </w:r>
    </w:p>
    <w:p w14:paraId="5F23C3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4.3.2甲方施工员在乙供材料、设备进场时，有权对品牌、规格、材质、型号、质量等进行抽检并拍照留存。</w:t>
      </w:r>
    </w:p>
    <w:p w14:paraId="38ED6D1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4.3.3乙方所供材料质量如不符本合同要求，甲方项目部无权同意用于本工程（无论是否折价交易），此种情况下，无论甲方项目部任何人员签字同意均无效且视为乙方未履行提供合格材料的义务，甲方不支付相关款项，乙方按合同约定承担未提供合格材料的违约责任。</w:t>
      </w:r>
    </w:p>
    <w:p w14:paraId="0F4A04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4.3.4对不符合合同要求的乙供材料（如材料的品牌、规格、型号、材质、质量等不符合合同约定），由甲方本合同执行联系人按合同要求直接拒收、退场并做好记录备查，不允许折价收货不符合合同要求的材料，且乙方向甲方支付违约金（违约金金额等于不符合合同约定的材料金额的三倍但最少不低于伍仟元/次），甲方有权在任意应付给乙方的合同款中自行扣取违约金。</w:t>
      </w:r>
    </w:p>
    <w:p w14:paraId="6BC19E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4.3.5乙方用于本工程的所有材料、机械设备必须符合现行国家及本项目当地的相关规定，同时按甲方《分包单位材料管理制度》执行。 </w:t>
      </w:r>
    </w:p>
    <w:p w14:paraId="1458B8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4.4乙方必须以甲方验收合格为标准，无条件接受返工、整改，工期不得顺延。</w:t>
      </w:r>
      <w:r>
        <w:rPr>
          <w:rFonts w:hint="eastAsia" w:ascii="仿宋" w:hAnsi="仿宋" w:eastAsia="仿宋" w:cs="仿宋"/>
          <w:color w:val="auto"/>
          <w:sz w:val="28"/>
          <w:szCs w:val="28"/>
          <w:highlight w:val="none"/>
        </w:rPr>
        <w:t xml:space="preserve"> </w:t>
      </w:r>
    </w:p>
    <w:p w14:paraId="5FDA13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62" w:name="_Toc12383"/>
      <w:bookmarkStart w:id="63" w:name="_Toc17786"/>
      <w:bookmarkStart w:id="64" w:name="_Toc13366"/>
      <w:r>
        <w:rPr>
          <w:rFonts w:hint="eastAsia" w:ascii="仿宋" w:hAnsi="仿宋" w:eastAsia="仿宋" w:cs="仿宋"/>
          <w:b/>
          <w:bCs/>
          <w:i w:val="0"/>
          <w:iCs w:val="0"/>
          <w:color w:val="auto"/>
          <w:sz w:val="28"/>
          <w:szCs w:val="28"/>
          <w:highlight w:val="none"/>
          <w:shd w:val="clear" w:color="auto" w:fill="auto"/>
          <w:lang w:val="en-US" w:eastAsia="zh-CN"/>
        </w:rPr>
        <w:t>第五章、合同价款</w:t>
      </w:r>
      <w:bookmarkEnd w:id="62"/>
      <w:bookmarkEnd w:id="63"/>
      <w:bookmarkEnd w:id="64"/>
    </w:p>
    <w:p w14:paraId="64DC74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bookmarkStart w:id="65" w:name="_Toc1479"/>
      <w:bookmarkStart w:id="66" w:name="_Toc4027"/>
      <w:bookmarkStart w:id="67" w:name="_Toc12707"/>
      <w:r>
        <w:rPr>
          <w:rFonts w:hint="eastAsia" w:ascii="仿宋" w:hAnsi="仿宋" w:eastAsia="仿宋" w:cs="仿宋"/>
          <w:color w:val="auto"/>
          <w:sz w:val="28"/>
          <w:szCs w:val="28"/>
          <w:highlight w:val="none"/>
          <w:lang w:val="en-US" w:eastAsia="zh-CN"/>
        </w:rPr>
        <w:t>5.1☑合同单价/□合同总价包括乙方完成下述工作及应对下述情况、风险的费用，甲方无需另行付费给乙方：</w:t>
      </w:r>
      <w:bookmarkEnd w:id="65"/>
      <w:bookmarkEnd w:id="66"/>
      <w:bookmarkEnd w:id="67"/>
    </w:p>
    <w:p w14:paraId="6FF3A8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1</w:t>
      </w:r>
      <w:r>
        <w:rPr>
          <w:rFonts w:hint="eastAsia" w:ascii="仿宋" w:hAnsi="仿宋" w:eastAsia="仿宋" w:cs="仿宋"/>
          <w:b w:val="0"/>
          <w:bCs w:val="0"/>
          <w:i w:val="0"/>
          <w:iCs w:val="0"/>
          <w:color w:val="auto"/>
          <w:sz w:val="28"/>
          <w:szCs w:val="28"/>
          <w:highlight w:val="none"/>
          <w:u w:val="none"/>
          <w:shd w:val="clear" w:color="auto" w:fill="auto"/>
          <w:lang w:eastAsia="zh-CN"/>
        </w:rPr>
        <w:t>）确保本工程满足本项目所在地建设安全管理标准化施工要求，一次性达到本项目所在地建设行政主管部门的达标要求及本合同要求。</w:t>
      </w:r>
    </w:p>
    <w:p w14:paraId="5FD987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2</w:t>
      </w:r>
      <w:r>
        <w:rPr>
          <w:rFonts w:hint="eastAsia" w:ascii="仿宋" w:hAnsi="仿宋" w:eastAsia="仿宋" w:cs="仿宋"/>
          <w:b w:val="0"/>
          <w:bCs w:val="0"/>
          <w:i w:val="0"/>
          <w:iCs w:val="0"/>
          <w:color w:val="auto"/>
          <w:sz w:val="28"/>
          <w:szCs w:val="28"/>
          <w:highlight w:val="none"/>
          <w:u w:val="none"/>
          <w:shd w:val="clear" w:color="auto" w:fill="auto"/>
          <w:lang w:eastAsia="zh-CN"/>
        </w:rPr>
        <w:t>）配备本工程所需电工、</w:t>
      </w:r>
      <w:r>
        <w:rPr>
          <w:rFonts w:hint="eastAsia" w:ascii="仿宋" w:hAnsi="仿宋" w:eastAsia="仿宋" w:cs="仿宋"/>
          <w:b w:val="0"/>
          <w:bCs w:val="0"/>
          <w:i w:val="0"/>
          <w:iCs w:val="0"/>
          <w:color w:val="auto"/>
          <w:sz w:val="28"/>
          <w:szCs w:val="28"/>
          <w:highlight w:val="none"/>
          <w:u w:val="none"/>
          <w:shd w:val="clear" w:color="auto" w:fill="auto"/>
          <w:lang w:val="en-US" w:eastAsia="zh-CN"/>
        </w:rPr>
        <w:t>焊工</w:t>
      </w:r>
      <w:r>
        <w:rPr>
          <w:rFonts w:hint="eastAsia" w:ascii="仿宋" w:hAnsi="仿宋" w:eastAsia="仿宋" w:cs="仿宋"/>
          <w:b w:val="0"/>
          <w:bCs w:val="0"/>
          <w:i w:val="0"/>
          <w:iCs w:val="0"/>
          <w:color w:val="auto"/>
          <w:sz w:val="28"/>
          <w:szCs w:val="28"/>
          <w:highlight w:val="none"/>
          <w:u w:val="none"/>
          <w:shd w:val="clear" w:color="auto" w:fill="auto"/>
          <w:lang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均</w:t>
      </w:r>
      <w:r>
        <w:rPr>
          <w:rFonts w:hint="eastAsia" w:ascii="仿宋" w:hAnsi="仿宋" w:eastAsia="仿宋" w:cs="仿宋"/>
          <w:b w:val="0"/>
          <w:bCs w:val="0"/>
          <w:i w:val="0"/>
          <w:iCs w:val="0"/>
          <w:color w:val="auto"/>
          <w:sz w:val="28"/>
          <w:szCs w:val="28"/>
          <w:highlight w:val="none"/>
          <w:u w:val="none"/>
          <w:shd w:val="clear" w:color="auto" w:fill="auto"/>
          <w:lang w:eastAsia="zh-CN"/>
        </w:rPr>
        <w:t>持证上岗。甲方电工仅对乙方电工进行监督、检查、管理、指导。</w:t>
      </w:r>
    </w:p>
    <w:p w14:paraId="255391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3</w:t>
      </w:r>
      <w:r>
        <w:rPr>
          <w:rFonts w:hint="eastAsia" w:ascii="仿宋" w:hAnsi="仿宋" w:eastAsia="仿宋" w:cs="仿宋"/>
          <w:b w:val="0"/>
          <w:bCs w:val="0"/>
          <w:i w:val="0"/>
          <w:iCs w:val="0"/>
          <w:color w:val="auto"/>
          <w:sz w:val="28"/>
          <w:szCs w:val="28"/>
          <w:highlight w:val="none"/>
          <w:u w:val="none"/>
          <w:shd w:val="clear" w:color="auto" w:fill="auto"/>
          <w:lang w:eastAsia="zh-CN"/>
        </w:rPr>
        <w:t>）本工程施工过程出现赶工，交叉作业，停工，工人工资、材料费、机具费上涨等导致乙方成本、费用增加的情况。</w:t>
      </w:r>
    </w:p>
    <w:p w14:paraId="629548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4</w:t>
      </w:r>
      <w:r>
        <w:rPr>
          <w:rFonts w:hint="eastAsia" w:ascii="仿宋" w:hAnsi="仿宋" w:eastAsia="仿宋" w:cs="仿宋"/>
          <w:b w:val="0"/>
          <w:bCs w:val="0"/>
          <w:i w:val="0"/>
          <w:iCs w:val="0"/>
          <w:color w:val="auto"/>
          <w:sz w:val="28"/>
          <w:szCs w:val="28"/>
          <w:highlight w:val="none"/>
          <w:u w:val="none"/>
          <w:shd w:val="clear" w:color="auto" w:fill="auto"/>
          <w:lang w:eastAsia="zh-CN"/>
        </w:rPr>
        <w:t>）参与甲供材料（如</w:t>
      </w:r>
      <w:r>
        <w:rPr>
          <w:rFonts w:hint="eastAsia" w:ascii="仿宋" w:hAnsi="仿宋" w:eastAsia="仿宋" w:cs="仿宋"/>
          <w:b w:val="0"/>
          <w:bCs w:val="0"/>
          <w:i w:val="0"/>
          <w:iCs w:val="0"/>
          <w:color w:val="auto"/>
          <w:sz w:val="28"/>
          <w:szCs w:val="28"/>
          <w:highlight w:val="none"/>
          <w:u w:val="none"/>
          <w:shd w:val="clear" w:color="auto" w:fill="auto"/>
          <w:lang w:val="en-US" w:eastAsia="zh-CN"/>
        </w:rPr>
        <w:t>有</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的</w:t>
      </w:r>
      <w:r>
        <w:rPr>
          <w:rFonts w:hint="eastAsia" w:ascii="仿宋" w:hAnsi="仿宋" w:eastAsia="仿宋" w:cs="仿宋"/>
          <w:b w:val="0"/>
          <w:bCs w:val="0"/>
          <w:i w:val="0"/>
          <w:iCs w:val="0"/>
          <w:color w:val="auto"/>
          <w:sz w:val="28"/>
          <w:szCs w:val="28"/>
          <w:highlight w:val="none"/>
          <w:u w:val="none"/>
          <w:shd w:val="clear" w:color="auto" w:fill="auto"/>
          <w:lang w:eastAsia="zh-CN"/>
        </w:rPr>
        <w:t>申报采购、验收和收货，其数量作为</w:t>
      </w:r>
      <w:r>
        <w:rPr>
          <w:rFonts w:hint="eastAsia" w:ascii="仿宋" w:hAnsi="仿宋" w:eastAsia="仿宋" w:cs="仿宋"/>
          <w:b w:val="0"/>
          <w:bCs w:val="0"/>
          <w:i w:val="0"/>
          <w:iCs w:val="0"/>
          <w:color w:val="auto"/>
          <w:sz w:val="28"/>
          <w:szCs w:val="28"/>
          <w:highlight w:val="none"/>
          <w:u w:val="none"/>
          <w:shd w:val="clear" w:color="auto" w:fill="auto"/>
          <w:lang w:val="en-US" w:eastAsia="zh-CN"/>
        </w:rPr>
        <w:t>甲供</w:t>
      </w:r>
      <w:r>
        <w:rPr>
          <w:rFonts w:hint="eastAsia" w:ascii="仿宋" w:hAnsi="仿宋" w:eastAsia="仿宋" w:cs="仿宋"/>
          <w:b w:val="0"/>
          <w:bCs w:val="0"/>
          <w:i w:val="0"/>
          <w:iCs w:val="0"/>
          <w:color w:val="auto"/>
          <w:sz w:val="28"/>
          <w:szCs w:val="28"/>
          <w:highlight w:val="none"/>
          <w:u w:val="none"/>
          <w:shd w:val="clear" w:color="auto" w:fill="auto"/>
          <w:lang w:eastAsia="zh-CN"/>
        </w:rPr>
        <w:t>材料损耗率的核算依据</w:t>
      </w:r>
      <w:r>
        <w:rPr>
          <w:rFonts w:hint="eastAsia" w:ascii="仿宋" w:hAnsi="仿宋" w:eastAsia="仿宋" w:cs="仿宋"/>
          <w:b w:val="0"/>
          <w:bCs w:val="0"/>
          <w:i w:val="0"/>
          <w:iCs w:val="0"/>
          <w:color w:val="auto"/>
          <w:sz w:val="28"/>
          <w:szCs w:val="28"/>
          <w:highlight w:val="none"/>
          <w:u w:val="none"/>
          <w:shd w:val="clear" w:color="auto" w:fill="auto"/>
          <w:lang w:val="en-US" w:eastAsia="zh-CN"/>
        </w:rPr>
        <w:t>之一</w:t>
      </w:r>
      <w:r>
        <w:rPr>
          <w:rFonts w:hint="eastAsia" w:ascii="仿宋" w:hAnsi="仿宋" w:eastAsia="仿宋" w:cs="仿宋"/>
          <w:b w:val="0"/>
          <w:bCs w:val="0"/>
          <w:i w:val="0"/>
          <w:iCs w:val="0"/>
          <w:color w:val="auto"/>
          <w:sz w:val="28"/>
          <w:szCs w:val="28"/>
          <w:highlight w:val="none"/>
          <w:u w:val="none"/>
          <w:shd w:val="clear" w:color="auto" w:fill="auto"/>
          <w:lang w:eastAsia="zh-CN"/>
        </w:rPr>
        <w:t>。</w:t>
      </w:r>
    </w:p>
    <w:p w14:paraId="49099E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5.2</w:t>
      </w:r>
      <w:r>
        <w:rPr>
          <w:rFonts w:hint="eastAsia" w:ascii="仿宋" w:hAnsi="仿宋" w:eastAsia="仿宋" w:cs="仿宋"/>
          <w:color w:val="auto"/>
          <w:sz w:val="28"/>
          <w:szCs w:val="28"/>
          <w:highlight w:val="none"/>
          <w:lang w:val="en-US" w:eastAsia="zh-CN"/>
        </w:rPr>
        <w:t>☑合同单价/□合同总价</w:t>
      </w:r>
      <w:r>
        <w:rPr>
          <w:rFonts w:hint="eastAsia" w:ascii="仿宋" w:hAnsi="仿宋" w:eastAsia="仿宋" w:cs="仿宋"/>
          <w:b w:val="0"/>
          <w:bCs w:val="0"/>
          <w:i w:val="0"/>
          <w:iCs w:val="0"/>
          <w:color w:val="auto"/>
          <w:sz w:val="28"/>
          <w:szCs w:val="28"/>
          <w:highlight w:val="none"/>
          <w:u w:val="none"/>
          <w:shd w:val="clear" w:color="auto" w:fill="auto"/>
          <w:lang w:val="en-US" w:eastAsia="zh-CN"/>
        </w:rPr>
        <w:t>已考虑突发疫情等流行疾病影响因素，乙方不以疫情防控为由要求甲方对合同价、合同结算办法及工期等合同条款进行调整，防疫措施的一切费用已包含在合同价内，不另计费。</w:t>
      </w:r>
    </w:p>
    <w:p w14:paraId="36F06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5.3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p w14:paraId="2ABE6A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color w:val="auto"/>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5.4乙方报送甲方项目部签名的台班记录单、送货单、对账单等单据，其中表述的各种违背本合同约定的文字内容均无效，乙方承诺均按本合同执行。</w:t>
      </w:r>
    </w:p>
    <w:p w14:paraId="0CACE4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68" w:name="_Toc23429"/>
      <w:bookmarkStart w:id="69" w:name="_Toc13078"/>
      <w:bookmarkStart w:id="70" w:name="_Toc17936"/>
      <w:r>
        <w:rPr>
          <w:rFonts w:hint="eastAsia" w:ascii="仿宋" w:hAnsi="仿宋" w:eastAsia="仿宋" w:cs="仿宋"/>
          <w:b/>
          <w:bCs/>
          <w:i w:val="0"/>
          <w:iCs w:val="0"/>
          <w:color w:val="auto"/>
          <w:sz w:val="28"/>
          <w:szCs w:val="28"/>
          <w:highlight w:val="none"/>
          <w:shd w:val="clear" w:color="auto" w:fill="auto"/>
          <w:lang w:val="en-US" w:eastAsia="zh-CN"/>
        </w:rPr>
        <w:t>第六章、计量计价方式及结算方式</w:t>
      </w:r>
      <w:bookmarkEnd w:id="68"/>
      <w:bookmarkEnd w:id="69"/>
      <w:bookmarkEnd w:id="70"/>
    </w:p>
    <w:p w14:paraId="6B1C99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6.1</w:t>
      </w:r>
      <w:r>
        <w:rPr>
          <w:rFonts w:hint="eastAsia" w:ascii="仿宋" w:hAnsi="仿宋" w:eastAsia="仿宋" w:cs="仿宋"/>
          <w:color w:val="auto"/>
          <w:sz w:val="28"/>
          <w:szCs w:val="32"/>
          <w:highlight w:val="none"/>
          <w:shd w:val="clear" w:color="auto" w:fill="auto"/>
          <w:lang w:val="en-US" w:eastAsia="zh-CN"/>
        </w:rPr>
        <w:t>工程量有竣工图纸部分，按甲方确认的竣工图计算，无图纸部分以甲方与建设单位签字确认的签证单工程量或按照甲方《分包单位签证管理制度》和《临时设施管理制度》等签证相关要求（如本章第6.3条等）执行</w:t>
      </w:r>
      <w:r>
        <w:rPr>
          <w:rFonts w:hint="eastAsia" w:ascii="仿宋" w:hAnsi="仿宋" w:eastAsia="仿宋" w:cs="仿宋"/>
          <w:b w:val="0"/>
          <w:bCs w:val="0"/>
          <w:i w:val="0"/>
          <w:iCs w:val="0"/>
          <w:color w:val="auto"/>
          <w:sz w:val="28"/>
          <w:szCs w:val="28"/>
          <w:highlight w:val="none"/>
          <w:lang w:val="en-US" w:eastAsia="zh-CN"/>
        </w:rPr>
        <w:t>。</w:t>
      </w:r>
      <w:r>
        <w:rPr>
          <w:rFonts w:hint="eastAsia" w:ascii="仿宋" w:hAnsi="仿宋" w:eastAsia="仿宋" w:cs="仿宋"/>
          <w:color w:val="auto"/>
          <w:sz w:val="28"/>
          <w:szCs w:val="28"/>
          <w:highlight w:val="none"/>
          <w:lang w:val="en-US" w:eastAsia="zh-CN"/>
        </w:rPr>
        <w:t>经甲方项目部验收合格的工程，按合同约定的计价方式结算。</w:t>
      </w:r>
    </w:p>
    <w:p w14:paraId="4C3297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sym w:font="Wingdings" w:char="00FE"/>
      </w:r>
      <w:r>
        <w:rPr>
          <w:rFonts w:hint="eastAsia" w:ascii="仿宋" w:hAnsi="仿宋" w:eastAsia="仿宋" w:cs="仿宋"/>
          <w:b w:val="0"/>
          <w:bCs w:val="0"/>
          <w:i w:val="0"/>
          <w:iCs w:val="0"/>
          <w:color w:val="auto"/>
          <w:sz w:val="28"/>
          <w:szCs w:val="28"/>
          <w:highlight w:val="none"/>
          <w:u w:val="none"/>
          <w:lang w:val="en-US" w:eastAsia="zh-CN"/>
        </w:rPr>
        <w:t>固定单价合同结算方式：结算总价=完成并达到合同标准的工程量×合同单价-合同约定扣除费用。</w:t>
      </w:r>
    </w:p>
    <w:p w14:paraId="013754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sym w:font="Wingdings" w:char="00A8"/>
      </w:r>
      <w:r>
        <w:rPr>
          <w:rFonts w:hint="eastAsia" w:ascii="仿宋" w:hAnsi="仿宋" w:eastAsia="仿宋" w:cs="仿宋"/>
          <w:b w:val="0"/>
          <w:bCs w:val="0"/>
          <w:i w:val="0"/>
          <w:iCs w:val="0"/>
          <w:color w:val="auto"/>
          <w:sz w:val="28"/>
          <w:szCs w:val="28"/>
          <w:highlight w:val="none"/>
          <w:u w:val="none"/>
          <w:lang w:val="en-US" w:eastAsia="zh-CN"/>
        </w:rPr>
        <w:t>固定总价合同结算方式：结算总价=合同固定总价-合同内未施工内容+合同外增加内容【须有建设单位与甲方的签证或甲方确认的“分包签证确认单”（格式详见附件）和“分项工程/认质认价申报审批表”（格式详见附件）等定价文件】-合同约定扣除费用。</w:t>
      </w:r>
    </w:p>
    <w:p w14:paraId="0C6753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6.2计量依据：</w:t>
      </w:r>
    </w:p>
    <w:p w14:paraId="771C0F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6.2.1甲方招标报价版施工图纸或甲方签认下发的施工图；</w:t>
      </w:r>
    </w:p>
    <w:p w14:paraId="7C97CF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6.2.2设计变更、甲方与建设单位签认的交楼标准、联系单及签证单；</w:t>
      </w:r>
    </w:p>
    <w:p w14:paraId="5B06F8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6.2.3甲方、建设单位、监理签认的竣工图；</w:t>
      </w:r>
    </w:p>
    <w:p w14:paraId="12DB2B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6.2.4图纸会审纪要；</w:t>
      </w:r>
    </w:p>
    <w:p w14:paraId="527B6D3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6.2.5政府主管部门要求而图纸中没有且建设单位同意施工的内容；</w:t>
      </w:r>
    </w:p>
    <w:p w14:paraId="666D69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6.2.6建设单位、监理、甲方、乙方四方测量签字确认的原始场地标高图及场地完成后标高图（适用于土方工程）；</w:t>
      </w:r>
    </w:p>
    <w:p w14:paraId="60EFF9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6.2.7建设单位、监理、甲方、乙方四方测量签字确认的打桩记录表、桩位编号图（适用于桩基工程、搅拌桩工程、钢板桩工程、旋挖桩、工法桩等全部桩基工程）；</w:t>
      </w:r>
    </w:p>
    <w:p w14:paraId="7C2623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6.2.8打拔钢板桩时间记录表（时间以建设单位签字确认的记录表为准）。</w:t>
      </w:r>
    </w:p>
    <w:p w14:paraId="6B368E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6.3签证工程管理制度</w:t>
      </w:r>
    </w:p>
    <w:p w14:paraId="1372786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 xml:space="preserve">6.3.1签证必须包括的内容、资料及要求  </w:t>
      </w:r>
    </w:p>
    <w:p w14:paraId="648E75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6.3.1.1签证单签发时间及编号。</w:t>
      </w:r>
    </w:p>
    <w:p w14:paraId="29EF8C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6.3.1.2签证事实发生的原因、工作内容、完成的工程量。</w:t>
      </w:r>
    </w:p>
    <w:p w14:paraId="56B67A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6.3.1.3签证单（含附件：①草签单，②通知单/联系单/设计变更文件，③影像资料等。由乙方按甲方规定的格式填写。）</w:t>
      </w:r>
    </w:p>
    <w:p w14:paraId="478E64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6.3.1.4执行签证事实的依据：如建设单位签发的建设单位通知单、联系函、设计变更等文件。</w:t>
      </w:r>
    </w:p>
    <w:p w14:paraId="30357B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6.3.1.5对于无法按图计算的工程内容或者比较重要的签证，须附现场彩色相片，特别是临时增补工程（比如：园林苗木的更换、基础换填、零星工程、隐蔽工程、水电迁移、拆改工程等）。</w:t>
      </w:r>
    </w:p>
    <w:p w14:paraId="09183C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2728B0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6.3.1.7签证执行“一事一签证”的原则，分别列明，不能混编，当出现零星维修、抢修、改造工程，工程量少，过程中间接工序多，无法实际、准确反映乙方产生实际成本的，必须清楚记录具体部位和实际用工记录。</w:t>
      </w:r>
    </w:p>
    <w:p w14:paraId="2C42BC3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6.3.1.8经乙方现场执行人签名或盖章但内容不清楚、不齐全的签证单或工程量计算单，甲方拒收。</w:t>
      </w:r>
    </w:p>
    <w:p w14:paraId="216EEF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6.3.1.9对同一签证内容，如“甲方与乙方的签证”和“建设单位与甲方的签证”不一致，以较小的量、价对乙方签证确认。</w:t>
      </w:r>
    </w:p>
    <w:p w14:paraId="50176E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6.3.1.10对同一签证内容，甲方与建设单位办理了签证单，而该签证单内容甲方又分给多家施工单位完成的，乙方须提供甲乙双方确认的《签证单分包说明》（格式详见附件）作为乙方结算依据方可结算。</w:t>
      </w:r>
    </w:p>
    <w:p w14:paraId="7D7A84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6.3.1.11甲方与建设单位未办理签证单，但属于绿色文明施工范围内或因其它原因（如临时设施等）使得甲方确需与乙方办理签证的情况，则乙方须提供甲方签认的《分包签证确认单》方可作为结算依据。</w:t>
      </w:r>
    </w:p>
    <w:p w14:paraId="10999C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6.3.1.12对于增加或变更工程，乙方凭甲方项目负责人签认且符合本合同约定的签证单及相关资料办理结算。甲方签证单须有本合同授权的甲方项目负责人亲笔签字确认并加盖甲方项目章方为有效。甲方项目负责人委托/授权他人代签均为无效签证，甲方不予办理付款及结算。任何人的口头指示、通知、电话通知、微信通知不作为结算依据。未盖甲方项目章的书面签证确认或乙方超出图纸、合同清单范围施工的工程量，不属于增加工程，不纳入结算。</w:t>
      </w:r>
    </w:p>
    <w:p w14:paraId="1291CB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6.3.2乙方申报签证程序</w:t>
      </w:r>
    </w:p>
    <w:p w14:paraId="4796F1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6.3.2.1乙方须在工程部位隐蔽前（变更工程被隐蔽后无法计量的，甲方有权拒绝签证）组织甲方等相关单位共同对工程量以草签单形式进行确认。乙方须在签证内容完成之日起7个日历天内提交签证单及相应的签证预算书（各一式两份，含电子版）由乙方现场执行人签字并加盖公章后报甲方，逾期提报的，甲方不受理，一切责任及损失由乙方自行承担。</w:t>
      </w:r>
    </w:p>
    <w:p w14:paraId="5C5E21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6.3.2.2草签单由甲方的施工员、成本管理员、副经理共同现场收方、见证完成并签名，乙方由合同约定的现场执行人签认。</w:t>
      </w:r>
    </w:p>
    <w:p w14:paraId="5325DA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6.3.2.3草签单须提供施工前、施工中、施工后的照片、签证预算书作为乙方向甲方办理“分包签证确认单”的必备附件。</w:t>
      </w:r>
    </w:p>
    <w:p w14:paraId="5E670E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6.3.3零星工时计价及相关规定</w:t>
      </w:r>
    </w:p>
    <w:p w14:paraId="64739D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6.3.3.1零星用工以分包签证确认单的方式结算，工程量以该签证单确认工程量计算。</w:t>
      </w:r>
    </w:p>
    <w:p w14:paraId="6121E4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6.3.3.2甲方范围内的零星用工单价：按 230 元/工日（含税）计取。</w:t>
      </w:r>
    </w:p>
    <w:p w14:paraId="12FE1F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6.3.3.3零星时工填写签证单时，格式按甲方规定填写，属甲方承担的填写《分包签证确认单》《工程量现场草签记录表》（格式详见附件）；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05D761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6.3.3.4零星时工签证要求及申报程序按照本章第6.3条执行。</w:t>
      </w:r>
    </w:p>
    <w:p w14:paraId="042E78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6.4甲方巡检发现存在质量问题或验收不合格的工程，工程量不予结算。</w:t>
      </w:r>
    </w:p>
    <w:p w14:paraId="3D0032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6.5因合同中已有施工方案的变化引起的工程价款变化，结算时不再调整（合同中未明确的施工方案除外）。</w:t>
      </w:r>
    </w:p>
    <w:p w14:paraId="04F1E2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6.6乙方未按甲方要求完成的工作，甲方有权安排他人完成并按500元/工日/人计价且从应付给乙方的款项中直接扣款，如实际费用超出500元/工日/人，甲方按实际发生的费用从应付给乙方的款项中直接扣款。</w:t>
      </w:r>
    </w:p>
    <w:p w14:paraId="520A9B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6.7乙方递交的结算资料要求：①递交完整的结算书一式两份（正副本各一份）及电子档文件（计价软件、模型算量要求使用“广联达”，计算表格要求“Excel”格式，图纸要求PDF和 CAD格式）、结算书扫描件、中泰供材确认表等。②装订要求：胶装、盖骑缝章、法人代表签章；③结算资料排序：封面、目录、结算申请表、承包单位工程结算送审承诺书、工程结算资料审查表、工程合同、工程验收单、分包单位结算情况说明、工程结算支付证明单（格式详见附件）、分包签证确认单（签证单必须有甲方项目负责人签名且加盖甲方项目章方为有效签证）、分项工程/认质认价申报审批表、工程结算书、签证预算书、变更单、签证联系函及签证单、照片及相关图纸、记录文件、竣工图或竣工图（如有）移交清单、竣工图承诺书（如有）等；④乙方递交结算资料的前提是，甲方已有建设单位签字的完整版竣工图，否则甲方有权不接收结算资料且不办理结算；⑤递交结算资料须按《结算申请表》、《工程结算资料审查表》要求填写。</w:t>
      </w:r>
    </w:p>
    <w:p w14:paraId="690DF7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6.8双方办理结算时，乙方必须按甲方要求注明结算金额中的每个地块/组团/楼栋具体金额（以便甲方统计各地块/组团/楼栋的费用），否则甲方有权不结算且不承担任何违约责任。</w:t>
      </w:r>
    </w:p>
    <w:p w14:paraId="4C7D3E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6.9乙方提交的竣工资料、建设单位与甲方的签证单（须附工程量确认单、开工前照片、施工中照片、施工后照片及签证单分包说明原件等相关资料）、甲方与乙方的分包签证确认单（须附工程量现场草签记录表、联系单、开工前照片、施工中照片、施工后照片等资料）必须为签章齐全的原件。若建设单位与甲方的签证单内容存在多个单位施工，则提交结算资料时须注明签证单原件资料所在的单项工程，采用签证单复印件的须在签证单上加盖乙方公章方为有效，否则甲方有权不予结算相关费用。</w:t>
      </w:r>
    </w:p>
    <w:p w14:paraId="760C73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6.10鉴于本合同所列单价未必完善，如在施工过程中发生新的工程变更内容且无适用的合同单价（例如：工程设计变更或增加承包内容等导致的新工程等），乙方须按甲方要求先行施工（否则每延迟一天乙方须向甲方支付违约金人民币两千元），并在甲方通知施工之日起三个工作日内书面向甲方申报工程单价（申报格式以甲方确定的为准），逾期不申报视为乙方则视为乙方给与甲方的优惠，乙方自愿放弃主张该事项的权利和相关费用。</w:t>
      </w:r>
    </w:p>
    <w:p w14:paraId="6B3991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6.11乙方须实事求是办理结算，不得虚报工程结算。</w:t>
      </w:r>
    </w:p>
    <w:p w14:paraId="6DEF40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6.12合同内未施工的清单分项、图纸内容，乙方在申报结算书中未扣减相应费用而向甲方申报结算的，乙方按上述其未施工项目申报的结算金额的200%向甲方支付违约金，甲方可在任意应付乙方的合同款中扣取违约金。</w:t>
      </w:r>
    </w:p>
    <w:p w14:paraId="05A76B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6.13工程结算书及相关结算资料由乙方自行编制并一次性报齐给甲方，申报格式及表格等相关要求按照甲方统一要求执行。如乙方所报结算书的申报工程量少于实际工程量，乙方仅可补报一次。经甲乙双方确认，此项费用结算甲方仅支付补报部分最终审定金额的90%，其余10%作为甲方重新审核结算的人工费在结算中一次性扣除。双方约定，若乙方报送的结算总金额经甲方审核后，审减额(审减额=报送总金额-审定金额)与报送总金额之比超过10%以上时，凡是工程量和施工内容导致超报的，核减超过10%以外的金额乘以20%作为违约金在结算中一次性扣除。</w:t>
      </w:r>
    </w:p>
    <w:p w14:paraId="2A188A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bookmarkStart w:id="71" w:name="_Toc17329"/>
      <w:bookmarkStart w:id="72" w:name="_Toc15975"/>
      <w:bookmarkStart w:id="73" w:name="_Toc5229"/>
      <w:bookmarkStart w:id="74" w:name="_Toc31711"/>
      <w:bookmarkStart w:id="75" w:name="_Toc12061"/>
      <w:bookmarkStart w:id="76" w:name="_Toc30160"/>
      <w:r>
        <w:rPr>
          <w:rFonts w:hint="eastAsia" w:ascii="仿宋" w:hAnsi="仿宋" w:eastAsia="仿宋" w:cs="仿宋"/>
          <w:b w:val="0"/>
          <w:bCs w:val="0"/>
          <w:i w:val="0"/>
          <w:iCs w:val="0"/>
          <w:color w:val="auto"/>
          <w:sz w:val="28"/>
          <w:szCs w:val="28"/>
          <w:highlight w:val="none"/>
          <w:u w:val="none"/>
          <w:lang w:val="en-US" w:eastAsia="zh-CN"/>
        </w:rPr>
        <w:t>6.14本工程甲供材损耗率按本合同相关条款执行。</w:t>
      </w:r>
      <w:bookmarkEnd w:id="71"/>
      <w:bookmarkEnd w:id="72"/>
      <w:bookmarkEnd w:id="73"/>
      <w:bookmarkEnd w:id="74"/>
      <w:bookmarkEnd w:id="75"/>
      <w:bookmarkEnd w:id="76"/>
    </w:p>
    <w:p w14:paraId="163F39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6.15乙方提交的结算资料须符合本合同要求（如附件《工程结算资料目录》等的要求），否则甲方有权不办理结算且不违约。</w:t>
      </w:r>
    </w:p>
    <w:p w14:paraId="65EC68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6.16如竣工图由乙方绘制，乙方承诺按甲方要求编汇竣工图并按甲方要求提报甲方，承诺竣工图内容与现场实际完全相符（详见附件《结算竣工图承诺书》格式）。如乙方存在合同内未施工的清单分项、图纸内容或竣工图内容或工程量大于现场实际的情形或虚报等弄虚作假行为，其金额超过甲乙双方最终确认结算价10%及以上的，乙方同意赔偿甲方因此遭受的全部损失并按虚报工程量对应金额的20%支付违约金，违约金在结算时扣除。违约金金额与本合同其他条款约定的金额不一致时，按违约金金额高的标准执行。</w:t>
      </w:r>
    </w:p>
    <w:p w14:paraId="28628E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77" w:name="_Toc4997"/>
      <w:bookmarkStart w:id="78" w:name="_Toc3326"/>
      <w:bookmarkStart w:id="79" w:name="_Toc11671"/>
      <w:r>
        <w:rPr>
          <w:rFonts w:hint="eastAsia" w:ascii="仿宋" w:hAnsi="仿宋" w:eastAsia="仿宋" w:cs="仿宋"/>
          <w:b/>
          <w:bCs/>
          <w:i w:val="0"/>
          <w:iCs w:val="0"/>
          <w:color w:val="auto"/>
          <w:sz w:val="28"/>
          <w:szCs w:val="28"/>
          <w:highlight w:val="none"/>
          <w:shd w:val="clear" w:color="auto" w:fill="auto"/>
          <w:lang w:val="en-US" w:eastAsia="zh-CN"/>
        </w:rPr>
        <w:t>第七章、付款方式</w:t>
      </w:r>
      <w:bookmarkEnd w:id="77"/>
      <w:bookmarkEnd w:id="78"/>
      <w:bookmarkEnd w:id="79"/>
    </w:p>
    <w:p w14:paraId="642D7D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7.1每笔进度款支付分配安排如下：</w:t>
      </w:r>
    </w:p>
    <w:p w14:paraId="2445E7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乙方每月的工人工资款项从甲方工人工资专用账户直接发放至工人本人的银行账户上。对与甲方工人工资专用账户绑定的乙方工人本人银行卡，乙方及其他人员不得以任何理由扣押或者变相扣押。乙方申请节点款时须按甲方要求提交工人工资表等资料，例如：乙方申请3月份节点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违约。乙方须如实提供本项目工人工资表数据，并负责工人工资个税申报。工资发放的次月15日前，乙方须提供加盖乙方公章的上月工人工资个税申报表至甲方项目部，否则甲方有权中止后续付款且乙方承担违约金壹万元/次。乙方工人考勤打卡及实名要求按甲方《项目实名制及劳资管理制度》执行。</w:t>
      </w:r>
    </w:p>
    <w:p w14:paraId="6E887B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7.2未达合同进度款支付节点所支付的工人工资约定如下：①应发＞5000元，暂发5000元；②应发≤5000元，暂发80%；③剩余工资于节点/完工时按合同约定付款方式处理；④每月发的工人工资总数不能超过其当月完成产值的60%，按照无息预支付工程款方式以进度款流程申请办理；⑤甲方有权对该款追偿或在下一次合同款中直接扣除。若乙方当次申请的、达到付款条件的合同款金额支付当次待付工人工资后尚有余额，甲方有权根据乙方现场工人情况预留款项，预留款项由甲方用于保障通过工人工资户代发乙方工人工资，甲方预留款项的行为不视为逾期付款，乙方不得以任何理由认定甲方违约。预留款项后仍有余额的，余额由甲方直接支付至乙方账户。</w:t>
      </w:r>
    </w:p>
    <w:p w14:paraId="4A947E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7.3甲方每次付款给乙方前，乙方须向甲方付清所有罚款、代付款、赔偿及违约金等所有应付款项，否则甲方有权不付款。凡甲方收取的款项（包括但不限于：各类押金、保证金、违约金、罚款、垃圾处理费、水电费、租金、代收代缴款项等），乙方必须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65428F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7.4付款形式：优先使用网银、银行承兑汇票等，支票、电汇视情况而定。甲方选择其中任意一种支付形式给乙方合同款，均视为乙方收到该合同款。</w:t>
      </w:r>
    </w:p>
    <w:p w14:paraId="33549B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乙方每次向甲方请款时，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5D6F5B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7.6乙方每次向甲方请款时，按甲方要求注明该次请款所含的每个组团、每个地块、每栋楼具体金额，否则甲方有权不付款且不违约。</w:t>
      </w:r>
    </w:p>
    <w:p w14:paraId="60EEA0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20FB27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7.8如甲乙双方对应付款金额、结算金额产生争议，甲方有权暂不付款且不违约，甲方无需向乙方支付违约金或利息，直至双方达成一致意见后方可按甲方相应流程办理付款手续。</w:t>
      </w:r>
    </w:p>
    <w:p w14:paraId="7FB86F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7.9甲乙双方完成本工程结算且结算款（扣除预留的保修金）支付完毕后，视为乙方关于除保修金外的合同款收付事宜的全部权利全部消灭，乙方不得基于合同款收付事宜向甲方提出任何权利主张或追索其他任何费用。</w:t>
      </w:r>
    </w:p>
    <w:p w14:paraId="04747C3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7.10乙方必须按税法规定的四流合一执行合同，即合同流、货物流、发票流、资金流一致，否则视为乙方违约，且由乙方承担所有责任及损失，直至满足四流合一后，甲方才可付款。</w:t>
      </w:r>
    </w:p>
    <w:p w14:paraId="2FE926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7.11凡是乙方在本项目工作的人员，如未在本项目实名制登记备案、打卡，甲方不计发该人员在工人工资专用账户的工资，由乙方自行解决，由此所导致的一切后果和全部责任由乙方承担。</w:t>
      </w:r>
    </w:p>
    <w:p w14:paraId="166984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7.12如乙方申报了乙方不在本项目工作人员的工人工资，属于乙方违约，由此所导致的一切后果和全部责任均由乙方承担，同时甲方对乙方此违约行为按1000元/人/次收取违约金。</w:t>
      </w:r>
    </w:p>
    <w:p w14:paraId="76BB1C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color w:val="auto"/>
          <w:highlight w:val="none"/>
          <w:lang w:val="en-US" w:eastAsia="zh-CN"/>
        </w:rPr>
      </w:pPr>
      <w:r>
        <w:rPr>
          <w:rFonts w:hint="eastAsia" w:ascii="仿宋" w:hAnsi="仿宋" w:eastAsia="仿宋" w:cs="仿宋"/>
          <w:i w:val="0"/>
          <w:iCs w:val="0"/>
          <w:color w:val="auto"/>
          <w:sz w:val="28"/>
          <w:szCs w:val="28"/>
          <w:highlight w:val="none"/>
          <w:lang w:val="en-US" w:eastAsia="zh-CN"/>
        </w:rPr>
        <w:t>7.13对招标清单（详见合同附件）说明清单“编制依据”不是“审图通过版图纸”的建筑物/构筑物：在建设单位提供“审图通过版图纸”后，如按该图纸计算出来的工程量与招标清单所列工程量偏差＞±3%，则甲乙双方按审图通过版图纸计算出来的工程量及合同单价调整相应建筑物/构筑物的合同暂定价及合同暂定总价，随后的付款金额则以最新的相应建筑物/构筑物的合同暂定价及合同暂定总价为基数进行计算，付款节点、付款比例不作调整。如按该图纸计算出来的工程量与招标清单所列工程量偏差≤±3%，则合同暂定总价、付款方式、各建筑物/构筑物的合同暂定价不作调整。</w:t>
      </w:r>
    </w:p>
    <w:p w14:paraId="725891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80" w:name="_Toc17862"/>
      <w:bookmarkStart w:id="81" w:name="_Toc28744"/>
      <w:bookmarkStart w:id="82" w:name="_Toc9906"/>
      <w:r>
        <w:rPr>
          <w:rFonts w:hint="eastAsia" w:ascii="仿宋" w:hAnsi="仿宋" w:eastAsia="仿宋" w:cs="仿宋"/>
          <w:b/>
          <w:bCs/>
          <w:i w:val="0"/>
          <w:iCs w:val="0"/>
          <w:color w:val="auto"/>
          <w:sz w:val="28"/>
          <w:szCs w:val="28"/>
          <w:highlight w:val="none"/>
          <w:shd w:val="clear" w:color="auto" w:fill="auto"/>
          <w:lang w:val="en-US" w:eastAsia="zh-CN"/>
        </w:rPr>
        <w:t>第八章、双方责任和权利</w:t>
      </w:r>
      <w:bookmarkEnd w:id="80"/>
      <w:bookmarkEnd w:id="81"/>
      <w:bookmarkEnd w:id="82"/>
    </w:p>
    <w:p w14:paraId="4D2B59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2"/>
        <w:rPr>
          <w:rFonts w:hint="eastAsia" w:ascii="仿宋" w:hAnsi="仿宋" w:eastAsia="仿宋" w:cs="仿宋"/>
          <w:b/>
          <w:bCs/>
          <w:i w:val="0"/>
          <w:iCs w:val="0"/>
          <w:color w:val="auto"/>
          <w:sz w:val="28"/>
          <w:szCs w:val="28"/>
          <w:highlight w:val="none"/>
          <w:shd w:val="clear" w:color="auto" w:fill="auto"/>
        </w:rPr>
      </w:pPr>
      <w:bookmarkStart w:id="83" w:name="_Toc6947"/>
      <w:bookmarkStart w:id="84" w:name="_Toc7257"/>
      <w:r>
        <w:rPr>
          <w:rFonts w:hint="eastAsia" w:ascii="仿宋" w:hAnsi="仿宋" w:eastAsia="仿宋" w:cs="仿宋"/>
          <w:b/>
          <w:bCs/>
          <w:i w:val="0"/>
          <w:iCs w:val="0"/>
          <w:color w:val="auto"/>
          <w:sz w:val="28"/>
          <w:szCs w:val="28"/>
          <w:highlight w:val="none"/>
          <w:shd w:val="clear" w:color="auto" w:fill="auto"/>
          <w:lang w:val="en-US" w:eastAsia="zh-CN"/>
        </w:rPr>
        <w:t>8</w:t>
      </w:r>
      <w:r>
        <w:rPr>
          <w:rFonts w:hint="eastAsia" w:ascii="仿宋" w:hAnsi="仿宋" w:eastAsia="仿宋" w:cs="仿宋"/>
          <w:b/>
          <w:bCs/>
          <w:i w:val="0"/>
          <w:iCs w:val="0"/>
          <w:color w:val="auto"/>
          <w:sz w:val="28"/>
          <w:szCs w:val="28"/>
          <w:highlight w:val="none"/>
          <w:shd w:val="clear" w:color="auto" w:fill="auto"/>
          <w:lang w:eastAsia="zh-CN"/>
        </w:rPr>
        <w:t>.</w:t>
      </w:r>
      <w:r>
        <w:rPr>
          <w:rFonts w:hint="eastAsia" w:ascii="仿宋" w:hAnsi="仿宋" w:eastAsia="仿宋" w:cs="仿宋"/>
          <w:b/>
          <w:bCs/>
          <w:i w:val="0"/>
          <w:iCs w:val="0"/>
          <w:color w:val="auto"/>
          <w:sz w:val="28"/>
          <w:szCs w:val="28"/>
          <w:highlight w:val="none"/>
          <w:shd w:val="clear" w:color="auto" w:fill="auto"/>
        </w:rPr>
        <w:t>1甲方责任和权利</w:t>
      </w:r>
      <w:bookmarkEnd w:id="83"/>
      <w:bookmarkEnd w:id="84"/>
    </w:p>
    <w:p w14:paraId="341B86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8.1.1对乙方进行本工程技术交底及质量、安全、进度、文明施工、成本控制等管理。</w:t>
      </w:r>
    </w:p>
    <w:p w14:paraId="6CFA7A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8.1.2按国家工程质量标准对乙方施工成品进行内部核验，并办理过程验收手续和完工后总体验收手续。在验收合格情况下按照合同约定及时办理结算和付款。</w:t>
      </w:r>
    </w:p>
    <w:p w14:paraId="066582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8.1.3提供乙方施工工人在本项目现场住宿的设施，并按合同向乙方收取费用。</w:t>
      </w:r>
    </w:p>
    <w:p w14:paraId="7D1541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8.1.4提供给乙方工作面及本合同约定的甲供材料和机具，提供乙方作业所需的施工场所。</w:t>
      </w:r>
    </w:p>
    <w:p w14:paraId="00721D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8.1.5为乙方员工办理人脸识别进场资料。</w:t>
      </w:r>
    </w:p>
    <w:p w14:paraId="5F1792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8.1.6督促乙方及其工人遵章守纪、按章操作，强化现场安全防护工作。</w:t>
      </w:r>
    </w:p>
    <w:p w14:paraId="1780DE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8.1.7根据本项目总体情况安排、调整本工程工期，规定乙方先做某部位后做某部位，何时增加工人何时减少工人，乙方必须服从调动及安排。</w:t>
      </w:r>
    </w:p>
    <w:p w14:paraId="51318A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8.1.8对乙方的不符合设计图纸、违反施工规范和安全操作规程、材料浪费等违规行为强行制止，并要求乙方在规定时间内按要求完成整改，同时根据具体情况对乙方计取违约金。</w:t>
      </w:r>
    </w:p>
    <w:p w14:paraId="5CE898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8.1.9对乙方及其人员进行技术考核，考核不合格人员禁止上岗，乙方按甲方要求调换合格人员接替上岗。</w:t>
      </w:r>
    </w:p>
    <w:p w14:paraId="7C4571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8.1.10</w:t>
      </w:r>
      <w:r>
        <w:rPr>
          <w:rFonts w:hint="eastAsia" w:ascii="仿宋" w:hAnsi="仿宋" w:eastAsia="仿宋" w:cs="仿宋"/>
          <w:i w:val="0"/>
          <w:iCs w:val="0"/>
          <w:color w:val="auto"/>
          <w:sz w:val="28"/>
          <w:szCs w:val="28"/>
          <w:highlight w:val="none"/>
          <w:shd w:val="clear" w:color="auto" w:fill="auto"/>
          <w:lang w:val="en-US" w:eastAsia="zh-CN"/>
        </w:rPr>
        <w:t>甲方对乙方向乙方人员发放报酬的情况有知情权，乙方工人工资金额由乙方提供书面文件给甲方项目部及甲方工程部核实确定。甲方有权掌握乙方工人的工资分配制度和实施情况，对不合理、违规的分配甲方有权制止及干预。乙方应及时支付工人工资及材料款，如乙方欠款导致甲方被追索，甲方有权自应付给乙方的款项中扣款代付，但此举不视为甲方同意对乙方债务承担责任。乙方对甲方代付行为及金额无异议，如应付给乙方的合同款不足以代付导致甲方需垫付费用，乙方在甲方发出书面通知起3个日历天内还清甲方垫付款并自甲方垫付之日起按一年期贷款市场报价利率（LPR）的4倍为标准支付利息给甲方。</w:t>
      </w:r>
    </w:p>
    <w:p w14:paraId="063A96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8.1.11对乙方进行管理，有权要求乙方管理人员必须坚守岗位，在施工现场组织指导工人作业。</w:t>
      </w:r>
    </w:p>
    <w:p w14:paraId="1D2C57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754060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凡甲方认为会影响本工程质量或可能导致安全事故的乙方自备材料、机具等，乙方不得用于本项目，否则乙方无条件更换且每次向甲方支付违约金壹万元及不延长工期。</w:t>
      </w:r>
    </w:p>
    <w:p w14:paraId="6FB53FA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w:t>
      </w:r>
      <w:r>
        <w:rPr>
          <w:rFonts w:hint="eastAsia" w:ascii="仿宋" w:hAnsi="仿宋" w:eastAsia="仿宋" w:cs="仿宋"/>
          <w:b w:val="0"/>
          <w:bCs w:val="0"/>
          <w:i w:val="0"/>
          <w:iCs w:val="0"/>
          <w:color w:val="auto"/>
          <w:sz w:val="28"/>
          <w:szCs w:val="28"/>
          <w:highlight w:val="none"/>
          <w:shd w:val="clear" w:color="auto" w:fill="auto"/>
          <w:lang w:eastAsia="zh-CN"/>
        </w:rPr>
        <w:t>.1.14甲方因参与本合同履行而发出、或与乙方达成合意所形成的一切相关文件，均须同时加盖甲方公章及经法定代表人（或授权代表人）签名，否则均不对甲方产生约束力，除非事后获得甲方另行追认。</w:t>
      </w:r>
    </w:p>
    <w:p w14:paraId="5AD6503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8.1.15对乙方不按合同约定时间向甲方申报其工人工资资料等行为，甲方有权对乙方收取违约金，每逾期一天的违约金不少于伍佰元/人（按乙方在本工程施工人数计）。</w:t>
      </w:r>
    </w:p>
    <w:p w14:paraId="1DE9A4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8.1.16若乙方原因导致其工人工资不能及时发放，工人发生停工或静坐、闹事等不良行为，甲方有权按本合同相关条款（如本合同第二部分合同通用条款第十四章等）向乙方收取违约金。</w:t>
      </w:r>
    </w:p>
    <w:p w14:paraId="32F1F8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8.1.17工程若有变更，甲方必须以书面形式通知乙方，若因工程变更导致增加工程量，甲方应给予乙方合理的备料期（具体时间双方协商）并办理签证确认。</w:t>
      </w:r>
    </w:p>
    <w:p w14:paraId="281A55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8.1.18按合同约定向乙方支付工程款。</w:t>
      </w:r>
    </w:p>
    <w:p w14:paraId="20D98C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8.1.19协调乙方与建设单位、监理单位的关系。</w:t>
      </w:r>
    </w:p>
    <w:p w14:paraId="1E7D25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2"/>
        <w:rPr>
          <w:rFonts w:hint="eastAsia" w:ascii="仿宋" w:hAnsi="仿宋" w:eastAsia="仿宋" w:cs="仿宋"/>
          <w:i w:val="0"/>
          <w:iCs w:val="0"/>
          <w:color w:val="auto"/>
          <w:sz w:val="28"/>
          <w:szCs w:val="28"/>
          <w:highlight w:val="none"/>
          <w:shd w:val="clear" w:color="auto" w:fill="auto"/>
          <w:lang w:val="en-US" w:eastAsia="zh-CN"/>
        </w:rPr>
      </w:pPr>
      <w:bookmarkStart w:id="85" w:name="_Toc31817"/>
      <w:bookmarkStart w:id="86" w:name="_Toc3364"/>
      <w:r>
        <w:rPr>
          <w:rFonts w:hint="eastAsia" w:ascii="仿宋" w:hAnsi="仿宋" w:eastAsia="仿宋" w:cs="仿宋"/>
          <w:i w:val="0"/>
          <w:iCs w:val="0"/>
          <w:color w:val="auto"/>
          <w:sz w:val="28"/>
          <w:szCs w:val="28"/>
          <w:highlight w:val="none"/>
          <w:shd w:val="clear" w:color="auto" w:fill="auto"/>
          <w:lang w:val="en-US" w:eastAsia="zh-CN"/>
        </w:rPr>
        <w:t>8.2、乙方责任和权利</w:t>
      </w:r>
      <w:bookmarkEnd w:id="85"/>
      <w:bookmarkEnd w:id="86"/>
    </w:p>
    <w:p w14:paraId="6CD054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8.2.1按设计图纸和施工规范施工，在每一道分项工序开始时，乙方先做出样板部位报甲方项目部确认后方可进入一下步施工，保证施工成品质量满足合同要求。因乙方原因导致的质量事故，由乙方赔偿甲方损失。</w:t>
      </w:r>
    </w:p>
    <w:p w14:paraId="4126D3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8.2.2按时完成本工程每一阶段的施工任务，保证符合甲方工期要求，因乙方原因导致的工期延误及甲方遭受的损失均由乙方赔偿甲方。</w:t>
      </w:r>
    </w:p>
    <w:p w14:paraId="02C0E5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8.2.3遵守安全生产、文明施工法规。乙方违规操作发生的安全或质量事故所造成的甲方损失均由乙方赔偿甲方。</w:t>
      </w:r>
    </w:p>
    <w:p w14:paraId="3B0929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8.2.4施工过程中，乙方指定专人认真做好施工记录，工程竣工后须及时将资料整理完整并移交甲方资料员。</w:t>
      </w:r>
    </w:p>
    <w:p w14:paraId="6D58AA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8.2.5乙方须保护好自身施工的材料、机械等设备，如有被偷盗、损坏等现象发生，由乙方自行负责。</w:t>
      </w:r>
    </w:p>
    <w:p w14:paraId="64BFB8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8.2.6遵守甲方管理制度，服从甲方管理。</w:t>
      </w:r>
    </w:p>
    <w:p w14:paraId="139B55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8.2.7乙方对完成的每一道工序及时、认真进行自检，自检合格后提请甲方验收。对甲方提出的问题按甲方要求彻底整改，每延误一天完成整改的，向甲方支付违约金壹仟元。</w:t>
      </w:r>
    </w:p>
    <w:p w14:paraId="10873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8.2.8加强自身团队建设。乙方管理人员须经常对下属工人进行技术交底、安全教育，作业人员必须持证上岗。乙方管理人员必须坚守岗位，特殊情况需离开工地时，经甲方项目部批准后方能离开。</w:t>
      </w:r>
    </w:p>
    <w:p w14:paraId="1C3F9E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8.2.9如实向甲方提供《建筑工人工资表》，每月第十个日历天前向甲方完成申报工人工资，否则甲方有权中止支付任何款项且不违约。乙方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5E4739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8.2.10在甲方的监督下办理工人工资发放专户，由银行代发乙方工人工资。</w:t>
      </w:r>
    </w:p>
    <w:p w14:paraId="314F1B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8.2.11任意一组团/批次进场开工之日三天前，乙方须向甲方提交所有进场人员（包括但不限于施工人员）花名册、身份证复印件及联系电话、乙方与进场人员签订的劳动合同（加盖乙方公章）进行实名登记，否则甲方有权按逾期天数认定乙方延迟开工并计收违约金。乙方与进场人员签订了劳动合同而未提供在花名册内或未提供该人员身份证复印件及联系电话的，该人员不得进入施工现场，如有发现，乙方向甲方支付违约金贰仟元/人/次且甲方不发放该人员的工资。乙方人员如有变更，乙方须在3天内补充新进人员身份证复印件及联系电话、乙方与进场人员签订的劳动合同复印件给甲方，同时提供新的花名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7815DE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8.2.12乙方须主动如实申报及发放工人工资，甲方有权核对，如发现乙方弄虚作假，甲方暂停支付乙方合同款。</w:t>
      </w:r>
    </w:p>
    <w:p w14:paraId="0BAF91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8.2.13乙方有权要求甲方按合同约定提供充足的甲供材料和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w:t>
      </w:r>
      <w:r>
        <w:rPr>
          <w:rFonts w:hint="eastAsia" w:ascii="仿宋" w:hAnsi="仿宋" w:eastAsia="仿宋" w:cs="仿宋"/>
          <w:color w:val="auto"/>
          <w:sz w:val="28"/>
          <w:szCs w:val="28"/>
          <w:highlight w:val="none"/>
          <w:lang w:val="en-US" w:eastAsia="zh-CN"/>
        </w:rPr>
        <w:t>☑合同单价/□合同总价</w:t>
      </w:r>
      <w:r>
        <w:rPr>
          <w:rFonts w:hint="eastAsia" w:ascii="仿宋" w:hAnsi="仿宋" w:eastAsia="仿宋" w:cs="仿宋"/>
          <w:i w:val="0"/>
          <w:iCs w:val="0"/>
          <w:color w:val="auto"/>
          <w:sz w:val="28"/>
          <w:szCs w:val="28"/>
          <w:highlight w:val="none"/>
          <w:shd w:val="clear" w:color="auto" w:fill="auto"/>
          <w:lang w:val="en-US" w:eastAsia="zh-CN"/>
        </w:rPr>
        <w:t>中，不另计价。</w:t>
      </w:r>
    </w:p>
    <w:p w14:paraId="47B76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8.2.14乙方施工过程中，负责本工程工作面上所用材料、机具的清理，做到每天工完场清，并自行负责所有建筑垃圾、生活垃圾、有机物垃圾的处置，相关费用已含于☑合同单价/□合同总价中，甲方无需另行计费给乙方。如乙方未能自行按甲方规定的时间完成处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09DE32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必须于每道工序验收前把本工程工作面有关的建筑垃圾、生活垃圾、有机物垃圾等清理到甲方指定位置，负责隐蔽工程验收前把本工程工作面有关材料、机具、垃圾清理到甲方指定位置，相关费用已含于合同单价中，甲方无需另行计费给乙方。</w:t>
      </w:r>
    </w:p>
    <w:p w14:paraId="248D08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8.2.15乙方进入穿插施工工作面前必须按甲方项目部要求办理“工完场清交接单”，如上一道工序不合格，达不到工作面移交的，乙方对穿插工作面可不接收，但须对进场施工产生的增加费用及工程量在“工完场清交接单”中填报并报甲方项目部确认，该费用由上一道工序责任单位按150%承担。</w:t>
      </w:r>
    </w:p>
    <w:p w14:paraId="7AF5DB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8.2.16合同履行过程中，如乙方中途自行退场，甲方不支付任何款项，因此造成甲方损失的由乙方赔偿。</w:t>
      </w:r>
    </w:p>
    <w:p w14:paraId="2E304B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8.2.17乙方须合理使用甲供材料和机具，在保证质量的情况下，按合同约定及相应规范控制使用。</w:t>
      </w:r>
    </w:p>
    <w:p w14:paraId="0CC72B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8.2.18乙方施工中须与其他分包单位积极配合，保护所有成品，保护费用及责任由乙方承担。非经甲方书面同意，所有已进场材料设备不能运出工地。</w:t>
      </w:r>
    </w:p>
    <w:p w14:paraId="759283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8.2.19如乙方人员使用甲方提供的宿舍，住宿按7人/间配置，凡按乙方人员分配房间超过数量的，甲方将按1000元/间/月（税金另计）向乙方收取房租，乙方必须每月按实缴纳宿舍所有电费用【线路损耗按装表计量实际量加10%损耗计（税金另计）】和空调使用费【按1.3元/间/天计（税金另计），未安装空调的此项不计】和房租给甲方。乙方每次向甲方请款时，甲方合同执行联系人可直接扣除乙方上月产生的房租、宿舍电费及空调使用费，并按扣除后的金额申请进度款。</w:t>
      </w:r>
    </w:p>
    <w:p w14:paraId="0D54C6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8.2.20对违章指挥，乙方有权拒绝服从。</w:t>
      </w:r>
    </w:p>
    <w:p w14:paraId="383790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8.2.21因乙方材料或施工质量问题引起的返工、维修、更换、损失及工期延误等造成的一切费用由乙方承担。</w:t>
      </w:r>
    </w:p>
    <w:p w14:paraId="41A731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8.2.22</w:t>
      </w:r>
      <w:r>
        <w:rPr>
          <w:rFonts w:hint="eastAsia" w:ascii="仿宋" w:hAnsi="仿宋" w:eastAsia="仿宋" w:cs="仿宋"/>
          <w:b w:val="0"/>
          <w:bCs w:val="0"/>
          <w:i w:val="0"/>
          <w:iCs w:val="0"/>
          <w:color w:val="auto"/>
          <w:sz w:val="28"/>
          <w:szCs w:val="28"/>
          <w:highlight w:val="none"/>
          <w:shd w:val="clear" w:color="auto" w:fill="auto"/>
          <w:lang w:val="en-US" w:eastAsia="zh-CN"/>
        </w:rPr>
        <w:t>乙方供应的每批材料必须经甲方现场管理人员（或甲方施工员）确认是否符合合同要求及本工程所需，如不符合，一律不准进场并按甲方要求更换且不得因此延长工期，同时乙方每次向甲方支付违约金伍仟元</w:t>
      </w:r>
      <w:r>
        <w:rPr>
          <w:rFonts w:hint="eastAsia" w:ascii="仿宋" w:hAnsi="仿宋" w:eastAsia="仿宋" w:cs="仿宋"/>
          <w:i w:val="0"/>
          <w:iCs w:val="0"/>
          <w:color w:val="auto"/>
          <w:sz w:val="28"/>
          <w:szCs w:val="28"/>
          <w:highlight w:val="none"/>
          <w:shd w:val="clear" w:color="auto" w:fill="auto"/>
          <w:lang w:val="en-US" w:eastAsia="zh-CN"/>
        </w:rPr>
        <w:t xml:space="preserve">。 </w:t>
      </w:r>
    </w:p>
    <w:p w14:paraId="2E1B6F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8.2.23</w:t>
      </w:r>
      <w:r>
        <w:rPr>
          <w:rFonts w:hint="eastAsia" w:ascii="仿宋" w:hAnsi="仿宋" w:eastAsia="仿宋" w:cs="仿宋"/>
          <w:b w:val="0"/>
          <w:bCs w:val="0"/>
          <w:i w:val="0"/>
          <w:iCs w:val="0"/>
          <w:color w:val="auto"/>
          <w:sz w:val="28"/>
          <w:szCs w:val="28"/>
          <w:highlight w:val="none"/>
          <w:shd w:val="clear" w:color="auto" w:fill="auto"/>
          <w:lang w:val="en-US" w:eastAsia="zh-CN"/>
        </w:rPr>
        <w:t>除不可抗力及非乙方原因外，乙方确保本工程的质量和进度一次性达到合同要求，否则造成的损失由乙方承担且每次向甲方支付违约金壹万元</w:t>
      </w:r>
      <w:r>
        <w:rPr>
          <w:rFonts w:hint="eastAsia" w:ascii="仿宋" w:hAnsi="仿宋" w:eastAsia="仿宋" w:cs="仿宋"/>
          <w:i w:val="0"/>
          <w:iCs w:val="0"/>
          <w:color w:val="auto"/>
          <w:sz w:val="28"/>
          <w:szCs w:val="28"/>
          <w:highlight w:val="none"/>
          <w:shd w:val="clear" w:color="auto" w:fill="auto"/>
          <w:lang w:val="en-US" w:eastAsia="zh-CN"/>
        </w:rPr>
        <w:t>。</w:t>
      </w:r>
    </w:p>
    <w:p w14:paraId="323566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8.2.24乙方签订本合同前已充分了解本工程现场实际情况，确定☑合同单价/□合同总价已包含处理现场各种因素导致的多次进退场、怠工、误工等不能正常开工情形的费用，甲方无需另行计费给乙方。</w:t>
      </w:r>
    </w:p>
    <w:p w14:paraId="177D6A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51C761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8.2.26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1C893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8.2.27乙方须按甲方书面确定的图纸、设计变更通知单施工，未经甲方书面同意而脱离图纸、设计变更通知单而擅自施工的，无论是否影响本工程质量或工期，乙方每次支付违约金壹万元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0F3ADF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8.2.28乙方原因导致的一切安全事故，属乙方责任，所有损失及费用由乙方承担。</w:t>
      </w:r>
    </w:p>
    <w:p w14:paraId="0BB13A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8.2.29非甲方原因导致的乙方人员安全事故或其他伤亡情形（如中暑、猝死、药物过敏、食物中毒等），均由乙方承担所发生的全部费用及损失，对甲方造成损失的则由乙方赔偿。非甲乙双方原因导致的乙方人员安全事故，由乙方承担责任和费用，甲方协助乙方与肇事者协调、协商。</w:t>
      </w:r>
    </w:p>
    <w:p w14:paraId="0CBD28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8.2.30乙方人员（包括乙方家属、朋友等人员）发生的所有安全事故均与甲方无关，甲方不承担任何责任和费用，一切责任和费用均由乙方承担。</w:t>
      </w:r>
    </w:p>
    <w:p w14:paraId="0E5780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8.2.31</w:t>
      </w:r>
      <w:r>
        <w:rPr>
          <w:rFonts w:hint="eastAsia" w:ascii="仿宋" w:hAnsi="仿宋" w:eastAsia="仿宋" w:cs="仿宋"/>
          <w:b w:val="0"/>
          <w:bCs w:val="0"/>
          <w:i w:val="0"/>
          <w:iCs w:val="0"/>
          <w:color w:val="auto"/>
          <w:sz w:val="28"/>
          <w:szCs w:val="28"/>
          <w:highlight w:val="none"/>
          <w:shd w:val="clear" w:color="auto" w:fill="auto"/>
          <w:lang w:val="en-US" w:eastAsia="zh-CN"/>
        </w:rPr>
        <w:t>乙方应根据工程需要，提供施工使用的围栏设施，负责安全保卫工作，合理安排施工作业时间，避免施工影响周边居民正常生活。乙方如需使用甲方位于施工区域周边的残旧建筑作为材料库、员工临时宿舍等用途，因建筑本身导致消防、安全等事故造成的一切损失由乙方承担。</w:t>
      </w:r>
    </w:p>
    <w:p w14:paraId="4034B6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8.2.32乙方与第三人签订的劳动、租赁、买卖等一切合同，与甲方无关。乙方在履约产生的与第三方一切债务，由乙方自行全责处理并承担责任。</w:t>
      </w:r>
    </w:p>
    <w:p w14:paraId="4FAEF3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8.2.33乙方与第三方发生的任何经济往来、债务纠纷均与甲方无关。乙方保证所供材料无权属上的瑕疵也无知识产权的争议，若因此对甲方造成损失，由乙方全责赔偿甲方。</w:t>
      </w:r>
    </w:p>
    <w:p w14:paraId="69A109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8.2.34乙方组织施工人员进场时，须向甲方实名申报《技术工人素质承诺书》（格式详见附件），否则不得进场，并且按甲方要求提供技术工人现场实操施工样板或组织甲方观摩技术工人现场分步分项施工技能，经甲方检验合格后乙方相关技术工人方可进入本项目施工，技术不合格人员须无条件按甲方要求当天退场且甲方不承担任何费用和责任，乙方同时按甲方要求另行组织合格人员进场施工。</w:t>
      </w:r>
    </w:p>
    <w:p w14:paraId="4CC4F5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8.2.35乙方负责承包范围内的全部安全文明施工管理工作，因乙方原因（包括但不限于其自身过错、违规作业、安全管理不善或措施不力等）导致的任何生产安全事故，由此产生的全部责任及所有经济损失（包括对第三方的人身伤害和财产损失赔偿、政府罚款、事故处理费用等）均由乙方全额承担。此外，若发生此类事故，乙方除承担上述全部赔偿和损失外，还须向甲方支付违约金，违约金金额为事故造成的所有赔偿总额及所有直接、间接经济损失总金额的30%。此违约金是甲方因乙方违约行为所遭受的管理成本增加、声誉损失等的补偿，不免除乙方继续承担事故本身责任和妥善处理善后事宜的义务，给甲方造成的所有损失和乙方违约金，甲方可以从与乙方相关的任意款项中一次性扣回，不足的部分由乙方按照甲方要求时间内支付给甲方。</w:t>
      </w:r>
    </w:p>
    <w:p w14:paraId="24322A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87" w:name="_Toc28158"/>
      <w:bookmarkStart w:id="88" w:name="_Toc22397"/>
      <w:bookmarkStart w:id="89" w:name="_Toc807"/>
      <w:bookmarkStart w:id="90" w:name="_Toc28266"/>
      <w:bookmarkStart w:id="91" w:name="_Toc11160"/>
      <w:r>
        <w:rPr>
          <w:rFonts w:hint="eastAsia" w:ascii="仿宋" w:hAnsi="仿宋" w:eastAsia="仿宋" w:cs="仿宋"/>
          <w:b/>
          <w:bCs/>
          <w:i w:val="0"/>
          <w:iCs w:val="0"/>
          <w:color w:val="auto"/>
          <w:sz w:val="28"/>
          <w:szCs w:val="28"/>
          <w:highlight w:val="none"/>
          <w:shd w:val="clear" w:color="auto" w:fill="auto"/>
          <w:lang w:val="en-US" w:eastAsia="zh-CN"/>
        </w:rPr>
        <w:t>第九章、安全生产、文明施工要求</w:t>
      </w:r>
      <w:bookmarkEnd w:id="87"/>
      <w:bookmarkEnd w:id="88"/>
      <w:bookmarkEnd w:id="89"/>
      <w:bookmarkEnd w:id="90"/>
      <w:bookmarkEnd w:id="91"/>
    </w:p>
    <w:p w14:paraId="55023FF0">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92" w:name="_Toc5758"/>
      <w:bookmarkStart w:id="93" w:name="_Toc27493"/>
      <w:r>
        <w:rPr>
          <w:rFonts w:hint="eastAsia" w:ascii="仿宋" w:hAnsi="仿宋" w:eastAsia="仿宋" w:cs="仿宋"/>
          <w:i w:val="0"/>
          <w:iCs w:val="0"/>
          <w:color w:val="auto"/>
          <w:sz w:val="28"/>
          <w:szCs w:val="28"/>
          <w:highlight w:val="none"/>
          <w:u w:val="none"/>
          <w:shd w:val="clear" w:color="auto" w:fill="auto"/>
          <w:lang w:val="en-US" w:eastAsia="zh-CN"/>
        </w:rPr>
        <w:t>9.1甲方应对乙方进场的施工人员进行安全教育。</w:t>
      </w:r>
      <w:bookmarkEnd w:id="92"/>
      <w:bookmarkEnd w:id="93"/>
    </w:p>
    <w:p w14:paraId="345C461A">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9.2甲方不得违反《建设工程安全生产管理条例》（按最新版执行）的规定要求乙方违章施工。因甲方指挥失误导致的安全事故由甲方承担相应责任和费用。</w:t>
      </w:r>
    </w:p>
    <w:p w14:paraId="4C5415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9.3乙方须严格遵守《建筑施工安全检查标准》（JGJ59-2011标准，</w:t>
      </w:r>
      <w:r>
        <w:rPr>
          <w:rFonts w:hint="eastAsia" w:ascii="仿宋" w:hAnsi="仿宋" w:eastAsia="仿宋" w:cs="仿宋"/>
          <w:i w:val="0"/>
          <w:iCs w:val="0"/>
          <w:color w:val="auto"/>
          <w:sz w:val="28"/>
          <w:szCs w:val="28"/>
          <w:highlight w:val="none"/>
          <w:u w:val="none"/>
          <w:shd w:val="clear" w:color="auto" w:fill="auto"/>
          <w:lang w:val="en-US" w:eastAsia="zh-CN"/>
        </w:rPr>
        <w:t>按最新版执行</w:t>
      </w:r>
      <w:r>
        <w:rPr>
          <w:rFonts w:hint="eastAsia" w:ascii="仿宋" w:hAnsi="仿宋" w:eastAsia="仿宋" w:cs="仿宋"/>
          <w:color w:val="auto"/>
          <w:sz w:val="28"/>
          <w:szCs w:val="28"/>
          <w:highlight w:val="none"/>
          <w:lang w:val="en-US" w:eastAsia="zh-CN"/>
        </w:rPr>
        <w:t>）、《建设工程安全生产管理条例》（按最新版执行）等地方政府相关法律法规文件及甲方针对本工程的安全生产、文明施工管理制度的规定，组织安排工人施工，消除安全隐患。乙方进场施工人员年龄必须在18至55周岁之间（政府部门有更严格要求的，从其要求），否则</w:t>
      </w:r>
      <w:r>
        <w:rPr>
          <w:rFonts w:hint="eastAsia" w:ascii="仿宋" w:hAnsi="仿宋" w:eastAsia="仿宋" w:cs="仿宋"/>
          <w:b w:val="0"/>
          <w:bCs w:val="0"/>
          <w:i w:val="0"/>
          <w:iCs w:val="0"/>
          <w:color w:val="auto"/>
          <w:sz w:val="28"/>
          <w:szCs w:val="28"/>
          <w:highlight w:val="none"/>
          <w:shd w:val="clear" w:color="auto" w:fill="auto"/>
          <w:lang w:val="en-US" w:eastAsia="zh-CN"/>
        </w:rPr>
        <w:t>按甲方要求当天退场且甲方不承担任何费用和责任</w:t>
      </w:r>
      <w:r>
        <w:rPr>
          <w:rFonts w:hint="eastAsia" w:ascii="仿宋" w:hAnsi="仿宋" w:eastAsia="仿宋" w:cs="仿宋"/>
          <w:color w:val="auto"/>
          <w:sz w:val="28"/>
          <w:szCs w:val="28"/>
          <w:highlight w:val="none"/>
          <w:lang w:val="en-US" w:eastAsia="zh-CN"/>
        </w:rPr>
        <w:t>。乙方保证甲方不承担任何因乙方原因导致的人身伤亡或财产损失所发生的一切责任，保障甲方不承担任何属于乙方及其人员引起的诉讼，控告、索赔责任及可能发生的相关费用，否则甲方的全部损失由乙方赔偿。</w:t>
      </w:r>
    </w:p>
    <w:p w14:paraId="1E7B6693">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9.4乙方施工过程中，上道工序完成与下道工序必须进行工作面交接并以书面形式确认，甲方及相关单位签字确认的“隐蔽验收表”作为工程进度款申请书及结算书的附件。</w:t>
      </w:r>
    </w:p>
    <w:p w14:paraId="76E0435F">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94" w:name="_Toc18465"/>
      <w:bookmarkStart w:id="95" w:name="_Toc7882"/>
      <w:r>
        <w:rPr>
          <w:rFonts w:hint="eastAsia" w:ascii="仿宋" w:hAnsi="仿宋" w:eastAsia="仿宋" w:cs="仿宋"/>
          <w:i w:val="0"/>
          <w:iCs w:val="0"/>
          <w:color w:val="auto"/>
          <w:sz w:val="28"/>
          <w:szCs w:val="28"/>
          <w:highlight w:val="none"/>
          <w:u w:val="none"/>
          <w:shd w:val="clear" w:color="auto" w:fill="auto"/>
          <w:lang w:val="en-US" w:eastAsia="zh-CN"/>
        </w:rPr>
        <w:t>9.5其它事项：</w:t>
      </w:r>
      <w:bookmarkEnd w:id="94"/>
      <w:bookmarkEnd w:id="95"/>
    </w:p>
    <w:p w14:paraId="3535A4D2">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9.5.1拆除时不得高空抛弃材料，必须通过机械或人工传递至地面；</w:t>
      </w:r>
    </w:p>
    <w:p w14:paraId="0FA5FC86">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9.5.2必须正确佩戴安全帽及安全带；</w:t>
      </w:r>
    </w:p>
    <w:p w14:paraId="2B9E8489">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9.5.3不许酒后上班；</w:t>
      </w:r>
    </w:p>
    <w:p w14:paraId="1ADC9454">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9.5.4不许穿拖鞋、硬底鞋上班。</w:t>
      </w:r>
    </w:p>
    <w:p w14:paraId="449150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96" w:name="_Toc12086"/>
      <w:bookmarkStart w:id="97" w:name="_Toc22606"/>
      <w:bookmarkStart w:id="98" w:name="_Toc4623"/>
      <w:r>
        <w:rPr>
          <w:rFonts w:hint="eastAsia" w:ascii="仿宋" w:hAnsi="仿宋" w:eastAsia="仿宋" w:cs="仿宋"/>
          <w:b/>
          <w:bCs/>
          <w:i w:val="0"/>
          <w:iCs w:val="0"/>
          <w:color w:val="auto"/>
          <w:sz w:val="28"/>
          <w:szCs w:val="28"/>
          <w:highlight w:val="none"/>
          <w:shd w:val="clear" w:color="auto" w:fill="auto"/>
          <w:lang w:val="en-US" w:eastAsia="zh-CN"/>
        </w:rPr>
        <w:t>第十章、甲供材料设备</w:t>
      </w:r>
      <w:bookmarkEnd w:id="96"/>
      <w:bookmarkEnd w:id="97"/>
      <w:bookmarkEnd w:id="98"/>
    </w:p>
    <w:p w14:paraId="4EC11C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10.1乙方领用甲供材、甲供机具都必须按甲方规定办理租用、借用、领用手续。</w:t>
      </w:r>
    </w:p>
    <w:p w14:paraId="49D886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10.2乙方对周转材料、建筑材料和施工机具应做到限额合理使用、工完场清，对机具负责正常保养维护。因违反操作规程造成损坏或因保管不严造成丢失的，乙方须负赔偿责任。</w:t>
      </w:r>
    </w:p>
    <w:p w14:paraId="380A14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10.3本工程竣工之日起10个日历天内，乙方须到甲方仓库完成甲供材料和机具的退还手续，每延迟一日，向甲方支付违约金人民币伍佰元，且甲方有权不办理结算直至全部退还为止。</w:t>
      </w:r>
    </w:p>
    <w:p w14:paraId="226F37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10.4乙方配合甲方制定本工程甲供材料和机具的需求计划，每批甲供材需求单须在领用之日的十个工作日前报至甲方项目经理审批，经甲方项目经理审批后方可到甲方仓库领取，乙方每延迟申报一日，向甲方支付违约金伍佰元且不得要求延长工期。</w:t>
      </w:r>
    </w:p>
    <w:p w14:paraId="0E9CDD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eastAsia="zh-CN"/>
        </w:rPr>
        <w:t>.5乙方指定其现场负责人办理甲供材领料手续，由该负责人办理甲供材领料手续，领料流程按甲方相关管理规定执行，乙方现场负责人签署的该流程所有手续在本工程完工后作为乙方材料损耗计量和结算依据</w:t>
      </w:r>
      <w:r>
        <w:rPr>
          <w:rFonts w:hint="eastAsia" w:ascii="仿宋" w:hAnsi="仿宋" w:eastAsia="仿宋" w:cs="仿宋"/>
          <w:color w:val="auto"/>
          <w:sz w:val="28"/>
          <w:szCs w:val="28"/>
          <w:highlight w:val="none"/>
          <w:lang w:val="en-US" w:eastAsia="zh-CN"/>
        </w:rPr>
        <w:t>之一</w:t>
      </w:r>
      <w:r>
        <w:rPr>
          <w:rFonts w:hint="eastAsia" w:ascii="仿宋" w:hAnsi="仿宋" w:eastAsia="仿宋" w:cs="仿宋"/>
          <w:color w:val="auto"/>
          <w:sz w:val="28"/>
          <w:szCs w:val="28"/>
          <w:highlight w:val="none"/>
          <w:lang w:eastAsia="zh-CN"/>
        </w:rPr>
        <w:t>。</w:t>
      </w:r>
    </w:p>
    <w:p w14:paraId="7C2A03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2E29F3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10.7</w:t>
      </w:r>
      <w:r>
        <w:rPr>
          <w:rFonts w:hint="eastAsia" w:ascii="仿宋" w:hAnsi="仿宋" w:eastAsia="仿宋" w:cs="仿宋"/>
          <w:i w:val="0"/>
          <w:iCs w:val="0"/>
          <w:color w:val="auto"/>
          <w:sz w:val="28"/>
          <w:szCs w:val="28"/>
          <w:highlight w:val="none"/>
          <w:shd w:val="clear" w:color="auto" w:fill="auto"/>
          <w:lang w:val="en-US" w:eastAsia="zh-CN"/>
        </w:rPr>
        <w:t>乙方在甲方领料时，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4E5809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10.8劳保用品配置标准具体实施及费用收取标准、办法：</w:t>
      </w:r>
    </w:p>
    <w:p w14:paraId="358CA3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10.8.1本工程配置黄色的安全帽、荧光黄色的反光背心，款式按甲方颁布的《劳保用品配置标准及司旗款式》（V2022）制度执行。</w:t>
      </w:r>
    </w:p>
    <w:p w14:paraId="1ECA8B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10.8.2甲方提供安全帽20元/顶、反光背心15元/件，按乙方实际领取数量的对应金额在结算时进行扣除。</w:t>
      </w:r>
    </w:p>
    <w:p w14:paraId="52015A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99" w:name="_Toc30878"/>
      <w:bookmarkStart w:id="100" w:name="_Toc28272"/>
      <w:bookmarkStart w:id="101" w:name="_Toc21107"/>
      <w:r>
        <w:rPr>
          <w:rFonts w:hint="eastAsia" w:ascii="仿宋" w:hAnsi="仿宋" w:eastAsia="仿宋" w:cs="仿宋"/>
          <w:b/>
          <w:bCs/>
          <w:i w:val="0"/>
          <w:iCs w:val="0"/>
          <w:color w:val="auto"/>
          <w:sz w:val="28"/>
          <w:szCs w:val="28"/>
          <w:highlight w:val="none"/>
          <w:shd w:val="clear" w:color="auto" w:fill="auto"/>
          <w:lang w:val="en-US" w:eastAsia="zh-CN"/>
        </w:rPr>
        <w:t>第十一章、验收及保修</w:t>
      </w:r>
      <w:bookmarkEnd w:id="99"/>
      <w:bookmarkEnd w:id="100"/>
      <w:bookmarkEnd w:id="101"/>
    </w:p>
    <w:p w14:paraId="56C933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b w:val="0"/>
          <w:bCs w:val="0"/>
          <w:i w:val="0"/>
          <w:iCs w:val="0"/>
          <w:color w:val="auto"/>
          <w:sz w:val="28"/>
          <w:szCs w:val="28"/>
          <w:highlight w:val="none"/>
          <w:u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lang w:val="en-US" w:eastAsia="zh-CN"/>
        </w:rPr>
        <w:t>1</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保修期内，本工程如因乙方原因出现质量问题，乙方须在接到甲方通知起48小时内派人到达现场处理解决，否则甲方有权自行或委托第三方处理，乙方承担相关费用、责任并向甲方支付违约金壹仟元/次；如发生的问题或事故系乙方导致或属于乙方保修内容，甲方所耗费用有权从乙方的保修金中扣除，不足部分由乙方在甲方发出书面通知之日起10个日历天内支付；如非乙方原因所致，乙方仍应提供维修服务，但费用经双方商定后由责任方承担</w:t>
      </w:r>
      <w:r>
        <w:rPr>
          <w:rFonts w:hint="eastAsia" w:ascii="仿宋" w:hAnsi="仿宋" w:eastAsia="仿宋" w:cs="仿宋"/>
          <w:i w:val="0"/>
          <w:iCs w:val="0"/>
          <w:color w:val="auto"/>
          <w:sz w:val="28"/>
          <w:szCs w:val="28"/>
          <w:highlight w:val="none"/>
          <w:u w:val="none"/>
          <w:shd w:val="clear" w:color="auto" w:fill="auto"/>
        </w:rPr>
        <w:t>。</w:t>
      </w:r>
    </w:p>
    <w:p w14:paraId="638773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rPr>
        <w:t>.</w:t>
      </w:r>
      <w:r>
        <w:rPr>
          <w:rFonts w:hint="eastAsia" w:ascii="仿宋" w:hAnsi="仿宋" w:eastAsia="仿宋" w:cs="仿宋"/>
          <w:i w:val="0"/>
          <w:iCs w:val="0"/>
          <w:color w:val="auto"/>
          <w:sz w:val="28"/>
          <w:szCs w:val="28"/>
          <w:highlight w:val="none"/>
          <w:u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保修期内若发生乙方原因导致的质量问题，乙方须赔偿甲方因此造成的一切损失；出现较大质量缺陷，乙方履行保修义务</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维修</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至验收合格后，工程</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rPr>
        <w:t>期自维修工作完成验收合格之日起顺延。</w:t>
      </w:r>
    </w:p>
    <w:p w14:paraId="378DB6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rPr>
        <w:t>.</w:t>
      </w:r>
      <w:r>
        <w:rPr>
          <w:rFonts w:hint="eastAsia" w:ascii="仿宋" w:hAnsi="仿宋" w:eastAsia="仿宋" w:cs="仿宋"/>
          <w:i w:val="0"/>
          <w:iCs w:val="0"/>
          <w:color w:val="auto"/>
          <w:sz w:val="28"/>
          <w:szCs w:val="28"/>
          <w:highlight w:val="none"/>
          <w:u w:val="none"/>
          <w:shd w:val="clear" w:color="auto" w:fill="auto"/>
          <w:lang w:val="en-US" w:eastAsia="zh-CN"/>
        </w:rPr>
        <w:t>3</w:t>
      </w:r>
      <w:r>
        <w:rPr>
          <w:rFonts w:hint="eastAsia" w:ascii="仿宋" w:hAnsi="仿宋" w:eastAsia="仿宋" w:cs="仿宋"/>
          <w:i w:val="0"/>
          <w:iCs w:val="0"/>
          <w:color w:val="auto"/>
          <w:sz w:val="28"/>
          <w:szCs w:val="28"/>
          <w:highlight w:val="none"/>
          <w:u w:val="none"/>
          <w:shd w:val="clear" w:color="auto" w:fill="auto"/>
        </w:rPr>
        <w:t>保修期</w:t>
      </w:r>
      <w:r>
        <w:rPr>
          <w:rFonts w:hint="eastAsia" w:ascii="仿宋" w:hAnsi="仿宋" w:eastAsia="仿宋" w:cs="仿宋"/>
          <w:i w:val="0"/>
          <w:iCs w:val="0"/>
          <w:color w:val="auto"/>
          <w:sz w:val="28"/>
          <w:szCs w:val="28"/>
          <w:highlight w:val="none"/>
          <w:u w:val="none"/>
          <w:shd w:val="clear" w:color="auto" w:fill="auto"/>
          <w:lang w:val="en-US" w:eastAsia="zh-CN"/>
        </w:rPr>
        <w:t>届</w:t>
      </w:r>
      <w:r>
        <w:rPr>
          <w:rFonts w:hint="eastAsia" w:ascii="仿宋" w:hAnsi="仿宋" w:eastAsia="仿宋" w:cs="仿宋"/>
          <w:i w:val="0"/>
          <w:iCs w:val="0"/>
          <w:color w:val="auto"/>
          <w:sz w:val="28"/>
          <w:szCs w:val="28"/>
          <w:highlight w:val="none"/>
          <w:u w:val="none"/>
          <w:shd w:val="clear" w:color="auto" w:fill="auto"/>
        </w:rPr>
        <w:t>满前，若出现质量问题需要鉴定，相关费用由乙方负责。</w:t>
      </w:r>
    </w:p>
    <w:p w14:paraId="0D49C83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11.4保修期届满后，由甲方工程部组织主导乙方、物业管理单位（如有）、建设单位等相关单位人员验收，验收合格后由甲方工程部出具《保修验收合格报告》作为保修金支付凭证，若验收不通过，由乙方整改后另行验收，相关费用由乙方负责。本工程整改两次通过保修验收的，则保修期按乙方整改天数顺延，整改三次及以上才验收合格的，保修期顺延一年。 </w:t>
      </w:r>
    </w:p>
    <w:p w14:paraId="0730E18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02" w:name="_Toc1279"/>
      <w:bookmarkStart w:id="103" w:name="_Toc6473"/>
      <w:bookmarkStart w:id="104" w:name="_Toc454"/>
      <w:bookmarkStart w:id="105" w:name="_Toc3973"/>
      <w:bookmarkStart w:id="106" w:name="_Toc16116"/>
      <w:bookmarkStart w:id="107" w:name="_Toc4352"/>
      <w:r>
        <w:rPr>
          <w:rFonts w:hint="eastAsia" w:ascii="仿宋" w:hAnsi="仿宋" w:eastAsia="仿宋" w:cs="仿宋"/>
          <w:b/>
          <w:bCs/>
          <w:i w:val="0"/>
          <w:iCs w:val="0"/>
          <w:color w:val="auto"/>
          <w:sz w:val="28"/>
          <w:szCs w:val="28"/>
          <w:highlight w:val="none"/>
          <w:shd w:val="clear" w:color="auto" w:fill="auto"/>
          <w:lang w:val="en-US" w:eastAsia="zh-CN"/>
        </w:rPr>
        <w:t>第十二章、保险</w:t>
      </w:r>
      <w:bookmarkEnd w:id="102"/>
      <w:bookmarkEnd w:id="103"/>
      <w:bookmarkEnd w:id="104"/>
      <w:bookmarkEnd w:id="105"/>
      <w:bookmarkEnd w:id="106"/>
      <w:bookmarkEnd w:id="107"/>
    </w:p>
    <w:p w14:paraId="5FC3151F">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7437A45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12.2甲方未办理“建筑工程社会保险——工伤保险”时，对乙方导致的任何安全事故及工伤人员的全部安全事故，由乙方全部承担责任和费用，相关费用已包含在</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中，甲方不承担任何责任和费用。</w:t>
      </w:r>
    </w:p>
    <w:p w14:paraId="5928550A">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12.3乙方须为其属下人员、财产、现场各种施工设施、设备、材料购买保险，相关费用已含在</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中无需甲方另行支付给乙方。因各种原因导致乙方需要延长保险期所需增加的保险费由乙方自行承担，其费用已包含在</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内。乙方人员或因乙方原因造成任何事故(包括第三方人员在内)导致的损失、赔偿、补偿等责任和费用由乙方承担。</w:t>
      </w:r>
    </w:p>
    <w:p w14:paraId="0A3C21D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12.4甲乙双方在签订各自的保险合同时，其第三方责任险应将对方互相视为第三方。</w:t>
      </w:r>
    </w:p>
    <w:p w14:paraId="07D35D8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12.5乙方须对本工程涉及的乙方人员购买人身意外伤害险等保险，保额不低于死亡赔偿人民币150万元/人及伤害赔偿人民币15万元/人，相关费用已含于</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中甲方无需另行支付给乙方。乙方须自保险合同生效之日起5个日历天内将保险合同复印件（加盖乙方公章）提交甲方项目部留存。</w:t>
      </w:r>
    </w:p>
    <w:p w14:paraId="7C7E51A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 xml:space="preserve">12.6无论甲乙任何一方有无按照本合同约定办理相关保险事宜，乙方人员或因乙方原因导致在本项目范围内发生的伤亡事故，均由乙方承担责任和费用。 </w:t>
      </w:r>
    </w:p>
    <w:p w14:paraId="5D9193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08" w:name="_Toc12559"/>
      <w:bookmarkStart w:id="109" w:name="_Toc7926"/>
      <w:bookmarkStart w:id="110" w:name="_Toc14887"/>
      <w:bookmarkStart w:id="111" w:name="_Toc14823"/>
      <w:bookmarkStart w:id="112" w:name="_Toc5657"/>
      <w:bookmarkStart w:id="113" w:name="_Toc20713"/>
      <w:bookmarkStart w:id="114" w:name="_Toc30819"/>
      <w:bookmarkStart w:id="115" w:name="_Toc9446"/>
      <w:bookmarkStart w:id="116" w:name="_Toc15560"/>
      <w:r>
        <w:rPr>
          <w:rFonts w:hint="eastAsia" w:ascii="仿宋" w:hAnsi="仿宋" w:eastAsia="仿宋" w:cs="仿宋"/>
          <w:b/>
          <w:bCs/>
          <w:i w:val="0"/>
          <w:iCs w:val="0"/>
          <w:color w:val="auto"/>
          <w:sz w:val="28"/>
          <w:szCs w:val="28"/>
          <w:highlight w:val="none"/>
          <w:shd w:val="clear" w:color="auto" w:fill="auto"/>
          <w:lang w:val="en-US" w:eastAsia="zh-CN"/>
        </w:rPr>
        <w:t>第十三章、奖罚条款</w:t>
      </w:r>
      <w:bookmarkEnd w:id="108"/>
      <w:bookmarkEnd w:id="109"/>
      <w:bookmarkEnd w:id="110"/>
      <w:bookmarkEnd w:id="111"/>
      <w:bookmarkEnd w:id="112"/>
      <w:bookmarkEnd w:id="113"/>
      <w:bookmarkEnd w:id="114"/>
      <w:bookmarkEnd w:id="115"/>
      <w:bookmarkEnd w:id="116"/>
    </w:p>
    <w:p w14:paraId="1FA76890">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117" w:name="_Toc21565"/>
      <w:bookmarkStart w:id="118" w:name="_Toc31201"/>
      <w:r>
        <w:rPr>
          <w:rFonts w:hint="eastAsia" w:ascii="仿宋" w:hAnsi="仿宋" w:eastAsia="仿宋" w:cs="仿宋"/>
          <w:i w:val="0"/>
          <w:iCs w:val="0"/>
          <w:color w:val="auto"/>
          <w:sz w:val="28"/>
          <w:szCs w:val="28"/>
          <w:highlight w:val="none"/>
          <w:u w:val="none"/>
          <w:shd w:val="clear" w:color="auto" w:fill="auto"/>
          <w:lang w:val="en-US" w:eastAsia="zh-CN"/>
        </w:rPr>
        <w:t>13.1奖励</w:t>
      </w:r>
      <w:bookmarkEnd w:id="117"/>
      <w:bookmarkEnd w:id="118"/>
    </w:p>
    <w:p w14:paraId="57F30A77">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如乙方施工的产品质量优质，施工进度快，安全生产、文明施工达标，作业队伍整体形象受各方好评且有下列情况之一的，甲方给予乙方一定的奖励（奖励额度按有关规定执行，最终解释权在甲方，甲方亦有权取消奖励。本条款不视为甲方对乙方作出的承诺）：</w:t>
      </w:r>
    </w:p>
    <w:p w14:paraId="22ABBC88">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13.1.1.1甲方组织的各类检查验收中，乙方组建的施工队伍被评为优质作业队伍。</w:t>
      </w:r>
    </w:p>
    <w:p w14:paraId="21878DE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13.1.1.2乙方负责施工的成品受到省、市有关部门表彰。</w:t>
      </w:r>
    </w:p>
    <w:p w14:paraId="26FA7C03">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13.1.1.3乙方负责施工的成品受到建设单位、监理好评。</w:t>
      </w:r>
    </w:p>
    <w:p w14:paraId="3CED799B">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13.1.1.4特定情况下，由于乙方的主观努力使甲方避免遭受巨大损失。</w:t>
      </w:r>
    </w:p>
    <w:p w14:paraId="6D7F6C9F">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13.1.1.5乙方工人安全生产、文明施工、节约用料、质量优、进度快。</w:t>
      </w:r>
    </w:p>
    <w:p w14:paraId="058E8193">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119" w:name="_Toc5991"/>
      <w:bookmarkStart w:id="120" w:name="_Toc14079"/>
      <w:r>
        <w:rPr>
          <w:rFonts w:hint="eastAsia" w:ascii="仿宋" w:hAnsi="仿宋" w:eastAsia="仿宋" w:cs="仿宋"/>
          <w:i w:val="0"/>
          <w:iCs w:val="0"/>
          <w:color w:val="auto"/>
          <w:sz w:val="28"/>
          <w:szCs w:val="28"/>
          <w:highlight w:val="none"/>
          <w:u w:val="none"/>
          <w:shd w:val="clear" w:color="auto" w:fill="auto"/>
          <w:lang w:val="en-US" w:eastAsia="zh-CN"/>
        </w:rPr>
        <w:t>13.2惩罚</w:t>
      </w:r>
      <w:bookmarkEnd w:id="119"/>
      <w:bookmarkEnd w:id="120"/>
    </w:p>
    <w:p w14:paraId="2AB64FF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13.2.1如乙方出现下列任一情况，甲方有权单方解除本合同，同时乙方赔偿甲方损失（包括但不限于因工期延误而使得甲方对建设单位承担的违约责任、损失赔偿责任等）：</w:t>
      </w:r>
    </w:p>
    <w:p w14:paraId="18CD7C44">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13.2.1.1乙方在质量、进度、安全、管理等方面经甲方二次警告或处罚后仍不能明显改善；</w:t>
      </w:r>
    </w:p>
    <w:p w14:paraId="4C3B8E6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13.2.1.2乙方将本工程以各种形式转包、分包给他人；</w:t>
      </w:r>
    </w:p>
    <w:p w14:paraId="116CDD5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13.2.1.3乙方发生偷工减料、以次充好、弄虚作假等情形。</w:t>
      </w:r>
    </w:p>
    <w:p w14:paraId="14E2C7D2">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13.2.2因下列情况导致的甲方损失均由乙方赔偿（包括但不限于因逾期完工而使得甲方对建设单位承担的违约责任、损失赔偿责任等）：</w:t>
      </w:r>
    </w:p>
    <w:p w14:paraId="12B3F20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①因乙方施工质量事故造成的损失；</w:t>
      </w:r>
    </w:p>
    <w:p w14:paraId="3FD2B6CD">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②因乙方中途退场造成的损失；</w:t>
      </w:r>
    </w:p>
    <w:p w14:paraId="59E0929C">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③乙方发生偷工减料、以次充好、弄虚作假等情形。</w:t>
      </w:r>
    </w:p>
    <w:p w14:paraId="1D096FD8">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13.2.3因乙方导致工程质量或工期达不到合同要求或使用甲供材料用量超标的，均属乙方违约，甲方有权单方解除合同且不付款，同时乙方赔偿甲方由此造成的损失及费用。</w:t>
      </w:r>
    </w:p>
    <w:p w14:paraId="6DA35DA9">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13.2.4乙方或其人员有下列情况之一的，造成甲方损失的由乙方全额赔偿甲方，同时甲方有权对乙方采取每人或每次收取违约金壹佰元至叁万元的措施：</w:t>
      </w:r>
    </w:p>
    <w:p w14:paraId="52EB2346">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13.2.4.1隐蔽工程一次验收不合格；</w:t>
      </w:r>
    </w:p>
    <w:p w14:paraId="15B791C6">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13.2.4.2不能按甲方确定的周进度计划完成施工作业延误工期一天；</w:t>
      </w:r>
    </w:p>
    <w:p w14:paraId="1643D0DE">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13.2.4.3出现因质量、安全不满足本合同约定需整改；</w:t>
      </w:r>
    </w:p>
    <w:p w14:paraId="27F86C7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13.2.4.4聚众赌博，影响他人休息；</w:t>
      </w:r>
    </w:p>
    <w:p w14:paraId="07E4CFF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13.2.4.5聚众闹事、打人、打架、偷抢行为；</w:t>
      </w:r>
    </w:p>
    <w:p w14:paraId="45D590A3">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13.2.4.6容留非本工程现场人员在本项目宿舍住宿；</w:t>
      </w:r>
    </w:p>
    <w:p w14:paraId="1A9FC5DE">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13.2.4.7不按甲方要求加班或人员不足导致延误工期一天；</w:t>
      </w:r>
    </w:p>
    <w:p w14:paraId="355B8C1D">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13.2.4.8浪费材料、损坏机具或破坏其它设施及成品；</w:t>
      </w:r>
    </w:p>
    <w:p w14:paraId="6ED6030A">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13.2.4.9在生活区存放易燃易爆物品或其它危险品；</w:t>
      </w:r>
    </w:p>
    <w:p w14:paraId="5B5C9E3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13.2.4.10收留、聘用未成年人；（同时驱逐未成年人离开本项目）</w:t>
      </w:r>
    </w:p>
    <w:p w14:paraId="57D5304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13.2.4.11在宿舍内做饭、使用大功率电器设备，如电磁炉、电饭煲、电热棒等。</w:t>
      </w:r>
    </w:p>
    <w:p w14:paraId="307D24E8">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13.2.5乙方或其人员有下列情况之一的，造成甲方损失的由乙方全额赔偿给甲方，同时，甲方有权对乙方采取每人或每次收取违约金壹佰元至叁万元的措施：</w:t>
      </w:r>
    </w:p>
    <w:p w14:paraId="1A4DF1F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13.2.5.1管理人员未经甲方同意离开工地两天以内；</w:t>
      </w:r>
    </w:p>
    <w:p w14:paraId="16CD64FB">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13.2.5.2未戴好安全帽、穿拖鞋或赤脚、赤膊进入作业区；</w:t>
      </w:r>
    </w:p>
    <w:p w14:paraId="7C112A4C">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13.2.5.3不戴工卡上岗；</w:t>
      </w:r>
    </w:p>
    <w:p w14:paraId="4DB4F87B">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13.2.5.4施工人员进场三天内不办理工作卡；</w:t>
      </w:r>
    </w:p>
    <w:p w14:paraId="287AA20C">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13.2.5.5未经甲方批准擅带家属及小孩进入施工现场或在宿舍居住；</w:t>
      </w:r>
    </w:p>
    <w:p w14:paraId="685A7F33">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13.2.5.6工棚内乱拉乱接电线，违反生活区管理制度；</w:t>
      </w:r>
    </w:p>
    <w:p w14:paraId="1D33A4B0">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13.2.5.7宿舍卫生不合格；</w:t>
      </w:r>
    </w:p>
    <w:p w14:paraId="06F6A830">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13.2.5.8材料、机具未按甲方要求堆放，建筑垃圾未按甲方要求处理，随地大小便，随意吸烟，在墙上乱涂乱画。</w:t>
      </w:r>
      <w:bookmarkStart w:id="121" w:name="_Toc16635"/>
      <w:bookmarkStart w:id="122" w:name="_Toc6486"/>
      <w:bookmarkStart w:id="123" w:name="_Toc28593"/>
    </w:p>
    <w:p w14:paraId="2E710B85">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13.2.5.9乙方人员、车辆不接受甲方门岗保卫检查。</w:t>
      </w:r>
    </w:p>
    <w:p w14:paraId="04CAA1C9">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13.3合同履行期间，乙方无条件执行甲方与建设单位签订的《江苏溢丰华创环保科技有限公司施工现场管理办法》，因乙方原因导致建设单位或其他部门对甲方进行处罚扣款的，乙方按该处罚金额的2倍向甲方支付违约金。</w:t>
      </w:r>
    </w:p>
    <w:p w14:paraId="2ADAEA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24" w:name="_Toc2468"/>
      <w:bookmarkStart w:id="125" w:name="_Toc27799"/>
      <w:bookmarkStart w:id="126" w:name="_Toc7591"/>
      <w:bookmarkStart w:id="127" w:name="_Toc8716"/>
      <w:bookmarkStart w:id="128" w:name="_Toc21006"/>
      <w:bookmarkStart w:id="129" w:name="_Toc30520"/>
      <w:r>
        <w:rPr>
          <w:rFonts w:hint="eastAsia" w:ascii="仿宋" w:hAnsi="仿宋" w:eastAsia="仿宋" w:cs="仿宋"/>
          <w:b/>
          <w:bCs/>
          <w:i w:val="0"/>
          <w:iCs w:val="0"/>
          <w:color w:val="auto"/>
          <w:sz w:val="28"/>
          <w:szCs w:val="28"/>
          <w:highlight w:val="none"/>
          <w:shd w:val="clear" w:color="auto" w:fill="auto"/>
          <w:lang w:val="en-US" w:eastAsia="zh-CN"/>
        </w:rPr>
        <w:t>第十四章、违约条款</w:t>
      </w:r>
      <w:bookmarkEnd w:id="121"/>
      <w:bookmarkEnd w:id="122"/>
      <w:bookmarkEnd w:id="123"/>
      <w:bookmarkEnd w:id="124"/>
      <w:bookmarkEnd w:id="125"/>
      <w:bookmarkEnd w:id="126"/>
      <w:bookmarkEnd w:id="127"/>
      <w:bookmarkEnd w:id="128"/>
      <w:bookmarkEnd w:id="129"/>
    </w:p>
    <w:p w14:paraId="39FC7D8E">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14.1乙方延迟开工或不能按合同约定的工期完成本工程任一节点内容的，每延迟一个日历天，乙方向甲方支付违约金伍仟元，延迟超过三个日历天的，甲方有权单方解除合同，已完工工程无偿归甲方，甲方有权委托其他单位继续完成本工程；乙方同时按合同暂定总价/合同总价的20%支付违约金并按甲方要求准时退场，每延迟一个日历天退场，乙方向甲方另行支付违约金伍仟元，甲方的损失（包括但不限于因逾期而使得甲方需对建设单位承担的违约责任、损失赔偿责任等）由乙方赔偿。</w:t>
      </w:r>
      <w:r>
        <w:rPr>
          <w:rFonts w:hint="eastAsia" w:ascii="仿宋" w:hAnsi="仿宋" w:eastAsia="仿宋" w:cs="仿宋"/>
          <w:i w:val="0"/>
          <w:iCs w:val="0"/>
          <w:color w:val="auto"/>
          <w:sz w:val="28"/>
          <w:szCs w:val="28"/>
          <w:highlight w:val="none"/>
          <w:u w:val="none"/>
          <w:shd w:val="clear" w:color="auto" w:fill="auto"/>
          <w:lang w:val="en-US" w:eastAsia="zh-CN"/>
        </w:rPr>
        <w:br w:type="textWrapping"/>
      </w:r>
      <w:r>
        <w:rPr>
          <w:rFonts w:hint="eastAsia" w:ascii="仿宋" w:hAnsi="仿宋" w:eastAsia="仿宋" w:cs="仿宋"/>
          <w:i w:val="0"/>
          <w:iCs w:val="0"/>
          <w:color w:val="auto"/>
          <w:sz w:val="28"/>
          <w:szCs w:val="28"/>
          <w:highlight w:val="none"/>
          <w:u w:val="none"/>
          <w:shd w:val="clear" w:color="auto" w:fill="auto"/>
          <w:lang w:val="en-US" w:eastAsia="zh-CN"/>
        </w:rPr>
        <w:t xml:space="preserve">   14.2乙方原因造成本工程质量达不到本合同约定的质量标准或出现影响使用功能和工程结构安全，即使通过技术整改措施仍然无法达到设计要求等永久质量问题的，无论是否在保修期内，乙方须无条件返工至合格为止，并赔偿甲方因此遭受的一切损失。若该永久质量问题无法满足设计及合同约定质量标准，但甲方和建设单位接受现状质量的，乙方仍须承担违约责任，向甲方支付不合格部位造价20%的违约金。本条所述违约金，甲方有权从任意应付乙方的款项中直接扣除，应付乙方的款项不足以赔偿甲方损失的，由乙方在甲方通知起5个日历天内向甲方付清差额。</w:t>
      </w:r>
    </w:p>
    <w:p w14:paraId="7659D6BE">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14.3</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经甲方验核达不到约定质量标准的检验批（分项或分部），甲方有权对乙方按相应检验批的工程量收取伍仟元/次的违约金，如果甲方被政府部门或建设单位处分而须承担违约、赔偿责任或费用的，则由乙方全部承担，同时甲方保留对乙方追偿的权利</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br w:type="textWrapping"/>
      </w:r>
      <w:r>
        <w:rPr>
          <w:rFonts w:hint="eastAsia" w:ascii="仿宋" w:hAnsi="仿宋" w:eastAsia="仿宋" w:cs="仿宋"/>
          <w:i w:val="0"/>
          <w:iCs w:val="0"/>
          <w:color w:val="auto"/>
          <w:sz w:val="28"/>
          <w:szCs w:val="28"/>
          <w:highlight w:val="none"/>
          <w:u w:val="none"/>
          <w:shd w:val="clear" w:color="auto" w:fill="auto"/>
          <w:lang w:val="en-US" w:eastAsia="zh-CN"/>
        </w:rPr>
        <w:t xml:space="preserve">   14.4因乙方原因造成甲方或本工程或本项目被政府部门停工、整改导致扣分的，乙方按贰万元/分向甲方支付违约金（甲方可从任意合同款中扣款）。</w:t>
      </w:r>
    </w:p>
    <w:p w14:paraId="223508EE">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14.5</w:t>
      </w:r>
      <w:r>
        <w:rPr>
          <w:rFonts w:hint="eastAsia" w:ascii="仿宋_GB2312" w:hAnsi="仿宋_GB2312" w:eastAsia="仿宋_GB2312" w:cs="仿宋_GB2312"/>
          <w:i w:val="0"/>
          <w:iCs w:val="0"/>
          <w:color w:val="000000" w:themeColor="text1"/>
          <w:sz w:val="28"/>
          <w:szCs w:val="28"/>
          <w:highlight w:val="none"/>
          <w:u w:val="none"/>
          <w:shd w:val="clear" w:color="auto" w:fill="auto"/>
          <w:lang w:val="en-US" w:eastAsia="zh-CN"/>
          <w14:textFill>
            <w14:solidFill>
              <w14:schemeClr w14:val="tx1"/>
            </w14:solidFill>
          </w14:textFill>
        </w:rPr>
        <w:t>乙方应及时足额发放工人工资、处理工人伤亡事故并及时支付供应商货款，避免产生劳资或货款纠纷。乙方及其人员、供应商不得以任何理由去政府部门上访、投诉、静坐，不得引起媒体曝光，不得去建设单位等单位静坐、围堵，否则，乙方自愿承担由此给甲方造成的全部损失(包括但不限于垫付款、律师费、诉讼费、鉴定费、财产保全及相关担保费、差旅费、造成的建设单位或政府部门对甲方的索赔、罚款等损失)，并按损失的30%向甲方支付违约金。因乙方前述违约行为导致甲方受到负面影响的，无论有无直接经济损失，乙方均自愿支付违约金不少于伍万元/次。甲方有权直接从乙方的合同款中扣除前述相应的赔偿款和违约金。如乙方及其人员、供应商的上述行为扰乱社会秩序、影响社会公共安全、影响甲方或建设单位声誉的，甲方有权请求公安部门介入，由公安等相关部门依法追究责任</w:t>
      </w:r>
      <w:r>
        <w:rPr>
          <w:rFonts w:hint="eastAsia" w:ascii="仿宋" w:hAnsi="仿宋" w:eastAsia="仿宋" w:cs="仿宋"/>
          <w:i w:val="0"/>
          <w:iCs w:val="0"/>
          <w:color w:val="auto"/>
          <w:sz w:val="28"/>
          <w:szCs w:val="28"/>
          <w:highlight w:val="none"/>
          <w:u w:val="none"/>
          <w:shd w:val="clear" w:color="auto" w:fill="auto"/>
          <w:lang w:val="en-US" w:eastAsia="zh-CN"/>
        </w:rPr>
        <w:t>人员的行政责任/刑事责任。</w:t>
      </w:r>
      <w:r>
        <w:rPr>
          <w:rFonts w:hint="eastAsia" w:ascii="仿宋" w:hAnsi="仿宋" w:eastAsia="仿宋" w:cs="仿宋"/>
          <w:i w:val="0"/>
          <w:iCs w:val="0"/>
          <w:color w:val="auto"/>
          <w:sz w:val="28"/>
          <w:szCs w:val="28"/>
          <w:highlight w:val="none"/>
          <w:u w:val="none"/>
          <w:shd w:val="clear" w:color="auto" w:fill="auto"/>
          <w:lang w:val="en-US" w:eastAsia="zh-CN"/>
        </w:rPr>
        <w:br w:type="textWrapping"/>
      </w:r>
      <w:r>
        <w:rPr>
          <w:rFonts w:hint="eastAsia" w:ascii="仿宋" w:hAnsi="仿宋" w:eastAsia="仿宋" w:cs="仿宋"/>
          <w:i w:val="0"/>
          <w:iCs w:val="0"/>
          <w:color w:val="auto"/>
          <w:sz w:val="28"/>
          <w:szCs w:val="28"/>
          <w:highlight w:val="none"/>
          <w:u w:val="none"/>
          <w:shd w:val="clear" w:color="auto" w:fill="auto"/>
          <w:lang w:val="en-US" w:eastAsia="zh-CN"/>
        </w:rPr>
        <w:t xml:space="preserve">    14.6乙方无正当理由停工或提出不履行合同或拖延工期或不能正常开展工作连续3天以上或无力将本工程顺利开展下去的，属乙方违约，甲方有权单方解除合同，乙方按</w:t>
      </w:r>
      <w:r>
        <w:rPr>
          <w:rFonts w:hint="eastAsia" w:ascii="仿宋" w:hAnsi="仿宋" w:eastAsia="仿宋" w:cs="仿宋"/>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i w:val="0"/>
          <w:iCs w:val="0"/>
          <w:color w:val="auto"/>
          <w:sz w:val="28"/>
          <w:szCs w:val="28"/>
          <w:highlight w:val="none"/>
          <w:u w:val="none"/>
          <w:shd w:val="clear" w:color="auto" w:fill="auto"/>
          <w:lang w:val="en-US" w:eastAsia="zh-CN"/>
        </w:rPr>
        <w:t>合同暂定总价/</w:t>
      </w:r>
      <w:r>
        <w:rPr>
          <w:rFonts w:hint="eastAsia" w:ascii="仿宋" w:hAnsi="仿宋" w:eastAsia="仿宋" w:cs="仿宋"/>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i w:val="0"/>
          <w:iCs w:val="0"/>
          <w:color w:val="auto"/>
          <w:sz w:val="28"/>
          <w:szCs w:val="28"/>
          <w:highlight w:val="none"/>
          <w:u w:val="none"/>
          <w:shd w:val="clear" w:color="auto" w:fill="auto"/>
          <w:lang w:val="en-US" w:eastAsia="zh-CN"/>
        </w:rPr>
        <w:t>合同总价的20%向甲方支付违约金，同时乙方按甲方要求限时退场并赔偿甲方损失。</w:t>
      </w:r>
      <w:r>
        <w:rPr>
          <w:rFonts w:hint="eastAsia" w:ascii="仿宋" w:hAnsi="仿宋" w:eastAsia="仿宋" w:cs="仿宋"/>
          <w:i w:val="0"/>
          <w:iCs w:val="0"/>
          <w:color w:val="auto"/>
          <w:sz w:val="28"/>
          <w:szCs w:val="28"/>
          <w:highlight w:val="none"/>
          <w:u w:val="none"/>
          <w:shd w:val="clear" w:color="auto" w:fill="auto"/>
          <w:lang w:val="en-US" w:eastAsia="zh-CN"/>
        </w:rPr>
        <w:br w:type="textWrapping"/>
      </w:r>
      <w:r>
        <w:rPr>
          <w:rFonts w:hint="eastAsia" w:ascii="仿宋" w:hAnsi="仿宋" w:eastAsia="仿宋" w:cs="仿宋"/>
          <w:i w:val="0"/>
          <w:iCs w:val="0"/>
          <w:color w:val="auto"/>
          <w:sz w:val="28"/>
          <w:szCs w:val="28"/>
          <w:highlight w:val="none"/>
          <w:u w:val="none"/>
          <w:shd w:val="clear" w:color="auto" w:fill="auto"/>
          <w:lang w:val="en-US" w:eastAsia="zh-CN"/>
        </w:rPr>
        <w:t xml:space="preserve">   </w:t>
      </w:r>
      <w:bookmarkStart w:id="130" w:name="_Toc2734"/>
      <w:bookmarkStart w:id="131" w:name="_Toc10430"/>
      <w:bookmarkStart w:id="132" w:name="_Toc21824"/>
      <w:r>
        <w:rPr>
          <w:rFonts w:hint="eastAsia" w:ascii="仿宋" w:hAnsi="仿宋" w:eastAsia="仿宋" w:cs="仿宋"/>
          <w:i w:val="0"/>
          <w:iCs w:val="0"/>
          <w:color w:val="auto"/>
          <w:sz w:val="28"/>
          <w:szCs w:val="28"/>
          <w:highlight w:val="none"/>
          <w:u w:val="none"/>
          <w:shd w:val="clear" w:color="auto" w:fill="auto"/>
          <w:lang w:val="en-US" w:eastAsia="zh-CN"/>
        </w:rPr>
        <w:t xml:space="preserve"> 14.7凡乙方发生偷工减料行为，甲方视情节轻重计收乙方壹仟至壹拾万元/次的违约金。</w:t>
      </w:r>
      <w:bookmarkStart w:id="133" w:name="_Toc18651"/>
      <w:bookmarkStart w:id="134" w:name="_Toc14983"/>
      <w:bookmarkStart w:id="135" w:name="_Toc16038"/>
      <w:bookmarkStart w:id="136" w:name="_Toc31952"/>
      <w:bookmarkStart w:id="137" w:name="_Toc9673"/>
      <w:bookmarkStart w:id="138" w:name="_Toc5952"/>
    </w:p>
    <w:p w14:paraId="50693DC0">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u w:val="none"/>
          <w:shd w:val="clear" w:color="auto" w:fill="auto"/>
          <w:lang w:val="en-US" w:eastAsia="zh-CN"/>
        </w:rPr>
        <w:t>14.8合同有效期内</w:t>
      </w:r>
      <w:r>
        <w:rPr>
          <w:rFonts w:hint="eastAsia" w:ascii="仿宋" w:hAnsi="仿宋" w:eastAsia="仿宋" w:cs="仿宋"/>
          <w:b w:val="0"/>
          <w:bCs w:val="0"/>
          <w:i w:val="0"/>
          <w:iCs w:val="0"/>
          <w:color w:val="auto"/>
          <w:sz w:val="28"/>
          <w:szCs w:val="28"/>
          <w:highlight w:val="none"/>
          <w:shd w:val="clear" w:color="auto" w:fill="auto"/>
          <w:lang w:eastAsia="zh-CN"/>
        </w:rPr>
        <w:t>，乙方无条件执行甲方与建设单位签订的施工现场管理办法</w:t>
      </w:r>
      <w:r>
        <w:rPr>
          <w:rFonts w:hint="eastAsia" w:ascii="仿宋" w:hAnsi="仿宋" w:eastAsia="仿宋" w:cs="仿宋"/>
          <w:b w:val="0"/>
          <w:bCs w:val="0"/>
          <w:i w:val="0"/>
          <w:iCs w:val="0"/>
          <w:color w:val="auto"/>
          <w:sz w:val="28"/>
          <w:szCs w:val="28"/>
          <w:highlight w:val="none"/>
          <w:shd w:val="clear" w:color="auto" w:fill="auto"/>
          <w:lang w:val="en-US" w:eastAsia="zh-CN"/>
        </w:rPr>
        <w:t>等相关规章制度</w:t>
      </w:r>
      <w:r>
        <w:rPr>
          <w:rFonts w:hint="eastAsia" w:ascii="仿宋" w:hAnsi="仿宋" w:eastAsia="仿宋" w:cs="仿宋"/>
          <w:b w:val="0"/>
          <w:bCs w:val="0"/>
          <w:i w:val="0"/>
          <w:iCs w:val="0"/>
          <w:color w:val="auto"/>
          <w:sz w:val="28"/>
          <w:szCs w:val="28"/>
          <w:highlight w:val="none"/>
          <w:shd w:val="clear" w:color="auto" w:fill="auto"/>
          <w:lang w:eastAsia="zh-CN"/>
        </w:rPr>
        <w:t>，因乙方原因导致建设单位或其他部门对甲方进行处罚扣款的，乙方按该处罚金额的2倍向甲方支付违约金。</w:t>
      </w:r>
    </w:p>
    <w:p w14:paraId="47E670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lang w:eastAsia="zh-CN"/>
        </w:rPr>
        <w:t>因乙方原因导致甲方被起诉或被处分的，乙方除赔偿甲方损失外，甲方每被起诉或处分一次，乙方还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向甲方支付五万元的违约金。若因此导致甲方账</w:t>
      </w:r>
      <w:r>
        <w:rPr>
          <w:rFonts w:hint="eastAsia" w:ascii="仿宋" w:hAnsi="仿宋" w:eastAsia="仿宋" w:cs="仿宋"/>
          <w:b w:val="0"/>
          <w:bCs w:val="0"/>
          <w:i w:val="0"/>
          <w:iCs w:val="0"/>
          <w:color w:val="auto"/>
          <w:sz w:val="28"/>
          <w:szCs w:val="28"/>
          <w:highlight w:val="none"/>
          <w:shd w:val="clear" w:color="auto" w:fill="auto"/>
          <w:lang w:val="en-US" w:eastAsia="zh-CN"/>
        </w:rPr>
        <w:t>户</w:t>
      </w:r>
      <w:r>
        <w:rPr>
          <w:rFonts w:hint="eastAsia" w:ascii="仿宋" w:hAnsi="仿宋" w:eastAsia="仿宋" w:cs="仿宋"/>
          <w:b w:val="0"/>
          <w:bCs w:val="0"/>
          <w:i w:val="0"/>
          <w:iCs w:val="0"/>
          <w:color w:val="auto"/>
          <w:sz w:val="28"/>
          <w:szCs w:val="28"/>
          <w:highlight w:val="none"/>
          <w:shd w:val="clear" w:color="auto" w:fill="auto"/>
          <w:lang w:eastAsia="zh-CN"/>
        </w:rPr>
        <w:t>被冻结，乙方还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按冻结资金总额的日千分之一向甲方支付利息；因出现此情形属乙方自身管理不当，乙方自愿</w:t>
      </w:r>
      <w:r>
        <w:rPr>
          <w:rFonts w:hint="eastAsia" w:ascii="仿宋" w:hAnsi="仿宋" w:eastAsia="仿宋" w:cs="仿宋"/>
          <w:b w:val="0"/>
          <w:bCs w:val="0"/>
          <w:i w:val="0"/>
          <w:iCs w:val="0"/>
          <w:color w:val="auto"/>
          <w:sz w:val="28"/>
          <w:szCs w:val="28"/>
          <w:highlight w:val="none"/>
          <w:shd w:val="clear" w:color="auto" w:fill="auto"/>
          <w:lang w:val="en-US" w:eastAsia="zh-CN"/>
        </w:rPr>
        <w:t>赔偿</w:t>
      </w:r>
      <w:r>
        <w:rPr>
          <w:rFonts w:hint="eastAsia" w:ascii="仿宋" w:hAnsi="仿宋" w:eastAsia="仿宋" w:cs="仿宋"/>
          <w:b w:val="0"/>
          <w:bCs w:val="0"/>
          <w:i w:val="0"/>
          <w:iCs w:val="0"/>
          <w:color w:val="auto"/>
          <w:sz w:val="28"/>
          <w:szCs w:val="28"/>
          <w:highlight w:val="none"/>
          <w:shd w:val="clear" w:color="auto" w:fill="auto"/>
          <w:lang w:eastAsia="zh-CN"/>
        </w:rPr>
        <w:t>甲方遭受的所有损失，并根据账</w:t>
      </w:r>
      <w:r>
        <w:rPr>
          <w:rFonts w:hint="eastAsia" w:ascii="仿宋" w:hAnsi="仿宋" w:eastAsia="仿宋" w:cs="仿宋"/>
          <w:b w:val="0"/>
          <w:bCs w:val="0"/>
          <w:i w:val="0"/>
          <w:iCs w:val="0"/>
          <w:color w:val="auto"/>
          <w:sz w:val="28"/>
          <w:szCs w:val="28"/>
          <w:highlight w:val="none"/>
          <w:shd w:val="clear" w:color="auto" w:fill="auto"/>
          <w:lang w:val="en-US" w:eastAsia="zh-CN"/>
        </w:rPr>
        <w:t>户</w:t>
      </w:r>
      <w:r>
        <w:rPr>
          <w:rFonts w:hint="eastAsia" w:ascii="仿宋" w:hAnsi="仿宋" w:eastAsia="仿宋" w:cs="仿宋"/>
          <w:b w:val="0"/>
          <w:bCs w:val="0"/>
          <w:i w:val="0"/>
          <w:iCs w:val="0"/>
          <w:color w:val="auto"/>
          <w:sz w:val="28"/>
          <w:szCs w:val="28"/>
          <w:highlight w:val="none"/>
          <w:shd w:val="clear" w:color="auto" w:fill="auto"/>
          <w:lang w:eastAsia="zh-CN"/>
        </w:rPr>
        <w:t>被冻结次数每次额外向甲方支付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万元违约金。</w:t>
      </w:r>
    </w:p>
    <w:p w14:paraId="21065E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0</w:t>
      </w:r>
      <w:r>
        <w:rPr>
          <w:rFonts w:hint="eastAsia" w:ascii="仿宋" w:hAnsi="仿宋" w:eastAsia="仿宋" w:cs="仿宋"/>
          <w:b w:val="0"/>
          <w:bCs w:val="0"/>
          <w:i w:val="0"/>
          <w:iCs w:val="0"/>
          <w:color w:val="auto"/>
          <w:sz w:val="28"/>
          <w:szCs w:val="28"/>
          <w:highlight w:val="none"/>
          <w:shd w:val="clear" w:color="auto" w:fill="auto"/>
          <w:lang w:eastAsia="zh-CN"/>
        </w:rPr>
        <w:t>乙方出现上述第1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.1条~第1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lang w:eastAsia="zh-CN"/>
        </w:rPr>
        <w:t>条所述任一行为或未履行合同任一义务的，均属乙方严重违约，乙方除按上述条款承担包括但不限于以上所述的违约责任外，甲方可随时单方解除本合同，所产生的损失由乙方赔偿甲方。</w:t>
      </w:r>
    </w:p>
    <w:p w14:paraId="4D49A8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eastAsia="zh-CN"/>
        </w:rPr>
        <w:t>因建设单位、设计变更或非甲方原因导致本合同不能履行的，甲、乙双方互不追究违约责任，按照乙方已完成且经甲方验收合格的工程量进行结算，同时双方各自承担自身损失。</w:t>
      </w:r>
    </w:p>
    <w:p w14:paraId="12781A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14.12</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必须按本合同施工图纸及甲方签发的《施工交楼标准》准确预留、预埋或开凿槽施工，须在楼地面、屋面找平层、墙体、柱子天棚抹灰等施工前完成(甲方另行签证除外）；禁止乙方在泥水找平或抹灰工程完成后再开凿槽、开洞，禁止乙方进行任何影响工程质量、美观和破坏前面施工成果的工作或行为。乙方违反前述约定的，属严重违约，找平层、抹灰层、面层等工程恢复由甲方指定专业泥水分包单位完成，并由乙方承担因此产生的全部费用（包括但不限于工期延误、材料、劳务等费用），同时乙方须就此违约行为按本合同（暂定）总价的5%向甲方支付违约金，甲方有权在与乙方相关的任意款项中直接扣款</w:t>
      </w:r>
      <w:r>
        <w:rPr>
          <w:rFonts w:hint="eastAsia" w:ascii="仿宋" w:hAnsi="仿宋" w:eastAsia="仿宋" w:cs="仿宋"/>
          <w:b w:val="0"/>
          <w:bCs w:val="0"/>
          <w:i w:val="0"/>
          <w:iCs w:val="0"/>
          <w:color w:val="auto"/>
          <w:sz w:val="28"/>
          <w:szCs w:val="28"/>
          <w:highlight w:val="none"/>
          <w:shd w:val="clear" w:color="auto" w:fill="auto"/>
          <w:lang w:val="en-US" w:eastAsia="zh-CN"/>
        </w:rPr>
        <w:t>。</w:t>
      </w:r>
    </w:p>
    <w:p w14:paraId="26B3D4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14.13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72A553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14.14在本合同履行过程中，可能因乙方原因造成施工质量、安全文明措施等无法满足甲方及规范要求的，乙方须提供不属于其责任的证明并得到甲方的书面认可，否则视为乙方违约，全部责任及费用和损失由乙方承担。</w:t>
      </w:r>
    </w:p>
    <w:p w14:paraId="0C9664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14.15乙方原因造成本工程质量达不到本合同约定的质量标准或出现影响使用功能和工程结构安全，即使通过技术整改措施仍然无法达到设计要求等永久质量问题的，无论是否在保修期内，乙方须无条件返工至合格为止，并赔偿甲方因此遭受的一切损失。若该永久质量问题无法满足设计及合同约定质量标准，但甲方和建设单位接受现状质量的，乙方仍须承担违约责任，向甲方支付不合格部位造价20%的违约金。本条所述违约金，甲方有权从任意应付乙方的款项中直接扣除，应付乙方的款项不足以赔偿甲方损失的，由乙方在甲方通知起5个日历天内向甲方付清差额。</w:t>
      </w:r>
    </w:p>
    <w:p w14:paraId="37FADB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14.16乙方同意：本项目如出现可能因乙方原因导致的施工材料不合格或工程质量不合格，甲方有权按自行估算的最大损失金额在甲乙双方签订的任意合同中暂扣，待责任及损失金额确定后，甲方无息返还非乙方责任的暂扣金额。</w:t>
      </w:r>
    </w:p>
    <w:p w14:paraId="6D2819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14.17乙方须对甲供材料进行质量检查，发现有质量问题或异常的材料，必须立即书面（包括但不限于微信、短信等方式）报告甲方施工员和项目经理，否则如乙方施工部位的甲供材料出现质量不合格，甲方有权扣除乙方在该施工部位的费用，如造成甲方损失，乙方须承担责任和损失。</w:t>
      </w:r>
    </w:p>
    <w:p w14:paraId="4E7A9A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14.18基于本项目及本工程的特殊性，乙方已充分了解其施工责任并自愿承担相应风险，合同约定的违约金标准系经双方友好协商确定，乙方同意不对违约金标准提出任何主张或抗辩。</w:t>
      </w:r>
    </w:p>
    <w:p w14:paraId="377206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第十五章、廉洁条款</w:t>
      </w:r>
      <w:bookmarkEnd w:id="130"/>
      <w:bookmarkEnd w:id="131"/>
      <w:bookmarkEnd w:id="132"/>
      <w:bookmarkEnd w:id="133"/>
      <w:bookmarkEnd w:id="134"/>
      <w:bookmarkEnd w:id="135"/>
      <w:bookmarkEnd w:id="136"/>
      <w:bookmarkEnd w:id="137"/>
      <w:bookmarkEnd w:id="138"/>
    </w:p>
    <w:p w14:paraId="19EB23CF">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15.1乙方在与甲方合作期间（包括本合同招标、签订、履行期间），不得向甲方职员提供请吃、送礼、旅游、色情服务、行贿、回扣或其他不正当利益，如有违反，乙方每次向甲方支付金额等于</w:t>
      </w:r>
      <w:r>
        <w:rPr>
          <w:rFonts w:hint="eastAsia" w:ascii="仿宋" w:hAnsi="仿宋" w:eastAsia="仿宋" w:cs="仿宋"/>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i w:val="0"/>
          <w:iCs w:val="0"/>
          <w:color w:val="auto"/>
          <w:sz w:val="28"/>
          <w:szCs w:val="28"/>
          <w:highlight w:val="none"/>
          <w:u w:val="none"/>
          <w:shd w:val="clear" w:color="auto" w:fill="auto"/>
          <w:lang w:val="en-US" w:eastAsia="zh-CN"/>
        </w:rPr>
        <w:t>合同暂定总价/</w:t>
      </w:r>
      <w:r>
        <w:rPr>
          <w:rFonts w:hint="eastAsia" w:ascii="仿宋" w:hAnsi="仿宋" w:eastAsia="仿宋" w:cs="仿宋"/>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i w:val="0"/>
          <w:iCs w:val="0"/>
          <w:color w:val="auto"/>
          <w:sz w:val="28"/>
          <w:szCs w:val="28"/>
          <w:highlight w:val="none"/>
          <w:u w:val="none"/>
          <w:shd w:val="clear" w:color="auto" w:fill="auto"/>
          <w:lang w:val="en-US" w:eastAsia="zh-CN"/>
        </w:rPr>
        <w:t>合同总价10％的违约金（甲方可从任意合同款中扣款），造成甲方经济或其他损失的，乙方全额赔偿甲方。</w:t>
      </w:r>
    </w:p>
    <w:p w14:paraId="610EEFF4">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15.2甲乙双方管理人员有权拒绝执行合同以外的违法要求。甲方发现乙方向甲方人员或甲方委托的其他人员行贿或输送不正当利益的，甲方有权对乙方收取违约金伍万元/次并且单方解除合同，对所发生的工程量/工作量不结算及不支付费用。</w:t>
      </w:r>
    </w:p>
    <w:p w14:paraId="3AE31784">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15.3 如甲方发现乙方可能存在违反廉洁条款的行为时，甲方有权暂扣违约金/争议工程款/处罚款等对应等额的合同款，直至调查完毕后根据调查结果再作处理，甲方暂不付款的行为不违约。</w:t>
      </w:r>
    </w:p>
    <w:p w14:paraId="1CA508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39" w:name="_Toc15891"/>
      <w:bookmarkStart w:id="140" w:name="_Toc31778"/>
      <w:bookmarkStart w:id="141" w:name="_Toc10466"/>
      <w:r>
        <w:rPr>
          <w:rFonts w:hint="eastAsia" w:ascii="仿宋" w:hAnsi="仿宋" w:eastAsia="仿宋" w:cs="仿宋"/>
          <w:b/>
          <w:bCs/>
          <w:i w:val="0"/>
          <w:iCs w:val="0"/>
          <w:color w:val="auto"/>
          <w:sz w:val="28"/>
          <w:szCs w:val="28"/>
          <w:highlight w:val="none"/>
          <w:shd w:val="clear" w:color="auto" w:fill="auto"/>
          <w:lang w:val="en-US" w:eastAsia="zh-CN"/>
        </w:rPr>
        <w:t>第十六章、其他</w:t>
      </w:r>
      <w:bookmarkEnd w:id="139"/>
      <w:bookmarkEnd w:id="140"/>
      <w:bookmarkEnd w:id="141"/>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6AFF424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16.1甲乙双方确认，甲方项目章仅供甲方项目部与乙方联系工作和确认施工技术、资料之用。乙方知悉并同意，该项目章用于以下情形时无效：</w:t>
      </w:r>
    </w:p>
    <w:p w14:paraId="2C6418B6">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①签订工程合同或工程分包合同及机械设备、周材租赁及材料采购类等合同；</w:t>
      </w:r>
    </w:p>
    <w:p w14:paraId="1FEBE0B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②任何类型的欠条或收据；</w:t>
      </w:r>
    </w:p>
    <w:p w14:paraId="565EACB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③任何形式的经济结算凭证；</w:t>
      </w:r>
    </w:p>
    <w:p w14:paraId="1A71873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④为他人或他单位提供任何形式的担保；</w:t>
      </w:r>
    </w:p>
    <w:p w14:paraId="6D783F82">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⑤确认任何形式的包含权利义务及责任承担的文件。</w:t>
      </w:r>
    </w:p>
    <w:p w14:paraId="7D06F7FA">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16.2甲方编制的《施工交楼标准》、《常见建筑工程质量通病的标准化施工细则》、《隐蔽工程管理制度》、《分包单位施工现场签证管理制度》、《工程类单价认质认价管理制度》、《分包单位材料管理制度》、《竣工图管理制度》等甲方现行制度、规定为本合同不可分割的组成部分，与合同正文具有同等效力，乙方须照章执行。</w:t>
      </w:r>
    </w:p>
    <w:p w14:paraId="2D6D48B6">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16.3本合同有效期内，甲方制度文件及合同附件表格格式如有更新，按甲方最新版要求执行，甲方拥有最终解释权。</w:t>
      </w:r>
    </w:p>
    <w:p w14:paraId="54FDD6E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142" w:name="_Toc10994"/>
      <w:bookmarkStart w:id="143" w:name="_Toc10212"/>
      <w:r>
        <w:rPr>
          <w:rFonts w:hint="eastAsia" w:ascii="仿宋" w:hAnsi="仿宋" w:eastAsia="仿宋" w:cs="仿宋"/>
          <w:b w:val="0"/>
          <w:bCs w:val="0"/>
          <w:i w:val="0"/>
          <w:iCs w:val="0"/>
          <w:color w:val="auto"/>
          <w:sz w:val="28"/>
          <w:szCs w:val="28"/>
          <w:highlight w:val="none"/>
          <w:shd w:val="clear" w:color="auto" w:fill="auto"/>
          <w:lang w:val="en-US" w:eastAsia="zh-CN"/>
        </w:rPr>
        <w:t>16.4本合同条款互为矛盾的，按最有利于甲方的条款执行。</w:t>
      </w:r>
      <w:bookmarkEnd w:id="142"/>
      <w:bookmarkEnd w:id="143"/>
    </w:p>
    <w:p w14:paraId="4569D01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16.5本合同未尽事宜，须经甲乙双方协商一致后签订补充协议进行明确。补充协议与本合同具有同等法律效力。</w:t>
      </w:r>
    </w:p>
    <w:p w14:paraId="6A50AAE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16.6与本合同相关的争议，甲乙双方应首先友好协商解决，协商不成则由任一方提交甲方所在地的人民法院诉讼处理。甲乙双方因履行本合同的往来文件及法院送达的文书以合同签章处所列地址为有效地址，以邮寄方式送达的，通过邮政特快专递寄出第三日视为送达。</w:t>
      </w:r>
    </w:p>
    <w:p w14:paraId="4219365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16.7乙方违反本合同约定给甲方造成损失的，须按本合同约定承担违约责任外，甲方有权直接从应付</w:t>
      </w:r>
      <w:r>
        <w:rPr>
          <w:rFonts w:hint="eastAsia" w:ascii="仿宋" w:hAnsi="仿宋" w:eastAsia="仿宋" w:cs="仿宋"/>
          <w:i w:val="0"/>
          <w:iCs w:val="0"/>
          <w:color w:val="auto"/>
          <w:sz w:val="28"/>
          <w:szCs w:val="28"/>
          <w:highlight w:val="none"/>
          <w:u w:val="none"/>
          <w:shd w:val="clear" w:color="auto" w:fill="auto"/>
          <w:lang w:val="en-US" w:eastAsia="zh-CN"/>
        </w:rPr>
        <w:t>给乙方的</w:t>
      </w:r>
      <w:r>
        <w:rPr>
          <w:rFonts w:hint="eastAsia" w:ascii="仿宋" w:hAnsi="仿宋" w:eastAsia="仿宋" w:cs="仿宋"/>
          <w:b w:val="0"/>
          <w:bCs w:val="0"/>
          <w:i w:val="0"/>
          <w:iCs w:val="0"/>
          <w:color w:val="auto"/>
          <w:sz w:val="28"/>
          <w:szCs w:val="28"/>
          <w:highlight w:val="none"/>
          <w:shd w:val="clear" w:color="auto" w:fill="auto"/>
          <w:lang w:val="en-US" w:eastAsia="zh-CN"/>
        </w:rPr>
        <w:t>合同款中直接扣除乙方应承担的违约金、罚款等费用，如所扣款额不足补偿甲方损失，乙方在甲方通知之日起七个日历天内补齐差额给甲方，且甲方向乙方追偿责任所产生的律师费、诉讼费、鉴定费、财产保全及相关担保费等费用由乙方全额承担。</w:t>
      </w:r>
    </w:p>
    <w:p w14:paraId="3D8238E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16.8本合同正文为清洁打印文本，如双方对此合同有任何修改及补充均应另行签订补充协议。合同正文中任何非打印的文字或者图形，除非经双方确认同意，否则不产生约束力。</w:t>
      </w:r>
    </w:p>
    <w:p w14:paraId="6F281A0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16.9甲乙双方均确认已经审阅并理解本合同全部条款，且已经就条款的任何疑问得到满意解释，并确认合同条款为双方本着诚信互利的原则友好协商一致的结果，不属于任何一方的格式条款。</w:t>
      </w:r>
    </w:p>
    <w:p w14:paraId="08CF87F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16.10本合同壹式叁份，甲方执贰份，乙方执壹份，均具同等效力。</w:t>
      </w:r>
    </w:p>
    <w:p w14:paraId="75C87E0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16.11以下文件均为合同文件有效组成部分，各文件互相解释，互为说明。当合同文件中出现不一致时，除合同另有约定外，以下排列顺序就是各合同文件的优先解释顺序：</w:t>
      </w:r>
    </w:p>
    <w:p w14:paraId="2574231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 合同履行过程中，双方法人代表或授权人签字并加盖公章的本合同补充协议；</w:t>
      </w:r>
    </w:p>
    <w:p w14:paraId="05F8912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 本合同第一部分，合同专用条款；</w:t>
      </w:r>
    </w:p>
    <w:p w14:paraId="548858D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 本合同第二部分，合同通用条款；</w:t>
      </w:r>
    </w:p>
    <w:p w14:paraId="48054B1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 经甲方权限领导审批确认的方案及相关设计变更；</w:t>
      </w:r>
    </w:p>
    <w:p w14:paraId="128FEB9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 本工程招采文件（含相关答疑、补充通知等）；</w:t>
      </w:r>
    </w:p>
    <w:p w14:paraId="6F45B26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⑥ 乙方发出的、经甲方确认的本工程投标文件及相关澄清文件；</w:t>
      </w:r>
    </w:p>
    <w:p w14:paraId="42F972E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⑦ 本项目所在地现行的法律、法规、标准、规范。</w:t>
      </w:r>
    </w:p>
    <w:p w14:paraId="4EA29164">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16.12本合同自甲乙双方法定代表人或其书面授权的代理人签字并加盖公司公章(或合同专用章)之日起生效，在竣工结算完毕、乙方向甲方交付竣工工程后，双方履行完合同义务、责任之日，本合同自动终止。</w:t>
      </w:r>
    </w:p>
    <w:p w14:paraId="38D785C6">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【以下无正文】</w:t>
      </w:r>
    </w:p>
    <w:p w14:paraId="149CD4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9" w:firstLineChars="78"/>
        <w:textAlignment w:val="auto"/>
        <w:outlineLvl w:val="0"/>
        <w:rPr>
          <w:rFonts w:hint="eastAsia" w:ascii="仿宋" w:hAnsi="仿宋" w:eastAsia="仿宋" w:cs="仿宋"/>
          <w:b/>
          <w:bCs/>
          <w:color w:val="auto"/>
          <w:sz w:val="28"/>
          <w:szCs w:val="28"/>
          <w:highlight w:val="none"/>
          <w:lang w:val="en-US" w:eastAsia="zh-CN"/>
        </w:rPr>
      </w:pPr>
      <w:bookmarkStart w:id="144" w:name="_Toc7014"/>
      <w:bookmarkStart w:id="145" w:name="_Toc23233"/>
      <w:bookmarkStart w:id="146" w:name="_Toc13137"/>
      <w:bookmarkStart w:id="147" w:name="_Toc1666"/>
      <w:bookmarkStart w:id="148" w:name="_Toc3404"/>
      <w:bookmarkStart w:id="149" w:name="_Toc26059"/>
      <w:bookmarkStart w:id="150" w:name="_Toc7245"/>
      <w:bookmarkStart w:id="151" w:name="_Toc31130"/>
      <w:bookmarkStart w:id="152" w:name="_Toc22492"/>
      <w:bookmarkStart w:id="153" w:name="_Toc4369"/>
      <w:bookmarkStart w:id="154" w:name="_Toc18080"/>
      <w:bookmarkStart w:id="155" w:name="_Toc7880"/>
      <w:bookmarkStart w:id="156" w:name="_Toc14000"/>
      <w:bookmarkStart w:id="157" w:name="_Toc28577"/>
      <w:bookmarkStart w:id="158" w:name="_Toc22736"/>
      <w:bookmarkStart w:id="159" w:name="_Toc12795"/>
      <w:bookmarkStart w:id="160" w:name="_Toc32677"/>
      <w:bookmarkStart w:id="161" w:name="_Toc936"/>
      <w:bookmarkStart w:id="162" w:name="_Toc26460"/>
      <w:bookmarkStart w:id="163" w:name="_Toc4318"/>
      <w:bookmarkStart w:id="164" w:name="_Toc6457"/>
      <w:bookmarkStart w:id="165" w:name="_Toc1399"/>
      <w:bookmarkStart w:id="166" w:name="_Toc26912"/>
      <w:bookmarkStart w:id="167" w:name="_Toc10798"/>
      <w:bookmarkStart w:id="168" w:name="_Toc30985"/>
      <w:r>
        <w:rPr>
          <w:rFonts w:hint="eastAsia" w:ascii="仿宋" w:hAnsi="仿宋" w:eastAsia="仿宋" w:cs="仿宋"/>
          <w:b/>
          <w:bCs/>
          <w:color w:val="auto"/>
          <w:sz w:val="28"/>
          <w:szCs w:val="28"/>
          <w:highlight w:val="none"/>
          <w:lang w:val="en-US" w:eastAsia="zh-CN"/>
        </w:rPr>
        <w:t>附件：</w:t>
      </w:r>
    </w:p>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7B428A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169" w:name="_Toc5558"/>
      <w:bookmarkStart w:id="170" w:name="_Toc1433"/>
      <w:bookmarkStart w:id="171" w:name="_Toc31165"/>
      <w:bookmarkStart w:id="172" w:name="_Toc9682"/>
      <w:r>
        <w:rPr>
          <w:rFonts w:hint="eastAsia" w:ascii="仿宋" w:hAnsi="仿宋" w:eastAsia="仿宋" w:cs="仿宋"/>
          <w:color w:val="auto"/>
          <w:sz w:val="28"/>
          <w:szCs w:val="28"/>
          <w:highlight w:val="none"/>
          <w:lang w:val="en-US" w:eastAsia="zh-CN"/>
        </w:rPr>
        <w:t>附件一《甲方项目章》</w:t>
      </w:r>
      <w:bookmarkEnd w:id="169"/>
      <w:bookmarkEnd w:id="170"/>
      <w:bookmarkEnd w:id="171"/>
      <w:r>
        <w:rPr>
          <w:rFonts w:hint="eastAsia" w:ascii="仿宋" w:hAnsi="仿宋" w:eastAsia="仿宋" w:cs="仿宋"/>
          <w:color w:val="auto"/>
          <w:sz w:val="28"/>
          <w:szCs w:val="28"/>
          <w:highlight w:val="none"/>
          <w:lang w:val="en-US" w:eastAsia="zh-CN"/>
        </w:rPr>
        <w:t>样式；</w:t>
      </w:r>
    </w:p>
    <w:p w14:paraId="7CDC93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173" w:name="_Toc8731"/>
      <w:bookmarkStart w:id="174" w:name="_Toc27112"/>
      <w:bookmarkStart w:id="175" w:name="_Toc3785"/>
      <w:bookmarkStart w:id="176" w:name="_Toc4390"/>
      <w:bookmarkStart w:id="177" w:name="_Toc29364"/>
      <w:bookmarkStart w:id="178" w:name="_Toc13105"/>
      <w:bookmarkStart w:id="179" w:name="_Toc3354"/>
      <w:bookmarkStart w:id="180" w:name="_Toc23025"/>
      <w:bookmarkStart w:id="181" w:name="_Toc20849"/>
      <w:bookmarkStart w:id="182" w:name="_Toc13056"/>
      <w:bookmarkStart w:id="183" w:name="_Toc25849"/>
      <w:bookmarkStart w:id="184" w:name="_Toc369"/>
      <w:bookmarkStart w:id="185" w:name="_Toc9762"/>
      <w:bookmarkStart w:id="186" w:name="_Toc16048"/>
      <w:bookmarkStart w:id="187" w:name="_Toc1593"/>
      <w:bookmarkStart w:id="188" w:name="_Toc5473"/>
      <w:bookmarkStart w:id="189" w:name="_Toc820"/>
      <w:bookmarkStart w:id="190" w:name="_Toc26292"/>
      <w:bookmarkStart w:id="191" w:name="_Toc21931"/>
      <w:bookmarkStart w:id="192" w:name="_Toc22382"/>
      <w:bookmarkStart w:id="193" w:name="_Toc14081"/>
      <w:bookmarkStart w:id="194" w:name="_Toc8978"/>
      <w:bookmarkStart w:id="195" w:name="_Toc1568"/>
      <w:bookmarkStart w:id="196" w:name="_Toc20750"/>
      <w:bookmarkStart w:id="197" w:name="_Toc4984"/>
      <w:bookmarkStart w:id="198" w:name="_Toc12247"/>
      <w:bookmarkStart w:id="199" w:name="_Toc19911"/>
      <w:r>
        <w:rPr>
          <w:rFonts w:hint="eastAsia" w:ascii="仿宋" w:hAnsi="仿宋" w:eastAsia="仿宋" w:cs="仿宋"/>
          <w:color w:val="auto"/>
          <w:sz w:val="28"/>
          <w:szCs w:val="28"/>
          <w:highlight w:val="none"/>
          <w:lang w:val="en-US" w:eastAsia="zh-CN"/>
        </w:rPr>
        <w:t>附件二</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rFonts w:hint="eastAsia" w:ascii="仿宋" w:hAnsi="仿宋" w:eastAsia="仿宋" w:cs="仿宋"/>
          <w:b w:val="0"/>
          <w:bCs w:val="0"/>
          <w:i w:val="0"/>
          <w:iCs w:val="0"/>
          <w:color w:val="auto"/>
          <w:sz w:val="28"/>
          <w:szCs w:val="28"/>
          <w:highlight w:val="none"/>
          <w:shd w:val="clear" w:color="auto" w:fill="auto"/>
          <w:lang w:val="en-US" w:eastAsia="zh-CN"/>
        </w:rPr>
        <w:t>《</w:t>
      </w:r>
      <w:r>
        <w:rPr>
          <w:rFonts w:hint="eastAsia" w:ascii="仿宋" w:hAnsi="仿宋" w:eastAsia="仿宋" w:cs="仿宋"/>
          <w:color w:val="auto"/>
          <w:sz w:val="28"/>
          <w:szCs w:val="28"/>
          <w:highlight w:val="none"/>
          <w:lang w:val="en-US" w:eastAsia="zh-CN"/>
        </w:rPr>
        <w:t>工人工资发放承诺书</w:t>
      </w:r>
      <w:r>
        <w:rPr>
          <w:rFonts w:hint="eastAsia" w:ascii="仿宋" w:hAnsi="仿宋" w:eastAsia="仿宋" w:cs="仿宋"/>
          <w:b w:val="0"/>
          <w:bCs w:val="0"/>
          <w:i w:val="0"/>
          <w:iCs w:val="0"/>
          <w:color w:val="auto"/>
          <w:sz w:val="28"/>
          <w:szCs w:val="28"/>
          <w:highlight w:val="none"/>
          <w:shd w:val="clear" w:color="auto" w:fill="auto"/>
          <w:lang w:val="en-US" w:eastAsia="zh-CN"/>
        </w:rPr>
        <w:t>》格式</w:t>
      </w:r>
      <w:r>
        <w:rPr>
          <w:rFonts w:hint="eastAsia" w:ascii="仿宋" w:hAnsi="仿宋" w:eastAsia="仿宋" w:cs="仿宋"/>
          <w:b w:val="0"/>
          <w:bCs w:val="0"/>
          <w:color w:val="auto"/>
          <w:sz w:val="28"/>
          <w:szCs w:val="28"/>
          <w:highlight w:val="none"/>
          <w:lang w:val="en-US" w:eastAsia="zh-CN"/>
        </w:rPr>
        <w:t>；</w:t>
      </w:r>
    </w:p>
    <w:p w14:paraId="453ADA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00" w:name="_Toc29940"/>
      <w:bookmarkStart w:id="201" w:name="_Toc1326"/>
      <w:bookmarkStart w:id="202" w:name="_Toc23426"/>
      <w:bookmarkStart w:id="203" w:name="_Toc23140"/>
      <w:bookmarkStart w:id="204" w:name="_Toc16724"/>
      <w:bookmarkStart w:id="205" w:name="_Toc32541"/>
      <w:bookmarkStart w:id="206" w:name="_Toc6450"/>
      <w:bookmarkStart w:id="207" w:name="_Toc13193"/>
      <w:bookmarkStart w:id="208" w:name="_Toc10619"/>
      <w:bookmarkStart w:id="209" w:name="_Toc15918"/>
      <w:bookmarkStart w:id="210" w:name="_Toc10287"/>
      <w:bookmarkStart w:id="211" w:name="_Toc22544"/>
      <w:bookmarkStart w:id="212" w:name="_Toc1914"/>
      <w:bookmarkStart w:id="213" w:name="_Toc6636"/>
      <w:bookmarkStart w:id="214" w:name="_Toc17668"/>
      <w:bookmarkStart w:id="215" w:name="_Toc13136"/>
      <w:bookmarkStart w:id="216" w:name="_Toc31858"/>
      <w:bookmarkStart w:id="217" w:name="_Toc20300"/>
      <w:bookmarkStart w:id="218" w:name="_Toc18649"/>
      <w:bookmarkStart w:id="219" w:name="_Toc25160"/>
      <w:bookmarkStart w:id="220" w:name="_Toc18715"/>
      <w:bookmarkStart w:id="221" w:name="_Toc13735"/>
      <w:bookmarkStart w:id="222" w:name="_Toc27522"/>
      <w:bookmarkStart w:id="223" w:name="_Toc25081"/>
      <w:bookmarkStart w:id="224" w:name="_Toc524"/>
      <w:bookmarkStart w:id="225" w:name="_Toc19231"/>
      <w:bookmarkStart w:id="226" w:name="_Toc9202"/>
      <w:bookmarkStart w:id="227" w:name="_Toc3471"/>
      <w:bookmarkStart w:id="228" w:name="_Toc31641"/>
      <w:bookmarkStart w:id="229" w:name="_Toc15176"/>
      <w:bookmarkStart w:id="230" w:name="_Toc13154"/>
      <w:bookmarkStart w:id="231" w:name="_Toc14323"/>
      <w:bookmarkStart w:id="232" w:name="_Toc5133"/>
      <w:bookmarkStart w:id="233" w:name="_Toc2937"/>
      <w:bookmarkStart w:id="234" w:name="_Toc2009"/>
      <w:bookmarkStart w:id="235" w:name="_Toc13050"/>
      <w:bookmarkStart w:id="236" w:name="_Toc28253"/>
      <w:bookmarkStart w:id="237" w:name="_Toc21784"/>
      <w:bookmarkStart w:id="238" w:name="_Toc31176"/>
      <w:bookmarkStart w:id="239" w:name="_Toc26972"/>
      <w:bookmarkStart w:id="240" w:name="_Toc25675"/>
      <w:bookmarkStart w:id="241" w:name="_Toc3531"/>
      <w:bookmarkStart w:id="242" w:name="_Toc548"/>
      <w:bookmarkStart w:id="243" w:name="_Toc5294"/>
      <w:bookmarkStart w:id="244" w:name="_Toc5766"/>
      <w:bookmarkStart w:id="245" w:name="_Toc25016"/>
      <w:bookmarkStart w:id="246" w:name="_Toc17489"/>
      <w:r>
        <w:rPr>
          <w:rFonts w:hint="eastAsia" w:ascii="仿宋" w:hAnsi="仿宋" w:eastAsia="仿宋" w:cs="仿宋"/>
          <w:color w:val="auto"/>
          <w:sz w:val="28"/>
          <w:szCs w:val="28"/>
          <w:highlight w:val="none"/>
          <w:lang w:val="en-US" w:eastAsia="zh-CN"/>
        </w:rPr>
        <w:t>附件三《承诺书（工人个人版）》格式；</w:t>
      </w:r>
    </w:p>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14:paraId="5A568E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47" w:name="_Toc5427"/>
      <w:bookmarkStart w:id="248" w:name="_Toc9244"/>
      <w:bookmarkStart w:id="249" w:name="_Toc23253"/>
      <w:bookmarkStart w:id="250" w:name="_Toc20383"/>
      <w:bookmarkStart w:id="251" w:name="_Toc7760"/>
      <w:bookmarkStart w:id="252" w:name="_Toc9049"/>
      <w:bookmarkStart w:id="253" w:name="_Toc10970"/>
      <w:r>
        <w:rPr>
          <w:rFonts w:hint="eastAsia" w:ascii="仿宋" w:hAnsi="仿宋" w:eastAsia="仿宋" w:cs="仿宋"/>
          <w:color w:val="auto"/>
          <w:sz w:val="28"/>
          <w:szCs w:val="28"/>
          <w:highlight w:val="none"/>
          <w:lang w:val="en-US" w:eastAsia="zh-CN"/>
        </w:rPr>
        <w:t>附件</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Fonts w:hint="eastAsia" w:ascii="仿宋" w:hAnsi="仿宋" w:eastAsia="仿宋" w:cs="仿宋"/>
          <w:color w:val="auto"/>
          <w:sz w:val="28"/>
          <w:szCs w:val="28"/>
          <w:highlight w:val="none"/>
          <w:lang w:val="en-US" w:eastAsia="zh-CN"/>
        </w:rPr>
        <w:t>四《</w:t>
      </w:r>
      <w:r>
        <w:rPr>
          <w:rFonts w:hint="eastAsia" w:ascii="仿宋" w:hAnsi="仿宋" w:eastAsia="仿宋" w:cs="仿宋"/>
          <w:b w:val="0"/>
          <w:bCs w:val="0"/>
          <w:i w:val="0"/>
          <w:iCs w:val="0"/>
          <w:color w:val="auto"/>
          <w:sz w:val="28"/>
          <w:szCs w:val="28"/>
          <w:highlight w:val="none"/>
          <w:shd w:val="clear" w:color="auto" w:fill="auto"/>
          <w:lang w:val="en-US" w:eastAsia="zh-CN"/>
        </w:rPr>
        <w:t>技术工人素质承诺书</w:t>
      </w:r>
      <w:r>
        <w:rPr>
          <w:rFonts w:hint="eastAsia" w:ascii="仿宋" w:hAnsi="仿宋" w:eastAsia="仿宋" w:cs="仿宋"/>
          <w:color w:val="auto"/>
          <w:sz w:val="28"/>
          <w:szCs w:val="28"/>
          <w:highlight w:val="none"/>
          <w:lang w:val="en-US" w:eastAsia="zh-CN"/>
        </w:rPr>
        <w:t>》格式；</w:t>
      </w:r>
    </w:p>
    <w:p w14:paraId="454264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54" w:name="_Toc16599"/>
      <w:bookmarkStart w:id="255" w:name="_Toc15145"/>
      <w:bookmarkStart w:id="256" w:name="_Toc10157"/>
      <w:bookmarkStart w:id="257" w:name="_Toc18653"/>
      <w:bookmarkStart w:id="258" w:name="_Toc5956"/>
      <w:bookmarkStart w:id="259" w:name="_Toc22968"/>
      <w:bookmarkStart w:id="260" w:name="_Toc11307"/>
      <w:bookmarkStart w:id="261" w:name="_Toc1285"/>
      <w:bookmarkStart w:id="262" w:name="_Toc3169"/>
      <w:bookmarkStart w:id="263" w:name="_Toc26054"/>
      <w:bookmarkStart w:id="264" w:name="_Toc13150"/>
      <w:bookmarkStart w:id="265" w:name="_Toc8338"/>
      <w:bookmarkStart w:id="266" w:name="_Toc21960"/>
      <w:bookmarkStart w:id="267" w:name="_Toc11701"/>
      <w:bookmarkStart w:id="268" w:name="_Toc14489"/>
      <w:bookmarkStart w:id="269" w:name="_Toc5997"/>
      <w:bookmarkStart w:id="270" w:name="_Toc31550"/>
      <w:bookmarkStart w:id="271" w:name="_Toc19643"/>
      <w:bookmarkStart w:id="272" w:name="_Toc9953"/>
      <w:bookmarkStart w:id="273" w:name="_Toc13957"/>
      <w:bookmarkStart w:id="274" w:name="_Toc21782"/>
      <w:bookmarkStart w:id="275" w:name="_Toc17065"/>
      <w:bookmarkStart w:id="276" w:name="_Toc32071"/>
      <w:bookmarkStart w:id="277" w:name="_Toc1657"/>
      <w:bookmarkStart w:id="278" w:name="_Toc840"/>
      <w:bookmarkStart w:id="279" w:name="_Toc11060"/>
      <w:bookmarkStart w:id="280" w:name="_Toc31387"/>
      <w:r>
        <w:rPr>
          <w:rFonts w:hint="eastAsia" w:ascii="仿宋" w:hAnsi="仿宋" w:eastAsia="仿宋" w:cs="仿宋"/>
          <w:color w:val="auto"/>
          <w:sz w:val="28"/>
          <w:szCs w:val="28"/>
          <w:highlight w:val="none"/>
          <w:lang w:val="en-US" w:eastAsia="zh-CN"/>
        </w:rPr>
        <w:t>附件五</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Fonts w:hint="eastAsia" w:ascii="仿宋" w:hAnsi="仿宋" w:eastAsia="仿宋" w:cs="仿宋"/>
          <w:b w:val="0"/>
          <w:bCs w:val="0"/>
          <w:i w:val="0"/>
          <w:iCs w:val="0"/>
          <w:color w:val="auto"/>
          <w:sz w:val="28"/>
          <w:szCs w:val="28"/>
          <w:highlight w:val="none"/>
          <w:shd w:val="clear" w:color="auto" w:fill="auto"/>
          <w:lang w:val="en-US" w:eastAsia="zh-CN"/>
        </w:rPr>
        <w:t>《工程结算资料目录》格式</w:t>
      </w:r>
      <w:r>
        <w:rPr>
          <w:rFonts w:hint="eastAsia" w:ascii="仿宋" w:hAnsi="仿宋" w:eastAsia="仿宋" w:cs="仿宋"/>
          <w:color w:val="auto"/>
          <w:sz w:val="28"/>
          <w:szCs w:val="28"/>
          <w:highlight w:val="none"/>
          <w:lang w:val="en-US" w:eastAsia="zh-CN"/>
        </w:rPr>
        <w:t>；</w:t>
      </w:r>
    </w:p>
    <w:p w14:paraId="2C6999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default" w:ascii="仿宋" w:hAnsi="仿宋" w:eastAsia="仿宋" w:cs="仿宋"/>
          <w:color w:val="auto"/>
          <w:sz w:val="28"/>
          <w:szCs w:val="28"/>
          <w:highlight w:val="none"/>
          <w:lang w:val="en-US" w:eastAsia="zh-CN"/>
        </w:rPr>
      </w:pPr>
      <w:bookmarkStart w:id="281" w:name="_Toc6564"/>
      <w:bookmarkStart w:id="282" w:name="_Toc21390"/>
      <w:bookmarkStart w:id="283" w:name="_Toc2802"/>
      <w:r>
        <w:rPr>
          <w:rFonts w:hint="eastAsia" w:ascii="仿宋" w:hAnsi="仿宋" w:eastAsia="仿宋" w:cs="仿宋"/>
          <w:color w:val="auto"/>
          <w:sz w:val="28"/>
          <w:szCs w:val="28"/>
          <w:highlight w:val="none"/>
          <w:lang w:val="en-US" w:eastAsia="zh-CN"/>
        </w:rPr>
        <w:t>附件</w:t>
      </w:r>
      <w:bookmarkEnd w:id="281"/>
      <w:bookmarkEnd w:id="282"/>
      <w:bookmarkEnd w:id="283"/>
      <w:r>
        <w:rPr>
          <w:rFonts w:hint="eastAsia" w:ascii="仿宋" w:hAnsi="仿宋" w:eastAsia="仿宋" w:cs="仿宋"/>
          <w:color w:val="auto"/>
          <w:sz w:val="28"/>
          <w:szCs w:val="28"/>
          <w:highlight w:val="none"/>
          <w:lang w:val="en-US" w:eastAsia="zh-CN"/>
        </w:rPr>
        <w:t>六《出险声明函》格式；</w:t>
      </w:r>
    </w:p>
    <w:p w14:paraId="06F62E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84" w:name="_Toc12934"/>
      <w:bookmarkStart w:id="285" w:name="_Toc25409"/>
      <w:bookmarkStart w:id="286" w:name="_Toc31744"/>
      <w:bookmarkStart w:id="287" w:name="_Toc27839"/>
      <w:r>
        <w:rPr>
          <w:rFonts w:hint="eastAsia" w:ascii="仿宋" w:hAnsi="仿宋" w:eastAsia="仿宋" w:cs="仿宋"/>
          <w:color w:val="auto"/>
          <w:sz w:val="28"/>
          <w:szCs w:val="28"/>
          <w:highlight w:val="none"/>
          <w:lang w:val="en-US" w:eastAsia="zh-CN"/>
        </w:rPr>
        <w:t>附件七《分包单位开工令》格式；</w:t>
      </w:r>
      <w:bookmarkEnd w:id="284"/>
      <w:bookmarkEnd w:id="285"/>
      <w:bookmarkEnd w:id="286"/>
      <w:bookmarkEnd w:id="287"/>
    </w:p>
    <w:p w14:paraId="2A2CC0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88" w:name="_Toc15935"/>
      <w:bookmarkStart w:id="289" w:name="_Toc12926"/>
      <w:bookmarkStart w:id="290" w:name="_Toc21331"/>
      <w:bookmarkStart w:id="291" w:name="_Toc6646"/>
      <w:r>
        <w:rPr>
          <w:rFonts w:hint="eastAsia" w:ascii="仿宋" w:hAnsi="仿宋" w:eastAsia="仿宋" w:cs="仿宋"/>
          <w:color w:val="auto"/>
          <w:sz w:val="28"/>
          <w:szCs w:val="28"/>
          <w:highlight w:val="none"/>
          <w:lang w:val="en-US" w:eastAsia="zh-CN"/>
        </w:rPr>
        <w:t>附件八《分包签证确认单》格式；</w:t>
      </w:r>
      <w:bookmarkEnd w:id="288"/>
      <w:bookmarkEnd w:id="289"/>
      <w:bookmarkEnd w:id="290"/>
      <w:bookmarkEnd w:id="291"/>
    </w:p>
    <w:p w14:paraId="614597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92" w:name="_Toc7400"/>
      <w:bookmarkStart w:id="293" w:name="_Toc31733"/>
      <w:bookmarkStart w:id="294" w:name="_Toc2554"/>
      <w:bookmarkStart w:id="295" w:name="_Toc26355"/>
      <w:r>
        <w:rPr>
          <w:rFonts w:hint="eastAsia" w:ascii="仿宋" w:hAnsi="仿宋" w:eastAsia="仿宋" w:cs="仿宋"/>
          <w:color w:val="auto"/>
          <w:sz w:val="28"/>
          <w:szCs w:val="28"/>
          <w:highlight w:val="none"/>
          <w:lang w:val="en-US" w:eastAsia="zh-CN"/>
        </w:rPr>
        <w:t>附件九《分项工程/认质认价申报审批表》格式；</w:t>
      </w:r>
      <w:bookmarkEnd w:id="292"/>
      <w:bookmarkEnd w:id="293"/>
      <w:bookmarkEnd w:id="294"/>
      <w:bookmarkEnd w:id="295"/>
    </w:p>
    <w:p w14:paraId="5D9F9E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96" w:name="_Toc11520"/>
      <w:bookmarkStart w:id="297" w:name="_Toc9065"/>
      <w:bookmarkStart w:id="298" w:name="_Toc27117"/>
      <w:bookmarkStart w:id="299" w:name="_Toc17429"/>
      <w:r>
        <w:rPr>
          <w:rFonts w:hint="eastAsia" w:ascii="仿宋" w:hAnsi="仿宋" w:eastAsia="仿宋" w:cs="仿宋"/>
          <w:color w:val="auto"/>
          <w:sz w:val="28"/>
          <w:szCs w:val="28"/>
          <w:highlight w:val="none"/>
          <w:lang w:val="en-US" w:eastAsia="zh-CN"/>
        </w:rPr>
        <w:t>附件十《签证单分包说明》格式；</w:t>
      </w:r>
      <w:bookmarkEnd w:id="296"/>
      <w:bookmarkEnd w:id="297"/>
      <w:bookmarkEnd w:id="298"/>
      <w:bookmarkEnd w:id="299"/>
    </w:p>
    <w:p w14:paraId="1ED257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300" w:name="_Toc25485"/>
      <w:bookmarkStart w:id="301" w:name="_Toc18401"/>
      <w:bookmarkStart w:id="302" w:name="_Toc1953"/>
      <w:bookmarkStart w:id="303" w:name="_Toc374"/>
      <w:r>
        <w:rPr>
          <w:rFonts w:hint="eastAsia" w:ascii="仿宋" w:hAnsi="仿宋" w:eastAsia="仿宋" w:cs="仿宋"/>
          <w:color w:val="auto"/>
          <w:sz w:val="28"/>
          <w:szCs w:val="28"/>
          <w:highlight w:val="none"/>
          <w:lang w:val="en-US" w:eastAsia="zh-CN"/>
        </w:rPr>
        <w:t>附件十一《工程量现场草签记录表》格式；</w:t>
      </w:r>
      <w:bookmarkEnd w:id="300"/>
      <w:bookmarkEnd w:id="301"/>
      <w:bookmarkEnd w:id="302"/>
      <w:bookmarkEnd w:id="303"/>
    </w:p>
    <w:p w14:paraId="79A361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304" w:name="_Toc27328"/>
      <w:bookmarkStart w:id="305" w:name="_Toc2625"/>
      <w:bookmarkStart w:id="306" w:name="_Toc5105"/>
      <w:bookmarkStart w:id="307" w:name="_Toc23057"/>
      <w:r>
        <w:rPr>
          <w:rFonts w:hint="eastAsia" w:ascii="仿宋" w:hAnsi="仿宋" w:eastAsia="仿宋" w:cs="仿宋"/>
          <w:color w:val="auto"/>
          <w:sz w:val="28"/>
          <w:szCs w:val="28"/>
          <w:highlight w:val="none"/>
          <w:lang w:val="en-US" w:eastAsia="zh-CN"/>
        </w:rPr>
        <w:t>附件十二《工程结算支付证明单》格式；</w:t>
      </w:r>
      <w:bookmarkEnd w:id="304"/>
      <w:bookmarkEnd w:id="305"/>
      <w:bookmarkEnd w:id="306"/>
      <w:bookmarkEnd w:id="307"/>
    </w:p>
    <w:p w14:paraId="49E00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308" w:name="_Toc9592"/>
      <w:bookmarkStart w:id="309" w:name="_Toc16843"/>
      <w:bookmarkStart w:id="310" w:name="_Toc26235"/>
      <w:bookmarkStart w:id="311" w:name="_Toc21764"/>
      <w:bookmarkStart w:id="312" w:name="_Toc30596"/>
      <w:bookmarkStart w:id="313" w:name="_Toc7962"/>
      <w:bookmarkStart w:id="314" w:name="_Toc17584"/>
      <w:r>
        <w:rPr>
          <w:rFonts w:hint="eastAsia" w:ascii="仿宋" w:hAnsi="仿宋" w:eastAsia="仿宋" w:cs="仿宋"/>
          <w:color w:val="auto"/>
          <w:sz w:val="28"/>
          <w:szCs w:val="28"/>
          <w:highlight w:val="none"/>
          <w:lang w:val="en-US" w:eastAsia="zh-CN"/>
        </w:rPr>
        <w:t>附件十三《工完场清交接单》格式；</w:t>
      </w:r>
      <w:bookmarkEnd w:id="308"/>
      <w:bookmarkEnd w:id="309"/>
      <w:bookmarkEnd w:id="310"/>
      <w:bookmarkEnd w:id="311"/>
      <w:bookmarkEnd w:id="312"/>
      <w:bookmarkEnd w:id="313"/>
      <w:bookmarkEnd w:id="314"/>
    </w:p>
    <w:p w14:paraId="09BABA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default" w:ascii="仿宋" w:hAnsi="仿宋" w:eastAsia="仿宋" w:cs="仿宋"/>
          <w:b w:val="0"/>
          <w:bCs w:val="0"/>
          <w:i w:val="0"/>
          <w:iCs w:val="0"/>
          <w:color w:val="auto"/>
          <w:sz w:val="28"/>
          <w:szCs w:val="28"/>
          <w:highlight w:val="none"/>
          <w:shd w:val="clear" w:color="auto" w:fill="auto"/>
          <w:lang w:val="en-US" w:eastAsia="zh-CN"/>
        </w:rPr>
      </w:pPr>
      <w:bookmarkStart w:id="315" w:name="_Toc4009"/>
      <w:bookmarkStart w:id="316" w:name="_Toc8006"/>
      <w:bookmarkStart w:id="317" w:name="_Toc12430"/>
      <w:r>
        <w:rPr>
          <w:rFonts w:hint="eastAsia" w:ascii="仿宋" w:hAnsi="仿宋" w:eastAsia="仿宋" w:cs="仿宋"/>
          <w:b w:val="0"/>
          <w:bCs w:val="0"/>
          <w:i w:val="0"/>
          <w:iCs w:val="0"/>
          <w:color w:val="auto"/>
          <w:sz w:val="28"/>
          <w:szCs w:val="28"/>
          <w:highlight w:val="none"/>
          <w:shd w:val="clear" w:color="auto" w:fill="auto"/>
          <w:lang w:val="en-US" w:eastAsia="zh-CN"/>
        </w:rPr>
        <w:t>附件十四</w:t>
      </w:r>
      <w:r>
        <w:rPr>
          <w:rFonts w:hint="eastAsia" w:ascii="仿宋" w:hAnsi="仿宋" w:eastAsia="仿宋" w:cs="仿宋"/>
          <w:b w:val="0"/>
          <w:bCs w:val="0"/>
          <w:color w:val="auto"/>
          <w:sz w:val="28"/>
          <w:szCs w:val="28"/>
          <w:highlight w:val="none"/>
          <w:lang w:val="en-US" w:eastAsia="zh-CN"/>
        </w:rPr>
        <w:t>《乙方资质文件》；</w:t>
      </w:r>
    </w:p>
    <w:bookmarkEnd w:id="315"/>
    <w:bookmarkEnd w:id="316"/>
    <w:bookmarkEnd w:id="317"/>
    <w:p w14:paraId="3AC606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b w:val="0"/>
          <w:bCs w:val="0"/>
          <w:i w:val="0"/>
          <w:iCs w:val="0"/>
          <w:color w:val="auto"/>
          <w:sz w:val="28"/>
          <w:szCs w:val="28"/>
          <w:highlight w:val="none"/>
          <w:shd w:val="clear" w:color="auto" w:fill="auto"/>
          <w:lang w:val="en-US" w:eastAsia="zh-CN"/>
        </w:rPr>
      </w:pPr>
      <w:bookmarkStart w:id="318" w:name="_Toc26020"/>
      <w:bookmarkStart w:id="319" w:name="_Toc7399"/>
      <w:bookmarkStart w:id="320" w:name="_Toc22636"/>
      <w:bookmarkStart w:id="321" w:name="_Toc10114"/>
      <w:bookmarkStart w:id="322" w:name="_Toc31415"/>
      <w:bookmarkStart w:id="323" w:name="_Toc18640"/>
      <w:bookmarkStart w:id="324" w:name="_Toc25734"/>
      <w:bookmarkStart w:id="325" w:name="_Toc31008"/>
      <w:bookmarkStart w:id="326" w:name="_Toc4335"/>
      <w:bookmarkStart w:id="327" w:name="_Toc26903"/>
      <w:bookmarkStart w:id="328" w:name="_Toc14821"/>
      <w:bookmarkStart w:id="329" w:name="_Toc21541"/>
      <w:bookmarkStart w:id="330" w:name="_Toc30237"/>
      <w:bookmarkStart w:id="331" w:name="_Toc341"/>
      <w:bookmarkStart w:id="332" w:name="_Toc19704"/>
      <w:bookmarkStart w:id="333" w:name="_Toc19119"/>
      <w:bookmarkStart w:id="334" w:name="_Toc12607"/>
      <w:bookmarkStart w:id="335" w:name="_Toc25618"/>
      <w:bookmarkStart w:id="336" w:name="_Toc31800"/>
      <w:bookmarkStart w:id="337" w:name="_Toc21406"/>
      <w:r>
        <w:rPr>
          <w:rFonts w:hint="eastAsia" w:ascii="仿宋" w:hAnsi="仿宋" w:eastAsia="仿宋" w:cs="仿宋"/>
          <w:b w:val="0"/>
          <w:bCs w:val="0"/>
          <w:i w:val="0"/>
          <w:iCs w:val="0"/>
          <w:color w:val="auto"/>
          <w:sz w:val="28"/>
          <w:szCs w:val="28"/>
          <w:highlight w:val="none"/>
          <w:shd w:val="clear" w:color="auto" w:fill="auto"/>
          <w:lang w:val="en-US" w:eastAsia="zh-CN"/>
        </w:rPr>
        <w:t>附件十五</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Start w:id="338" w:name="_Toc28191"/>
      <w:bookmarkStart w:id="339" w:name="_Toc24050"/>
      <w:bookmarkStart w:id="340" w:name="_Toc10938"/>
      <w:bookmarkStart w:id="341" w:name="_Toc22031"/>
      <w:bookmarkStart w:id="342" w:name="_Toc30511"/>
      <w:bookmarkStart w:id="343" w:name="_Toc13697"/>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招标清单</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w:t>
      </w:r>
    </w:p>
    <w:p w14:paraId="0A4527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附件十六</w:t>
      </w:r>
      <w:r>
        <w:rPr>
          <w:rFonts w:hint="eastAsia" w:ascii="仿宋" w:hAnsi="仿宋" w:eastAsia="仿宋" w:cs="仿宋"/>
          <w:color w:val="auto"/>
          <w:sz w:val="28"/>
          <w:szCs w:val="28"/>
          <w:highlight w:val="none"/>
          <w:lang w:val="en-US" w:eastAsia="zh-CN"/>
        </w:rPr>
        <w:t>《图纸》；</w:t>
      </w:r>
    </w:p>
    <w:p w14:paraId="6F8563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附件十七</w:t>
      </w:r>
      <w:r>
        <w:rPr>
          <w:rFonts w:hint="eastAsia" w:ascii="仿宋" w:hAnsi="仿宋" w:eastAsia="仿宋" w:cs="仿宋"/>
          <w:b w:val="0"/>
          <w:bCs w:val="0"/>
          <w:color w:val="auto"/>
          <w:sz w:val="28"/>
          <w:szCs w:val="28"/>
          <w:highlight w:val="none"/>
          <w:lang w:val="en-US" w:eastAsia="zh-CN"/>
        </w:rPr>
        <w:t>《南京现代表面处理科技产业中心项目-户外园林工程招标范围确认》。</w:t>
      </w:r>
    </w:p>
    <w:bookmarkEnd w:id="338"/>
    <w:p w14:paraId="717C66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8" w:firstLineChars="78"/>
        <w:textAlignment w:val="auto"/>
        <w:outlineLvl w:val="0"/>
        <w:rPr>
          <w:rFonts w:hint="eastAsia" w:ascii="仿宋" w:hAnsi="仿宋" w:eastAsia="仿宋" w:cs="仿宋"/>
          <w:b w:val="0"/>
          <w:bCs w:val="0"/>
          <w:i w:val="0"/>
          <w:iCs w:val="0"/>
          <w:color w:val="auto"/>
          <w:sz w:val="28"/>
          <w:szCs w:val="28"/>
          <w:highlight w:val="none"/>
          <w:shd w:val="clear" w:color="auto" w:fill="auto"/>
          <w:lang w:val="en-US" w:eastAsia="zh-CN"/>
        </w:rPr>
      </w:pPr>
    </w:p>
    <w:bookmarkEnd w:id="172"/>
    <w:bookmarkEnd w:id="339"/>
    <w:bookmarkEnd w:id="340"/>
    <w:bookmarkEnd w:id="341"/>
    <w:bookmarkEnd w:id="342"/>
    <w:bookmarkEnd w:id="343"/>
    <w:p w14:paraId="44738CAC">
      <w:pPr>
        <w:keepNext w:val="0"/>
        <w:keepLines w:val="0"/>
        <w:pageBreakBefore w:val="0"/>
        <w:widowControl w:val="0"/>
        <w:shd w:val="clear" w:color="auto" w:fill="auto"/>
        <w:kinsoku/>
        <w:wordWrap w:val="0"/>
        <w:overflowPunct/>
        <w:topLinePunct w:val="0"/>
        <w:autoSpaceDE/>
        <w:autoSpaceDN/>
        <w:bidi w:val="0"/>
        <w:adjustRightInd w:val="0"/>
        <w:snapToGrid w:val="0"/>
        <w:spacing w:line="360" w:lineRule="auto"/>
        <w:ind w:left="0" w:leftChars="0" w:right="0" w:rightChars="0" w:firstLineChars="0"/>
        <w:jc w:val="right"/>
        <w:textAlignment w:val="auto"/>
        <w:outlineLvl w:val="0"/>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265" w:bottom="952" w:left="16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7E50347">
      <w:pPr>
        <w:keepNext w:val="0"/>
        <w:keepLines w:val="0"/>
        <w:pageBreakBefore w:val="0"/>
        <w:shd w:val="clear" w:color="auto" w:fill="auto"/>
        <w:wordWrap w:val="0"/>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1BE59C4C">
      <w:pPr>
        <w:shd w:val="clear"/>
        <w:jc w:val="center"/>
        <w:rPr>
          <w:rFonts w:hint="eastAsia" w:ascii="宋体" w:hAnsi="宋体" w:eastAsia="宋体" w:cs="宋体"/>
          <w:b/>
          <w:bCs/>
          <w:color w:val="auto"/>
          <w:sz w:val="44"/>
          <w:szCs w:val="44"/>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1510030</wp:posOffset>
            </wp:positionH>
            <wp:positionV relativeFrom="paragraph">
              <wp:posOffset>1905000</wp:posOffset>
            </wp:positionV>
            <wp:extent cx="3541395" cy="2621280"/>
            <wp:effectExtent l="0" t="0" r="1905" b="762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3541395" cy="2621280"/>
                    </a:xfrm>
                    <a:prstGeom prst="rect">
                      <a:avLst/>
                    </a:prstGeom>
                    <a:noFill/>
                    <a:ln>
                      <a:noFill/>
                    </a:ln>
                  </pic:spPr>
                </pic:pic>
              </a:graphicData>
            </a:graphic>
          </wp:anchor>
        </w:drawing>
      </w:r>
    </w:p>
    <w:p w14:paraId="7FF0E77A">
      <w:pPr>
        <w:shd w:val="clear"/>
        <w:jc w:val="center"/>
        <w:rPr>
          <w:rFonts w:hint="eastAsia" w:ascii="宋体" w:hAnsi="宋体" w:eastAsia="宋体" w:cs="宋体"/>
          <w:b/>
          <w:bCs/>
          <w:color w:val="auto"/>
          <w:sz w:val="44"/>
          <w:szCs w:val="44"/>
          <w:highlight w:val="none"/>
          <w:lang w:val="en-US" w:eastAsia="zh-CN"/>
        </w:rPr>
      </w:pPr>
    </w:p>
    <w:p w14:paraId="781DDF20">
      <w:pPr>
        <w:shd w:val="clear"/>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甲方项目章样式</w:t>
      </w:r>
    </w:p>
    <w:p w14:paraId="65B6ECBA">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25B17A04">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1E0C5B73">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61403A65">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71DBBDFC">
      <w:pPr>
        <w:widowControl w:val="0"/>
        <w:wordWrap/>
        <w:snapToGrid w:val="0"/>
        <w:spacing w:line="300" w:lineRule="exact"/>
        <w:ind w:left="630" w:leftChars="300" w:firstLine="420" w:firstLineChars="200"/>
        <w:jc w:val="both"/>
        <w:rPr>
          <w:rFonts w:hint="eastAsia" w:ascii="Times New Roman" w:hAnsi="Times New Roman" w:eastAsia="宋体" w:cs="Times New Roman"/>
          <w:color w:val="auto"/>
          <w:kern w:val="2"/>
          <w:sz w:val="21"/>
          <w:szCs w:val="22"/>
          <w:highlight w:val="none"/>
          <w:lang w:val="en-US" w:eastAsia="zh-CN" w:bidi="ar-SA"/>
        </w:rPr>
      </w:pPr>
      <w:r>
        <w:rPr>
          <w:highlight w:val="none"/>
        </w:rPr>
        <w:drawing>
          <wp:anchor distT="0" distB="0" distL="114300" distR="114300" simplePos="0" relativeHeight="251662336" behindDoc="0" locked="0" layoutInCell="1" allowOverlap="1">
            <wp:simplePos x="0" y="0"/>
            <wp:positionH relativeFrom="column">
              <wp:posOffset>809625</wp:posOffset>
            </wp:positionH>
            <wp:positionV relativeFrom="paragraph">
              <wp:posOffset>2931795</wp:posOffset>
            </wp:positionV>
            <wp:extent cx="4733925" cy="3343275"/>
            <wp:effectExtent l="0" t="0" r="9525"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733925" cy="3343275"/>
                    </a:xfrm>
                    <a:prstGeom prst="rect">
                      <a:avLst/>
                    </a:prstGeom>
                    <a:noFill/>
                    <a:ln>
                      <a:noFill/>
                    </a:ln>
                  </pic:spPr>
                </pic:pic>
              </a:graphicData>
            </a:graphic>
          </wp:anchor>
        </w:drawing>
      </w:r>
    </w:p>
    <w:p w14:paraId="6C953980">
      <w:pPr>
        <w:keepNext w:val="0"/>
        <w:keepLines w:val="0"/>
        <w:pageBreakBefore w:val="0"/>
        <w:shd w:val="clear" w:color="auto" w:fill="auto"/>
        <w:wordWrap/>
        <w:overflowPunct/>
        <w:topLinePunct w:val="0"/>
        <w:bidi w:val="0"/>
        <w:snapToGrid w:val="0"/>
        <w:spacing w:line="360" w:lineRule="auto"/>
        <w:ind w:firstLineChars="0"/>
        <w:jc w:val="center"/>
        <w:outlineLvl w:val="0"/>
        <w:rPr>
          <w:rFonts w:hint="eastAsia" w:ascii="仿宋" w:hAnsi="仿宋" w:eastAsia="仿宋" w:cs="仿宋"/>
          <w:b/>
          <w:bCs w:val="0"/>
          <w:color w:val="auto"/>
          <w:sz w:val="40"/>
          <w:szCs w:val="40"/>
          <w:highlight w:val="none"/>
          <w:shd w:val="clear" w:color="auto" w:fill="auto"/>
          <w:lang w:val="en-US" w:eastAsia="zh-CN"/>
        </w:rPr>
      </w:pPr>
    </w:p>
    <w:p w14:paraId="2CC5477E">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附件二</w:t>
      </w:r>
    </w:p>
    <w:p w14:paraId="3D3F0325">
      <w:pPr>
        <w:spacing w:before="241" w:line="360" w:lineRule="auto"/>
        <w:ind w:left="0"/>
        <w:jc w:val="center"/>
        <w:rPr>
          <w:rFonts w:hint="eastAsia" w:ascii="仿宋" w:hAnsi="仿宋" w:eastAsia="仿宋" w:cs="仿宋"/>
          <w:b/>
          <w:bCs/>
          <w:color w:val="auto"/>
          <w:spacing w:val="-4"/>
          <w:position w:val="21"/>
          <w:sz w:val="8"/>
          <w:szCs w:val="8"/>
          <w:highlight w:val="none"/>
        </w:rPr>
      </w:pPr>
      <w:bookmarkStart w:id="344" w:name="_Toc23674"/>
      <w:bookmarkStart w:id="345" w:name="_Toc98"/>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4D9530A7">
      <w:pPr>
        <w:keepNext w:val="0"/>
        <w:keepLines w:val="0"/>
        <w:pageBreakBefore w:val="0"/>
        <w:wordWrap/>
        <w:overflowPunct/>
        <w:topLinePunct w:val="0"/>
        <w:bidi w:val="0"/>
        <w:adjustRightInd w:val="0"/>
        <w:snapToGrid w:val="0"/>
        <w:spacing w:line="192" w:lineRule="auto"/>
        <w:ind w:left="253"/>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eastAsia="zh-CN"/>
        </w:rPr>
        <w:t>致：</w:t>
      </w:r>
      <w:r>
        <w:rPr>
          <w:rFonts w:hint="eastAsia" w:ascii="仿宋" w:hAnsi="仿宋" w:eastAsia="仿宋" w:cs="仿宋"/>
          <w:b/>
          <w:bCs/>
          <w:color w:val="auto"/>
          <w:sz w:val="22"/>
          <w:szCs w:val="22"/>
          <w:highlight w:val="none"/>
          <w:lang w:val="en-US" w:eastAsia="zh-CN"/>
        </w:rPr>
        <w:t>**********</w:t>
      </w:r>
      <w:r>
        <w:rPr>
          <w:rFonts w:hint="eastAsia" w:ascii="仿宋" w:hAnsi="仿宋" w:eastAsia="仿宋" w:cs="仿宋"/>
          <w:b/>
          <w:bCs/>
          <w:color w:val="auto"/>
          <w:sz w:val="22"/>
          <w:szCs w:val="22"/>
          <w:highlight w:val="none"/>
        </w:rPr>
        <w:t>有限公司</w:t>
      </w:r>
    </w:p>
    <w:p w14:paraId="01F0AB2B">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我司与贵司于****年**月**日签订了《***合同》(以下简称“施工合同”），合同约定由我司承接贵司****项目工程***分项工程（以下简称“该工程”），该工程合同价***元，其中工人工资共计约***元。</w:t>
      </w:r>
    </w:p>
    <w:p w14:paraId="051C54A4">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pacing w:val="8"/>
          <w:sz w:val="22"/>
          <w:szCs w:val="22"/>
          <w:highlight w:val="none"/>
          <w:lang w:val="en-US" w:eastAsia="zh-CN"/>
        </w:rPr>
        <w:t>目前该工程在</w:t>
      </w:r>
      <w:r>
        <w:rPr>
          <w:rFonts w:hint="eastAsia" w:ascii="仿宋" w:hAnsi="仿宋" w:eastAsia="仿宋" w:cs="仿宋"/>
          <w:color w:val="auto"/>
          <w:spacing w:val="8"/>
          <w:sz w:val="22"/>
          <w:szCs w:val="22"/>
          <w:highlight w:val="none"/>
          <w:u w:val="single"/>
          <w:lang w:val="en-US" w:eastAsia="zh-CN"/>
        </w:rPr>
        <w:sym w:font="Wingdings 2" w:char="00A3"/>
      </w:r>
      <w:r>
        <w:rPr>
          <w:rFonts w:hint="eastAsia" w:ascii="仿宋" w:hAnsi="仿宋" w:eastAsia="仿宋" w:cs="仿宋"/>
          <w:color w:val="auto"/>
          <w:spacing w:val="8"/>
          <w:sz w:val="22"/>
          <w:szCs w:val="22"/>
          <w:highlight w:val="none"/>
          <w:u w:val="single"/>
          <w:lang w:val="en-US" w:eastAsia="zh-CN"/>
        </w:rPr>
        <w:t xml:space="preserve">施工过程中  </w:t>
      </w:r>
      <w:r>
        <w:rPr>
          <w:rFonts w:hint="eastAsia" w:ascii="仿宋" w:hAnsi="仿宋" w:eastAsia="仿宋" w:cs="仿宋"/>
          <w:color w:val="auto"/>
          <w:spacing w:val="8"/>
          <w:sz w:val="22"/>
          <w:szCs w:val="22"/>
          <w:highlight w:val="none"/>
          <w:u w:val="single"/>
          <w:lang w:val="en-US" w:eastAsia="zh-CN"/>
        </w:rPr>
        <w:sym w:font="Wingdings 2" w:char="00A3"/>
      </w:r>
      <w:r>
        <w:rPr>
          <w:rFonts w:hint="eastAsia" w:ascii="仿宋" w:hAnsi="仿宋" w:eastAsia="仿宋" w:cs="仿宋"/>
          <w:color w:val="auto"/>
          <w:spacing w:val="8"/>
          <w:sz w:val="22"/>
          <w:szCs w:val="22"/>
          <w:highlight w:val="none"/>
          <w:u w:val="single"/>
          <w:lang w:val="en-US" w:eastAsia="zh-CN"/>
        </w:rPr>
        <w:t>结算过程中</w:t>
      </w:r>
      <w:r>
        <w:rPr>
          <w:rFonts w:hint="eastAsia" w:ascii="仿宋" w:hAnsi="仿宋" w:eastAsia="仿宋" w:cs="仿宋"/>
          <w:color w:val="auto"/>
          <w:spacing w:val="8"/>
          <w:sz w:val="22"/>
          <w:szCs w:val="22"/>
          <w:highlight w:val="none"/>
          <w:lang w:val="en-US" w:eastAsia="zh-CN"/>
        </w:rPr>
        <w:t>。现我司申请贵司向我司支付**月份工程款共计</w:t>
      </w:r>
      <w:r>
        <w:rPr>
          <w:rFonts w:hint="eastAsia" w:ascii="仿宋" w:hAnsi="仿宋" w:eastAsia="仿宋" w:cs="仿宋"/>
          <w:color w:val="auto"/>
          <w:spacing w:val="8"/>
          <w:sz w:val="22"/>
          <w:szCs w:val="22"/>
          <w:highlight w:val="none"/>
          <w:u w:val="single"/>
          <w:lang w:val="en-US" w:eastAsia="zh-CN"/>
        </w:rPr>
        <w:t>**** 元</w:t>
      </w:r>
      <w:r>
        <w:rPr>
          <w:rFonts w:hint="eastAsia" w:ascii="仿宋" w:hAnsi="仿宋" w:eastAsia="仿宋" w:cs="仿宋"/>
          <w:color w:val="auto"/>
          <w:spacing w:val="8"/>
          <w:sz w:val="22"/>
          <w:szCs w:val="22"/>
          <w:highlight w:val="none"/>
          <w:lang w:val="en-US" w:eastAsia="zh-CN"/>
        </w:rPr>
        <w:t>，大写：</w:t>
      </w:r>
      <w:r>
        <w:rPr>
          <w:rFonts w:hint="eastAsia" w:ascii="仿宋" w:hAnsi="仿宋" w:eastAsia="仿宋" w:cs="仿宋"/>
          <w:color w:val="auto"/>
          <w:spacing w:val="8"/>
          <w:sz w:val="22"/>
          <w:szCs w:val="22"/>
          <w:highlight w:val="none"/>
          <w:u w:val="single"/>
          <w:lang w:val="en-US" w:eastAsia="zh-CN"/>
        </w:rPr>
        <w:t xml:space="preserve"> **** 元，其中</w:t>
      </w:r>
      <w:r>
        <w:rPr>
          <w:rFonts w:hint="eastAsia" w:ascii="仿宋" w:hAnsi="仿宋" w:eastAsia="仿宋" w:cs="仿宋"/>
          <w:color w:val="auto"/>
          <w:spacing w:val="8"/>
          <w:sz w:val="22"/>
          <w:szCs w:val="22"/>
          <w:highlight w:val="none"/>
          <w:lang w:val="en-US" w:eastAsia="zh-CN"/>
        </w:rPr>
        <w:t xml:space="preserve"> </w:t>
      </w:r>
      <w:r>
        <w:rPr>
          <w:rFonts w:hint="eastAsia" w:ascii="仿宋" w:hAnsi="仿宋" w:eastAsia="仿宋" w:cs="仿宋"/>
          <w:color w:val="auto"/>
          <w:spacing w:val="8"/>
          <w:sz w:val="22"/>
          <w:szCs w:val="22"/>
          <w:highlight w:val="none"/>
          <w:u w:val="single"/>
          <w:lang w:val="en-US" w:eastAsia="zh-CN"/>
        </w:rPr>
        <w:t>***元为</w:t>
      </w:r>
      <w:r>
        <w:rPr>
          <w:rFonts w:hint="eastAsia" w:ascii="仿宋" w:hAnsi="仿宋" w:eastAsia="仿宋" w:cs="仿宋"/>
          <w:color w:val="auto"/>
          <w:spacing w:val="8"/>
          <w:sz w:val="22"/>
          <w:szCs w:val="22"/>
          <w:highlight w:val="none"/>
          <w:lang w:val="en-US" w:eastAsia="zh-CN"/>
        </w:rPr>
        <w:t>施工合同涉及的所有施工工人工资，由</w:t>
      </w:r>
      <w:r>
        <w:rPr>
          <w:rFonts w:hint="eastAsia" w:ascii="仿宋" w:hAnsi="仿宋" w:eastAsia="仿宋" w:cs="仿宋"/>
          <w:color w:val="auto"/>
          <w:spacing w:val="8"/>
          <w:sz w:val="22"/>
          <w:szCs w:val="22"/>
          <w:highlight w:val="none"/>
          <w:u w:val="single"/>
          <w:lang w:val="en-US" w:eastAsia="zh-CN"/>
        </w:rPr>
        <w:t>贵司直接支付至工人银行卡账号</w:t>
      </w:r>
      <w:r>
        <w:rPr>
          <w:rFonts w:hint="eastAsia" w:ascii="仿宋" w:hAnsi="仿宋" w:eastAsia="仿宋" w:cs="仿宋"/>
          <w:color w:val="auto"/>
          <w:spacing w:val="8"/>
          <w:sz w:val="22"/>
          <w:szCs w:val="22"/>
          <w:highlight w:val="none"/>
          <w:u w:val="none"/>
          <w:lang w:val="en-US" w:eastAsia="zh-CN"/>
        </w:rPr>
        <w:t>，工人</w:t>
      </w:r>
      <w:r>
        <w:rPr>
          <w:rFonts w:hint="eastAsia" w:ascii="仿宋" w:hAnsi="仿宋" w:eastAsia="仿宋" w:cs="仿宋"/>
          <w:color w:val="auto"/>
          <w:spacing w:val="8"/>
          <w:sz w:val="22"/>
          <w:szCs w:val="22"/>
          <w:highlight w:val="none"/>
          <w:lang w:val="en-US" w:eastAsia="zh-CN"/>
        </w:rPr>
        <w:t>名单及工资明细情况等详见附件1</w:t>
      </w:r>
      <w:r>
        <w:rPr>
          <w:rFonts w:hint="eastAsia" w:ascii="仿宋" w:hAnsi="仿宋" w:eastAsia="仿宋" w:cs="仿宋"/>
          <w:color w:val="auto"/>
          <w:spacing w:val="-4"/>
          <w:sz w:val="22"/>
          <w:szCs w:val="22"/>
          <w:highlight w:val="none"/>
          <w:lang w:val="en-US" w:eastAsia="zh-CN"/>
        </w:rPr>
        <w:t>《建筑工人工资表》</w:t>
      </w:r>
      <w:r>
        <w:rPr>
          <w:rFonts w:hint="eastAsia" w:ascii="仿宋" w:hAnsi="仿宋" w:eastAsia="仿宋" w:cs="仿宋"/>
          <w:color w:val="auto"/>
          <w:spacing w:val="8"/>
          <w:sz w:val="22"/>
          <w:szCs w:val="22"/>
          <w:highlight w:val="none"/>
          <w:u w:val="none"/>
          <w:lang w:val="en-US" w:eastAsia="zh-CN"/>
        </w:rPr>
        <w:t>。</w:t>
      </w:r>
    </w:p>
    <w:p w14:paraId="248B6C4F">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z w:val="20"/>
          <w:szCs w:val="21"/>
          <w:highlight w:val="none"/>
          <w:lang w:val="en-US" w:eastAsia="zh-CN"/>
        </w:rPr>
      </w:pPr>
      <w:r>
        <w:rPr>
          <w:rFonts w:hint="eastAsia" w:ascii="仿宋" w:hAnsi="仿宋" w:eastAsia="仿宋" w:cs="仿宋"/>
          <w:color w:val="auto"/>
          <w:spacing w:val="8"/>
          <w:sz w:val="22"/>
          <w:szCs w:val="22"/>
          <w:highlight w:val="none"/>
          <w:lang w:val="en-US" w:eastAsia="zh-CN"/>
        </w:rPr>
        <w:t>我司承诺全面贯彻落实《保障农民工工资支付条例》（中华人民共和国国务院令第724号）等国家及地方关于农民工工资支付的相关政策法规要求，切实履行农民工工资支付主体责任。我司如瞒报、漏报、错报工人工资或以其他形式克扣或拖欠工人工资，导致发生该工程工人因欠薪去政府部门上访、投诉、静坐、讨要工资，或在贵司相关场所非法集结讨要工资，或阻碍现场施工等行为的，属我司严重违约，我司同意按以下方式处理：</w:t>
      </w:r>
    </w:p>
    <w:p w14:paraId="1A48E653">
      <w:pPr>
        <w:keepNext w:val="0"/>
        <w:keepLines w:val="0"/>
        <w:pageBreakBefore w:val="0"/>
        <w:numPr>
          <w:ilvl w:val="0"/>
          <w:numId w:val="3"/>
        </w:numPr>
        <w:wordWrap/>
        <w:overflowPunct/>
        <w:topLinePunct w:val="0"/>
        <w:bidi w:val="0"/>
        <w:adjustRightInd w:val="0"/>
        <w:snapToGrid w:val="0"/>
        <w:spacing w:before="120" w:line="192" w:lineRule="auto"/>
        <w:ind w:left="211" w:leftChars="0" w:right="238" w:rightChars="0" w:firstLine="419" w:firstLineChars="0"/>
        <w:jc w:val="both"/>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同意由贵司在应付未付工程款范围内直接代为支付该工程尚拖欠的工人工资（以现场工人所主张数据为准，贵司无核实的责任或义务，数据准确性后果由我司自行承担），我司在贵司代付工人工资后3个工作日内无条件开具对应金额的发票给贵司，并且我司还需就此另按贵司当次所代付工资总额的50%向贵司承担相关虚假承诺违约金。每发生一次劳资纠纷事件，或因我司拖欠工人工资而导致媒体曝光或政府部门介入的，我司按合同约定承担违约责任及向贵司支付相应违约金。以上全部违约金等，贵司有权单方在我司任何的后续合同款/进度款/结算款中直接做扣减处置，如后续合同款/进度款/结算款不足以被扣减违约金的，由我司负责另行支付给贵司，我司并应另向贵司赔偿因此遭遇的其他损失及费用。</w:t>
      </w:r>
    </w:p>
    <w:p w14:paraId="6EE5AC6F">
      <w:pPr>
        <w:keepNext w:val="0"/>
        <w:keepLines w:val="0"/>
        <w:pageBreakBefore w:val="0"/>
        <w:widowControl/>
        <w:numPr>
          <w:ilvl w:val="0"/>
          <w:numId w:val="3"/>
        </w:numPr>
        <w:kinsoku/>
        <w:wordWrap/>
        <w:overflowPunct/>
        <w:topLinePunct w:val="0"/>
        <w:autoSpaceDE/>
        <w:autoSpaceDN/>
        <w:bidi w:val="0"/>
        <w:adjustRightInd w:val="0"/>
        <w:snapToGrid w:val="0"/>
        <w:spacing w:before="120" w:line="192" w:lineRule="auto"/>
        <w:ind w:left="211" w:leftChars="0" w:right="238" w:rightChars="0" w:firstLine="419"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我司承诺将无条件负责相应的善后工作及消除对贵司造成的不良影响。</w:t>
      </w:r>
    </w:p>
    <w:p w14:paraId="74AA5E70">
      <w:pPr>
        <w:keepNext w:val="0"/>
        <w:keepLines w:val="0"/>
        <w:pageBreakBefore w:val="0"/>
        <w:widowControl/>
        <w:numPr>
          <w:ilvl w:val="0"/>
          <w:numId w:val="3"/>
        </w:numPr>
        <w:kinsoku/>
        <w:wordWrap/>
        <w:overflowPunct/>
        <w:topLinePunct w:val="0"/>
        <w:autoSpaceDE/>
        <w:autoSpaceDN/>
        <w:bidi w:val="0"/>
        <w:adjustRightInd w:val="0"/>
        <w:snapToGrid w:val="0"/>
        <w:spacing w:before="120" w:line="192" w:lineRule="auto"/>
        <w:ind w:left="211" w:leftChars="0" w:right="238" w:rightChars="0" w:firstLine="419"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i w:val="0"/>
          <w:iCs w:val="0"/>
          <w:caps w:val="0"/>
          <w:color w:val="auto"/>
          <w:spacing w:val="0"/>
          <w:sz w:val="22"/>
          <w:szCs w:val="22"/>
          <w:highlight w:val="none"/>
          <w:shd w:val="clear" w:fill="FFFFFF"/>
        </w:rPr>
        <w:t xml:space="preserve">我司保证该工程完工之日起**个日历天内，将该工程的工人工资全部结清支付给所有工人，如遇节假日或休息日，将提前在最近的工作日进行支付，确保工人能够及时获得劳动报酬。对于新入职的工人，自其入职之日起，按照约定的工资支付周期和标准支付工资。否则，贵司有权不向我司支付合同进度款且不给我司办理结算，并由贵司按上述第三条规则进行处理。 </w:t>
      </w:r>
    </w:p>
    <w:p w14:paraId="7DD40860">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四、特别约定：</w:t>
      </w:r>
    </w:p>
    <w:p w14:paraId="5E9AAAB2">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******公司法定代表人</w:t>
      </w:r>
      <w:r>
        <w:rPr>
          <w:rFonts w:hint="eastAsia" w:ascii="仿宋" w:hAnsi="仿宋" w:eastAsia="仿宋" w:cs="仿宋"/>
          <w:color w:val="auto"/>
          <w:spacing w:val="8"/>
          <w:sz w:val="22"/>
          <w:szCs w:val="22"/>
          <w:highlight w:val="none"/>
          <w:u w:val="none"/>
          <w:lang w:val="en-US" w:eastAsia="zh-CN"/>
        </w:rPr>
        <w:t xml:space="preserve"> **** </w:t>
      </w:r>
      <w:r>
        <w:rPr>
          <w:rFonts w:hint="eastAsia" w:ascii="仿宋" w:hAnsi="仿宋" w:eastAsia="仿宋" w:cs="仿宋"/>
          <w:color w:val="auto"/>
          <w:spacing w:val="8"/>
          <w:sz w:val="22"/>
          <w:szCs w:val="22"/>
          <w:highlight w:val="none"/>
          <w:lang w:val="en-US" w:eastAsia="zh-CN"/>
        </w:rPr>
        <w:t>（身份证号：</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u w:val="none"/>
          <w:shd w:val="clear"/>
          <w:lang w:val="en-US" w:eastAsia="zh-CN"/>
        </w:rPr>
        <w:t>******</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lang w:val="en-US" w:eastAsia="zh-CN"/>
        </w:rPr>
        <w:t>）、实际控制人</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lang w:val="en-US" w:eastAsia="zh-CN"/>
        </w:rPr>
        <w:t>（身</w:t>
      </w:r>
    </w:p>
    <w:p w14:paraId="57112518">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right="238" w:right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份证号：</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u w:val="none"/>
          <w:shd w:val="clear"/>
          <w:lang w:val="en-US" w:eastAsia="zh-CN"/>
        </w:rPr>
        <w:t>******</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lang w:val="en-US" w:eastAsia="zh-CN"/>
        </w:rPr>
        <w:t>）就本《工人工资发放承诺书》所列明的全部公司责任后果，分别同意以个人名义另向贵司承担连带清偿责任，连带清偿范围除以上第三条列明后果外，还及于贵司为维护自身合法权益而向*******公司主张的诉讼费、财产保全费、保全担保费、证据保全公证费、律师代理费、差旅费等费用。</w:t>
      </w:r>
    </w:p>
    <w:p w14:paraId="4B467408">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特此承诺！</w:t>
      </w:r>
    </w:p>
    <w:p w14:paraId="18776CF1">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附件1：《建筑工人工资表》（样表）；</w:t>
      </w:r>
    </w:p>
    <w:p w14:paraId="2244B523">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附件2：各连带清偿人身份证正反面复印件。</w:t>
      </w:r>
    </w:p>
    <w:p w14:paraId="46619E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192" w:lineRule="auto"/>
        <w:ind w:left="0" w:leftChars="0" w:right="238" w:rightChars="0" w:firstLine="0" w:firstLineChars="0"/>
        <w:jc w:val="both"/>
        <w:textAlignment w:val="baseline"/>
        <w:rPr>
          <w:rFonts w:hint="default" w:ascii="仿宋" w:hAnsi="仿宋" w:eastAsia="仿宋" w:cs="仿宋"/>
          <w:color w:val="auto"/>
          <w:spacing w:val="-4"/>
          <w:sz w:val="22"/>
          <w:szCs w:val="22"/>
          <w:highlight w:val="none"/>
          <w:lang w:val="en-US" w:eastAsia="zh-CN"/>
        </w:rPr>
      </w:pPr>
    </w:p>
    <w:p w14:paraId="204064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192" w:lineRule="auto"/>
        <w:ind w:right="238" w:rightChars="0" w:firstLine="0" w:firstLineChars="0"/>
        <w:jc w:val="both"/>
        <w:textAlignment w:val="baseline"/>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承诺单位（盖章）：*******公司       连带清偿责任人（签名）：</w:t>
      </w:r>
    </w:p>
    <w:p w14:paraId="5D284F8A">
      <w:pPr>
        <w:keepNext w:val="0"/>
        <w:keepLines w:val="0"/>
        <w:pageBreakBefore w:val="0"/>
        <w:numPr>
          <w:ilvl w:val="0"/>
          <w:numId w:val="0"/>
        </w:numPr>
        <w:wordWrap/>
        <w:overflowPunct/>
        <w:topLinePunct w:val="0"/>
        <w:bidi w:val="0"/>
        <w:adjustRightInd w:val="0"/>
        <w:snapToGrid w:val="0"/>
        <w:spacing w:before="120" w:line="192" w:lineRule="auto"/>
        <w:ind w:right="238" w:rightChars="0" w:firstLine="0" w:firstLineChars="0"/>
        <w:jc w:val="right"/>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 xml:space="preserve">                                       </w:t>
      </w:r>
    </w:p>
    <w:p w14:paraId="4EC8A4DF">
      <w:pPr>
        <w:keepNext w:val="0"/>
        <w:keepLines w:val="0"/>
        <w:pageBreakBefore w:val="0"/>
        <w:numPr>
          <w:ilvl w:val="0"/>
          <w:numId w:val="0"/>
        </w:numPr>
        <w:wordWrap/>
        <w:overflowPunct/>
        <w:topLinePunct w:val="0"/>
        <w:bidi w:val="0"/>
        <w:adjustRightInd w:val="0"/>
        <w:snapToGrid w:val="0"/>
        <w:spacing w:before="120" w:line="192" w:lineRule="auto"/>
        <w:ind w:right="238" w:rightChars="0" w:firstLine="0" w:firstLineChars="0"/>
        <w:jc w:val="right"/>
        <w:rPr>
          <w:rFonts w:hint="eastAsia" w:ascii="仿宋" w:hAnsi="仿宋" w:eastAsia="仿宋" w:cs="仿宋"/>
          <w:b/>
          <w:bCs w:val="0"/>
          <w:color w:val="auto"/>
          <w:sz w:val="36"/>
          <w:szCs w:val="36"/>
          <w:highlight w:val="none"/>
          <w:shd w:val="clear" w:color="auto" w:fill="auto"/>
          <w:lang w:val="en-US" w:eastAsia="zh-CN"/>
        </w:rPr>
      </w:pPr>
      <w:r>
        <w:rPr>
          <w:rFonts w:hint="eastAsia" w:ascii="仿宋" w:hAnsi="仿宋" w:eastAsia="仿宋" w:cs="仿宋"/>
          <w:color w:val="auto"/>
          <w:spacing w:val="8"/>
          <w:sz w:val="22"/>
          <w:szCs w:val="22"/>
          <w:highlight w:val="none"/>
          <w:lang w:val="en-US" w:eastAsia="zh-CN"/>
        </w:rPr>
        <w:t xml:space="preserve"> 日   期：****年**月**日</w:t>
      </w:r>
    </w:p>
    <w:p w14:paraId="4823B378">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727D144F">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1C5BD3D6">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3070EB83">
      <w:pPr>
        <w:widowControl w:val="0"/>
        <w:snapToGrid w:val="0"/>
        <w:spacing w:line="300" w:lineRule="exact"/>
        <w:ind w:left="630" w:leftChars="300" w:firstLine="803" w:firstLineChars="200"/>
        <w:jc w:val="both"/>
        <w:rPr>
          <w:rFonts w:hint="eastAsia" w:ascii="仿宋" w:hAnsi="仿宋" w:eastAsia="仿宋" w:cs="仿宋"/>
          <w:b/>
          <w:bCs w:val="0"/>
          <w:color w:val="auto"/>
          <w:kern w:val="2"/>
          <w:sz w:val="40"/>
          <w:szCs w:val="40"/>
          <w:highlight w:val="none"/>
          <w:shd w:val="clear" w:color="auto" w:fill="auto"/>
          <w:lang w:val="en-US" w:eastAsia="zh-CN" w:bidi="ar-SA"/>
        </w:rPr>
      </w:pPr>
    </w:p>
    <w:tbl>
      <w:tblPr>
        <w:tblStyle w:val="15"/>
        <w:tblW w:w="946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
        <w:gridCol w:w="629"/>
        <w:gridCol w:w="1134"/>
        <w:gridCol w:w="1082"/>
        <w:gridCol w:w="551"/>
        <w:gridCol w:w="816"/>
        <w:gridCol w:w="740"/>
        <w:gridCol w:w="750"/>
        <w:gridCol w:w="609"/>
        <w:gridCol w:w="503"/>
        <w:gridCol w:w="793"/>
        <w:gridCol w:w="764"/>
        <w:gridCol w:w="636"/>
      </w:tblGrid>
      <w:tr w14:paraId="7DB63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trPr>
        <w:tc>
          <w:tcPr>
            <w:tcW w:w="9460" w:type="dxa"/>
            <w:gridSpan w:val="13"/>
            <w:tcBorders>
              <w:top w:val="nil"/>
              <w:left w:val="nil"/>
              <w:bottom w:val="nil"/>
              <w:right w:val="nil"/>
            </w:tcBorders>
            <w:noWrap/>
            <w:vAlign w:val="center"/>
          </w:tcPr>
          <w:p w14:paraId="3A62E686">
            <w:pPr>
              <w:keepNext w:val="0"/>
              <w:keepLines w:val="0"/>
              <w:widowControl/>
              <w:suppressLineNumbers w:val="0"/>
              <w:jc w:val="right"/>
              <w:textAlignment w:val="center"/>
              <w:rPr>
                <w:rFonts w:hint="eastAsia" w:ascii="宋体" w:hAnsi="宋体" w:eastAsia="宋体" w:cs="宋体"/>
                <w:i w:val="0"/>
                <w:iCs w:val="0"/>
                <w:color w:val="auto"/>
                <w:kern w:val="0"/>
                <w:sz w:val="32"/>
                <w:szCs w:val="32"/>
                <w:highlight w:val="none"/>
                <w:u w:val="none"/>
                <w:lang w:val="en-US" w:eastAsia="zh-CN" w:bidi="ar"/>
              </w:rPr>
            </w:pPr>
            <w:r>
              <w:rPr>
                <w:rFonts w:hint="eastAsia" w:ascii="宋体" w:hAnsi="宋体" w:eastAsia="宋体" w:cs="宋体"/>
                <w:i w:val="0"/>
                <w:iCs w:val="0"/>
                <w:color w:val="auto"/>
                <w:kern w:val="0"/>
                <w:sz w:val="32"/>
                <w:szCs w:val="32"/>
                <w:highlight w:val="none"/>
                <w:u w:val="none"/>
                <w:lang w:val="en-US" w:eastAsia="zh-CN" w:bidi="ar"/>
              </w:rPr>
              <w:t>（样表）</w:t>
            </w:r>
          </w:p>
          <w:p w14:paraId="18F0D222">
            <w:pPr>
              <w:keepNext w:val="0"/>
              <w:keepLines w:val="0"/>
              <w:widowControl/>
              <w:suppressLineNumbers w:val="0"/>
              <w:jc w:val="center"/>
              <w:textAlignment w:val="center"/>
              <w:rPr>
                <w:rFonts w:hint="eastAsia" w:ascii="宋体" w:hAnsi="宋体" w:eastAsia="宋体" w:cs="宋体"/>
                <w:i w:val="0"/>
                <w:iCs w:val="0"/>
                <w:color w:val="auto"/>
                <w:sz w:val="36"/>
                <w:szCs w:val="36"/>
                <w:highlight w:val="none"/>
                <w:u w:val="none"/>
              </w:rPr>
            </w:pPr>
            <w:r>
              <w:rPr>
                <w:rFonts w:hint="eastAsia" w:ascii="宋体" w:hAnsi="宋体" w:eastAsia="宋体" w:cs="宋体"/>
                <w:i w:val="0"/>
                <w:iCs w:val="0"/>
                <w:color w:val="auto"/>
                <w:kern w:val="0"/>
                <w:sz w:val="36"/>
                <w:szCs w:val="36"/>
                <w:highlight w:val="none"/>
                <w:u w:val="none"/>
                <w:lang w:val="en-US" w:eastAsia="zh-CN" w:bidi="ar"/>
              </w:rPr>
              <w:t>建筑工人工资表（    年  月份）</w:t>
            </w:r>
          </w:p>
        </w:tc>
      </w:tr>
      <w:tr w14:paraId="4EDED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65" w:type="dxa"/>
            <w:gridSpan w:val="6"/>
            <w:tcBorders>
              <w:top w:val="nil"/>
              <w:left w:val="nil"/>
              <w:bottom w:val="nil"/>
              <w:right w:val="nil"/>
            </w:tcBorders>
            <w:noWrap/>
            <w:vAlign w:val="center"/>
          </w:tcPr>
          <w:p w14:paraId="67B84AB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项目名称：</w:t>
            </w:r>
          </w:p>
        </w:tc>
        <w:tc>
          <w:tcPr>
            <w:tcW w:w="4795" w:type="dxa"/>
            <w:gridSpan w:val="7"/>
            <w:tcBorders>
              <w:top w:val="nil"/>
              <w:left w:val="nil"/>
              <w:bottom w:val="nil"/>
              <w:right w:val="nil"/>
            </w:tcBorders>
            <w:noWrap/>
            <w:vAlign w:val="center"/>
          </w:tcPr>
          <w:p w14:paraId="205DC9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班组：</w:t>
            </w:r>
          </w:p>
        </w:tc>
      </w:tr>
      <w:tr w14:paraId="59FC8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426806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629" w:type="dxa"/>
            <w:tcBorders>
              <w:top w:val="single" w:color="000000" w:sz="4" w:space="0"/>
              <w:left w:val="single" w:color="000000" w:sz="4" w:space="0"/>
              <w:bottom w:val="single" w:color="000000" w:sz="4" w:space="0"/>
              <w:right w:val="single" w:color="000000" w:sz="4" w:space="0"/>
            </w:tcBorders>
            <w:noWrap/>
            <w:vAlign w:val="center"/>
          </w:tcPr>
          <w:p w14:paraId="4443DF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姓名</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9F85F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身份证号码</w:t>
            </w: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4548A9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银行卡账号</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166B4D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本月工资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60CCEC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上月结余工资（元）</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0C3F78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加班工资（元）</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3521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本月借支工资（元）</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14:paraId="0B1A40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扣除项目名称</w:t>
            </w:r>
          </w:p>
        </w:tc>
        <w:tc>
          <w:tcPr>
            <w:tcW w:w="503" w:type="dxa"/>
            <w:tcBorders>
              <w:top w:val="single" w:color="000000" w:sz="4" w:space="0"/>
              <w:left w:val="single" w:color="000000" w:sz="4" w:space="0"/>
              <w:bottom w:val="single" w:color="000000" w:sz="4" w:space="0"/>
              <w:right w:val="single" w:color="000000" w:sz="4" w:space="0"/>
            </w:tcBorders>
            <w:noWrap w:val="0"/>
            <w:vAlign w:val="center"/>
          </w:tcPr>
          <w:p w14:paraId="06A1DE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金额（元）</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14:paraId="372861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累计应付工资（元）</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14:paraId="6986D5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本月实发工资（元）</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14:paraId="0DEB97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签名</w:t>
            </w:r>
          </w:p>
        </w:tc>
      </w:tr>
      <w:tr w14:paraId="27CAB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421D63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5CB01DD9">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ECD4BCC">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EDF1998">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88F1571">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F5DF238">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46C82E3">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65DDD81">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986D034">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03FC3827">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DF76E66">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31E37CC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A0748B2">
            <w:pPr>
              <w:jc w:val="center"/>
              <w:rPr>
                <w:rFonts w:hint="eastAsia" w:ascii="宋体" w:hAnsi="宋体" w:eastAsia="宋体" w:cs="宋体"/>
                <w:i w:val="0"/>
                <w:iCs w:val="0"/>
                <w:color w:val="auto"/>
                <w:sz w:val="20"/>
                <w:szCs w:val="20"/>
                <w:highlight w:val="none"/>
                <w:u w:val="none"/>
              </w:rPr>
            </w:pPr>
          </w:p>
        </w:tc>
      </w:tr>
      <w:tr w14:paraId="731C5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48AE0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73574E4B">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CD27FE3">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BA73768">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3ED5DE89">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4EFBD5B">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A8E90A">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D49176B">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7E0FDC0">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44B41A62">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83AEE9E">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0E288EBE">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0DDCEF08">
            <w:pPr>
              <w:jc w:val="center"/>
              <w:rPr>
                <w:rFonts w:hint="eastAsia" w:ascii="宋体" w:hAnsi="宋体" w:eastAsia="宋体" w:cs="宋体"/>
                <w:i w:val="0"/>
                <w:iCs w:val="0"/>
                <w:color w:val="auto"/>
                <w:sz w:val="20"/>
                <w:szCs w:val="20"/>
                <w:highlight w:val="none"/>
                <w:u w:val="none"/>
              </w:rPr>
            </w:pPr>
          </w:p>
        </w:tc>
      </w:tr>
      <w:tr w14:paraId="581DB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B1B25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F376B58">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2CD3A71">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1D20F2B2">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7F1620EF">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49CBD33">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618004C">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490683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8F31A99">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483A7739">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EE483C1">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B6FE160">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A5BDF87">
            <w:pPr>
              <w:jc w:val="center"/>
              <w:rPr>
                <w:rFonts w:hint="eastAsia" w:ascii="宋体" w:hAnsi="宋体" w:eastAsia="宋体" w:cs="宋体"/>
                <w:i w:val="0"/>
                <w:iCs w:val="0"/>
                <w:color w:val="auto"/>
                <w:sz w:val="20"/>
                <w:szCs w:val="20"/>
                <w:highlight w:val="none"/>
                <w:u w:val="none"/>
              </w:rPr>
            </w:pPr>
          </w:p>
        </w:tc>
      </w:tr>
      <w:tr w14:paraId="48956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29D754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07F2B8E">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D6B60BB">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7380FA4D">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0CAE3324">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08B1BD9">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D67B34C">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7C3E58E">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44C8E6B6">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60406F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C1CFE60">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E1071DF">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7EFD5430">
            <w:pPr>
              <w:jc w:val="center"/>
              <w:rPr>
                <w:rFonts w:hint="eastAsia" w:ascii="宋体" w:hAnsi="宋体" w:eastAsia="宋体" w:cs="宋体"/>
                <w:i w:val="0"/>
                <w:iCs w:val="0"/>
                <w:color w:val="auto"/>
                <w:sz w:val="20"/>
                <w:szCs w:val="20"/>
                <w:highlight w:val="none"/>
                <w:u w:val="none"/>
              </w:rPr>
            </w:pPr>
          </w:p>
        </w:tc>
      </w:tr>
      <w:tr w14:paraId="78256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526217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E504CA7">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C33E314">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F18025A">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59F416D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B6FBA2">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1D2471">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AA01D15">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428BA024">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699DC5C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629C049">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A6E26B9">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17CB42BA">
            <w:pPr>
              <w:jc w:val="center"/>
              <w:rPr>
                <w:rFonts w:hint="eastAsia" w:ascii="宋体" w:hAnsi="宋体" w:eastAsia="宋体" w:cs="宋体"/>
                <w:i w:val="0"/>
                <w:iCs w:val="0"/>
                <w:color w:val="auto"/>
                <w:sz w:val="20"/>
                <w:szCs w:val="20"/>
                <w:highlight w:val="none"/>
                <w:u w:val="none"/>
              </w:rPr>
            </w:pPr>
          </w:p>
        </w:tc>
      </w:tr>
      <w:tr w14:paraId="0FBDA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054BA8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4AB53B97">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BC7C57B">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4A1FBF00">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1B9DA3F3">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A54D90B">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ACB3B73">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770105B">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18F957BF">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0F2D39D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E573871">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67133DCE">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6C8BD8E">
            <w:pPr>
              <w:jc w:val="center"/>
              <w:rPr>
                <w:rFonts w:hint="eastAsia" w:ascii="宋体" w:hAnsi="宋体" w:eastAsia="宋体" w:cs="宋体"/>
                <w:i w:val="0"/>
                <w:iCs w:val="0"/>
                <w:color w:val="auto"/>
                <w:sz w:val="20"/>
                <w:szCs w:val="20"/>
                <w:highlight w:val="none"/>
                <w:u w:val="none"/>
              </w:rPr>
            </w:pPr>
          </w:p>
        </w:tc>
      </w:tr>
      <w:tr w14:paraId="0249D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2ACCB4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2C574CB">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297D539">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72BE04E4">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916795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BF38D2E">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3543F5B">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7AA5282">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07FF854A">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3B1B490">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9D0DAB1">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56D9435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3F0F1F1">
            <w:pPr>
              <w:jc w:val="center"/>
              <w:rPr>
                <w:rFonts w:hint="eastAsia" w:ascii="宋体" w:hAnsi="宋体" w:eastAsia="宋体" w:cs="宋体"/>
                <w:i w:val="0"/>
                <w:iCs w:val="0"/>
                <w:color w:val="auto"/>
                <w:sz w:val="20"/>
                <w:szCs w:val="20"/>
                <w:highlight w:val="none"/>
                <w:u w:val="none"/>
              </w:rPr>
            </w:pPr>
          </w:p>
        </w:tc>
      </w:tr>
      <w:tr w14:paraId="7DBEB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79A41B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78CE121F">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1C63012">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18CD7A8E">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3C46F139">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F94D782">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05417E7">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073E27D">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618474A0">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6327E0C8">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796D8B3">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0DCC5C18">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1A28FE4">
            <w:pPr>
              <w:jc w:val="center"/>
              <w:rPr>
                <w:rFonts w:hint="eastAsia" w:ascii="宋体" w:hAnsi="宋体" w:eastAsia="宋体" w:cs="宋体"/>
                <w:i w:val="0"/>
                <w:iCs w:val="0"/>
                <w:color w:val="auto"/>
                <w:sz w:val="20"/>
                <w:szCs w:val="20"/>
                <w:highlight w:val="none"/>
                <w:u w:val="none"/>
              </w:rPr>
            </w:pPr>
          </w:p>
        </w:tc>
      </w:tr>
      <w:tr w14:paraId="13FCA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0940A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2DC4CAF6">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EBD71B9">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60D1EF04">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816B2D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669AE0">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6B10FBA">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03DFB8C">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EB591FE">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6D88D4A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DCF9D56">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1534B45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7CC5D3CA">
            <w:pPr>
              <w:jc w:val="center"/>
              <w:rPr>
                <w:rFonts w:hint="eastAsia" w:ascii="宋体" w:hAnsi="宋体" w:eastAsia="宋体" w:cs="宋体"/>
                <w:i w:val="0"/>
                <w:iCs w:val="0"/>
                <w:color w:val="auto"/>
                <w:sz w:val="20"/>
                <w:szCs w:val="20"/>
                <w:highlight w:val="none"/>
                <w:u w:val="none"/>
              </w:rPr>
            </w:pPr>
          </w:p>
        </w:tc>
      </w:tr>
      <w:tr w14:paraId="1737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7FCE36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62D7E903">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4A53757">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78336EFA">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E5CEF4A">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D6CEB7E">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AC2B4DC">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6B15069">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5EF30BF3">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0A38353">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0DEEEF6">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7A0F638D">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554169DA">
            <w:pPr>
              <w:jc w:val="center"/>
              <w:rPr>
                <w:rFonts w:hint="eastAsia" w:ascii="宋体" w:hAnsi="宋体" w:eastAsia="宋体" w:cs="宋体"/>
                <w:i w:val="0"/>
                <w:iCs w:val="0"/>
                <w:color w:val="auto"/>
                <w:sz w:val="20"/>
                <w:szCs w:val="20"/>
                <w:highlight w:val="none"/>
                <w:u w:val="none"/>
              </w:rPr>
            </w:pPr>
          </w:p>
        </w:tc>
      </w:tr>
      <w:tr w14:paraId="364FA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4D2570B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6CBD70F7">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BE20291">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0756ACBF">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4CDDE882">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8FE34E6">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A97D1D0">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80F350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8865929">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25F4F9B">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5F0A449">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2D5F62C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4362B55">
            <w:pPr>
              <w:jc w:val="center"/>
              <w:rPr>
                <w:rFonts w:hint="eastAsia" w:ascii="宋体" w:hAnsi="宋体" w:eastAsia="宋体" w:cs="宋体"/>
                <w:i w:val="0"/>
                <w:iCs w:val="0"/>
                <w:color w:val="auto"/>
                <w:sz w:val="20"/>
                <w:szCs w:val="20"/>
                <w:highlight w:val="none"/>
                <w:u w:val="none"/>
              </w:rPr>
            </w:pPr>
          </w:p>
        </w:tc>
      </w:tr>
      <w:tr w14:paraId="6238F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748D14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3C4DA5C1">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059F8FC">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68EA97DF">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688F82C9">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D6AAB2">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01472E2">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841B26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0FAE2DD2">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7F6E47F6">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1B0AD08">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23D0F978">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2CE9E88">
            <w:pPr>
              <w:jc w:val="center"/>
              <w:rPr>
                <w:rFonts w:hint="eastAsia" w:ascii="宋体" w:hAnsi="宋体" w:eastAsia="宋体" w:cs="宋体"/>
                <w:i w:val="0"/>
                <w:iCs w:val="0"/>
                <w:color w:val="auto"/>
                <w:sz w:val="20"/>
                <w:szCs w:val="20"/>
                <w:highlight w:val="none"/>
                <w:u w:val="none"/>
              </w:rPr>
            </w:pPr>
          </w:p>
        </w:tc>
      </w:tr>
      <w:tr w14:paraId="26317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62A8B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43D0B610">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5471C50">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65369F1">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0928694A">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B68E8D">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F2AA2AB">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1EE477A">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73C81794">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2A90B48">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5895659">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3F1BDF5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151CC2C3">
            <w:pPr>
              <w:jc w:val="center"/>
              <w:rPr>
                <w:rFonts w:hint="eastAsia" w:ascii="宋体" w:hAnsi="宋体" w:eastAsia="宋体" w:cs="宋体"/>
                <w:i w:val="0"/>
                <w:iCs w:val="0"/>
                <w:color w:val="auto"/>
                <w:sz w:val="20"/>
                <w:szCs w:val="20"/>
                <w:highlight w:val="none"/>
                <w:u w:val="none"/>
              </w:rPr>
            </w:pPr>
          </w:p>
        </w:tc>
      </w:tr>
      <w:tr w14:paraId="6044D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366899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629" w:type="dxa"/>
            <w:tcBorders>
              <w:top w:val="single" w:color="000000" w:sz="4" w:space="0"/>
              <w:left w:val="single" w:color="000000" w:sz="4" w:space="0"/>
              <w:bottom w:val="single" w:color="000000" w:sz="4" w:space="0"/>
              <w:right w:val="single" w:color="000000" w:sz="4" w:space="0"/>
            </w:tcBorders>
            <w:noWrap/>
            <w:vAlign w:val="center"/>
          </w:tcPr>
          <w:p w14:paraId="72EC9789">
            <w:pPr>
              <w:jc w:val="center"/>
              <w:rPr>
                <w:rFonts w:hint="eastAsia" w:ascii="宋体" w:hAnsi="宋体" w:eastAsia="宋体" w:cs="宋体"/>
                <w:i w:val="0"/>
                <w:iCs w:val="0"/>
                <w:color w:val="auto"/>
                <w:sz w:val="20"/>
                <w:szCs w:val="20"/>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D3EE938">
            <w:pPr>
              <w:jc w:val="center"/>
              <w:rPr>
                <w:rFonts w:hint="eastAsia" w:ascii="宋体" w:hAnsi="宋体" w:eastAsia="宋体" w:cs="宋体"/>
                <w:i w:val="0"/>
                <w:iCs w:val="0"/>
                <w:color w:val="auto"/>
                <w:sz w:val="20"/>
                <w:szCs w:val="20"/>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6F4B7A8F">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D95707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28F3244">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7BB8B6E">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031EB4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165255A">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4C00E3AB">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D8F8F40">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D6328DE">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F636DD2">
            <w:pPr>
              <w:jc w:val="center"/>
              <w:rPr>
                <w:rFonts w:hint="eastAsia" w:ascii="宋体" w:hAnsi="宋体" w:eastAsia="宋体" w:cs="宋体"/>
                <w:i w:val="0"/>
                <w:iCs w:val="0"/>
                <w:color w:val="auto"/>
                <w:sz w:val="20"/>
                <w:szCs w:val="20"/>
                <w:highlight w:val="none"/>
                <w:u w:val="none"/>
              </w:rPr>
            </w:pPr>
          </w:p>
        </w:tc>
      </w:tr>
      <w:tr w14:paraId="46BE4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60" w:type="dxa"/>
            <w:gridSpan w:val="13"/>
            <w:tcBorders>
              <w:top w:val="single" w:color="000000" w:sz="4" w:space="0"/>
              <w:left w:val="single" w:color="000000" w:sz="4" w:space="0"/>
              <w:bottom w:val="single" w:color="000000" w:sz="4" w:space="0"/>
              <w:right w:val="single" w:color="000000" w:sz="4" w:space="0"/>
            </w:tcBorders>
            <w:noWrap w:val="0"/>
            <w:vAlign w:val="center"/>
          </w:tcPr>
          <w:p w14:paraId="79E7AF6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25B0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2216" w:type="dxa"/>
            <w:gridSpan w:val="3"/>
            <w:tcBorders>
              <w:top w:val="nil"/>
              <w:left w:val="nil"/>
              <w:bottom w:val="nil"/>
              <w:right w:val="nil"/>
            </w:tcBorders>
            <w:noWrap/>
            <w:vAlign w:val="center"/>
          </w:tcPr>
          <w:p w14:paraId="0452ED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制表：</w:t>
            </w:r>
          </w:p>
        </w:tc>
        <w:tc>
          <w:tcPr>
            <w:tcW w:w="1082" w:type="dxa"/>
            <w:tcBorders>
              <w:top w:val="nil"/>
              <w:left w:val="nil"/>
              <w:bottom w:val="nil"/>
              <w:right w:val="nil"/>
            </w:tcBorders>
            <w:noWrap/>
            <w:vAlign w:val="center"/>
          </w:tcPr>
          <w:p w14:paraId="6ADCA4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班组长： </w:t>
            </w:r>
          </w:p>
        </w:tc>
        <w:tc>
          <w:tcPr>
            <w:tcW w:w="551" w:type="dxa"/>
            <w:tcBorders>
              <w:top w:val="nil"/>
              <w:left w:val="nil"/>
              <w:bottom w:val="nil"/>
              <w:right w:val="nil"/>
            </w:tcBorders>
            <w:noWrap/>
            <w:vAlign w:val="center"/>
          </w:tcPr>
          <w:p w14:paraId="4D6EEE38">
            <w:pPr>
              <w:rPr>
                <w:rFonts w:hint="eastAsia" w:ascii="宋体" w:hAnsi="宋体" w:eastAsia="宋体" w:cs="宋体"/>
                <w:i w:val="0"/>
                <w:iCs w:val="0"/>
                <w:color w:val="auto"/>
                <w:sz w:val="22"/>
                <w:szCs w:val="22"/>
                <w:highlight w:val="none"/>
                <w:u w:val="none"/>
              </w:rPr>
            </w:pPr>
          </w:p>
        </w:tc>
        <w:tc>
          <w:tcPr>
            <w:tcW w:w="816" w:type="dxa"/>
            <w:tcBorders>
              <w:top w:val="nil"/>
              <w:left w:val="nil"/>
              <w:bottom w:val="nil"/>
              <w:right w:val="nil"/>
            </w:tcBorders>
            <w:noWrap/>
            <w:vAlign w:val="center"/>
          </w:tcPr>
          <w:p w14:paraId="4F109DC2">
            <w:pPr>
              <w:rPr>
                <w:rFonts w:hint="eastAsia" w:ascii="宋体" w:hAnsi="宋体" w:eastAsia="宋体" w:cs="宋体"/>
                <w:i w:val="0"/>
                <w:iCs w:val="0"/>
                <w:color w:val="auto"/>
                <w:sz w:val="22"/>
                <w:szCs w:val="22"/>
                <w:highlight w:val="none"/>
                <w:u w:val="none"/>
              </w:rPr>
            </w:pPr>
          </w:p>
        </w:tc>
        <w:tc>
          <w:tcPr>
            <w:tcW w:w="2099" w:type="dxa"/>
            <w:gridSpan w:val="3"/>
            <w:tcBorders>
              <w:top w:val="nil"/>
              <w:left w:val="nil"/>
              <w:bottom w:val="nil"/>
              <w:right w:val="nil"/>
            </w:tcBorders>
            <w:noWrap/>
            <w:vAlign w:val="center"/>
          </w:tcPr>
          <w:p w14:paraId="09DE63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项目负责人：</w:t>
            </w:r>
          </w:p>
        </w:tc>
        <w:tc>
          <w:tcPr>
            <w:tcW w:w="503" w:type="dxa"/>
            <w:tcBorders>
              <w:top w:val="nil"/>
              <w:left w:val="nil"/>
              <w:bottom w:val="nil"/>
              <w:right w:val="nil"/>
            </w:tcBorders>
            <w:noWrap/>
            <w:vAlign w:val="center"/>
          </w:tcPr>
          <w:p w14:paraId="4F4BD055">
            <w:pPr>
              <w:rPr>
                <w:rFonts w:hint="eastAsia" w:ascii="宋体" w:hAnsi="宋体" w:eastAsia="宋体" w:cs="宋体"/>
                <w:i w:val="0"/>
                <w:iCs w:val="0"/>
                <w:color w:val="auto"/>
                <w:sz w:val="22"/>
                <w:szCs w:val="22"/>
                <w:highlight w:val="none"/>
                <w:u w:val="none"/>
              </w:rPr>
            </w:pPr>
          </w:p>
        </w:tc>
        <w:tc>
          <w:tcPr>
            <w:tcW w:w="1557" w:type="dxa"/>
            <w:gridSpan w:val="2"/>
            <w:tcBorders>
              <w:top w:val="nil"/>
              <w:left w:val="nil"/>
              <w:bottom w:val="nil"/>
              <w:right w:val="nil"/>
            </w:tcBorders>
            <w:noWrap/>
            <w:vAlign w:val="center"/>
          </w:tcPr>
          <w:p w14:paraId="305A967D">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公司领导审核：</w:t>
            </w:r>
          </w:p>
        </w:tc>
        <w:tc>
          <w:tcPr>
            <w:tcW w:w="636" w:type="dxa"/>
            <w:tcBorders>
              <w:top w:val="nil"/>
              <w:left w:val="nil"/>
              <w:bottom w:val="nil"/>
              <w:right w:val="nil"/>
            </w:tcBorders>
            <w:noWrap/>
            <w:vAlign w:val="center"/>
          </w:tcPr>
          <w:p w14:paraId="328D59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r w14:paraId="3AD2C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2216" w:type="dxa"/>
            <w:gridSpan w:val="3"/>
            <w:tcBorders>
              <w:top w:val="nil"/>
              <w:left w:val="nil"/>
              <w:bottom w:val="nil"/>
              <w:right w:val="nil"/>
            </w:tcBorders>
            <w:noWrap/>
            <w:vAlign w:val="center"/>
          </w:tcPr>
          <w:p w14:paraId="411B1447">
            <w:pPr>
              <w:jc w:val="left"/>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总包公司见证人： </w:t>
            </w:r>
          </w:p>
        </w:tc>
        <w:tc>
          <w:tcPr>
            <w:tcW w:w="1633" w:type="dxa"/>
            <w:gridSpan w:val="2"/>
            <w:tcBorders>
              <w:top w:val="nil"/>
              <w:left w:val="nil"/>
              <w:bottom w:val="nil"/>
              <w:right w:val="nil"/>
            </w:tcBorders>
            <w:noWrap/>
            <w:vAlign w:val="center"/>
          </w:tcPr>
          <w:p w14:paraId="47C25751">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监理公司见证人： </w:t>
            </w:r>
          </w:p>
        </w:tc>
        <w:tc>
          <w:tcPr>
            <w:tcW w:w="816" w:type="dxa"/>
            <w:tcBorders>
              <w:top w:val="nil"/>
              <w:left w:val="nil"/>
              <w:bottom w:val="nil"/>
              <w:right w:val="nil"/>
            </w:tcBorders>
            <w:noWrap/>
            <w:vAlign w:val="center"/>
          </w:tcPr>
          <w:p w14:paraId="20825BF0">
            <w:pPr>
              <w:rPr>
                <w:rFonts w:hint="eastAsia" w:ascii="宋体" w:hAnsi="宋体" w:eastAsia="宋体" w:cs="宋体"/>
                <w:i w:val="0"/>
                <w:iCs w:val="0"/>
                <w:color w:val="auto"/>
                <w:sz w:val="22"/>
                <w:szCs w:val="22"/>
                <w:highlight w:val="none"/>
                <w:u w:val="none"/>
              </w:rPr>
            </w:pPr>
          </w:p>
        </w:tc>
        <w:tc>
          <w:tcPr>
            <w:tcW w:w="740" w:type="dxa"/>
            <w:tcBorders>
              <w:top w:val="nil"/>
              <w:left w:val="nil"/>
              <w:bottom w:val="nil"/>
              <w:right w:val="nil"/>
            </w:tcBorders>
            <w:noWrap/>
            <w:vAlign w:val="center"/>
          </w:tcPr>
          <w:p w14:paraId="3EDD2C6A">
            <w:pPr>
              <w:rPr>
                <w:rFonts w:hint="eastAsia" w:ascii="宋体" w:hAnsi="宋体" w:eastAsia="宋体" w:cs="宋体"/>
                <w:i w:val="0"/>
                <w:iCs w:val="0"/>
                <w:color w:val="auto"/>
                <w:sz w:val="22"/>
                <w:szCs w:val="22"/>
                <w:highlight w:val="none"/>
                <w:u w:val="none"/>
              </w:rPr>
            </w:pPr>
          </w:p>
        </w:tc>
        <w:tc>
          <w:tcPr>
            <w:tcW w:w="750" w:type="dxa"/>
            <w:tcBorders>
              <w:top w:val="nil"/>
              <w:left w:val="nil"/>
              <w:bottom w:val="nil"/>
              <w:right w:val="nil"/>
            </w:tcBorders>
            <w:noWrap/>
            <w:vAlign w:val="center"/>
          </w:tcPr>
          <w:p w14:paraId="5E651853">
            <w:pPr>
              <w:rPr>
                <w:rFonts w:hint="eastAsia" w:ascii="宋体" w:hAnsi="宋体" w:eastAsia="宋体" w:cs="宋体"/>
                <w:i w:val="0"/>
                <w:iCs w:val="0"/>
                <w:color w:val="auto"/>
                <w:sz w:val="22"/>
                <w:szCs w:val="22"/>
                <w:highlight w:val="none"/>
                <w:u w:val="none"/>
              </w:rPr>
            </w:pPr>
          </w:p>
        </w:tc>
        <w:tc>
          <w:tcPr>
            <w:tcW w:w="609" w:type="dxa"/>
            <w:tcBorders>
              <w:top w:val="nil"/>
              <w:left w:val="nil"/>
              <w:bottom w:val="nil"/>
              <w:right w:val="nil"/>
            </w:tcBorders>
            <w:noWrap/>
            <w:vAlign w:val="center"/>
          </w:tcPr>
          <w:p w14:paraId="6435891C">
            <w:pPr>
              <w:rPr>
                <w:rFonts w:hint="eastAsia" w:ascii="宋体" w:hAnsi="宋体" w:eastAsia="宋体" w:cs="宋体"/>
                <w:i w:val="0"/>
                <w:iCs w:val="0"/>
                <w:color w:val="auto"/>
                <w:sz w:val="22"/>
                <w:szCs w:val="22"/>
                <w:highlight w:val="none"/>
                <w:u w:val="none"/>
              </w:rPr>
            </w:pPr>
          </w:p>
        </w:tc>
        <w:tc>
          <w:tcPr>
            <w:tcW w:w="503" w:type="dxa"/>
            <w:tcBorders>
              <w:top w:val="nil"/>
              <w:left w:val="nil"/>
              <w:bottom w:val="nil"/>
              <w:right w:val="nil"/>
            </w:tcBorders>
            <w:noWrap/>
            <w:vAlign w:val="center"/>
          </w:tcPr>
          <w:p w14:paraId="66B5D4F4">
            <w:pPr>
              <w:rPr>
                <w:rFonts w:hint="eastAsia" w:ascii="宋体" w:hAnsi="宋体" w:eastAsia="宋体" w:cs="宋体"/>
                <w:i w:val="0"/>
                <w:iCs w:val="0"/>
                <w:color w:val="auto"/>
                <w:sz w:val="22"/>
                <w:szCs w:val="22"/>
                <w:highlight w:val="none"/>
                <w:u w:val="none"/>
              </w:rPr>
            </w:pPr>
          </w:p>
        </w:tc>
        <w:tc>
          <w:tcPr>
            <w:tcW w:w="793" w:type="dxa"/>
            <w:tcBorders>
              <w:top w:val="nil"/>
              <w:left w:val="nil"/>
              <w:bottom w:val="nil"/>
              <w:right w:val="nil"/>
            </w:tcBorders>
            <w:noWrap/>
            <w:vAlign w:val="center"/>
          </w:tcPr>
          <w:p w14:paraId="4CFA57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投诉电话：</w:t>
            </w:r>
          </w:p>
        </w:tc>
        <w:tc>
          <w:tcPr>
            <w:tcW w:w="1400" w:type="dxa"/>
            <w:gridSpan w:val="2"/>
            <w:tcBorders>
              <w:top w:val="nil"/>
              <w:left w:val="nil"/>
              <w:bottom w:val="nil"/>
              <w:right w:val="nil"/>
            </w:tcBorders>
            <w:noWrap/>
            <w:vAlign w:val="center"/>
          </w:tcPr>
          <w:p w14:paraId="5C1E4B7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bl>
    <w:p w14:paraId="24DDB5E3">
      <w:pPr>
        <w:widowControl w:val="0"/>
        <w:snapToGrid w:val="0"/>
        <w:spacing w:line="300" w:lineRule="exact"/>
        <w:ind w:left="630" w:leftChars="300" w:firstLine="803" w:firstLineChars="200"/>
        <w:jc w:val="both"/>
        <w:rPr>
          <w:rFonts w:hint="eastAsia" w:ascii="仿宋" w:hAnsi="仿宋" w:eastAsia="仿宋" w:cs="仿宋"/>
          <w:b/>
          <w:bCs w:val="0"/>
          <w:color w:val="auto"/>
          <w:kern w:val="2"/>
          <w:sz w:val="40"/>
          <w:szCs w:val="40"/>
          <w:highlight w:val="none"/>
          <w:shd w:val="clear" w:color="auto" w:fill="auto"/>
          <w:lang w:val="en-US" w:eastAsia="zh-CN" w:bidi="ar-SA"/>
        </w:rPr>
      </w:pPr>
    </w:p>
    <w:p w14:paraId="5DF3969D">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6C5C3B0F">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67CBA9E0">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5D1656CB">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38A08A57">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p w14:paraId="58C98631">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附件三</w:t>
      </w:r>
    </w:p>
    <w:p w14:paraId="7508C05D">
      <w:pPr>
        <w:jc w:val="center"/>
        <w:rPr>
          <w:rFonts w:hint="eastAsia" w:ascii="仿宋" w:hAnsi="仿宋" w:eastAsia="仿宋" w:cs="仿宋"/>
          <w:b/>
          <w:bCs/>
          <w:color w:val="auto"/>
          <w:sz w:val="32"/>
          <w:szCs w:val="32"/>
          <w:highlight w:val="none"/>
        </w:rPr>
      </w:pPr>
    </w:p>
    <w:p w14:paraId="4DBB36E9">
      <w:p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承诺书</w:t>
      </w:r>
    </w:p>
    <w:p w14:paraId="41F03694">
      <w:pPr>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致：</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公司（分包单位）</w:t>
      </w:r>
    </w:p>
    <w:p w14:paraId="29C738B0">
      <w:pPr>
        <w:ind w:firstLine="480" w:firstLineChars="2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东莞市中泰建安工程有限公司</w:t>
      </w:r>
    </w:p>
    <w:p w14:paraId="4A7658D4">
      <w:pPr>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本人</w:t>
      </w:r>
      <w:r>
        <w:rPr>
          <w:rFonts w:hint="eastAsia" w:ascii="仿宋" w:hAnsi="仿宋" w:eastAsia="仿宋" w:cs="仿宋"/>
          <w:color w:val="auto"/>
          <w:sz w:val="24"/>
          <w:szCs w:val="24"/>
          <w:highlight w:val="none"/>
          <w:u w:val="single"/>
          <w:lang w:val="en-US" w:eastAsia="zh-CN"/>
        </w:rPr>
        <w:t>XXX</w:t>
      </w: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lang w:val="en-US" w:eastAsia="zh-CN"/>
        </w:rPr>
        <w:t>,身份证号：</w:t>
      </w:r>
      <w:r>
        <w:rPr>
          <w:rFonts w:hint="eastAsia" w:ascii="仿宋" w:hAnsi="仿宋" w:eastAsia="仿宋" w:cs="仿宋"/>
          <w:color w:val="auto"/>
          <w:sz w:val="24"/>
          <w:szCs w:val="24"/>
          <w:highlight w:val="none"/>
          <w:u w:val="single"/>
          <w:lang w:val="en-US" w:eastAsia="zh-CN"/>
        </w:rPr>
        <w:t>XXXXXXXXXXXXXXXXXX</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本人是</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公司的员工，</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none"/>
          <w:lang w:val="en-US" w:eastAsia="zh-CN"/>
        </w:rPr>
        <w:t>XXXX</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日至</w:t>
      </w:r>
      <w:r>
        <w:rPr>
          <w:rFonts w:hint="eastAsia" w:ascii="仿宋" w:hAnsi="仿宋" w:eastAsia="仿宋" w:cs="仿宋"/>
          <w:color w:val="auto"/>
          <w:sz w:val="24"/>
          <w:szCs w:val="24"/>
          <w:highlight w:val="none"/>
          <w:lang w:val="en-US" w:eastAsia="zh-CN"/>
        </w:rPr>
        <w:t>XXXX</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日期间</w:t>
      </w:r>
      <w:r>
        <w:rPr>
          <w:rFonts w:hint="eastAsia" w:ascii="仿宋" w:hAnsi="仿宋" w:eastAsia="仿宋" w:cs="仿宋"/>
          <w:color w:val="auto"/>
          <w:sz w:val="24"/>
          <w:szCs w:val="24"/>
          <w:highlight w:val="none"/>
          <w:lang w:val="en-US" w:eastAsia="zh-CN"/>
        </w:rPr>
        <w:t>被</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公司安排</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val="en-US" w:eastAsia="zh-CN"/>
        </w:rPr>
        <w:t>总包单位为</w:t>
      </w:r>
      <w:r>
        <w:rPr>
          <w:rFonts w:hint="eastAsia" w:ascii="仿宋" w:hAnsi="仿宋" w:eastAsia="仿宋" w:cs="仿宋"/>
          <w:b w:val="0"/>
          <w:bCs w:val="0"/>
          <w:color w:val="auto"/>
          <w:sz w:val="24"/>
          <w:szCs w:val="24"/>
          <w:highlight w:val="none"/>
          <w:lang w:val="en-US" w:eastAsia="zh-CN"/>
        </w:rPr>
        <w:t>东莞市中泰建安工程有限公司的</w:t>
      </w:r>
      <w:r>
        <w:rPr>
          <w:rFonts w:hint="eastAsia" w:ascii="仿宋" w:hAnsi="仿宋" w:eastAsia="仿宋" w:cs="仿宋"/>
          <w:color w:val="auto"/>
          <w:sz w:val="24"/>
          <w:szCs w:val="24"/>
          <w:highlight w:val="none"/>
          <w:u w:val="single"/>
          <w:lang w:val="en-US" w:eastAsia="zh-CN"/>
        </w:rPr>
        <w:t>XXXXXX</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以下简称：本项目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务工，</w:t>
      </w:r>
      <w:r>
        <w:rPr>
          <w:rFonts w:hint="eastAsia" w:ascii="仿宋" w:hAnsi="仿宋" w:eastAsia="仿宋" w:cs="仿宋"/>
          <w:color w:val="auto"/>
          <w:sz w:val="24"/>
          <w:szCs w:val="24"/>
          <w:highlight w:val="none"/>
          <w:lang w:val="en-US" w:eastAsia="zh-CN"/>
        </w:rPr>
        <w:t>从事XX工种作业，本人在本项目累计</w:t>
      </w:r>
      <w:r>
        <w:rPr>
          <w:rFonts w:hint="eastAsia" w:ascii="仿宋" w:hAnsi="仿宋" w:eastAsia="仿宋" w:cs="仿宋"/>
          <w:color w:val="auto"/>
          <w:sz w:val="24"/>
          <w:szCs w:val="24"/>
          <w:highlight w:val="none"/>
        </w:rPr>
        <w:t>工资共</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val="en-US" w:eastAsia="zh-CN"/>
        </w:rPr>
        <w:t>人民币</w:t>
      </w:r>
      <w:r>
        <w:rPr>
          <w:rFonts w:hint="eastAsia" w:ascii="仿宋" w:hAnsi="仿宋" w:eastAsia="仿宋" w:cs="仿宋"/>
          <w:color w:val="auto"/>
          <w:sz w:val="24"/>
          <w:szCs w:val="24"/>
          <w:highlight w:val="none"/>
        </w:rPr>
        <w:t>，现已</w:t>
      </w:r>
      <w:r>
        <w:rPr>
          <w:rFonts w:hint="eastAsia" w:ascii="仿宋" w:hAnsi="仿宋" w:eastAsia="仿宋" w:cs="仿宋"/>
          <w:color w:val="auto"/>
          <w:sz w:val="24"/>
          <w:szCs w:val="24"/>
          <w:highlight w:val="none"/>
          <w:lang w:val="en-US" w:eastAsia="zh-CN"/>
        </w:rPr>
        <w:t>收到工资XXX</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val="en-US" w:eastAsia="zh-CN"/>
        </w:rPr>
        <w:t>人民币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剩余</w:t>
      </w:r>
      <w:r>
        <w:rPr>
          <w:rFonts w:hint="eastAsia" w:ascii="仿宋" w:hAnsi="仿宋" w:eastAsia="仿宋" w:cs="仿宋"/>
          <w:color w:val="auto"/>
          <w:sz w:val="24"/>
          <w:szCs w:val="24"/>
          <w:highlight w:val="none"/>
          <w:lang w:val="en-US" w:eastAsia="zh-CN"/>
        </w:rPr>
        <w:t>工资XXX</w:t>
      </w:r>
      <w:r>
        <w:rPr>
          <w:rFonts w:hint="eastAsia" w:ascii="仿宋" w:hAnsi="仿宋" w:eastAsia="仿宋" w:cs="仿宋"/>
          <w:color w:val="auto"/>
          <w:sz w:val="24"/>
          <w:szCs w:val="24"/>
          <w:highlight w:val="none"/>
        </w:rPr>
        <w:t>元未支付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详见工资表等证据资料共X页</w:t>
      </w:r>
      <w:r>
        <w:rPr>
          <w:rFonts w:hint="eastAsia" w:ascii="仿宋" w:hAnsi="仿宋" w:eastAsia="仿宋" w:cs="仿宋"/>
          <w:color w:val="auto"/>
          <w:sz w:val="24"/>
          <w:szCs w:val="24"/>
          <w:highlight w:val="none"/>
          <w:lang w:eastAsia="zh-CN"/>
        </w:rPr>
        <w:t>。</w:t>
      </w:r>
    </w:p>
    <w:p w14:paraId="6BEE0713">
      <w:pPr>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现</w:t>
      </w:r>
      <w:r>
        <w:rPr>
          <w:rFonts w:hint="eastAsia" w:ascii="仿宋" w:hAnsi="仿宋" w:eastAsia="仿宋" w:cs="仿宋"/>
          <w:color w:val="auto"/>
          <w:sz w:val="24"/>
          <w:szCs w:val="24"/>
          <w:highlight w:val="none"/>
          <w:lang w:val="en-US" w:eastAsia="zh-CN"/>
        </w:rPr>
        <w:t>本人</w:t>
      </w:r>
      <w:r>
        <w:rPr>
          <w:rFonts w:hint="eastAsia" w:ascii="仿宋" w:hAnsi="仿宋" w:eastAsia="仿宋" w:cs="仿宋"/>
          <w:color w:val="auto"/>
          <w:sz w:val="24"/>
          <w:szCs w:val="24"/>
          <w:highlight w:val="none"/>
        </w:rPr>
        <w:t>承诺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待</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公司（分包单位）</w:t>
      </w:r>
      <w:r>
        <w:rPr>
          <w:rFonts w:hint="eastAsia" w:ascii="仿宋" w:hAnsi="仿宋" w:eastAsia="仿宋" w:cs="仿宋"/>
          <w:color w:val="auto"/>
          <w:sz w:val="24"/>
          <w:szCs w:val="24"/>
          <w:highlight w:val="none"/>
          <w:lang w:val="en-US" w:eastAsia="zh-CN"/>
        </w:rPr>
        <w:t>或</w:t>
      </w:r>
      <w:r>
        <w:rPr>
          <w:rFonts w:hint="eastAsia" w:ascii="仿宋" w:hAnsi="仿宋" w:eastAsia="仿宋" w:cs="仿宋"/>
          <w:b w:val="0"/>
          <w:bCs w:val="0"/>
          <w:color w:val="auto"/>
          <w:sz w:val="24"/>
          <w:szCs w:val="24"/>
          <w:highlight w:val="none"/>
          <w:lang w:val="en-US" w:eastAsia="zh-CN"/>
        </w:rPr>
        <w:t>东莞市中泰建安工程有限公司</w:t>
      </w:r>
      <w:r>
        <w:rPr>
          <w:rFonts w:hint="eastAsia" w:ascii="仿宋" w:hAnsi="仿宋" w:eastAsia="仿宋" w:cs="仿宋"/>
          <w:color w:val="auto"/>
          <w:sz w:val="24"/>
          <w:szCs w:val="24"/>
          <w:highlight w:val="none"/>
          <w:lang w:val="en-US" w:eastAsia="zh-CN"/>
        </w:rPr>
        <w:t>将本人在本项目</w:t>
      </w:r>
      <w:r>
        <w:rPr>
          <w:rFonts w:hint="eastAsia" w:ascii="仿宋" w:hAnsi="仿宋" w:eastAsia="仿宋" w:cs="仿宋"/>
          <w:color w:val="auto"/>
          <w:sz w:val="24"/>
          <w:szCs w:val="24"/>
          <w:highlight w:val="none"/>
        </w:rPr>
        <w:t>所有剩余工资</w:t>
      </w:r>
      <w:r>
        <w:rPr>
          <w:rFonts w:hint="eastAsia" w:ascii="仿宋" w:hAnsi="仿宋" w:eastAsia="仿宋" w:cs="仿宋"/>
          <w:color w:val="auto"/>
          <w:sz w:val="24"/>
          <w:szCs w:val="24"/>
          <w:highlight w:val="none"/>
          <w:lang w:val="en-US" w:eastAsia="zh-CN"/>
        </w:rPr>
        <w:t>汇</w:t>
      </w:r>
      <w:r>
        <w:rPr>
          <w:rFonts w:hint="eastAsia" w:ascii="仿宋" w:hAnsi="仿宋" w:eastAsia="仿宋" w:cs="仿宋"/>
          <w:color w:val="auto"/>
          <w:sz w:val="24"/>
          <w:szCs w:val="24"/>
          <w:highlight w:val="none"/>
        </w:rPr>
        <w:t>入</w:t>
      </w:r>
      <w:r>
        <w:rPr>
          <w:rFonts w:hint="eastAsia" w:ascii="仿宋" w:hAnsi="仿宋" w:eastAsia="仿宋" w:cs="仿宋"/>
          <w:color w:val="auto"/>
          <w:sz w:val="24"/>
          <w:szCs w:val="24"/>
          <w:highlight w:val="none"/>
          <w:lang w:val="en-US" w:eastAsia="zh-CN"/>
        </w:rPr>
        <w:t>本人指定收款账户</w:t>
      </w:r>
      <w:r>
        <w:rPr>
          <w:rFonts w:hint="eastAsia" w:ascii="仿宋" w:hAnsi="仿宋" w:eastAsia="仿宋" w:cs="仿宋"/>
          <w:color w:val="auto"/>
          <w:sz w:val="24"/>
          <w:szCs w:val="24"/>
          <w:highlight w:val="none"/>
        </w:rPr>
        <w:t>后，本人</w:t>
      </w:r>
      <w:r>
        <w:rPr>
          <w:rFonts w:hint="eastAsia" w:ascii="仿宋" w:hAnsi="仿宋" w:eastAsia="仿宋" w:cs="仿宋"/>
          <w:color w:val="auto"/>
          <w:sz w:val="24"/>
          <w:szCs w:val="24"/>
          <w:highlight w:val="none"/>
          <w:lang w:val="en-US" w:eastAsia="zh-CN"/>
        </w:rPr>
        <w:t>在本项目</w:t>
      </w:r>
      <w:r>
        <w:rPr>
          <w:rFonts w:hint="eastAsia" w:ascii="仿宋" w:hAnsi="仿宋" w:eastAsia="仿宋" w:cs="仿宋"/>
          <w:color w:val="auto"/>
          <w:sz w:val="24"/>
          <w:szCs w:val="24"/>
          <w:highlight w:val="none"/>
        </w:rPr>
        <w:t>工资</w:t>
      </w:r>
      <w:r>
        <w:rPr>
          <w:rFonts w:hint="eastAsia" w:ascii="仿宋" w:hAnsi="仿宋" w:eastAsia="仿宋" w:cs="仿宋"/>
          <w:color w:val="auto"/>
          <w:sz w:val="24"/>
          <w:szCs w:val="24"/>
          <w:highlight w:val="none"/>
          <w:lang w:val="en-US" w:eastAsia="zh-CN"/>
        </w:rPr>
        <w:t>即</w:t>
      </w:r>
      <w:r>
        <w:rPr>
          <w:rFonts w:hint="eastAsia" w:ascii="仿宋" w:hAnsi="仿宋" w:eastAsia="仿宋" w:cs="仿宋"/>
          <w:color w:val="auto"/>
          <w:sz w:val="24"/>
          <w:szCs w:val="24"/>
          <w:highlight w:val="none"/>
        </w:rPr>
        <w:t>全部结清。若后期再次</w:t>
      </w:r>
      <w:r>
        <w:rPr>
          <w:rFonts w:hint="eastAsia" w:ascii="仿宋" w:hAnsi="仿宋" w:eastAsia="仿宋" w:cs="仿宋"/>
          <w:color w:val="auto"/>
          <w:sz w:val="24"/>
          <w:szCs w:val="24"/>
          <w:highlight w:val="none"/>
          <w:lang w:val="en-US" w:eastAsia="zh-CN"/>
        </w:rPr>
        <w:t>以本项目为由</w:t>
      </w:r>
      <w:r>
        <w:rPr>
          <w:rFonts w:hint="eastAsia" w:ascii="仿宋" w:hAnsi="仿宋" w:eastAsia="仿宋" w:cs="仿宋"/>
          <w:color w:val="auto"/>
          <w:sz w:val="24"/>
          <w:szCs w:val="24"/>
          <w:highlight w:val="none"/>
        </w:rPr>
        <w:t>索要工资，均可视为恶意讨薪行为，我本人愿意为此承担一切法律责任和经济后果</w:t>
      </w:r>
      <w:r>
        <w:rPr>
          <w:rFonts w:hint="eastAsia" w:ascii="仿宋" w:hAnsi="仿宋" w:eastAsia="仿宋" w:cs="仿宋"/>
          <w:color w:val="auto"/>
          <w:sz w:val="24"/>
          <w:szCs w:val="24"/>
          <w:highlight w:val="none"/>
          <w:lang w:eastAsia="zh-CN"/>
        </w:rPr>
        <w:t>。</w:t>
      </w:r>
    </w:p>
    <w:p w14:paraId="6332CB1A">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本人指定收款账户信息如下</w:t>
      </w:r>
      <w:r>
        <w:rPr>
          <w:rFonts w:hint="eastAsia" w:ascii="仿宋" w:hAnsi="仿宋" w:eastAsia="仿宋" w:cs="仿宋"/>
          <w:color w:val="auto"/>
          <w:sz w:val="24"/>
          <w:szCs w:val="24"/>
          <w:highlight w:val="none"/>
        </w:rPr>
        <w:t>:</w:t>
      </w:r>
    </w:p>
    <w:p w14:paraId="308D5B1A">
      <w:pPr>
        <w:ind w:firstLine="480" w:firstLineChars="200"/>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lang w:val="en-US" w:eastAsia="zh-CN"/>
        </w:rPr>
        <w:t>银行名称：</w:t>
      </w:r>
      <w:r>
        <w:rPr>
          <w:rFonts w:hint="eastAsia" w:ascii="仿宋" w:hAnsi="仿宋" w:eastAsia="仿宋" w:cs="仿宋"/>
          <w:color w:val="auto"/>
          <w:sz w:val="24"/>
          <w:szCs w:val="24"/>
          <w:highlight w:val="none"/>
          <w:u w:val="none"/>
          <w:lang w:val="en-US" w:eastAsia="zh-CN"/>
        </w:rPr>
        <w:t>XX银行XX支行</w:t>
      </w:r>
    </w:p>
    <w:p w14:paraId="35505766">
      <w:pPr>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账    号：XXXXXX</w:t>
      </w:r>
    </w:p>
    <w:p w14:paraId="07A5E352">
      <w:pPr>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户    名：XXX</w:t>
      </w:r>
    </w:p>
    <w:p w14:paraId="021438A7">
      <w:pPr>
        <w:ind w:firstLine="480" w:firstLineChars="200"/>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特此承诺。</w:t>
      </w:r>
    </w:p>
    <w:p w14:paraId="0A47579A">
      <w:pPr>
        <w:ind w:firstLine="5040" w:firstLineChars="2100"/>
        <w:rPr>
          <w:rFonts w:hint="eastAsia" w:ascii="仿宋" w:hAnsi="仿宋" w:eastAsia="仿宋" w:cs="仿宋"/>
          <w:color w:val="auto"/>
          <w:sz w:val="24"/>
          <w:szCs w:val="24"/>
          <w:highlight w:val="none"/>
        </w:rPr>
      </w:pPr>
    </w:p>
    <w:p w14:paraId="6EBBADC9">
      <w:pPr>
        <w:ind w:firstLine="4080" w:firstLineChars="17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rPr>
        <w:t>承诺人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签名按指纹）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none"/>
          <w:lang w:val="en-US" w:eastAsia="zh-CN"/>
        </w:rPr>
        <w:t>XXX</w:t>
      </w:r>
    </w:p>
    <w:p w14:paraId="326BF287">
      <w:pPr>
        <w:ind w:firstLine="4080" w:firstLineChars="17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日 期：XXXX</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X月X</w:t>
      </w:r>
      <w:r>
        <w:rPr>
          <w:rFonts w:hint="eastAsia" w:ascii="仿宋" w:hAnsi="仿宋" w:eastAsia="仿宋" w:cs="仿宋"/>
          <w:color w:val="auto"/>
          <w:sz w:val="24"/>
          <w:szCs w:val="24"/>
          <w:highlight w:val="none"/>
        </w:rPr>
        <w:t>日</w:t>
      </w:r>
    </w:p>
    <w:p w14:paraId="2353AFC1">
      <w:pPr>
        <w:ind w:firstLine="4760" w:firstLineChars="1700"/>
        <w:rPr>
          <w:rFonts w:hint="eastAsia" w:ascii="仿宋" w:hAnsi="仿宋" w:eastAsia="仿宋" w:cs="仿宋"/>
          <w:color w:val="auto"/>
          <w:sz w:val="28"/>
          <w:szCs w:val="28"/>
          <w:highlight w:val="none"/>
          <w:lang w:val="en-US" w:eastAsia="zh-CN"/>
        </w:rPr>
      </w:pPr>
    </w:p>
    <w:p w14:paraId="0CCDC832">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bookmarkEnd w:id="344"/>
    <w:bookmarkEnd w:id="345"/>
    <w:p w14:paraId="60EA5F2C">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附件四</w:t>
      </w:r>
    </w:p>
    <w:p w14:paraId="30DA224F">
      <w:pPr>
        <w:keepNext w:val="0"/>
        <w:keepLines w:val="0"/>
        <w:pageBreakBefore w:val="0"/>
        <w:widowControl w:val="0"/>
        <w:kinsoku/>
        <w:wordWrap/>
        <w:overflowPunct/>
        <w:topLinePunct w:val="0"/>
        <w:autoSpaceDE/>
        <w:autoSpaceDN/>
        <w:bidi w:val="0"/>
        <w:adjustRightInd/>
        <w:spacing w:line="240" w:lineRule="auto"/>
        <w:ind w:firstLine="562" w:firstLineChars="200"/>
        <w:jc w:val="center"/>
        <w:textAlignment w:val="auto"/>
        <w:rPr>
          <w:rFonts w:hint="eastAsia" w:ascii="仿宋" w:hAnsi="仿宋" w:eastAsia="仿宋" w:cs="仿宋"/>
          <w:b/>
          <w:bCs/>
          <w:color w:val="auto"/>
          <w:sz w:val="28"/>
          <w:szCs w:val="28"/>
          <w:highlight w:val="none"/>
          <w:lang w:val="en-US" w:eastAsia="zh-CN"/>
        </w:rPr>
      </w:pPr>
    </w:p>
    <w:p w14:paraId="17339282">
      <w:pPr>
        <w:keepNext w:val="0"/>
        <w:keepLines w:val="0"/>
        <w:pageBreakBefore w:val="0"/>
        <w:widowControl w:val="0"/>
        <w:kinsoku/>
        <w:wordWrap/>
        <w:overflowPunct/>
        <w:topLinePunct w:val="0"/>
        <w:autoSpaceDE/>
        <w:autoSpaceDN/>
        <w:bidi w:val="0"/>
        <w:adjustRightInd/>
        <w:spacing w:line="240" w:lineRule="auto"/>
        <w:ind w:firstLine="562" w:firstLineChars="200"/>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技术工人素质承诺书</w:t>
      </w:r>
    </w:p>
    <w:p w14:paraId="3173F5DF">
      <w:pPr>
        <w:keepNext w:val="0"/>
        <w:keepLines w:val="0"/>
        <w:pageBreakBefore w:val="0"/>
        <w:widowControl w:val="0"/>
        <w:kinsoku/>
        <w:wordWrap/>
        <w:overflowPunct/>
        <w:topLinePunct w:val="0"/>
        <w:autoSpaceDE/>
        <w:autoSpaceDN/>
        <w:bidi w:val="0"/>
        <w:adjustRightInd/>
        <w:spacing w:line="240" w:lineRule="auto"/>
        <w:ind w:firstLine="482" w:firstLineChars="200"/>
        <w:jc w:val="center"/>
        <w:textAlignment w:val="auto"/>
        <w:rPr>
          <w:rFonts w:hint="eastAsia" w:ascii="仿宋" w:hAnsi="仿宋" w:eastAsia="仿宋" w:cs="仿宋"/>
          <w:b/>
          <w:bCs/>
          <w:color w:val="auto"/>
          <w:sz w:val="24"/>
          <w:szCs w:val="24"/>
          <w:highlight w:val="none"/>
          <w:lang w:val="en-US" w:eastAsia="zh-CN"/>
        </w:rPr>
      </w:pPr>
    </w:p>
    <w:p w14:paraId="1A420ED9">
      <w:pPr>
        <w:keepNext w:val="0"/>
        <w:keepLines w:val="0"/>
        <w:pageBreakBefore w:val="0"/>
        <w:widowControl w:val="0"/>
        <w:kinsoku/>
        <w:wordWrap/>
        <w:overflowPunct/>
        <w:topLinePunct w:val="0"/>
        <w:autoSpaceDE/>
        <w:autoSpaceDN/>
        <w:bidi w:val="0"/>
        <w:adjustRightInd/>
        <w:spacing w:line="240" w:lineRule="auto"/>
        <w:ind w:firstLine="0" w:firstLineChars="0"/>
        <w:jc w:val="both"/>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致东莞市中泰建安工程有限公司</w:t>
      </w:r>
      <w:r>
        <w:rPr>
          <w:rFonts w:hint="eastAsia" w:ascii="仿宋" w:hAnsi="仿宋" w:eastAsia="仿宋" w:cs="仿宋"/>
          <w:color w:val="auto"/>
          <w:sz w:val="22"/>
          <w:szCs w:val="22"/>
          <w:highlight w:val="none"/>
          <w:lang w:val="en-US" w:eastAsia="zh-CN"/>
        </w:rPr>
        <w:t>（以下简称“甲方”）</w:t>
      </w:r>
      <w:r>
        <w:rPr>
          <w:rFonts w:hint="eastAsia" w:ascii="仿宋" w:hAnsi="仿宋" w:eastAsia="仿宋" w:cs="仿宋"/>
          <w:b w:val="0"/>
          <w:bCs w:val="0"/>
          <w:color w:val="auto"/>
          <w:sz w:val="22"/>
          <w:szCs w:val="22"/>
          <w:highlight w:val="none"/>
          <w:lang w:val="en-US" w:eastAsia="zh-CN"/>
        </w:rPr>
        <w:t>：</w:t>
      </w:r>
    </w:p>
    <w:p w14:paraId="392A7264">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b w:val="0"/>
          <w:bCs w:val="0"/>
          <w:color w:val="auto"/>
          <w:sz w:val="22"/>
          <w:szCs w:val="22"/>
          <w:highlight w:val="none"/>
          <w:lang w:val="en-US" w:eastAsia="zh-CN"/>
        </w:rPr>
        <w:t>由我司承接甲方的</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（项目名称</w:t>
      </w:r>
      <w:r>
        <w:rPr>
          <w:rFonts w:hint="eastAsia" w:ascii="仿宋" w:hAnsi="仿宋" w:eastAsia="仿宋" w:cs="仿宋"/>
          <w:color w:val="auto"/>
          <w:sz w:val="22"/>
          <w:szCs w:val="22"/>
          <w:highlight w:val="none"/>
          <w:u w:val="single"/>
          <w:lang w:eastAsia="zh-CN"/>
        </w:rPr>
        <w:t>）</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eastAsia="zh-CN"/>
        </w:rPr>
        <w:t>（</w:t>
      </w:r>
      <w:r>
        <w:rPr>
          <w:rFonts w:hint="eastAsia" w:ascii="仿宋" w:hAnsi="仿宋" w:eastAsia="仿宋" w:cs="仿宋"/>
          <w:color w:val="auto"/>
          <w:sz w:val="22"/>
          <w:szCs w:val="22"/>
          <w:highlight w:val="none"/>
          <w:u w:val="none"/>
          <w:lang w:val="en-US" w:eastAsia="zh-CN"/>
        </w:rPr>
        <w:t>以下简称“本项目”</w:t>
      </w:r>
      <w:r>
        <w:rPr>
          <w:rFonts w:hint="eastAsia" w:ascii="仿宋" w:hAnsi="仿宋" w:eastAsia="仿宋" w:cs="仿宋"/>
          <w:color w:val="auto"/>
          <w:sz w:val="22"/>
          <w:szCs w:val="22"/>
          <w:highlight w:val="none"/>
          <w:u w:val="none"/>
          <w:lang w:eastAsia="zh-CN"/>
        </w:rPr>
        <w:t>）</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w:t>
      </w:r>
      <w:r>
        <w:rPr>
          <w:rFonts w:hint="eastAsia" w:ascii="仿宋" w:hAnsi="仿宋" w:eastAsia="仿宋" w:cs="仿宋"/>
          <w:color w:val="auto"/>
          <w:sz w:val="22"/>
          <w:szCs w:val="22"/>
          <w:highlight w:val="none"/>
          <w:u w:val="single"/>
          <w:lang w:eastAsia="zh-CN"/>
        </w:rPr>
        <w:t>分项工程</w:t>
      </w:r>
      <w:r>
        <w:rPr>
          <w:rFonts w:hint="eastAsia" w:ascii="仿宋" w:hAnsi="仿宋" w:eastAsia="仿宋" w:cs="仿宋"/>
          <w:color w:val="auto"/>
          <w:sz w:val="22"/>
          <w:szCs w:val="22"/>
          <w:highlight w:val="none"/>
          <w:u w:val="single"/>
        </w:rPr>
        <w:t>名称）</w:t>
      </w:r>
      <w:r>
        <w:rPr>
          <w:rFonts w:hint="eastAsia" w:ascii="仿宋" w:hAnsi="仿宋" w:eastAsia="仿宋" w:cs="仿宋"/>
          <w:color w:val="auto"/>
          <w:sz w:val="22"/>
          <w:szCs w:val="22"/>
          <w:highlight w:val="none"/>
          <w:lang w:eastAsia="zh-CN"/>
        </w:rPr>
        <w:t>涉及</w:t>
      </w:r>
      <w:r>
        <w:rPr>
          <w:rFonts w:hint="eastAsia" w:ascii="仿宋" w:hAnsi="仿宋" w:eastAsia="仿宋" w:cs="仿宋"/>
          <w:color w:val="auto"/>
          <w:sz w:val="22"/>
          <w:szCs w:val="22"/>
          <w:highlight w:val="none"/>
          <w:u w:val="single"/>
          <w:lang w:val="en-US" w:eastAsia="zh-CN"/>
        </w:rPr>
        <w:t xml:space="preserve">         （工种名称）</w:t>
      </w:r>
      <w:r>
        <w:rPr>
          <w:rFonts w:hint="eastAsia" w:ascii="仿宋" w:hAnsi="仿宋" w:eastAsia="仿宋" w:cs="仿宋"/>
          <w:color w:val="auto"/>
          <w:sz w:val="22"/>
          <w:szCs w:val="22"/>
          <w:highlight w:val="none"/>
          <w:u w:val="none"/>
          <w:lang w:val="en-US" w:eastAsia="zh-CN"/>
        </w:rPr>
        <w:t>等</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US" w:eastAsia="zh-CN"/>
        </w:rPr>
        <w:t>个工种，关于每个工种工人的技术素质能力，我司在此郑重承诺：</w:t>
      </w:r>
    </w:p>
    <w:p w14:paraId="46900F2F">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606C3315">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我司进场的技术工人均具备优秀的专业技术能力，熟练掌握</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eastAsia="zh-CN"/>
        </w:rPr>
        <w:t>各自工种的具体</w:t>
      </w:r>
      <w:r>
        <w:rPr>
          <w:rFonts w:hint="eastAsia" w:ascii="仿宋" w:hAnsi="仿宋" w:eastAsia="仿宋" w:cs="仿宋"/>
          <w:color w:val="auto"/>
          <w:sz w:val="22"/>
          <w:szCs w:val="22"/>
          <w:highlight w:val="none"/>
          <w:u w:val="none"/>
          <w:lang w:val="en-US" w:eastAsia="zh-CN"/>
        </w:rPr>
        <w:t>施工工艺流程和技术要领，熟练操作、使用各自工种涉及的相关工、器具，特种作业人员（如架子工、电工）必须持证上岗。</w:t>
      </w:r>
    </w:p>
    <w:p w14:paraId="7F83A87D">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bookmarkStart w:id="346" w:name="_Toc2993"/>
      <w:r>
        <w:rPr>
          <w:rFonts w:hint="eastAsia" w:ascii="仿宋" w:hAnsi="仿宋" w:eastAsia="仿宋" w:cs="仿宋"/>
          <w:color w:val="auto"/>
          <w:sz w:val="22"/>
          <w:szCs w:val="22"/>
          <w:highlight w:val="none"/>
          <w:u w:val="none"/>
          <w:lang w:val="en-US" w:eastAsia="zh-CN"/>
        </w:rPr>
        <w:t>我司保证满足甲方工期要求，计划配备熟练技术工人不少于</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US" w:eastAsia="zh-CN"/>
        </w:rPr>
        <w:t>人（涉及多个工种时，需分别列出），并随时增加或减少我司人员以满足工程施工工期要求。如有增加人员，我司承诺必定满足前述第1、2点之条件。</w:t>
      </w:r>
      <w:bookmarkEnd w:id="346"/>
    </w:p>
    <w:p w14:paraId="1DDA1D73">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扣款，同时承担不合格产品的所有责任和经济损失。样板工程验收合格后，该工人在实际施工期间未按样板标准执行或施工不达标的，我司按甲方要求更换工人，并承担相应责任且赔偿甲方所有经济损失。</w:t>
      </w:r>
    </w:p>
    <w:p w14:paraId="63AF3E6D">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人员进场前须向甲方缴纳1000元/人（仅针对技术工人，普工除外）的样板保证金，样板未通过则视为我司违约、该人员的保证金则作为违约金支付给甲方，甲方不再退还该笔保证金。所有进场技术工人退场后，剩余保证金由甲方无息支付给我司。</w:t>
      </w:r>
    </w:p>
    <w:p w14:paraId="3998E694">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我司进场人员均须具备良好安全意识，按规定穿戴安全防护用具，严格遵守国家及甲方各项安全规则和操作规范，确保自身和他人的安全。</w:t>
      </w:r>
    </w:p>
    <w:p w14:paraId="5C51DAE3">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7、特别约定：</w:t>
      </w:r>
    </w:p>
    <w:p w14:paraId="578A4937">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*******公司法定代表人 **** （身份证号： ****** ）、实际控制人**** （身份证号： ****** ）就本《技术工人素质承诺书》列明之全部公司责任后果，同意无条件向贵司承担连带清偿责任，并同意承担贵司为实现债权而产生的诉讼费、财产保全费、保全担保费、证据保全公证费、律师代理费、差旅费等费用。</w:t>
      </w:r>
    </w:p>
    <w:p w14:paraId="06A269B8">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特此承诺！</w:t>
      </w:r>
    </w:p>
    <w:p w14:paraId="2632695F">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【以下无正文】</w:t>
      </w:r>
    </w:p>
    <w:p w14:paraId="35E30D27">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附件：连带清偿责任人身份证正反面复印件</w:t>
      </w:r>
    </w:p>
    <w:p w14:paraId="0CCB9D8A">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p>
    <w:p w14:paraId="55B37739">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center"/>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 xml:space="preserve">                            承诺单位（盖章）：×××公司</w:t>
      </w:r>
    </w:p>
    <w:p w14:paraId="1910554D">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 xml:space="preserve">                                        连带清偿责任人（签名）：</w:t>
      </w:r>
    </w:p>
    <w:p w14:paraId="22A6D366">
      <w:pPr>
        <w:keepNext w:val="0"/>
        <w:keepLines w:val="0"/>
        <w:pageBreakBefore w:val="0"/>
        <w:widowControl w:val="0"/>
        <w:kinsoku/>
        <w:wordWrap/>
        <w:overflowPunct/>
        <w:topLinePunct w:val="0"/>
        <w:autoSpaceDE/>
        <w:autoSpaceDN/>
        <w:bidi w:val="0"/>
        <w:adjustRightInd/>
        <w:snapToGrid/>
        <w:spacing w:line="240" w:lineRule="auto"/>
        <w:ind w:firstLine="4840" w:firstLineChars="2200"/>
        <w:jc w:val="both"/>
        <w:textAlignment w:val="auto"/>
        <w:rPr>
          <w:rFonts w:hint="eastAsia" w:ascii="仿宋" w:hAnsi="仿宋" w:eastAsia="仿宋" w:cs="仿宋"/>
          <w:b/>
          <w:bCs w:val="0"/>
          <w:color w:val="auto"/>
          <w:sz w:val="36"/>
          <w:szCs w:val="36"/>
          <w:highlight w:val="none"/>
          <w:shd w:val="clear" w:color="auto" w:fill="auto"/>
          <w:lang w:val="en-US" w:eastAsia="zh-CN"/>
        </w:rPr>
      </w:pPr>
      <w:r>
        <w:rPr>
          <w:rFonts w:hint="eastAsia" w:ascii="仿宋" w:hAnsi="仿宋" w:eastAsia="仿宋" w:cs="仿宋"/>
          <w:color w:val="auto"/>
          <w:sz w:val="22"/>
          <w:szCs w:val="22"/>
          <w:highlight w:val="none"/>
          <w:u w:val="none"/>
          <w:lang w:val="en-US" w:eastAsia="zh-CN"/>
        </w:rPr>
        <w:t>日   期：××年××月××日</w:t>
      </w:r>
    </w:p>
    <w:p w14:paraId="2BFDD2DA">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3A30AD60">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p w14:paraId="2FBF124D">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p w14:paraId="69C8630E">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bookmarkStart w:id="347" w:name="_Toc8672"/>
      <w:r>
        <w:rPr>
          <w:rFonts w:hint="eastAsia" w:ascii="仿宋" w:hAnsi="仿宋" w:eastAsia="仿宋" w:cs="仿宋"/>
          <w:b/>
          <w:bCs/>
          <w:color w:val="auto"/>
          <w:sz w:val="36"/>
          <w:szCs w:val="36"/>
          <w:highlight w:val="none"/>
          <w:lang w:val="en-US" w:eastAsia="zh-CN"/>
        </w:rPr>
        <w:t>附件</w:t>
      </w:r>
      <w:bookmarkEnd w:id="347"/>
      <w:r>
        <w:rPr>
          <w:rFonts w:hint="eastAsia" w:ascii="仿宋" w:hAnsi="仿宋" w:eastAsia="仿宋" w:cs="仿宋"/>
          <w:b/>
          <w:bCs/>
          <w:color w:val="auto"/>
          <w:sz w:val="36"/>
          <w:szCs w:val="36"/>
          <w:highlight w:val="none"/>
          <w:lang w:val="en-US" w:eastAsia="zh-CN"/>
        </w:rPr>
        <w:t>五</w:t>
      </w:r>
    </w:p>
    <w:p w14:paraId="7D64DFF6">
      <w:pPr>
        <w:keepNext w:val="0"/>
        <w:keepLines w:val="0"/>
        <w:pageBreakBefore w:val="0"/>
        <w:widowControl w:val="0"/>
        <w:kinsoku/>
        <w:wordWrap/>
        <w:overflowPunct/>
        <w:topLinePunct w:val="0"/>
        <w:autoSpaceDE/>
        <w:autoSpaceDN/>
        <w:bidi w:val="0"/>
        <w:adjustRightInd w:val="0"/>
        <w:snapToGrid w:val="0"/>
        <w:spacing w:before="241" w:line="240" w:lineRule="auto"/>
        <w:ind w:left="0" w:right="0" w:rightChars="0" w:firstLine="281" w:firstLineChars="100"/>
        <w:jc w:val="center"/>
        <w:textAlignment w:val="auto"/>
        <w:outlineLvl w:val="0"/>
        <w:rPr>
          <w:rFonts w:hint="eastAsia" w:ascii="仿宋" w:hAnsi="仿宋" w:eastAsia="仿宋" w:cs="仿宋"/>
          <w:b/>
          <w:bCs/>
          <w:color w:val="auto"/>
          <w:spacing w:val="-4"/>
          <w:position w:val="21"/>
          <w:sz w:val="32"/>
          <w:szCs w:val="32"/>
          <w:highlight w:val="none"/>
          <w:lang w:val="en-US" w:eastAsia="zh-CN"/>
        </w:rPr>
      </w:pPr>
      <w:bookmarkStart w:id="348" w:name="_Toc6755"/>
      <w:r>
        <w:rPr>
          <w:rFonts w:hint="eastAsia" w:ascii="仿宋" w:hAnsi="仿宋" w:eastAsia="仿宋" w:cs="仿宋"/>
          <w:b/>
          <w:bCs/>
          <w:color w:val="auto"/>
          <w:sz w:val="28"/>
          <w:szCs w:val="28"/>
          <w:highlight w:val="none"/>
          <w:u w:val="single"/>
          <w:lang w:val="en-US" w:eastAsia="zh-CN"/>
        </w:rPr>
        <w:t>XXXXXXXX工程</w:t>
      </w:r>
      <w:r>
        <w:rPr>
          <w:rFonts w:hint="eastAsia" w:ascii="仿宋" w:hAnsi="仿宋" w:eastAsia="仿宋" w:cs="仿宋"/>
          <w:b/>
          <w:bCs/>
          <w:color w:val="auto"/>
          <w:sz w:val="28"/>
          <w:szCs w:val="28"/>
          <w:highlight w:val="none"/>
        </w:rPr>
        <w:t>结算资料目录</w:t>
      </w:r>
      <w:bookmarkEnd w:id="348"/>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color w:val="auto"/>
          <w:sz w:val="36"/>
          <w:szCs w:val="36"/>
          <w:highlight w:val="none"/>
          <w:lang w:val="en-US" w:eastAsia="zh-CN"/>
        </w:rPr>
        <w:t xml:space="preserve">   </w:t>
      </w:r>
    </w:p>
    <w:p w14:paraId="721BFEDF">
      <w:pPr>
        <w:ind w:firstLine="0" w:firstLineChars="0"/>
        <w:rPr>
          <w:rFonts w:hint="eastAsia" w:ascii="仿宋" w:hAnsi="仿宋" w:eastAsia="仿宋" w:cs="仿宋"/>
          <w:color w:val="auto"/>
          <w:sz w:val="24"/>
          <w:highlight w:val="none"/>
          <w:u w:val="single"/>
          <w:lang w:eastAsia="zh-CN"/>
        </w:rPr>
      </w:pPr>
      <w:r>
        <w:rPr>
          <w:rFonts w:hint="eastAsia" w:ascii="仿宋" w:hAnsi="仿宋" w:eastAsia="仿宋" w:cs="仿宋"/>
          <w:color w:val="auto"/>
          <w:sz w:val="22"/>
          <w:szCs w:val="21"/>
          <w:highlight w:val="none"/>
        </w:rPr>
        <w:t>填表日期:</w:t>
      </w:r>
      <w:r>
        <w:rPr>
          <w:rFonts w:hint="eastAsia" w:ascii="仿宋" w:hAnsi="仿宋" w:eastAsia="仿宋" w:cs="仿宋"/>
          <w:color w:val="auto"/>
          <w:sz w:val="22"/>
          <w:szCs w:val="21"/>
          <w:highlight w:val="none"/>
          <w:u w:val="single"/>
        </w:rPr>
        <w:t xml:space="preserve"> </w:t>
      </w:r>
      <w:r>
        <w:rPr>
          <w:rFonts w:hint="eastAsia" w:ascii="仿宋" w:hAnsi="仿宋" w:eastAsia="仿宋" w:cs="仿宋"/>
          <w:color w:val="auto"/>
          <w:sz w:val="22"/>
          <w:szCs w:val="21"/>
          <w:highlight w:val="none"/>
          <w:u w:val="single"/>
          <w:lang w:val="en-US" w:eastAsia="zh-CN"/>
        </w:rPr>
        <w:t xml:space="preserve">     </w:t>
      </w:r>
      <w:r>
        <w:rPr>
          <w:rFonts w:hint="eastAsia" w:ascii="仿宋" w:hAnsi="仿宋" w:eastAsia="仿宋" w:cs="仿宋"/>
          <w:color w:val="auto"/>
          <w:sz w:val="22"/>
          <w:szCs w:val="21"/>
          <w:highlight w:val="none"/>
          <w:u w:val="single"/>
          <w:lang w:eastAsia="zh-CN"/>
        </w:rPr>
        <w:t>年</w:t>
      </w:r>
      <w:r>
        <w:rPr>
          <w:rFonts w:hint="eastAsia" w:ascii="仿宋" w:hAnsi="仿宋" w:eastAsia="仿宋" w:cs="仿宋"/>
          <w:color w:val="auto"/>
          <w:sz w:val="22"/>
          <w:szCs w:val="21"/>
          <w:highlight w:val="none"/>
          <w:u w:val="single"/>
          <w:lang w:val="en-US" w:eastAsia="zh-CN"/>
        </w:rPr>
        <w:t xml:space="preserve">    </w:t>
      </w:r>
      <w:r>
        <w:rPr>
          <w:rFonts w:hint="eastAsia" w:ascii="仿宋" w:hAnsi="仿宋" w:eastAsia="仿宋" w:cs="仿宋"/>
          <w:color w:val="auto"/>
          <w:sz w:val="22"/>
          <w:szCs w:val="21"/>
          <w:highlight w:val="none"/>
          <w:u w:val="single"/>
          <w:lang w:eastAsia="zh-CN"/>
        </w:rPr>
        <w:t>月</w:t>
      </w:r>
      <w:r>
        <w:rPr>
          <w:rFonts w:hint="eastAsia" w:ascii="仿宋" w:hAnsi="仿宋" w:eastAsia="仿宋" w:cs="仿宋"/>
          <w:color w:val="auto"/>
          <w:sz w:val="22"/>
          <w:szCs w:val="21"/>
          <w:highlight w:val="none"/>
          <w:u w:val="single"/>
          <w:lang w:val="en-US" w:eastAsia="zh-CN"/>
        </w:rPr>
        <w:t xml:space="preserve">    </w:t>
      </w:r>
      <w:r>
        <w:rPr>
          <w:rFonts w:hint="eastAsia" w:ascii="仿宋" w:hAnsi="仿宋" w:eastAsia="仿宋" w:cs="仿宋"/>
          <w:color w:val="auto"/>
          <w:sz w:val="22"/>
          <w:szCs w:val="21"/>
          <w:highlight w:val="none"/>
          <w:u w:val="single"/>
          <w:lang w:eastAsia="zh-CN"/>
        </w:rPr>
        <w:t>日</w:t>
      </w:r>
      <w:r>
        <w:rPr>
          <w:rFonts w:hint="eastAsia" w:ascii="仿宋" w:hAnsi="仿宋" w:eastAsia="仿宋" w:cs="仿宋"/>
          <w:color w:val="auto"/>
          <w:sz w:val="22"/>
          <w:szCs w:val="21"/>
          <w:highlight w:val="none"/>
        </w:rPr>
        <w:t xml:space="preserve">  </w:t>
      </w:r>
      <w:r>
        <w:rPr>
          <w:rFonts w:hint="eastAsia" w:ascii="仿宋" w:hAnsi="仿宋" w:eastAsia="仿宋" w:cs="仿宋"/>
          <w:color w:val="auto"/>
          <w:sz w:val="24"/>
          <w:highlight w:val="none"/>
        </w:rPr>
        <w:t xml:space="preserve">           </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510"/>
        <w:gridCol w:w="1739"/>
        <w:gridCol w:w="2668"/>
        <w:gridCol w:w="760"/>
        <w:gridCol w:w="2732"/>
      </w:tblGrid>
      <w:tr w14:paraId="1EE0B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1014" w:type="dxa"/>
            <w:gridSpan w:val="2"/>
            <w:tcBorders>
              <w:top w:val="single" w:color="auto" w:sz="12" w:space="0"/>
              <w:bottom w:val="single" w:color="auto" w:sz="12" w:space="0"/>
            </w:tcBorders>
            <w:noWrap w:val="0"/>
            <w:vAlign w:val="center"/>
          </w:tcPr>
          <w:p w14:paraId="6258ED72">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407" w:type="dxa"/>
            <w:gridSpan w:val="2"/>
            <w:tcBorders>
              <w:top w:val="single" w:color="auto" w:sz="12" w:space="0"/>
              <w:bottom w:val="single" w:color="auto" w:sz="12" w:space="0"/>
            </w:tcBorders>
            <w:noWrap w:val="0"/>
            <w:vAlign w:val="center"/>
          </w:tcPr>
          <w:p w14:paraId="29831551">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资料目录及内容</w:t>
            </w:r>
          </w:p>
        </w:tc>
        <w:tc>
          <w:tcPr>
            <w:tcW w:w="760" w:type="dxa"/>
            <w:tcBorders>
              <w:top w:val="single" w:color="auto" w:sz="12" w:space="0"/>
              <w:bottom w:val="single" w:color="auto" w:sz="12" w:space="0"/>
            </w:tcBorders>
            <w:noWrap w:val="0"/>
            <w:vAlign w:val="center"/>
          </w:tcPr>
          <w:p w14:paraId="136313E5">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份</w:t>
            </w:r>
            <w:r>
              <w:rPr>
                <w:rFonts w:hint="eastAsia" w:ascii="仿宋" w:hAnsi="仿宋" w:eastAsia="仿宋" w:cs="仿宋"/>
                <w:b/>
                <w:color w:val="auto"/>
                <w:sz w:val="24"/>
                <w:highlight w:val="none"/>
              </w:rPr>
              <w:t>数</w:t>
            </w:r>
          </w:p>
        </w:tc>
        <w:tc>
          <w:tcPr>
            <w:tcW w:w="2732" w:type="dxa"/>
            <w:tcBorders>
              <w:top w:val="single" w:color="auto" w:sz="12" w:space="0"/>
              <w:bottom w:val="single" w:color="auto" w:sz="12" w:space="0"/>
            </w:tcBorders>
            <w:noWrap w:val="0"/>
            <w:vAlign w:val="center"/>
          </w:tcPr>
          <w:p w14:paraId="66196249">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       注</w:t>
            </w:r>
          </w:p>
        </w:tc>
      </w:tr>
      <w:tr w14:paraId="1A0F1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8913" w:type="dxa"/>
            <w:gridSpan w:val="6"/>
            <w:tcBorders>
              <w:top w:val="single" w:color="auto" w:sz="12" w:space="0"/>
              <w:bottom w:val="single" w:color="auto" w:sz="8" w:space="0"/>
            </w:tcBorders>
            <w:noWrap w:val="0"/>
            <w:vAlign w:val="center"/>
          </w:tcPr>
          <w:p w14:paraId="17F3B560">
            <w:pPr>
              <w:spacing w:line="440" w:lineRule="atLeast"/>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成本管理部提供（正副本各一份）</w:t>
            </w:r>
          </w:p>
        </w:tc>
      </w:tr>
      <w:tr w14:paraId="612F4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014" w:type="dxa"/>
            <w:gridSpan w:val="2"/>
            <w:tcBorders>
              <w:top w:val="single" w:color="auto" w:sz="8" w:space="0"/>
              <w:bottom w:val="single" w:color="auto" w:sz="8" w:space="0"/>
            </w:tcBorders>
            <w:noWrap w:val="0"/>
            <w:vAlign w:val="center"/>
          </w:tcPr>
          <w:p w14:paraId="286176EB">
            <w:pPr>
              <w:spacing w:line="440" w:lineRule="atLeast"/>
              <w:jc w:val="center"/>
              <w:rPr>
                <w:rFonts w:hint="eastAsia" w:ascii="仿宋" w:hAnsi="仿宋" w:eastAsia="仿宋" w:cs="仿宋"/>
                <w:b/>
                <w:color w:val="auto"/>
                <w:sz w:val="24"/>
                <w:highlight w:val="none"/>
                <w:lang w:eastAsia="zh-CN"/>
              </w:rPr>
            </w:pPr>
            <w:r>
              <w:rPr>
                <w:rFonts w:hint="eastAsia" w:ascii="仿宋" w:hAnsi="仿宋" w:eastAsia="仿宋" w:cs="仿宋"/>
                <w:b w:val="0"/>
                <w:bCs/>
                <w:color w:val="auto"/>
                <w:sz w:val="24"/>
                <w:highlight w:val="none"/>
                <w:lang w:eastAsia="zh-CN"/>
              </w:rPr>
              <w:t>1</w:t>
            </w:r>
          </w:p>
        </w:tc>
        <w:tc>
          <w:tcPr>
            <w:tcW w:w="4407" w:type="dxa"/>
            <w:gridSpan w:val="2"/>
            <w:tcBorders>
              <w:top w:val="single" w:color="auto" w:sz="8" w:space="0"/>
              <w:bottom w:val="single" w:color="auto" w:sz="8" w:space="0"/>
            </w:tcBorders>
            <w:noWrap w:val="0"/>
            <w:vAlign w:val="center"/>
          </w:tcPr>
          <w:p w14:paraId="77915665">
            <w:pPr>
              <w:spacing w:line="440" w:lineRule="atLeast"/>
              <w:jc w:val="left"/>
              <w:rPr>
                <w:rFonts w:hint="eastAsia" w:ascii="仿宋" w:hAnsi="仿宋" w:eastAsia="仿宋" w:cs="仿宋"/>
                <w:b/>
                <w:color w:val="auto"/>
                <w:sz w:val="24"/>
                <w:highlight w:val="none"/>
                <w:lang w:eastAsia="zh-CN"/>
              </w:rPr>
            </w:pPr>
            <w:r>
              <w:rPr>
                <w:rFonts w:hint="eastAsia" w:ascii="仿宋" w:hAnsi="仿宋" w:eastAsia="仿宋" w:cs="仿宋"/>
                <w:color w:val="auto"/>
                <w:kern w:val="2"/>
                <w:sz w:val="24"/>
                <w:highlight w:val="none"/>
                <w:lang w:val="en-US" w:eastAsia="zh-CN"/>
              </w:rPr>
              <w:t>结算资料目录</w:t>
            </w:r>
          </w:p>
        </w:tc>
        <w:tc>
          <w:tcPr>
            <w:tcW w:w="760" w:type="dxa"/>
            <w:tcBorders>
              <w:top w:val="single" w:color="auto" w:sz="8" w:space="0"/>
              <w:bottom w:val="single" w:color="auto" w:sz="8" w:space="0"/>
            </w:tcBorders>
            <w:noWrap w:val="0"/>
            <w:vAlign w:val="center"/>
          </w:tcPr>
          <w:p w14:paraId="238E5B78">
            <w:pPr>
              <w:spacing w:line="440" w:lineRule="atLeast"/>
              <w:jc w:val="center"/>
              <w:rPr>
                <w:rFonts w:hint="eastAsia" w:ascii="仿宋" w:hAnsi="仿宋" w:eastAsia="仿宋" w:cs="仿宋"/>
                <w:b/>
                <w:color w:val="auto"/>
                <w:sz w:val="24"/>
                <w:highlight w:val="none"/>
                <w:lang w:eastAsia="zh-CN"/>
              </w:rPr>
            </w:pPr>
            <w:r>
              <w:rPr>
                <w:rFonts w:hint="eastAsia" w:ascii="仿宋" w:hAnsi="仿宋" w:eastAsia="仿宋" w:cs="仿宋"/>
                <w:b w:val="0"/>
                <w:bCs/>
                <w:color w:val="auto"/>
                <w:sz w:val="24"/>
                <w:highlight w:val="none"/>
                <w:lang w:eastAsia="zh-CN"/>
              </w:rPr>
              <w:t>1</w:t>
            </w:r>
          </w:p>
        </w:tc>
        <w:tc>
          <w:tcPr>
            <w:tcW w:w="2732" w:type="dxa"/>
            <w:tcBorders>
              <w:top w:val="single" w:color="auto" w:sz="8" w:space="0"/>
              <w:bottom w:val="single" w:color="auto" w:sz="8" w:space="0"/>
            </w:tcBorders>
            <w:noWrap w:val="0"/>
            <w:vAlign w:val="center"/>
          </w:tcPr>
          <w:p w14:paraId="0278B1EF">
            <w:pPr>
              <w:spacing w:line="440" w:lineRule="atLeast"/>
              <w:jc w:val="center"/>
              <w:rPr>
                <w:rFonts w:hint="eastAsia" w:ascii="仿宋" w:hAnsi="仿宋" w:eastAsia="仿宋" w:cs="仿宋"/>
                <w:b/>
                <w:color w:val="auto"/>
                <w:sz w:val="24"/>
                <w:highlight w:val="none"/>
                <w:lang w:val="en-US" w:eastAsia="zh-CN"/>
              </w:rPr>
            </w:pPr>
          </w:p>
        </w:tc>
      </w:tr>
      <w:tr w14:paraId="4AE36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single" w:color="auto" w:sz="8" w:space="0"/>
            </w:tcBorders>
            <w:noWrap w:val="0"/>
            <w:vAlign w:val="center"/>
          </w:tcPr>
          <w:p w14:paraId="1981E80B">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p>
        </w:tc>
        <w:tc>
          <w:tcPr>
            <w:tcW w:w="4407" w:type="dxa"/>
            <w:gridSpan w:val="2"/>
            <w:tcBorders>
              <w:top w:val="single" w:color="auto" w:sz="8" w:space="0"/>
            </w:tcBorders>
            <w:noWrap w:val="0"/>
            <w:vAlign w:val="center"/>
          </w:tcPr>
          <w:p w14:paraId="24F86D9D">
            <w:pPr>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eastAsia="zh-CN"/>
              </w:rPr>
              <w:t>结算确认书</w:t>
            </w:r>
          </w:p>
        </w:tc>
        <w:tc>
          <w:tcPr>
            <w:tcW w:w="760" w:type="dxa"/>
            <w:tcBorders>
              <w:top w:val="single" w:color="auto" w:sz="8" w:space="0"/>
            </w:tcBorders>
            <w:noWrap w:val="0"/>
            <w:vAlign w:val="center"/>
          </w:tcPr>
          <w:p w14:paraId="11DFF9FF">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w:t>
            </w:r>
          </w:p>
        </w:tc>
        <w:tc>
          <w:tcPr>
            <w:tcW w:w="2732" w:type="dxa"/>
            <w:tcBorders>
              <w:top w:val="single" w:color="auto" w:sz="8" w:space="0"/>
            </w:tcBorders>
            <w:noWrap w:val="0"/>
            <w:vAlign w:val="center"/>
          </w:tcPr>
          <w:p w14:paraId="498BBFD2">
            <w:pPr>
              <w:spacing w:line="440" w:lineRule="atLeast"/>
              <w:jc w:val="center"/>
              <w:rPr>
                <w:rFonts w:hint="eastAsia" w:ascii="仿宋" w:hAnsi="仿宋" w:eastAsia="仿宋" w:cs="仿宋"/>
                <w:color w:val="auto"/>
                <w:sz w:val="24"/>
                <w:highlight w:val="none"/>
                <w:lang w:eastAsia="zh-CN"/>
              </w:rPr>
            </w:pPr>
          </w:p>
        </w:tc>
      </w:tr>
      <w:tr w14:paraId="03DD7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nil"/>
            </w:tcBorders>
            <w:noWrap w:val="0"/>
            <w:vAlign w:val="center"/>
          </w:tcPr>
          <w:p w14:paraId="36DB24AD">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w:t>
            </w:r>
          </w:p>
        </w:tc>
        <w:tc>
          <w:tcPr>
            <w:tcW w:w="4407" w:type="dxa"/>
            <w:gridSpan w:val="2"/>
            <w:tcBorders>
              <w:top w:val="nil"/>
            </w:tcBorders>
            <w:noWrap w:val="0"/>
            <w:vAlign w:val="center"/>
          </w:tcPr>
          <w:p w14:paraId="0CB786B8">
            <w:pPr>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结算审核汇总表</w:t>
            </w:r>
          </w:p>
        </w:tc>
        <w:tc>
          <w:tcPr>
            <w:tcW w:w="760" w:type="dxa"/>
            <w:tcBorders>
              <w:top w:val="nil"/>
            </w:tcBorders>
            <w:noWrap w:val="0"/>
            <w:vAlign w:val="center"/>
          </w:tcPr>
          <w:p w14:paraId="3919AD68">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w:t>
            </w:r>
          </w:p>
        </w:tc>
        <w:tc>
          <w:tcPr>
            <w:tcW w:w="2732" w:type="dxa"/>
            <w:tcBorders>
              <w:top w:val="nil"/>
            </w:tcBorders>
            <w:noWrap w:val="0"/>
            <w:vAlign w:val="center"/>
          </w:tcPr>
          <w:p w14:paraId="66032C55">
            <w:pPr>
              <w:spacing w:line="440" w:lineRule="atLeast"/>
              <w:jc w:val="center"/>
              <w:rPr>
                <w:rFonts w:hint="eastAsia" w:ascii="仿宋" w:hAnsi="仿宋" w:eastAsia="仿宋" w:cs="仿宋"/>
                <w:color w:val="auto"/>
                <w:sz w:val="24"/>
                <w:highlight w:val="none"/>
                <w:lang w:eastAsia="zh-CN"/>
              </w:rPr>
            </w:pPr>
          </w:p>
        </w:tc>
      </w:tr>
      <w:tr w14:paraId="08433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nil"/>
            </w:tcBorders>
            <w:noWrap w:val="0"/>
            <w:vAlign w:val="center"/>
          </w:tcPr>
          <w:p w14:paraId="348FABE3">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p w14:paraId="27B924A6">
            <w:pPr>
              <w:spacing w:line="440" w:lineRule="atLeast"/>
              <w:jc w:val="center"/>
              <w:rPr>
                <w:rFonts w:hint="eastAsia" w:ascii="仿宋" w:hAnsi="仿宋" w:eastAsia="仿宋" w:cs="仿宋"/>
                <w:color w:val="auto"/>
                <w:sz w:val="24"/>
                <w:highlight w:val="none"/>
                <w:lang w:val="en-US" w:eastAsia="zh-CN"/>
              </w:rPr>
            </w:pPr>
          </w:p>
          <w:p w14:paraId="7D70CCCD">
            <w:pPr>
              <w:spacing w:line="440" w:lineRule="atLeast"/>
              <w:jc w:val="center"/>
              <w:rPr>
                <w:rFonts w:hint="eastAsia" w:ascii="仿宋" w:hAnsi="仿宋" w:eastAsia="仿宋" w:cs="仿宋"/>
                <w:color w:val="auto"/>
                <w:sz w:val="24"/>
                <w:highlight w:val="none"/>
                <w:lang w:val="en-US" w:eastAsia="zh-CN"/>
              </w:rPr>
            </w:pPr>
          </w:p>
        </w:tc>
        <w:tc>
          <w:tcPr>
            <w:tcW w:w="4407" w:type="dxa"/>
            <w:gridSpan w:val="2"/>
            <w:tcBorders>
              <w:top w:val="nil"/>
            </w:tcBorders>
            <w:noWrap w:val="0"/>
            <w:vAlign w:val="center"/>
          </w:tcPr>
          <w:p w14:paraId="2EF41234">
            <w:pPr>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审核结算书</w:t>
            </w:r>
          </w:p>
        </w:tc>
        <w:tc>
          <w:tcPr>
            <w:tcW w:w="760" w:type="dxa"/>
            <w:tcBorders>
              <w:top w:val="nil"/>
            </w:tcBorders>
            <w:noWrap w:val="0"/>
            <w:vAlign w:val="center"/>
          </w:tcPr>
          <w:p w14:paraId="175E686D">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0B099F9">
            <w:pPr>
              <w:spacing w:line="440" w:lineRule="atLeast"/>
              <w:jc w:val="center"/>
              <w:rPr>
                <w:rFonts w:hint="eastAsia" w:ascii="仿宋" w:hAnsi="仿宋" w:eastAsia="仿宋" w:cs="仿宋"/>
                <w:color w:val="auto"/>
                <w:sz w:val="24"/>
                <w:highlight w:val="none"/>
                <w:lang w:eastAsia="zh-CN"/>
              </w:rPr>
            </w:pPr>
          </w:p>
        </w:tc>
      </w:tr>
      <w:tr w14:paraId="7E496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8913" w:type="dxa"/>
            <w:gridSpan w:val="6"/>
            <w:tcBorders>
              <w:top w:val="nil"/>
            </w:tcBorders>
            <w:noWrap w:val="0"/>
            <w:vAlign w:val="center"/>
          </w:tcPr>
          <w:p w14:paraId="7CBAC9BD">
            <w:pPr>
              <w:spacing w:line="440" w:lineRule="atLeast"/>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分包单位提供（正副本各一份）</w:t>
            </w:r>
          </w:p>
        </w:tc>
      </w:tr>
      <w:tr w14:paraId="2C0D4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504" w:type="dxa"/>
            <w:vMerge w:val="restart"/>
            <w:tcBorders>
              <w:top w:val="nil"/>
            </w:tcBorders>
            <w:noWrap w:val="0"/>
            <w:vAlign w:val="center"/>
          </w:tcPr>
          <w:p w14:paraId="09668DCC">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分包单位结算申请书</w:t>
            </w:r>
          </w:p>
        </w:tc>
        <w:tc>
          <w:tcPr>
            <w:tcW w:w="510" w:type="dxa"/>
            <w:tcBorders>
              <w:top w:val="nil"/>
            </w:tcBorders>
            <w:noWrap w:val="0"/>
            <w:vAlign w:val="center"/>
          </w:tcPr>
          <w:p w14:paraId="4F48AE8D">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4407" w:type="dxa"/>
            <w:gridSpan w:val="2"/>
            <w:tcBorders>
              <w:top w:val="nil"/>
            </w:tcBorders>
            <w:noWrap w:val="0"/>
            <w:vAlign w:val="center"/>
          </w:tcPr>
          <w:p w14:paraId="511D69BF">
            <w:pPr>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封面</w:t>
            </w:r>
          </w:p>
        </w:tc>
        <w:tc>
          <w:tcPr>
            <w:tcW w:w="760" w:type="dxa"/>
            <w:tcBorders>
              <w:top w:val="nil"/>
            </w:tcBorders>
            <w:noWrap w:val="0"/>
            <w:vAlign w:val="center"/>
          </w:tcPr>
          <w:p w14:paraId="0CA79F64">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58EFF37F">
            <w:pPr>
              <w:spacing w:line="440" w:lineRule="atLeast"/>
              <w:jc w:val="center"/>
              <w:rPr>
                <w:rFonts w:hint="eastAsia" w:ascii="仿宋" w:hAnsi="仿宋" w:eastAsia="仿宋" w:cs="仿宋"/>
                <w:color w:val="auto"/>
                <w:sz w:val="24"/>
                <w:highlight w:val="none"/>
                <w:lang w:val="en-US" w:eastAsia="zh-CN"/>
              </w:rPr>
            </w:pPr>
          </w:p>
        </w:tc>
      </w:tr>
      <w:tr w14:paraId="5E13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06B3599D">
            <w:pPr>
              <w:spacing w:line="440" w:lineRule="atLeast"/>
              <w:jc w:val="center"/>
              <w:rPr>
                <w:rFonts w:hint="eastAsia" w:ascii="仿宋" w:hAnsi="仿宋" w:eastAsia="仿宋" w:cs="仿宋"/>
                <w:color w:val="auto"/>
                <w:kern w:val="2"/>
                <w:sz w:val="24"/>
                <w:highlight w:val="none"/>
                <w:lang w:val="en-US" w:eastAsia="zh-CN"/>
              </w:rPr>
            </w:pPr>
          </w:p>
        </w:tc>
        <w:tc>
          <w:tcPr>
            <w:tcW w:w="510" w:type="dxa"/>
            <w:tcBorders>
              <w:top w:val="nil"/>
            </w:tcBorders>
            <w:noWrap w:val="0"/>
            <w:vAlign w:val="center"/>
          </w:tcPr>
          <w:p w14:paraId="30AEDDDE">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4407" w:type="dxa"/>
            <w:gridSpan w:val="2"/>
            <w:tcBorders>
              <w:top w:val="nil"/>
            </w:tcBorders>
            <w:noWrap w:val="0"/>
            <w:vAlign w:val="center"/>
          </w:tcPr>
          <w:p w14:paraId="2A299581">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目录</w:t>
            </w:r>
          </w:p>
        </w:tc>
        <w:tc>
          <w:tcPr>
            <w:tcW w:w="760" w:type="dxa"/>
            <w:tcBorders>
              <w:top w:val="nil"/>
            </w:tcBorders>
            <w:noWrap w:val="0"/>
            <w:vAlign w:val="center"/>
          </w:tcPr>
          <w:p w14:paraId="1BE45F38">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13D9E56">
            <w:pPr>
              <w:spacing w:line="440" w:lineRule="atLeast"/>
              <w:jc w:val="center"/>
              <w:rPr>
                <w:rFonts w:hint="eastAsia" w:ascii="仿宋" w:hAnsi="仿宋" w:eastAsia="仿宋" w:cs="仿宋"/>
                <w:color w:val="auto"/>
                <w:sz w:val="24"/>
                <w:highlight w:val="none"/>
                <w:lang w:val="en-US" w:eastAsia="zh-CN"/>
              </w:rPr>
            </w:pPr>
          </w:p>
        </w:tc>
      </w:tr>
      <w:tr w14:paraId="379F8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0699DF09">
            <w:pPr>
              <w:spacing w:line="440" w:lineRule="atLeast"/>
              <w:jc w:val="center"/>
              <w:rPr>
                <w:rFonts w:hint="eastAsia" w:ascii="仿宋" w:hAnsi="仿宋" w:eastAsia="仿宋" w:cs="仿宋"/>
                <w:color w:val="auto"/>
                <w:kern w:val="2"/>
                <w:sz w:val="24"/>
                <w:highlight w:val="none"/>
                <w:lang w:val="en-US" w:eastAsia="zh-CN"/>
              </w:rPr>
            </w:pPr>
          </w:p>
        </w:tc>
        <w:tc>
          <w:tcPr>
            <w:tcW w:w="510" w:type="dxa"/>
            <w:tcBorders>
              <w:top w:val="nil"/>
            </w:tcBorders>
            <w:noWrap w:val="0"/>
            <w:vAlign w:val="center"/>
          </w:tcPr>
          <w:p w14:paraId="15BE9F02">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4407" w:type="dxa"/>
            <w:gridSpan w:val="2"/>
            <w:tcBorders>
              <w:top w:val="nil"/>
            </w:tcBorders>
            <w:noWrap w:val="0"/>
            <w:vAlign w:val="center"/>
          </w:tcPr>
          <w:p w14:paraId="71C1D1C5">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结算申请表</w:t>
            </w:r>
          </w:p>
        </w:tc>
        <w:tc>
          <w:tcPr>
            <w:tcW w:w="760" w:type="dxa"/>
            <w:tcBorders>
              <w:top w:val="nil"/>
            </w:tcBorders>
            <w:noWrap w:val="0"/>
            <w:vAlign w:val="center"/>
          </w:tcPr>
          <w:p w14:paraId="3DFFF126">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4902AFB">
            <w:pPr>
              <w:spacing w:line="440" w:lineRule="atLeast"/>
              <w:jc w:val="center"/>
              <w:rPr>
                <w:rFonts w:hint="eastAsia" w:ascii="仿宋" w:hAnsi="仿宋" w:eastAsia="仿宋" w:cs="仿宋"/>
                <w:color w:val="auto"/>
                <w:kern w:val="2"/>
                <w:sz w:val="24"/>
                <w:highlight w:val="none"/>
                <w:lang w:val="en-US" w:eastAsia="zh-CN"/>
              </w:rPr>
            </w:pPr>
          </w:p>
        </w:tc>
      </w:tr>
      <w:tr w14:paraId="441D7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31D45A05">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73C21E4A">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4407" w:type="dxa"/>
            <w:gridSpan w:val="2"/>
            <w:tcBorders>
              <w:top w:val="nil"/>
            </w:tcBorders>
            <w:noWrap w:val="0"/>
            <w:vAlign w:val="center"/>
          </w:tcPr>
          <w:p w14:paraId="7CCE1CB0">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工程结算资料审查表</w:t>
            </w:r>
          </w:p>
        </w:tc>
        <w:tc>
          <w:tcPr>
            <w:tcW w:w="760" w:type="dxa"/>
            <w:tcBorders>
              <w:top w:val="nil"/>
            </w:tcBorders>
            <w:noWrap w:val="0"/>
            <w:vAlign w:val="center"/>
          </w:tcPr>
          <w:p w14:paraId="5D60C52F">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77F0162">
            <w:pPr>
              <w:spacing w:line="440" w:lineRule="atLeast"/>
              <w:jc w:val="center"/>
              <w:rPr>
                <w:rFonts w:hint="eastAsia" w:ascii="仿宋" w:hAnsi="仿宋" w:eastAsia="仿宋" w:cs="仿宋"/>
                <w:color w:val="auto"/>
                <w:sz w:val="24"/>
                <w:highlight w:val="none"/>
                <w:lang w:val="en-US" w:eastAsia="zh-CN"/>
              </w:rPr>
            </w:pPr>
          </w:p>
        </w:tc>
      </w:tr>
      <w:tr w14:paraId="3D067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26AE3769">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35E293E6">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4407" w:type="dxa"/>
            <w:gridSpan w:val="2"/>
            <w:tcBorders>
              <w:top w:val="nil"/>
            </w:tcBorders>
            <w:noWrap w:val="0"/>
            <w:vAlign w:val="center"/>
          </w:tcPr>
          <w:p w14:paraId="76358E07">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送审承诺书</w:t>
            </w:r>
          </w:p>
        </w:tc>
        <w:tc>
          <w:tcPr>
            <w:tcW w:w="760" w:type="dxa"/>
            <w:tcBorders>
              <w:top w:val="nil"/>
            </w:tcBorders>
            <w:noWrap w:val="0"/>
            <w:vAlign w:val="center"/>
          </w:tcPr>
          <w:p w14:paraId="4BD75F5E">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2F7CCAAD">
            <w:pPr>
              <w:spacing w:line="440" w:lineRule="atLeast"/>
              <w:jc w:val="center"/>
              <w:rPr>
                <w:rFonts w:hint="eastAsia" w:ascii="仿宋" w:hAnsi="仿宋" w:eastAsia="仿宋" w:cs="仿宋"/>
                <w:color w:val="auto"/>
                <w:kern w:val="2"/>
                <w:sz w:val="24"/>
                <w:highlight w:val="none"/>
                <w:lang w:val="en-US" w:eastAsia="zh-CN"/>
              </w:rPr>
            </w:pPr>
          </w:p>
        </w:tc>
      </w:tr>
      <w:tr w14:paraId="68BAE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7F7A3BD1">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41F2870B">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4407" w:type="dxa"/>
            <w:gridSpan w:val="2"/>
            <w:tcBorders>
              <w:top w:val="nil"/>
            </w:tcBorders>
            <w:noWrap w:val="0"/>
            <w:vAlign w:val="center"/>
          </w:tcPr>
          <w:p w14:paraId="4FE97343">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结算承诺书</w:t>
            </w:r>
          </w:p>
        </w:tc>
        <w:tc>
          <w:tcPr>
            <w:tcW w:w="760" w:type="dxa"/>
            <w:tcBorders>
              <w:top w:val="nil"/>
            </w:tcBorders>
            <w:noWrap w:val="0"/>
            <w:vAlign w:val="center"/>
          </w:tcPr>
          <w:p w14:paraId="13E87371">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5F57806C">
            <w:pPr>
              <w:spacing w:line="440" w:lineRule="atLeast"/>
              <w:jc w:val="center"/>
              <w:rPr>
                <w:rFonts w:hint="eastAsia" w:ascii="仿宋" w:hAnsi="仿宋" w:eastAsia="仿宋" w:cs="仿宋"/>
                <w:color w:val="auto"/>
                <w:kern w:val="2"/>
                <w:sz w:val="24"/>
                <w:highlight w:val="none"/>
                <w:lang w:val="en-US" w:eastAsia="zh-CN"/>
              </w:rPr>
            </w:pPr>
          </w:p>
        </w:tc>
      </w:tr>
      <w:tr w14:paraId="77919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504" w:type="dxa"/>
            <w:vMerge w:val="continue"/>
            <w:noWrap w:val="0"/>
            <w:vAlign w:val="center"/>
          </w:tcPr>
          <w:p w14:paraId="65A41BAF">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1E62B3A5">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4407" w:type="dxa"/>
            <w:gridSpan w:val="2"/>
            <w:tcBorders>
              <w:top w:val="nil"/>
            </w:tcBorders>
            <w:noWrap w:val="0"/>
            <w:vAlign w:val="center"/>
          </w:tcPr>
          <w:p w14:paraId="7D11AA02">
            <w:pPr>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工程结算支付证明单</w:t>
            </w:r>
          </w:p>
          <w:p w14:paraId="1FC45EB0">
            <w:pPr>
              <w:tabs>
                <w:tab w:val="left" w:pos="1138"/>
              </w:tabs>
              <w:spacing w:line="440" w:lineRule="atLeast"/>
              <w:rPr>
                <w:rFonts w:hint="eastAsia" w:ascii="仿宋" w:hAnsi="仿宋" w:eastAsia="仿宋" w:cs="仿宋"/>
                <w:color w:val="auto"/>
                <w:sz w:val="24"/>
                <w:highlight w:val="none"/>
                <w:lang w:val="en-US" w:eastAsia="zh-CN"/>
              </w:rPr>
            </w:pPr>
          </w:p>
        </w:tc>
        <w:tc>
          <w:tcPr>
            <w:tcW w:w="760" w:type="dxa"/>
            <w:tcBorders>
              <w:top w:val="nil"/>
            </w:tcBorders>
            <w:noWrap w:val="0"/>
            <w:vAlign w:val="center"/>
          </w:tcPr>
          <w:p w14:paraId="49E170D6">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1A2F37D">
            <w:pPr>
              <w:spacing w:line="440" w:lineRule="atLeast"/>
              <w:jc w:val="center"/>
              <w:rPr>
                <w:rFonts w:hint="eastAsia" w:ascii="仿宋" w:hAnsi="仿宋" w:eastAsia="仿宋" w:cs="仿宋"/>
                <w:color w:val="auto"/>
                <w:sz w:val="24"/>
                <w:highlight w:val="none"/>
                <w:lang w:val="en-US" w:eastAsia="zh-CN"/>
              </w:rPr>
            </w:pPr>
          </w:p>
        </w:tc>
      </w:tr>
      <w:tr w14:paraId="12DA6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3CFA44D4">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3C75FDFE">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4407" w:type="dxa"/>
            <w:gridSpan w:val="2"/>
            <w:tcBorders>
              <w:top w:val="nil"/>
            </w:tcBorders>
            <w:noWrap w:val="0"/>
            <w:vAlign w:val="center"/>
          </w:tcPr>
          <w:p w14:paraId="232EB410">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分包情况说明</w:t>
            </w:r>
          </w:p>
        </w:tc>
        <w:tc>
          <w:tcPr>
            <w:tcW w:w="760" w:type="dxa"/>
            <w:tcBorders>
              <w:top w:val="nil"/>
            </w:tcBorders>
            <w:noWrap w:val="0"/>
            <w:vAlign w:val="center"/>
          </w:tcPr>
          <w:p w14:paraId="429BA8C8">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17804EB">
            <w:pPr>
              <w:spacing w:line="440" w:lineRule="atLeast"/>
              <w:jc w:val="center"/>
              <w:rPr>
                <w:rFonts w:hint="eastAsia" w:ascii="仿宋" w:hAnsi="仿宋" w:eastAsia="仿宋" w:cs="仿宋"/>
                <w:color w:val="auto"/>
                <w:kern w:val="2"/>
                <w:sz w:val="24"/>
                <w:highlight w:val="none"/>
                <w:lang w:val="en-US" w:eastAsia="zh-CN"/>
              </w:rPr>
            </w:pPr>
          </w:p>
        </w:tc>
      </w:tr>
      <w:tr w14:paraId="16AD1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0AB2AD00">
            <w:pPr>
              <w:spacing w:line="440" w:lineRule="atLeast"/>
              <w:jc w:val="center"/>
              <w:rPr>
                <w:rFonts w:hint="eastAsia" w:ascii="仿宋" w:hAnsi="仿宋" w:eastAsia="仿宋" w:cs="仿宋"/>
                <w:color w:val="auto"/>
                <w:kern w:val="2"/>
                <w:sz w:val="24"/>
                <w:highlight w:val="none"/>
                <w:lang w:val="en-US" w:eastAsia="zh-CN"/>
              </w:rPr>
            </w:pPr>
          </w:p>
        </w:tc>
        <w:tc>
          <w:tcPr>
            <w:tcW w:w="510" w:type="dxa"/>
            <w:tcBorders>
              <w:top w:val="nil"/>
            </w:tcBorders>
            <w:noWrap w:val="0"/>
            <w:vAlign w:val="center"/>
          </w:tcPr>
          <w:p w14:paraId="7576BCF1">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4407" w:type="dxa"/>
            <w:gridSpan w:val="2"/>
            <w:tcBorders>
              <w:top w:val="nil"/>
            </w:tcBorders>
            <w:noWrap w:val="0"/>
            <w:vAlign w:val="center"/>
          </w:tcPr>
          <w:p w14:paraId="7AA01F31">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竣工验收移交证明</w:t>
            </w:r>
          </w:p>
        </w:tc>
        <w:tc>
          <w:tcPr>
            <w:tcW w:w="760" w:type="dxa"/>
            <w:tcBorders>
              <w:top w:val="nil"/>
            </w:tcBorders>
            <w:noWrap w:val="0"/>
            <w:vAlign w:val="center"/>
          </w:tcPr>
          <w:p w14:paraId="055F23C9">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76418C47">
            <w:pPr>
              <w:spacing w:line="440" w:lineRule="atLeast"/>
              <w:jc w:val="center"/>
              <w:rPr>
                <w:rFonts w:hint="eastAsia" w:ascii="仿宋" w:hAnsi="仿宋" w:eastAsia="仿宋" w:cs="仿宋"/>
                <w:color w:val="auto"/>
                <w:kern w:val="2"/>
                <w:sz w:val="24"/>
                <w:highlight w:val="none"/>
                <w:lang w:val="en-US" w:eastAsia="zh-CN"/>
              </w:rPr>
            </w:pPr>
          </w:p>
        </w:tc>
      </w:tr>
      <w:tr w14:paraId="50D3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7B8665E6">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6472C1DD">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4407" w:type="dxa"/>
            <w:gridSpan w:val="2"/>
            <w:tcBorders>
              <w:top w:val="nil"/>
            </w:tcBorders>
            <w:noWrap w:val="0"/>
            <w:vAlign w:val="center"/>
          </w:tcPr>
          <w:p w14:paraId="60414F2A">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施工合同</w:t>
            </w:r>
          </w:p>
        </w:tc>
        <w:tc>
          <w:tcPr>
            <w:tcW w:w="760" w:type="dxa"/>
            <w:tcBorders>
              <w:top w:val="nil"/>
            </w:tcBorders>
            <w:noWrap w:val="0"/>
            <w:vAlign w:val="center"/>
          </w:tcPr>
          <w:p w14:paraId="1060D07C">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537135E">
            <w:pPr>
              <w:spacing w:line="440" w:lineRule="atLeast"/>
              <w:jc w:val="center"/>
              <w:rPr>
                <w:rFonts w:hint="eastAsia" w:ascii="仿宋" w:hAnsi="仿宋" w:eastAsia="仿宋" w:cs="仿宋"/>
                <w:color w:val="auto"/>
                <w:sz w:val="24"/>
                <w:highlight w:val="none"/>
                <w:lang w:eastAsia="zh-CN"/>
              </w:rPr>
            </w:pPr>
          </w:p>
        </w:tc>
      </w:tr>
      <w:tr w14:paraId="5FFE9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504" w:type="dxa"/>
            <w:vMerge w:val="continue"/>
            <w:noWrap w:val="0"/>
            <w:vAlign w:val="center"/>
          </w:tcPr>
          <w:p w14:paraId="2D4B256F">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3B0C8B06">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4407" w:type="dxa"/>
            <w:gridSpan w:val="2"/>
            <w:tcBorders>
              <w:top w:val="nil"/>
            </w:tcBorders>
            <w:noWrap w:val="0"/>
            <w:vAlign w:val="center"/>
          </w:tcPr>
          <w:p w14:paraId="791CDC95">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送审结算书</w:t>
            </w:r>
          </w:p>
        </w:tc>
        <w:tc>
          <w:tcPr>
            <w:tcW w:w="760" w:type="dxa"/>
            <w:tcBorders>
              <w:top w:val="nil"/>
            </w:tcBorders>
            <w:noWrap w:val="0"/>
            <w:vAlign w:val="center"/>
          </w:tcPr>
          <w:p w14:paraId="291F29C8">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8CFA20A">
            <w:pPr>
              <w:spacing w:line="440" w:lineRule="atLeast"/>
              <w:jc w:val="center"/>
              <w:rPr>
                <w:rFonts w:hint="eastAsia" w:ascii="仿宋" w:hAnsi="仿宋" w:eastAsia="仿宋" w:cs="仿宋"/>
                <w:color w:val="auto"/>
                <w:kern w:val="2"/>
                <w:sz w:val="24"/>
                <w:highlight w:val="none"/>
                <w:lang w:val="en-US" w:eastAsia="zh-CN"/>
              </w:rPr>
            </w:pPr>
          </w:p>
        </w:tc>
      </w:tr>
      <w:tr w14:paraId="10A6C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504" w:type="dxa"/>
            <w:vMerge w:val="continue"/>
            <w:noWrap w:val="0"/>
            <w:vAlign w:val="center"/>
          </w:tcPr>
          <w:p w14:paraId="41071A76">
            <w:pPr>
              <w:spacing w:line="440" w:lineRule="atLeast"/>
              <w:jc w:val="center"/>
              <w:rPr>
                <w:rFonts w:hint="eastAsia" w:ascii="仿宋" w:hAnsi="仿宋" w:eastAsia="仿宋" w:cs="仿宋"/>
                <w:color w:val="auto"/>
                <w:sz w:val="24"/>
                <w:highlight w:val="none"/>
                <w:lang w:val="en-US" w:eastAsia="zh-CN"/>
              </w:rPr>
            </w:pPr>
          </w:p>
        </w:tc>
        <w:tc>
          <w:tcPr>
            <w:tcW w:w="510" w:type="dxa"/>
            <w:noWrap w:val="0"/>
            <w:vAlign w:val="center"/>
          </w:tcPr>
          <w:p w14:paraId="3BF8EC47">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4407" w:type="dxa"/>
            <w:gridSpan w:val="2"/>
            <w:noWrap w:val="0"/>
            <w:vAlign w:val="center"/>
          </w:tcPr>
          <w:p w14:paraId="01BC2D7F">
            <w:pPr>
              <w:tabs>
                <w:tab w:val="left" w:pos="1289"/>
              </w:tabs>
              <w:spacing w:line="440" w:lineRule="atLeast"/>
              <w:jc w:val="both"/>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结算资料</w:t>
            </w:r>
          </w:p>
        </w:tc>
        <w:tc>
          <w:tcPr>
            <w:tcW w:w="760" w:type="dxa"/>
            <w:noWrap w:val="0"/>
            <w:vAlign w:val="center"/>
          </w:tcPr>
          <w:p w14:paraId="6B9CD55F">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noWrap w:val="0"/>
            <w:vAlign w:val="center"/>
          </w:tcPr>
          <w:p w14:paraId="78A4E4A8">
            <w:pPr>
              <w:spacing w:line="440" w:lineRule="atLeast"/>
              <w:jc w:val="center"/>
              <w:rPr>
                <w:rFonts w:hint="eastAsia" w:ascii="仿宋" w:hAnsi="仿宋" w:eastAsia="仿宋" w:cs="仿宋"/>
                <w:color w:val="auto"/>
                <w:kern w:val="2"/>
                <w:sz w:val="24"/>
                <w:highlight w:val="none"/>
                <w:lang w:val="en-US" w:eastAsia="zh-CN"/>
              </w:rPr>
            </w:pPr>
          </w:p>
        </w:tc>
      </w:tr>
      <w:tr w14:paraId="401A9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504" w:type="dxa"/>
            <w:vMerge w:val="continue"/>
            <w:noWrap w:val="0"/>
            <w:vAlign w:val="center"/>
          </w:tcPr>
          <w:p w14:paraId="621AB55E">
            <w:pPr>
              <w:spacing w:line="440" w:lineRule="atLeast"/>
              <w:jc w:val="center"/>
              <w:rPr>
                <w:rFonts w:hint="eastAsia" w:ascii="仿宋" w:hAnsi="仿宋" w:eastAsia="仿宋" w:cs="仿宋"/>
                <w:color w:val="auto"/>
                <w:sz w:val="24"/>
                <w:highlight w:val="none"/>
                <w:lang w:val="en-US" w:eastAsia="zh-CN"/>
              </w:rPr>
            </w:pPr>
          </w:p>
        </w:tc>
        <w:tc>
          <w:tcPr>
            <w:tcW w:w="510" w:type="dxa"/>
            <w:noWrap w:val="0"/>
            <w:vAlign w:val="center"/>
          </w:tcPr>
          <w:p w14:paraId="4E24A7A3">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4407" w:type="dxa"/>
            <w:gridSpan w:val="2"/>
            <w:noWrap w:val="0"/>
            <w:vAlign w:val="center"/>
          </w:tcPr>
          <w:p w14:paraId="7CD52B01">
            <w:pPr>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其他相关资料</w:t>
            </w:r>
          </w:p>
        </w:tc>
        <w:tc>
          <w:tcPr>
            <w:tcW w:w="760" w:type="dxa"/>
            <w:noWrap w:val="0"/>
            <w:vAlign w:val="center"/>
          </w:tcPr>
          <w:p w14:paraId="2F0E86CF">
            <w:pPr>
              <w:spacing w:line="440" w:lineRule="atLeast"/>
              <w:jc w:val="center"/>
              <w:rPr>
                <w:rFonts w:hint="eastAsia" w:ascii="仿宋" w:hAnsi="仿宋" w:eastAsia="仿宋" w:cs="仿宋"/>
                <w:color w:val="auto"/>
                <w:kern w:val="2"/>
                <w:sz w:val="24"/>
                <w:highlight w:val="none"/>
                <w:lang w:val="en-US" w:eastAsia="zh-CN"/>
              </w:rPr>
            </w:pPr>
          </w:p>
        </w:tc>
        <w:tc>
          <w:tcPr>
            <w:tcW w:w="2732" w:type="dxa"/>
            <w:noWrap w:val="0"/>
            <w:vAlign w:val="center"/>
          </w:tcPr>
          <w:p w14:paraId="27D562D8">
            <w:pPr>
              <w:spacing w:line="440" w:lineRule="atLeast"/>
              <w:jc w:val="center"/>
              <w:rPr>
                <w:rFonts w:hint="eastAsia" w:ascii="仿宋" w:hAnsi="仿宋" w:eastAsia="仿宋" w:cs="仿宋"/>
                <w:color w:val="auto"/>
                <w:kern w:val="2"/>
                <w:sz w:val="24"/>
                <w:highlight w:val="none"/>
                <w:lang w:val="en-US" w:eastAsia="zh-CN"/>
              </w:rPr>
            </w:pPr>
          </w:p>
        </w:tc>
      </w:tr>
      <w:tr w14:paraId="124EB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6" w:hRule="exact"/>
          <w:jc w:val="center"/>
        </w:trPr>
        <w:tc>
          <w:tcPr>
            <w:tcW w:w="1014" w:type="dxa"/>
            <w:gridSpan w:val="2"/>
            <w:vMerge w:val="restart"/>
            <w:noWrap w:val="0"/>
            <w:vAlign w:val="center"/>
          </w:tcPr>
          <w:p w14:paraId="764E9DEB">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739" w:type="dxa"/>
            <w:vMerge w:val="restart"/>
            <w:noWrap w:val="0"/>
            <w:vAlign w:val="center"/>
          </w:tcPr>
          <w:p w14:paraId="7B399261">
            <w:pPr>
              <w:spacing w:line="4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总结意见</w:t>
            </w:r>
          </w:p>
        </w:tc>
        <w:tc>
          <w:tcPr>
            <w:tcW w:w="2668" w:type="dxa"/>
            <w:noWrap w:val="0"/>
            <w:vAlign w:val="center"/>
          </w:tcPr>
          <w:p w14:paraId="23E6CB3A">
            <w:pPr>
              <w:spacing w:line="4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个人</w:t>
            </w:r>
          </w:p>
        </w:tc>
        <w:tc>
          <w:tcPr>
            <w:tcW w:w="760" w:type="dxa"/>
            <w:noWrap w:val="0"/>
            <w:vAlign w:val="center"/>
          </w:tcPr>
          <w:p w14:paraId="6A5EC568">
            <w:pPr>
              <w:spacing w:line="240" w:lineRule="auto"/>
              <w:jc w:val="center"/>
              <w:rPr>
                <w:rFonts w:hint="eastAsia" w:ascii="仿宋" w:hAnsi="仿宋" w:eastAsia="仿宋" w:cs="仿宋"/>
                <w:color w:val="auto"/>
                <w:sz w:val="24"/>
                <w:highlight w:val="none"/>
              </w:rPr>
            </w:pPr>
          </w:p>
        </w:tc>
        <w:tc>
          <w:tcPr>
            <w:tcW w:w="2732" w:type="dxa"/>
            <w:noWrap w:val="0"/>
            <w:vAlign w:val="center"/>
          </w:tcPr>
          <w:p w14:paraId="22B9B432">
            <w:pPr>
              <w:spacing w:line="440" w:lineRule="atLeast"/>
              <w:jc w:val="center"/>
              <w:rPr>
                <w:rFonts w:hint="eastAsia" w:ascii="仿宋" w:hAnsi="仿宋" w:eastAsia="仿宋" w:cs="仿宋"/>
                <w:color w:val="auto"/>
                <w:sz w:val="24"/>
                <w:highlight w:val="none"/>
              </w:rPr>
            </w:pPr>
          </w:p>
        </w:tc>
      </w:tr>
      <w:tr w14:paraId="292D1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6" w:hRule="exact"/>
          <w:jc w:val="center"/>
        </w:trPr>
        <w:tc>
          <w:tcPr>
            <w:tcW w:w="1014" w:type="dxa"/>
            <w:gridSpan w:val="2"/>
            <w:vMerge w:val="continue"/>
            <w:noWrap w:val="0"/>
            <w:vAlign w:val="center"/>
          </w:tcPr>
          <w:p w14:paraId="08B5AF8D">
            <w:pPr>
              <w:spacing w:line="440" w:lineRule="atLeast"/>
              <w:jc w:val="center"/>
              <w:rPr>
                <w:rFonts w:hint="eastAsia" w:ascii="仿宋" w:hAnsi="仿宋" w:eastAsia="仿宋" w:cs="仿宋"/>
                <w:color w:val="auto"/>
                <w:sz w:val="24"/>
                <w:highlight w:val="none"/>
              </w:rPr>
            </w:pPr>
          </w:p>
        </w:tc>
        <w:tc>
          <w:tcPr>
            <w:tcW w:w="1739" w:type="dxa"/>
            <w:vMerge w:val="continue"/>
            <w:noWrap w:val="0"/>
            <w:vAlign w:val="center"/>
          </w:tcPr>
          <w:p w14:paraId="13F2401E">
            <w:pPr>
              <w:spacing w:line="440" w:lineRule="atLeast"/>
              <w:jc w:val="center"/>
              <w:rPr>
                <w:rFonts w:hint="eastAsia" w:ascii="仿宋" w:hAnsi="仿宋" w:eastAsia="仿宋" w:cs="仿宋"/>
                <w:color w:val="auto"/>
                <w:sz w:val="24"/>
                <w:highlight w:val="none"/>
              </w:rPr>
            </w:pPr>
          </w:p>
        </w:tc>
        <w:tc>
          <w:tcPr>
            <w:tcW w:w="2668" w:type="dxa"/>
            <w:noWrap w:val="0"/>
            <w:vAlign w:val="center"/>
          </w:tcPr>
          <w:p w14:paraId="10AD950F">
            <w:pPr>
              <w:spacing w:line="4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部门</w:t>
            </w:r>
          </w:p>
        </w:tc>
        <w:tc>
          <w:tcPr>
            <w:tcW w:w="760" w:type="dxa"/>
            <w:noWrap w:val="0"/>
            <w:vAlign w:val="center"/>
          </w:tcPr>
          <w:p w14:paraId="3F098770">
            <w:pPr>
              <w:spacing w:line="440" w:lineRule="atLeast"/>
              <w:jc w:val="center"/>
              <w:rPr>
                <w:rFonts w:hint="eastAsia" w:ascii="仿宋" w:hAnsi="仿宋" w:eastAsia="仿宋" w:cs="仿宋"/>
                <w:color w:val="auto"/>
                <w:sz w:val="24"/>
                <w:highlight w:val="none"/>
              </w:rPr>
            </w:pPr>
          </w:p>
        </w:tc>
        <w:tc>
          <w:tcPr>
            <w:tcW w:w="2732" w:type="dxa"/>
            <w:noWrap w:val="0"/>
            <w:vAlign w:val="center"/>
          </w:tcPr>
          <w:p w14:paraId="33D8FB96">
            <w:pPr>
              <w:spacing w:line="440" w:lineRule="atLeast"/>
              <w:jc w:val="center"/>
              <w:rPr>
                <w:rFonts w:hint="eastAsia" w:ascii="仿宋" w:hAnsi="仿宋" w:eastAsia="仿宋" w:cs="仿宋"/>
                <w:color w:val="auto"/>
                <w:sz w:val="24"/>
                <w:highlight w:val="none"/>
              </w:rPr>
            </w:pPr>
          </w:p>
        </w:tc>
      </w:tr>
    </w:tbl>
    <w:p w14:paraId="09FEA44A">
      <w:pPr>
        <w:widowControl w:val="0"/>
        <w:wordWrap/>
        <w:snapToGrid w:val="0"/>
        <w:spacing w:line="300" w:lineRule="exact"/>
        <w:ind w:left="630" w:leftChars="300" w:firstLine="420" w:firstLineChars="200"/>
        <w:jc w:val="both"/>
        <w:rPr>
          <w:rFonts w:hint="eastAsia" w:ascii="Times New Roman" w:hAnsi="Times New Roman" w:eastAsia="宋体" w:cs="Times New Roman"/>
          <w:color w:val="auto"/>
          <w:kern w:val="2"/>
          <w:sz w:val="21"/>
          <w:szCs w:val="22"/>
          <w:highlight w:val="none"/>
          <w:lang w:val="en-US" w:eastAsia="zh-CN" w:bidi="ar-SA"/>
        </w:rPr>
      </w:pPr>
    </w:p>
    <w:p w14:paraId="334AD438">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附件六</w:t>
      </w:r>
    </w:p>
    <w:p w14:paraId="009057E1">
      <w:pPr>
        <w:ind w:firstLineChars="0"/>
        <w:jc w:val="center"/>
        <w:rPr>
          <w:rFonts w:hint="eastAsia" w:ascii="仿宋" w:hAnsi="仿宋" w:eastAsia="仿宋" w:cs="仿宋"/>
          <w:b/>
          <w:bCs w:val="0"/>
          <w:color w:val="auto"/>
          <w:sz w:val="28"/>
          <w:szCs w:val="28"/>
          <w:highlight w:val="none"/>
          <w:shd w:val="clear" w:color="auto" w:fill="auto"/>
          <w:lang w:eastAsia="zh-CN"/>
        </w:rPr>
      </w:pPr>
      <w:r>
        <w:rPr>
          <w:rFonts w:hint="eastAsia" w:ascii="仿宋" w:hAnsi="仿宋" w:eastAsia="仿宋" w:cs="仿宋"/>
          <w:b/>
          <w:bCs w:val="0"/>
          <w:color w:val="auto"/>
          <w:sz w:val="40"/>
          <w:szCs w:val="40"/>
          <w:highlight w:val="none"/>
          <w:shd w:val="clear" w:color="auto" w:fill="auto"/>
          <w:lang w:val="en-US" w:eastAsia="zh-CN"/>
        </w:rPr>
        <w:t>出 险 声 明 函</w:t>
      </w:r>
      <w:r>
        <w:rPr>
          <w:rFonts w:hint="eastAsia" w:ascii="仿宋" w:hAnsi="仿宋" w:eastAsia="仿宋" w:cs="仿宋"/>
          <w:b/>
          <w:bCs w:val="0"/>
          <w:color w:val="auto"/>
          <w:sz w:val="28"/>
          <w:szCs w:val="28"/>
          <w:highlight w:val="none"/>
          <w:shd w:val="clear" w:color="auto" w:fill="auto"/>
          <w:lang w:val="en-US" w:eastAsia="zh-CN"/>
        </w:rPr>
        <w:t xml:space="preserve">          </w:t>
      </w:r>
    </w:p>
    <w:p w14:paraId="719BF062">
      <w:pPr>
        <w:keepNext w:val="0"/>
        <w:keepLines w:val="0"/>
        <w:pageBreakBefore w:val="0"/>
        <w:widowControl w:val="0"/>
        <w:kinsoku/>
        <w:wordWrap/>
        <w:overflowPunct/>
        <w:topLinePunct w:val="0"/>
        <w:autoSpaceDE/>
        <w:autoSpaceDN/>
        <w:bidi w:val="0"/>
        <w:adjustRightInd/>
        <w:snapToGrid w:val="0"/>
        <w:ind w:firstLineChars="0"/>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致：东莞市中泰建安工程有限公司（以下简称“贵司”）</w:t>
      </w:r>
    </w:p>
    <w:p w14:paraId="64DB0AAF">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项目（以下简称“本项目”）</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工程施工合同</w:t>
      </w:r>
      <w:r>
        <w:rPr>
          <w:rFonts w:hint="eastAsia" w:ascii="仿宋" w:hAnsi="仿宋" w:eastAsia="仿宋" w:cs="仿宋"/>
          <w:color w:val="auto"/>
          <w:sz w:val="24"/>
          <w:szCs w:val="24"/>
          <w:highlight w:val="none"/>
          <w:u w:val="singl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员工在本项目施工时发生了安全事故，我司特作如下声明：</w:t>
      </w:r>
    </w:p>
    <w:p w14:paraId="5287200A">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color w:val="auto"/>
          <w:sz w:val="24"/>
          <w:szCs w:val="24"/>
          <w:highlight w:val="none"/>
          <w:shd w:val="clear" w:color="auto" w:fill="auto"/>
          <w:lang w:val="en-US" w:eastAsia="zh-CN"/>
        </w:rPr>
        <w:t>本</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675176D0">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建立了劳动关系，我司仍按劳动合同承担该员工雇用期间应承担的用人责任。</w:t>
      </w:r>
    </w:p>
    <w:p w14:paraId="0A495D75">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无论</w:t>
      </w:r>
      <w:r>
        <w:rPr>
          <w:rFonts w:hint="eastAsia" w:ascii="仿宋" w:hAnsi="仿宋" w:eastAsia="仿宋" w:cs="仿宋"/>
          <w:color w:val="auto"/>
          <w:sz w:val="24"/>
          <w:szCs w:val="24"/>
          <w:highlight w:val="none"/>
          <w:shd w:val="clear" w:color="auto" w:fill="auto"/>
        </w:rPr>
        <w:t>社保部门</w:t>
      </w:r>
      <w:r>
        <w:rPr>
          <w:rFonts w:hint="eastAsia" w:ascii="仿宋" w:hAnsi="仿宋" w:eastAsia="仿宋" w:cs="仿宋"/>
          <w:color w:val="auto"/>
          <w:sz w:val="24"/>
          <w:szCs w:val="24"/>
          <w:highlight w:val="none"/>
          <w:shd w:val="clear" w:color="auto" w:fill="auto"/>
          <w:lang w:val="en-US" w:eastAsia="zh-CN"/>
        </w:rPr>
        <w:t>是否</w:t>
      </w:r>
      <w:r>
        <w:rPr>
          <w:rFonts w:hint="eastAsia" w:ascii="仿宋" w:hAnsi="仿宋" w:eastAsia="仿宋" w:cs="仿宋"/>
          <w:color w:val="auto"/>
          <w:sz w:val="24"/>
          <w:szCs w:val="24"/>
          <w:highlight w:val="none"/>
          <w:shd w:val="clear" w:color="auto" w:fill="auto"/>
        </w:rPr>
        <w:t>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w:t>
      </w:r>
      <w:r>
        <w:rPr>
          <w:rFonts w:hint="eastAsia" w:ascii="仿宋" w:hAnsi="仿宋" w:eastAsia="仿宋" w:cs="仿宋"/>
          <w:color w:val="auto"/>
          <w:sz w:val="24"/>
          <w:szCs w:val="24"/>
          <w:highlight w:val="none"/>
          <w:shd w:val="clear" w:color="auto" w:fill="auto"/>
          <w:lang w:val="en-US" w:eastAsia="zh-CN"/>
        </w:rPr>
        <w:t>均</w:t>
      </w:r>
      <w:r>
        <w:rPr>
          <w:rFonts w:hint="eastAsia" w:ascii="仿宋" w:hAnsi="仿宋" w:eastAsia="仿宋" w:cs="仿宋"/>
          <w:color w:val="auto"/>
          <w:sz w:val="24"/>
          <w:szCs w:val="24"/>
          <w:highlight w:val="none"/>
          <w:shd w:val="clear" w:color="auto" w:fill="auto"/>
        </w:rPr>
        <w:t>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w:t>
      </w:r>
      <w:r>
        <w:rPr>
          <w:rFonts w:hint="eastAsia" w:ascii="仿宋" w:hAnsi="仿宋" w:eastAsia="仿宋" w:cs="仿宋"/>
          <w:color w:val="auto"/>
          <w:sz w:val="24"/>
          <w:szCs w:val="24"/>
          <w:highlight w:val="none"/>
          <w:shd w:val="clear" w:color="auto" w:fill="auto"/>
          <w:lang w:val="en-US" w:eastAsia="zh-CN"/>
        </w:rPr>
        <w:t>承担和</w:t>
      </w:r>
      <w:r>
        <w:rPr>
          <w:rFonts w:hint="eastAsia" w:ascii="仿宋" w:hAnsi="仿宋" w:eastAsia="仿宋" w:cs="仿宋"/>
          <w:color w:val="auto"/>
          <w:sz w:val="24"/>
          <w:szCs w:val="24"/>
          <w:highlight w:val="none"/>
          <w:shd w:val="clear" w:color="auto" w:fill="auto"/>
        </w:rPr>
        <w:t>解决。</w:t>
      </w:r>
    </w:p>
    <w:p w14:paraId="5C1045C4">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4.若我司员工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贵司作为用人单位，要求贵司承担用人单位义务（如社保、公积金、工资等）、用人单位责任（经济补偿金、一次性就业补助金等）而向社保机构投诉、提起争议仲裁或诉讼，根据相关机构的要求或生效裁决需贵司支付费用的，本次工伤/亡事故处理全过程产生的所有费用由我司自行承担，对贵司造成的损失由我司全部赔偿，且我司自愿向贵司支付金额等于本次工伤/亡事故所耗费用1.5倍的违约金。</w:t>
      </w:r>
    </w:p>
    <w:p w14:paraId="49877ABA">
      <w:pPr>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480" w:firstLineChars="200"/>
        <w:jc w:val="left"/>
        <w:textAlignment w:val="auto"/>
        <w:rPr>
          <w:rFonts w:hint="eastAsia" w:ascii="仿宋" w:hAnsi="仿宋" w:eastAsia="仿宋" w:cs="仿宋"/>
          <w:color w:val="auto"/>
          <w:spacing w:val="0"/>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w:t>
      </w:r>
      <w:r>
        <w:rPr>
          <w:rFonts w:hint="eastAsia" w:ascii="仿宋" w:hAnsi="仿宋" w:eastAsia="仿宋" w:cs="仿宋"/>
          <w:color w:val="auto"/>
          <w:spacing w:val="0"/>
          <w:sz w:val="24"/>
          <w:szCs w:val="24"/>
          <w:highlight w:val="none"/>
          <w:shd w:val="clear" w:color="auto" w:fill="auto"/>
          <w:lang w:val="en-US" w:eastAsia="zh-CN"/>
        </w:rPr>
        <w:t>特别约定：</w:t>
      </w:r>
    </w:p>
    <w:p w14:paraId="1E2F444E">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pacing w:val="0"/>
          <w:sz w:val="24"/>
          <w:szCs w:val="24"/>
          <w:highlight w:val="none"/>
          <w:shd w:val="clear" w:color="auto" w:fill="auto"/>
          <w:lang w:val="en-US" w:eastAsia="zh-CN"/>
        </w:rPr>
        <w:t>*******公司法定代表人</w:t>
      </w:r>
      <w:r>
        <w:rPr>
          <w:rFonts w:hint="eastAsia" w:ascii="仿宋" w:hAnsi="仿宋" w:eastAsia="仿宋" w:cs="仿宋"/>
          <w:color w:val="auto"/>
          <w:spacing w:val="0"/>
          <w:sz w:val="24"/>
          <w:szCs w:val="24"/>
          <w:highlight w:val="none"/>
          <w:u w:val="none"/>
          <w:shd w:val="clear" w:color="auto" w:fill="auto"/>
          <w:lang w:val="en-US" w:eastAsia="zh-CN"/>
        </w:rPr>
        <w:t xml:space="preserve"> ****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）、实际控制人</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）就本《</w:t>
      </w:r>
      <w:r>
        <w:rPr>
          <w:rFonts w:hint="eastAsia" w:ascii="仿宋" w:hAnsi="仿宋" w:eastAsia="仿宋" w:cs="仿宋"/>
          <w:b w:val="0"/>
          <w:bCs w:val="0"/>
          <w:color w:val="auto"/>
          <w:spacing w:val="0"/>
          <w:sz w:val="24"/>
          <w:szCs w:val="24"/>
          <w:highlight w:val="none"/>
          <w:shd w:val="clear" w:color="auto" w:fill="auto"/>
          <w:lang w:val="en-US" w:eastAsia="zh-CN"/>
        </w:rPr>
        <w:t>出险声明函</w:t>
      </w:r>
      <w:r>
        <w:rPr>
          <w:rFonts w:hint="eastAsia" w:ascii="仿宋" w:hAnsi="仿宋" w:eastAsia="仿宋" w:cs="仿宋"/>
          <w:color w:val="auto"/>
          <w:spacing w:val="0"/>
          <w:sz w:val="24"/>
          <w:szCs w:val="24"/>
          <w:highlight w:val="none"/>
          <w:shd w:val="clear" w:color="auto" w:fill="auto"/>
          <w:lang w:val="en-US" w:eastAsia="zh-CN"/>
        </w:rPr>
        <w:t>》列明之全部公司责任后果，同意无条件向贵司承担连带清偿责任，并同意承担贵司为实现债权而产生的诉讼费、财产保全费、保全担保费、证据保全公证费、律师代理费、差旅费等费用</w:t>
      </w:r>
      <w:r>
        <w:rPr>
          <w:rFonts w:hint="eastAsia" w:ascii="仿宋" w:hAnsi="仿宋" w:eastAsia="仿宋" w:cs="仿宋"/>
          <w:color w:val="auto"/>
          <w:sz w:val="24"/>
          <w:szCs w:val="24"/>
          <w:highlight w:val="none"/>
          <w:shd w:val="clear" w:color="auto" w:fill="auto"/>
          <w:lang w:val="en-US" w:eastAsia="zh-CN"/>
        </w:rPr>
        <w:t>。</w:t>
      </w:r>
    </w:p>
    <w:p w14:paraId="70F7731F">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特此声明！</w:t>
      </w:r>
    </w:p>
    <w:p w14:paraId="11C8C4B4">
      <w:pPr>
        <w:keepNext w:val="0"/>
        <w:keepLines w:val="0"/>
        <w:pageBreakBefore w:val="0"/>
        <w:widowControl w:val="0"/>
        <w:kinsoku/>
        <w:wordWrap/>
        <w:overflowPunct/>
        <w:topLinePunct w:val="0"/>
        <w:autoSpaceDE/>
        <w:autoSpaceDN/>
        <w:bidi w:val="0"/>
        <w:adjustRightInd/>
        <w:snapToGrid/>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附件：连带清偿责任人身份证正反面复印件</w:t>
      </w:r>
    </w:p>
    <w:p w14:paraId="3C0A35B1">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z w:val="24"/>
          <w:szCs w:val="24"/>
          <w:highlight w:val="none"/>
          <w:shd w:val="clear" w:color="auto" w:fill="auto"/>
          <w:lang w:val="en-US" w:eastAsia="zh-CN"/>
        </w:rPr>
      </w:pPr>
    </w:p>
    <w:p w14:paraId="047F738C">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声明单位：（全称并盖公章） </w:t>
      </w:r>
    </w:p>
    <w:p w14:paraId="2EA6B723">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法人代表或授权代表签章：</w:t>
      </w:r>
    </w:p>
    <w:p w14:paraId="2C6AD5FD">
      <w:pPr>
        <w:keepNext w:val="0"/>
        <w:keepLines w:val="0"/>
        <w:pageBreakBefore w:val="0"/>
        <w:widowControl w:val="0"/>
        <w:kinsoku/>
        <w:wordWrap/>
        <w:overflowPunct/>
        <w:topLinePunct w:val="0"/>
        <w:autoSpaceDE/>
        <w:autoSpaceDN/>
        <w:bidi w:val="0"/>
        <w:adjustRightInd/>
        <w:snapToGrid w:val="0"/>
        <w:spacing w:line="240" w:lineRule="auto"/>
        <w:ind w:left="630" w:leftChars="300" w:firstLine="480" w:firstLineChars="200"/>
        <w:jc w:val="center"/>
        <w:textAlignment w:val="auto"/>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4"/>
          <w:szCs w:val="24"/>
          <w:highlight w:val="none"/>
          <w:shd w:val="clear" w:color="auto" w:fill="auto"/>
          <w:lang w:val="en-US" w:eastAsia="zh-CN" w:bidi="ar-SA"/>
        </w:rPr>
        <w:t xml:space="preserve">      连带清偿责任人（签名）：</w:t>
      </w:r>
    </w:p>
    <w:p w14:paraId="489C451A">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电    话：                </w:t>
      </w:r>
    </w:p>
    <w:p w14:paraId="594E2D30">
      <w:pPr>
        <w:keepNext w:val="0"/>
        <w:keepLines w:val="0"/>
        <w:pageBreakBefore w:val="0"/>
        <w:shd w:val="clear" w:color="auto" w:fill="auto"/>
        <w:overflowPunct/>
        <w:topLinePunct w:val="0"/>
        <w:bidi w:val="0"/>
        <w:snapToGrid w:val="0"/>
        <w:spacing w:line="360" w:lineRule="auto"/>
        <w:ind w:firstLineChars="0"/>
        <w:jc w:val="center"/>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3B20462D">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6403B76E">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578E8C91">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47337B2B">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72CA8FBF">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58BFB02C">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0E9C735F">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3DDAF6C0">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附件七</w:t>
      </w:r>
    </w:p>
    <w:p w14:paraId="7C4642AB">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127C045A">
      <w:pPr>
        <w:spacing w:after="156" w:afterLines="50"/>
        <w:ind w:right="0" w:rightChars="0"/>
        <w:jc w:val="center"/>
        <w:outlineLvl w:val="0"/>
        <w:rPr>
          <w:rFonts w:hint="eastAsia" w:ascii="仿宋" w:hAnsi="仿宋" w:eastAsia="仿宋" w:cs="仿宋"/>
          <w:color w:val="auto"/>
          <w:sz w:val="40"/>
          <w:szCs w:val="40"/>
          <w:highlight w:val="none"/>
        </w:rPr>
      </w:pPr>
      <w:bookmarkStart w:id="349" w:name="_Toc3881"/>
      <w:bookmarkStart w:id="350" w:name="_Toc24167"/>
      <w:bookmarkStart w:id="351" w:name="_Toc9263"/>
      <w:bookmarkStart w:id="352" w:name="_Toc44"/>
      <w:r>
        <w:rPr>
          <w:rFonts w:hint="eastAsia" w:ascii="仿宋" w:hAnsi="仿宋" w:eastAsia="仿宋" w:cs="仿宋"/>
          <w:b/>
          <w:bCs/>
          <w:color w:val="auto"/>
          <w:sz w:val="40"/>
          <w:szCs w:val="40"/>
          <w:highlight w:val="none"/>
          <w:lang w:val="en-US" w:eastAsia="zh-CN"/>
        </w:rPr>
        <w:t>分包单位</w:t>
      </w:r>
      <w:r>
        <w:rPr>
          <w:rFonts w:hint="eastAsia" w:ascii="仿宋" w:hAnsi="仿宋" w:eastAsia="仿宋" w:cs="仿宋"/>
          <w:b/>
          <w:bCs/>
          <w:color w:val="auto"/>
          <w:sz w:val="40"/>
          <w:szCs w:val="40"/>
          <w:highlight w:val="none"/>
        </w:rPr>
        <w:t>开工令</w:t>
      </w:r>
      <w:bookmarkEnd w:id="349"/>
      <w:bookmarkEnd w:id="350"/>
      <w:bookmarkEnd w:id="351"/>
      <w:bookmarkEnd w:id="352"/>
    </w:p>
    <w:p w14:paraId="725554D9">
      <w:pPr>
        <w:spacing w:line="360" w:lineRule="auto"/>
        <w:ind w:right="0" w:rightChars="0"/>
        <w:rPr>
          <w:rFonts w:hint="eastAsia" w:ascii="仿宋" w:hAnsi="仿宋" w:eastAsia="仿宋" w:cs="仿宋"/>
          <w:color w:val="auto"/>
          <w:highlight w:val="none"/>
        </w:rPr>
      </w:pPr>
      <w:r>
        <w:rPr>
          <w:rFonts w:hint="eastAsia" w:ascii="仿宋" w:hAnsi="仿宋" w:eastAsia="仿宋" w:cs="仿宋"/>
          <w:color w:val="auto"/>
          <w:highlight w:val="none"/>
        </w:rPr>
        <w:t xml:space="preserve">合同名称： </w:t>
      </w:r>
    </w:p>
    <w:p w14:paraId="76D5EB5C">
      <w:pPr>
        <w:spacing w:line="360" w:lineRule="auto"/>
        <w:ind w:right="0" w:rightChars="0"/>
        <w:rPr>
          <w:rFonts w:hint="eastAsia" w:ascii="仿宋" w:hAnsi="仿宋" w:eastAsia="仿宋" w:cs="仿宋"/>
          <w:color w:val="auto"/>
          <w:highlight w:val="none"/>
        </w:rPr>
      </w:pPr>
      <w:r>
        <w:rPr>
          <w:rFonts w:hint="eastAsia" w:ascii="仿宋" w:hAnsi="仿宋" w:eastAsia="仿宋" w:cs="仿宋"/>
          <w:color w:val="auto"/>
          <w:highlight w:val="none"/>
        </w:rPr>
        <w:t xml:space="preserve">合同编号：                           </w:t>
      </w:r>
    </w:p>
    <w:p w14:paraId="3C7448A9">
      <w:pPr>
        <w:ind w:right="0" w:rightChars="0"/>
        <w:rPr>
          <w:rFonts w:hint="eastAsia" w:ascii="仿宋" w:hAnsi="仿宋" w:eastAsia="仿宋" w:cs="仿宋"/>
          <w:color w:val="auto"/>
          <w:highlight w:val="none"/>
        </w:rPr>
      </w:pPr>
    </w:p>
    <w:tbl>
      <w:tblPr>
        <w:tblStyle w:val="15"/>
        <w:tblW w:w="5136"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65"/>
      </w:tblGrid>
      <w:tr w14:paraId="09E2D3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70" w:hRule="atLeast"/>
          <w:jc w:val="center"/>
        </w:trPr>
        <w:tc>
          <w:tcPr>
            <w:tcW w:w="5000" w:type="pct"/>
            <w:tcBorders>
              <w:tl2br w:val="nil"/>
              <w:tr2bl w:val="nil"/>
            </w:tcBorders>
            <w:noWrap/>
            <w:tcMar>
              <w:top w:w="15" w:type="dxa"/>
              <w:left w:w="15" w:type="dxa"/>
              <w:right w:w="15" w:type="dxa"/>
            </w:tcMar>
            <w:vAlign w:val="center"/>
          </w:tcPr>
          <w:p w14:paraId="3483F9C3">
            <w:pPr>
              <w:ind w:right="0" w:rightChars="0"/>
              <w:rPr>
                <w:rFonts w:hint="eastAsia" w:ascii="仿宋" w:hAnsi="仿宋" w:eastAsia="仿宋" w:cs="仿宋"/>
                <w:color w:val="auto"/>
                <w:sz w:val="22"/>
                <w:szCs w:val="22"/>
                <w:highlight w:val="none"/>
              </w:rPr>
            </w:pPr>
          </w:p>
          <w:p w14:paraId="69984CED">
            <w:pPr>
              <w:spacing w:line="480" w:lineRule="auto"/>
              <w:ind w:right="0" w:rightChars="0"/>
              <w:rPr>
                <w:rFonts w:hint="eastAsia" w:ascii="仿宋" w:hAnsi="仿宋" w:eastAsia="仿宋" w:cs="仿宋"/>
                <w:color w:val="auto"/>
                <w:sz w:val="22"/>
                <w:szCs w:val="22"/>
                <w:highlight w:val="none"/>
              </w:rPr>
            </w:pPr>
            <w:r>
              <w:rPr>
                <w:rFonts w:hint="eastAsia" w:ascii="仿宋" w:hAnsi="仿宋" w:eastAsia="仿宋" w:cs="仿宋"/>
                <w:b/>
                <w:bCs/>
                <w:color w:val="auto"/>
                <w:sz w:val="22"/>
                <w:szCs w:val="22"/>
                <w:highlight w:val="none"/>
              </w:rPr>
              <w:t>致：（</w:t>
            </w:r>
            <w:r>
              <w:rPr>
                <w:rFonts w:hint="eastAsia" w:ascii="仿宋" w:hAnsi="仿宋" w:eastAsia="仿宋" w:cs="仿宋"/>
                <w:b/>
                <w:bCs/>
                <w:color w:val="auto"/>
                <w:sz w:val="22"/>
                <w:szCs w:val="22"/>
                <w:highlight w:val="none"/>
                <w:lang w:val="en-US" w:eastAsia="zh-CN"/>
              </w:rPr>
              <w:t>分包单位全称</w:t>
            </w:r>
            <w:r>
              <w:rPr>
                <w:rFonts w:hint="eastAsia" w:ascii="仿宋" w:hAnsi="仿宋" w:eastAsia="仿宋" w:cs="仿宋"/>
                <w:b/>
                <w:bCs/>
                <w:color w:val="auto"/>
                <w:sz w:val="22"/>
                <w:szCs w:val="22"/>
                <w:highlight w:val="none"/>
              </w:rPr>
              <w:t>）</w:t>
            </w:r>
            <w:r>
              <w:rPr>
                <w:rFonts w:hint="eastAsia" w:ascii="仿宋" w:hAnsi="仿宋" w:eastAsia="仿宋" w:cs="仿宋"/>
                <w:color w:val="auto"/>
                <w:sz w:val="22"/>
                <w:szCs w:val="22"/>
                <w:highlight w:val="none"/>
              </w:rPr>
              <w:t xml:space="preserve"> </w:t>
            </w:r>
          </w:p>
          <w:p w14:paraId="62376CB4">
            <w:pPr>
              <w:spacing w:line="480" w:lineRule="auto"/>
              <w:ind w:right="0" w:rightChars="0" w:firstLine="440"/>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你方</w:t>
            </w:r>
            <w:r>
              <w:rPr>
                <w:rFonts w:hint="eastAsia" w:ascii="仿宋" w:hAnsi="仿宋" w:eastAsia="仿宋" w:cs="仿宋"/>
                <w:color w:val="auto"/>
                <w:sz w:val="22"/>
                <w:szCs w:val="22"/>
                <w:highlight w:val="none"/>
                <w:u w:val="none"/>
                <w:lang w:val="en-US" w:eastAsia="zh-CN"/>
              </w:rPr>
              <w:t>承接的</w:t>
            </w:r>
            <w:r>
              <w:rPr>
                <w:rFonts w:hint="eastAsia" w:ascii="仿宋" w:hAnsi="仿宋" w:eastAsia="仿宋" w:cs="仿宋"/>
                <w:color w:val="auto"/>
                <w:sz w:val="22"/>
                <w:szCs w:val="22"/>
                <w:highlight w:val="none"/>
                <w:u w:val="single"/>
                <w:lang w:val="en-US" w:eastAsia="zh-CN"/>
              </w:rPr>
              <w:t xml:space="preserve"> X X </w:t>
            </w:r>
            <w:r>
              <w:rPr>
                <w:rFonts w:hint="eastAsia" w:ascii="仿宋" w:hAnsi="仿宋" w:eastAsia="仿宋" w:cs="仿宋"/>
                <w:color w:val="auto"/>
                <w:sz w:val="22"/>
                <w:szCs w:val="22"/>
                <w:highlight w:val="none"/>
                <w:u w:val="none"/>
                <w:lang w:val="en-US" w:eastAsia="zh-CN"/>
              </w:rPr>
              <w:t>项目</w:t>
            </w:r>
            <w:r>
              <w:rPr>
                <w:rFonts w:hint="eastAsia" w:ascii="仿宋" w:hAnsi="仿宋" w:eastAsia="仿宋" w:cs="仿宋"/>
                <w:color w:val="auto"/>
                <w:sz w:val="22"/>
                <w:szCs w:val="22"/>
                <w:highlight w:val="none"/>
              </w:rPr>
              <w:t>工程</w:t>
            </w:r>
            <w:r>
              <w:rPr>
                <w:rFonts w:hint="eastAsia" w:ascii="仿宋" w:hAnsi="仿宋" w:eastAsia="仿宋" w:cs="仿宋"/>
                <w:color w:val="auto"/>
                <w:sz w:val="22"/>
                <w:szCs w:val="22"/>
                <w:highlight w:val="none"/>
                <w:u w:val="single"/>
                <w:lang w:val="en-US" w:eastAsia="zh-CN"/>
              </w:rPr>
              <w:t xml:space="preserve"> X X </w:t>
            </w:r>
            <w:r>
              <w:rPr>
                <w:rFonts w:hint="eastAsia" w:ascii="仿宋" w:hAnsi="仿宋" w:eastAsia="仿宋" w:cs="仿宋"/>
                <w:color w:val="auto"/>
                <w:sz w:val="22"/>
                <w:szCs w:val="22"/>
                <w:highlight w:val="none"/>
                <w:u w:val="none"/>
                <w:lang w:val="en-US" w:eastAsia="zh-CN"/>
              </w:rPr>
              <w:t>分部/项</w:t>
            </w:r>
            <w:r>
              <w:rPr>
                <w:rFonts w:hint="eastAsia" w:ascii="仿宋" w:hAnsi="仿宋" w:eastAsia="仿宋" w:cs="仿宋"/>
                <w:color w:val="auto"/>
                <w:sz w:val="22"/>
                <w:szCs w:val="22"/>
                <w:highlight w:val="none"/>
                <w:lang w:val="en-US" w:eastAsia="zh-CN"/>
              </w:rPr>
              <w:t>工程经审查，已具备</w:t>
            </w:r>
            <w:r>
              <w:rPr>
                <w:rFonts w:hint="eastAsia" w:ascii="仿宋" w:hAnsi="仿宋" w:eastAsia="仿宋" w:cs="仿宋"/>
                <w:color w:val="auto"/>
                <w:sz w:val="22"/>
                <w:szCs w:val="22"/>
                <w:highlight w:val="none"/>
              </w:rPr>
              <w:t>施工合同约定的开工条件，</w:t>
            </w:r>
            <w:r>
              <w:rPr>
                <w:rFonts w:hint="eastAsia" w:ascii="仿宋" w:hAnsi="仿宋" w:eastAsia="仿宋" w:cs="仿宋"/>
                <w:color w:val="auto"/>
                <w:sz w:val="22"/>
                <w:szCs w:val="22"/>
                <w:highlight w:val="none"/>
                <w:lang w:val="en-US" w:eastAsia="zh-CN"/>
              </w:rPr>
              <w:t>现通知你方正式开工</w:t>
            </w:r>
            <w:r>
              <w:rPr>
                <w:rFonts w:hint="eastAsia" w:ascii="仿宋" w:hAnsi="仿宋" w:eastAsia="仿宋" w:cs="仿宋"/>
                <w:color w:val="auto"/>
                <w:sz w:val="22"/>
                <w:szCs w:val="22"/>
                <w:highlight w:val="none"/>
              </w:rPr>
              <w:t>。</w:t>
            </w:r>
          </w:p>
          <w:p w14:paraId="3AAB1148">
            <w:pPr>
              <w:spacing w:line="480" w:lineRule="auto"/>
              <w:ind w:right="0" w:rightChars="0" w:firstLine="44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本开工令确定此合同的实际开工日期为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79FACF8A">
            <w:pPr>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p>
          <w:p w14:paraId="7ABC3FD4">
            <w:pPr>
              <w:spacing w:line="360" w:lineRule="auto"/>
              <w:ind w:right="0" w:rightChars="0" w:firstLine="3520" w:firstLineChars="16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施工总包单位：</w:t>
            </w:r>
            <w:r>
              <w:rPr>
                <w:rFonts w:hint="eastAsia" w:ascii="仿宋" w:hAnsi="仿宋" w:eastAsia="仿宋" w:cs="仿宋"/>
                <w:color w:val="auto"/>
                <w:sz w:val="22"/>
                <w:szCs w:val="22"/>
                <w:highlight w:val="none"/>
                <w:lang w:val="en-US" w:eastAsia="zh-CN"/>
              </w:rPr>
              <w:t>项目</w:t>
            </w:r>
            <w:r>
              <w:rPr>
                <w:rFonts w:hint="eastAsia" w:ascii="仿宋" w:hAnsi="仿宋" w:eastAsia="仿宋" w:cs="仿宋"/>
                <w:color w:val="auto"/>
                <w:sz w:val="22"/>
                <w:szCs w:val="22"/>
                <w:highlight w:val="none"/>
              </w:rPr>
              <w:t>（全称及</w:t>
            </w:r>
            <w:r>
              <w:rPr>
                <w:rFonts w:hint="eastAsia" w:ascii="仿宋" w:hAnsi="仿宋" w:eastAsia="仿宋" w:cs="仿宋"/>
                <w:color w:val="auto"/>
                <w:sz w:val="22"/>
                <w:szCs w:val="22"/>
                <w:highlight w:val="none"/>
                <w:lang w:val="en-US" w:eastAsia="zh-CN"/>
              </w:rPr>
              <w:t>项目</w:t>
            </w:r>
            <w:r>
              <w:rPr>
                <w:rFonts w:hint="eastAsia" w:ascii="仿宋" w:hAnsi="仿宋" w:eastAsia="仿宋" w:cs="仿宋"/>
                <w:color w:val="auto"/>
                <w:sz w:val="22"/>
                <w:szCs w:val="22"/>
                <w:highlight w:val="none"/>
              </w:rPr>
              <w:t>盖章）</w:t>
            </w:r>
          </w:p>
          <w:p w14:paraId="07715722">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项目负责人：（签名）</w:t>
            </w:r>
          </w:p>
          <w:p w14:paraId="460F823C">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日      期：      年    月    日</w:t>
            </w:r>
          </w:p>
          <w:p w14:paraId="37940FFA">
            <w:pPr>
              <w:ind w:right="0" w:rightChars="0"/>
              <w:rPr>
                <w:rFonts w:hint="eastAsia" w:ascii="仿宋" w:hAnsi="仿宋" w:eastAsia="仿宋" w:cs="仿宋"/>
                <w:color w:val="auto"/>
                <w:sz w:val="22"/>
                <w:szCs w:val="22"/>
                <w:highlight w:val="none"/>
              </w:rPr>
            </w:pPr>
          </w:p>
        </w:tc>
      </w:tr>
      <w:tr w14:paraId="3DFF9F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5000" w:type="pct"/>
            <w:tcBorders>
              <w:tl2br w:val="nil"/>
              <w:tr2bl w:val="nil"/>
            </w:tcBorders>
            <w:noWrap/>
            <w:tcMar>
              <w:top w:w="15" w:type="dxa"/>
              <w:left w:w="15" w:type="dxa"/>
              <w:right w:w="15" w:type="dxa"/>
            </w:tcMar>
            <w:vAlign w:val="center"/>
          </w:tcPr>
          <w:p w14:paraId="36CC2B67">
            <w:pPr>
              <w:ind w:right="0" w:rightChars="0"/>
              <w:rPr>
                <w:rFonts w:hint="eastAsia" w:ascii="仿宋" w:hAnsi="仿宋" w:eastAsia="仿宋" w:cs="仿宋"/>
                <w:color w:val="auto"/>
                <w:sz w:val="22"/>
                <w:szCs w:val="22"/>
                <w:highlight w:val="none"/>
              </w:rPr>
            </w:pPr>
          </w:p>
          <w:p w14:paraId="26989628">
            <w:pPr>
              <w:widowControl w:val="0"/>
              <w:snapToGrid w:val="0"/>
              <w:spacing w:line="300" w:lineRule="exact"/>
              <w:ind w:left="630" w:leftChars="300" w:right="0" w:rightChars="0" w:firstLine="420" w:firstLineChars="200"/>
              <w:jc w:val="both"/>
              <w:rPr>
                <w:rFonts w:hint="eastAsia" w:ascii="仿宋" w:hAnsi="仿宋" w:eastAsia="仿宋" w:cs="仿宋"/>
                <w:color w:val="auto"/>
                <w:kern w:val="2"/>
                <w:sz w:val="21"/>
                <w:szCs w:val="22"/>
                <w:highlight w:val="none"/>
                <w:lang w:val="en-US" w:eastAsia="zh-CN" w:bidi="ar-SA"/>
              </w:rPr>
            </w:pPr>
          </w:p>
          <w:p w14:paraId="24332D5D">
            <w:pPr>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今已收到项目的开工令。</w:t>
            </w:r>
          </w:p>
          <w:p w14:paraId="07E29165">
            <w:pPr>
              <w:spacing w:line="360" w:lineRule="auto"/>
              <w:ind w:right="0" w:rightChars="0" w:firstLine="3520" w:firstLineChars="1600"/>
              <w:rPr>
                <w:rFonts w:hint="eastAsia" w:ascii="仿宋" w:hAnsi="仿宋" w:eastAsia="仿宋" w:cs="仿宋"/>
                <w:color w:val="auto"/>
                <w:sz w:val="22"/>
                <w:szCs w:val="22"/>
                <w:highlight w:val="none"/>
              </w:rPr>
            </w:pPr>
          </w:p>
          <w:p w14:paraId="7018ECA4">
            <w:pPr>
              <w:widowControl w:val="0"/>
              <w:snapToGrid w:val="0"/>
              <w:spacing w:line="300" w:lineRule="exact"/>
              <w:ind w:left="630" w:leftChars="300" w:right="0" w:rightChars="0" w:firstLine="420" w:firstLineChars="200"/>
              <w:jc w:val="both"/>
              <w:rPr>
                <w:rFonts w:hint="eastAsia" w:ascii="仿宋" w:hAnsi="仿宋" w:eastAsia="仿宋" w:cs="仿宋"/>
                <w:color w:val="auto"/>
                <w:kern w:val="2"/>
                <w:sz w:val="21"/>
                <w:szCs w:val="22"/>
                <w:highlight w:val="none"/>
                <w:lang w:val="en-US" w:eastAsia="zh-CN" w:bidi="ar-SA"/>
              </w:rPr>
            </w:pPr>
          </w:p>
          <w:p w14:paraId="55F803ED">
            <w:pPr>
              <w:spacing w:line="360" w:lineRule="auto"/>
              <w:ind w:right="0" w:rightChars="0" w:firstLine="3520" w:firstLineChars="16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分包单位：（全称及盖章）</w:t>
            </w:r>
          </w:p>
          <w:p w14:paraId="0BAC3B91">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en-US" w:eastAsia="zh-CN"/>
              </w:rPr>
              <w:t>现场</w:t>
            </w:r>
            <w:r>
              <w:rPr>
                <w:rFonts w:hint="eastAsia" w:ascii="仿宋" w:hAnsi="仿宋" w:eastAsia="仿宋" w:cs="仿宋"/>
                <w:color w:val="auto"/>
                <w:sz w:val="22"/>
                <w:szCs w:val="22"/>
                <w:highlight w:val="none"/>
              </w:rPr>
              <w:t>负责人：（签名）</w:t>
            </w:r>
          </w:p>
          <w:p w14:paraId="2C9D7EA3">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日      期：      年    月    </w:t>
            </w:r>
            <w:r>
              <w:rPr>
                <w:rFonts w:hint="eastAsia" w:ascii="仿宋" w:hAnsi="仿宋" w:eastAsia="仿宋" w:cs="仿宋"/>
                <w:color w:val="auto"/>
                <w:sz w:val="22"/>
                <w:szCs w:val="22"/>
                <w:highlight w:val="none"/>
                <w:lang w:val="en-US" w:eastAsia="zh-CN"/>
              </w:rPr>
              <w:t>日</w:t>
            </w:r>
          </w:p>
        </w:tc>
      </w:tr>
    </w:tbl>
    <w:p w14:paraId="5C52FBD5">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6ACA4081">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3FE53A59">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26579B8B">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1DB8BEBC">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05776CD4">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53" w:name="_Toc25793"/>
      <w:bookmarkStart w:id="354" w:name="_Toc29967"/>
      <w:bookmarkStart w:id="355" w:name="_Toc6573"/>
      <w:bookmarkStart w:id="356" w:name="_Toc7395"/>
    </w:p>
    <w:p w14:paraId="3F0B380C">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52313EB4">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w:t>
      </w:r>
      <w:bookmarkEnd w:id="353"/>
      <w:bookmarkEnd w:id="354"/>
      <w:bookmarkEnd w:id="355"/>
      <w:bookmarkEnd w:id="356"/>
      <w:r>
        <w:rPr>
          <w:rFonts w:hint="eastAsia" w:ascii="仿宋" w:hAnsi="仿宋" w:eastAsia="仿宋" w:cs="仿宋"/>
          <w:b/>
          <w:bCs/>
          <w:color w:val="auto"/>
          <w:sz w:val="36"/>
          <w:szCs w:val="36"/>
          <w:highlight w:val="none"/>
          <w:lang w:val="en-US" w:eastAsia="zh-CN"/>
        </w:rPr>
        <w:t>八</w:t>
      </w:r>
    </w:p>
    <w:tbl>
      <w:tblPr>
        <w:tblStyle w:val="15"/>
        <w:tblW w:w="5307" w:type="pct"/>
        <w:jc w:val="center"/>
        <w:tblLayout w:type="fixed"/>
        <w:tblCellMar>
          <w:top w:w="15" w:type="dxa"/>
          <w:left w:w="15" w:type="dxa"/>
          <w:bottom w:w="15" w:type="dxa"/>
          <w:right w:w="15" w:type="dxa"/>
        </w:tblCellMar>
      </w:tblPr>
      <w:tblGrid>
        <w:gridCol w:w="9780"/>
      </w:tblGrid>
      <w:tr w14:paraId="515E5626">
        <w:tblPrEx>
          <w:tblCellMar>
            <w:top w:w="15" w:type="dxa"/>
            <w:left w:w="15" w:type="dxa"/>
            <w:bottom w:w="15" w:type="dxa"/>
            <w:right w:w="15" w:type="dxa"/>
          </w:tblCellMar>
        </w:tblPrEx>
        <w:trPr>
          <w:trHeight w:val="13066" w:hRule="atLeast"/>
          <w:jc w:val="center"/>
        </w:trPr>
        <w:tc>
          <w:tcPr>
            <w:tcW w:w="5000" w:type="pct"/>
            <w:noWrap w:val="0"/>
            <w:vAlign w:val="center"/>
          </w:tcPr>
          <w:p w14:paraId="34992BF3">
            <w:pPr>
              <w:spacing w:before="90" w:line="226" w:lineRule="auto"/>
              <w:ind w:left="3175"/>
              <w:outlineLvl w:val="0"/>
              <w:rPr>
                <w:rFonts w:hint="eastAsia" w:ascii="仿宋" w:hAnsi="仿宋" w:eastAsia="仿宋" w:cs="仿宋"/>
                <w:color w:val="auto"/>
                <w:sz w:val="31"/>
                <w:szCs w:val="31"/>
                <w:highlight w:val="none"/>
              </w:rPr>
            </w:pPr>
            <w:bookmarkStart w:id="357" w:name="_Toc24733"/>
            <w:bookmarkStart w:id="358" w:name="_Toc32078"/>
            <w:bookmarkStart w:id="359" w:name="_Toc4496"/>
            <w:bookmarkStart w:id="360" w:name="_Toc11301"/>
            <w:r>
              <w:rPr>
                <w:rFonts w:hint="eastAsia" w:ascii="仿宋" w:hAnsi="仿宋" w:eastAsia="仿宋" w:cs="仿宋"/>
                <w:color w:val="auto"/>
                <w:spacing w:val="9"/>
                <w:sz w:val="31"/>
                <w:szCs w:val="31"/>
                <w:highlight w:val="none"/>
              </w:rPr>
              <w:t>分</w:t>
            </w:r>
            <w:r>
              <w:rPr>
                <w:rFonts w:hint="eastAsia" w:ascii="仿宋" w:hAnsi="仿宋" w:eastAsia="仿宋" w:cs="仿宋"/>
                <w:color w:val="auto"/>
                <w:spacing w:val="7"/>
                <w:sz w:val="31"/>
                <w:szCs w:val="31"/>
                <w:highlight w:val="none"/>
              </w:rPr>
              <w:t>包签证确认单</w:t>
            </w:r>
            <w:bookmarkEnd w:id="357"/>
            <w:bookmarkEnd w:id="358"/>
            <w:bookmarkEnd w:id="359"/>
            <w:bookmarkEnd w:id="360"/>
          </w:p>
          <w:tbl>
            <w:tblPr>
              <w:tblStyle w:val="28"/>
              <w:tblW w:w="9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4"/>
              <w:gridCol w:w="2513"/>
              <w:gridCol w:w="2204"/>
              <w:gridCol w:w="2668"/>
            </w:tblGrid>
            <w:tr w14:paraId="1CBB6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874" w:type="dxa"/>
                  <w:tcBorders>
                    <w:right w:val="nil"/>
                  </w:tcBorders>
                  <w:noWrap w:val="0"/>
                  <w:vAlign w:val="top"/>
                </w:tcPr>
                <w:p w14:paraId="7A1BF163">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工</w:t>
                  </w:r>
                  <w:r>
                    <w:rPr>
                      <w:rFonts w:hint="eastAsia" w:ascii="仿宋" w:hAnsi="仿宋" w:eastAsia="仿宋" w:cs="仿宋"/>
                      <w:color w:val="auto"/>
                      <w:spacing w:val="4"/>
                      <w:sz w:val="20"/>
                      <w:szCs w:val="20"/>
                      <w:highlight w:val="none"/>
                    </w:rPr>
                    <w:t>程名称：</w:t>
                  </w:r>
                </w:p>
              </w:tc>
              <w:tc>
                <w:tcPr>
                  <w:tcW w:w="7385" w:type="dxa"/>
                  <w:gridSpan w:val="3"/>
                  <w:tcBorders>
                    <w:left w:val="nil"/>
                  </w:tcBorders>
                  <w:noWrap w:val="0"/>
                  <w:vAlign w:val="top"/>
                </w:tcPr>
                <w:p w14:paraId="51577B6F">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分</w:t>
                  </w:r>
                  <w:r>
                    <w:rPr>
                      <w:rFonts w:hint="eastAsia" w:ascii="仿宋" w:hAnsi="仿宋" w:eastAsia="仿宋" w:cs="仿宋"/>
                      <w:color w:val="auto"/>
                      <w:spacing w:val="6"/>
                      <w:sz w:val="20"/>
                      <w:szCs w:val="20"/>
                      <w:highlight w:val="none"/>
                    </w:rPr>
                    <w:t>包工程名称：</w:t>
                  </w:r>
                </w:p>
              </w:tc>
            </w:tr>
            <w:tr w14:paraId="5DE39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874" w:type="dxa"/>
                  <w:tcBorders>
                    <w:right w:val="nil"/>
                  </w:tcBorders>
                  <w:noWrap w:val="0"/>
                  <w:vAlign w:val="top"/>
                </w:tcPr>
                <w:p w14:paraId="425AE49F">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分</w:t>
                  </w:r>
                  <w:r>
                    <w:rPr>
                      <w:rFonts w:hint="eastAsia" w:ascii="仿宋" w:hAnsi="仿宋" w:eastAsia="仿宋" w:cs="仿宋"/>
                      <w:color w:val="auto"/>
                      <w:spacing w:val="5"/>
                      <w:sz w:val="20"/>
                      <w:szCs w:val="20"/>
                      <w:highlight w:val="none"/>
                    </w:rPr>
                    <w:t>包单位：</w:t>
                  </w:r>
                </w:p>
              </w:tc>
              <w:tc>
                <w:tcPr>
                  <w:tcW w:w="4717" w:type="dxa"/>
                  <w:gridSpan w:val="2"/>
                  <w:tcBorders>
                    <w:left w:val="nil"/>
                    <w:right w:val="nil"/>
                  </w:tcBorders>
                  <w:noWrap w:val="0"/>
                  <w:vAlign w:val="top"/>
                </w:tcPr>
                <w:p w14:paraId="6E8DD492">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填</w:t>
                  </w:r>
                  <w:r>
                    <w:rPr>
                      <w:rFonts w:hint="eastAsia" w:ascii="仿宋" w:hAnsi="仿宋" w:eastAsia="仿宋" w:cs="仿宋"/>
                      <w:color w:val="auto"/>
                      <w:spacing w:val="5"/>
                      <w:sz w:val="20"/>
                      <w:szCs w:val="20"/>
                      <w:highlight w:val="none"/>
                    </w:rPr>
                    <w:t>表日期：</w:t>
                  </w:r>
                </w:p>
              </w:tc>
              <w:tc>
                <w:tcPr>
                  <w:tcW w:w="2668" w:type="dxa"/>
                  <w:tcBorders>
                    <w:left w:val="nil"/>
                  </w:tcBorders>
                  <w:noWrap w:val="0"/>
                  <w:vAlign w:val="top"/>
                </w:tcPr>
                <w:p w14:paraId="279F3BE6">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rPr>
                    <w:t>编号</w:t>
                  </w:r>
                  <w:r>
                    <w:rPr>
                      <w:rFonts w:hint="eastAsia" w:ascii="仿宋" w:hAnsi="仿宋" w:eastAsia="仿宋" w:cs="仿宋"/>
                      <w:color w:val="auto"/>
                      <w:spacing w:val="1"/>
                      <w:sz w:val="20"/>
                      <w:szCs w:val="20"/>
                      <w:highlight w:val="none"/>
                    </w:rPr>
                    <w:t>：</w:t>
                  </w:r>
                </w:p>
              </w:tc>
            </w:tr>
            <w:tr w14:paraId="458D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259" w:type="dxa"/>
                  <w:gridSpan w:val="4"/>
                  <w:noWrap w:val="0"/>
                  <w:vAlign w:val="top"/>
                </w:tcPr>
                <w:p w14:paraId="4BF9674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620B3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874" w:type="dxa"/>
                  <w:noWrap w:val="0"/>
                  <w:vAlign w:val="top"/>
                </w:tcPr>
                <w:p w14:paraId="50373D3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7385" w:type="dxa"/>
                  <w:gridSpan w:val="3"/>
                  <w:noWrap w:val="0"/>
                  <w:vAlign w:val="top"/>
                </w:tcPr>
                <w:p w14:paraId="778ECFF4">
                  <w:pPr>
                    <w:rPr>
                      <w:rFonts w:hint="eastAsia" w:ascii="仿宋" w:hAnsi="仿宋" w:eastAsia="仿宋" w:cs="仿宋"/>
                      <w:color w:val="auto"/>
                      <w:sz w:val="22"/>
                      <w:szCs w:val="22"/>
                      <w:highlight w:val="none"/>
                    </w:rPr>
                  </w:pPr>
                </w:p>
              </w:tc>
            </w:tr>
            <w:tr w14:paraId="78605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874" w:type="dxa"/>
                  <w:noWrap w:val="0"/>
                  <w:vAlign w:val="top"/>
                </w:tcPr>
                <w:p w14:paraId="5796215E">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7385" w:type="dxa"/>
                  <w:gridSpan w:val="3"/>
                  <w:noWrap w:val="0"/>
                  <w:vAlign w:val="top"/>
                </w:tcPr>
                <w:p w14:paraId="4E690353">
                  <w:pPr>
                    <w:rPr>
                      <w:rFonts w:hint="eastAsia" w:ascii="仿宋" w:hAnsi="仿宋" w:eastAsia="仿宋" w:cs="仿宋"/>
                      <w:color w:val="auto"/>
                      <w:sz w:val="22"/>
                      <w:szCs w:val="22"/>
                      <w:highlight w:val="none"/>
                    </w:rPr>
                  </w:pPr>
                </w:p>
              </w:tc>
            </w:tr>
            <w:tr w14:paraId="23F42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9259" w:type="dxa"/>
                  <w:gridSpan w:val="4"/>
                  <w:noWrap w:val="0"/>
                  <w:vAlign w:val="top"/>
                </w:tcPr>
                <w:p w14:paraId="1D7175FD">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114300" distR="114300">
                        <wp:extent cx="90805" cy="139700"/>
                        <wp:effectExtent l="0" t="0" r="4445" b="1333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2"/>
                                <a:stretch>
                                  <a:fillRect/>
                                </a:stretch>
                              </pic:blipFill>
                              <pic:spPr>
                                <a:xfrm>
                                  <a:off x="0" y="0"/>
                                  <a:ext cx="90805" cy="139700"/>
                                </a:xfrm>
                                <a:prstGeom prst="rect">
                                  <a:avLst/>
                                </a:prstGeom>
                                <a:noFill/>
                                <a:ln>
                                  <a:noFill/>
                                </a:ln>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114300" distR="114300">
                        <wp:extent cx="90805" cy="139700"/>
                        <wp:effectExtent l="0" t="0" r="4445" b="13335"/>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2"/>
                                <a:stretch>
                                  <a:fillRect/>
                                </a:stretch>
                              </pic:blipFill>
                              <pic:spPr>
                                <a:xfrm>
                                  <a:off x="0" y="0"/>
                                  <a:ext cx="90805" cy="139700"/>
                                </a:xfrm>
                                <a:prstGeom prst="rect">
                                  <a:avLst/>
                                </a:prstGeom>
                                <a:noFill/>
                                <a:ln>
                                  <a:noFill/>
                                </a:ln>
                              </pic:spPr>
                            </pic:pic>
                          </a:graphicData>
                        </a:graphic>
                      </wp:inline>
                    </w:drawing>
                  </w:r>
                  <w:r>
                    <w:rPr>
                      <w:rFonts w:hint="eastAsia" w:ascii="仿宋" w:hAnsi="仿宋" w:eastAsia="仿宋" w:cs="仿宋"/>
                      <w:color w:val="auto"/>
                      <w:spacing w:val="2"/>
                      <w:sz w:val="20"/>
                      <w:szCs w:val="20"/>
                      <w:highlight w:val="none"/>
                    </w:rPr>
                    <w:t>否</w:t>
                  </w:r>
                </w:p>
              </w:tc>
            </w:tr>
            <w:tr w14:paraId="281C8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9259" w:type="dxa"/>
                  <w:gridSpan w:val="4"/>
                  <w:noWrap w:val="0"/>
                  <w:vAlign w:val="top"/>
                </w:tcPr>
                <w:p w14:paraId="57F6DF85">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76FC5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387" w:type="dxa"/>
                  <w:gridSpan w:val="2"/>
                  <w:noWrap w:val="0"/>
                  <w:vAlign w:val="top"/>
                </w:tcPr>
                <w:p w14:paraId="142E4FBF">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分</w:t>
                  </w:r>
                  <w:r>
                    <w:rPr>
                      <w:rFonts w:hint="eastAsia" w:ascii="仿宋" w:hAnsi="仿宋" w:eastAsia="仿宋" w:cs="仿宋"/>
                      <w:color w:val="auto"/>
                      <w:spacing w:val="4"/>
                      <w:sz w:val="20"/>
                      <w:szCs w:val="20"/>
                      <w:highlight w:val="none"/>
                    </w:rPr>
                    <w:t>包方</w:t>
                  </w:r>
                </w:p>
              </w:tc>
              <w:tc>
                <w:tcPr>
                  <w:tcW w:w="4872" w:type="dxa"/>
                  <w:gridSpan w:val="2"/>
                  <w:noWrap w:val="0"/>
                  <w:vAlign w:val="top"/>
                </w:tcPr>
                <w:p w14:paraId="71B417CF">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承</w:t>
                  </w:r>
                  <w:r>
                    <w:rPr>
                      <w:rFonts w:hint="eastAsia" w:ascii="仿宋" w:hAnsi="仿宋" w:eastAsia="仿宋" w:cs="仿宋"/>
                      <w:color w:val="auto"/>
                      <w:spacing w:val="5"/>
                      <w:sz w:val="20"/>
                      <w:szCs w:val="20"/>
                      <w:highlight w:val="none"/>
                    </w:rPr>
                    <w:t>包方</w:t>
                  </w:r>
                </w:p>
              </w:tc>
            </w:tr>
            <w:tr w14:paraId="2FC03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4387" w:type="dxa"/>
                  <w:gridSpan w:val="2"/>
                  <w:vMerge w:val="restart"/>
                  <w:tcBorders>
                    <w:bottom w:val="nil"/>
                  </w:tcBorders>
                  <w:noWrap w:val="0"/>
                  <w:vAlign w:val="top"/>
                </w:tcPr>
                <w:p w14:paraId="66FA006E">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4872" w:type="dxa"/>
                  <w:gridSpan w:val="2"/>
                  <w:noWrap w:val="0"/>
                  <w:vAlign w:val="top"/>
                </w:tcPr>
                <w:p w14:paraId="257AC6A0">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A37FA70">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70F3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4387" w:type="dxa"/>
                  <w:gridSpan w:val="2"/>
                  <w:vMerge w:val="continue"/>
                  <w:tcBorders>
                    <w:top w:val="nil"/>
                    <w:bottom w:val="nil"/>
                  </w:tcBorders>
                  <w:noWrap w:val="0"/>
                  <w:vAlign w:val="top"/>
                </w:tcPr>
                <w:p w14:paraId="226F9E9A">
                  <w:pPr>
                    <w:rPr>
                      <w:rFonts w:hint="eastAsia" w:ascii="仿宋" w:hAnsi="仿宋" w:eastAsia="仿宋" w:cs="仿宋"/>
                      <w:color w:val="auto"/>
                      <w:sz w:val="22"/>
                      <w:szCs w:val="22"/>
                      <w:highlight w:val="none"/>
                    </w:rPr>
                  </w:pPr>
                </w:p>
              </w:tc>
              <w:tc>
                <w:tcPr>
                  <w:tcW w:w="4872" w:type="dxa"/>
                  <w:gridSpan w:val="2"/>
                  <w:noWrap w:val="0"/>
                  <w:vAlign w:val="top"/>
                </w:tcPr>
                <w:p w14:paraId="230CE772">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44086C56">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714D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4387" w:type="dxa"/>
                  <w:gridSpan w:val="2"/>
                  <w:vMerge w:val="continue"/>
                  <w:tcBorders>
                    <w:top w:val="nil"/>
                    <w:bottom w:val="nil"/>
                  </w:tcBorders>
                  <w:noWrap w:val="0"/>
                  <w:vAlign w:val="top"/>
                </w:tcPr>
                <w:p w14:paraId="07131A8A">
                  <w:pPr>
                    <w:rPr>
                      <w:rFonts w:hint="eastAsia" w:ascii="仿宋" w:hAnsi="仿宋" w:eastAsia="仿宋" w:cs="仿宋"/>
                      <w:color w:val="auto"/>
                      <w:sz w:val="22"/>
                      <w:szCs w:val="22"/>
                      <w:highlight w:val="none"/>
                    </w:rPr>
                  </w:pPr>
                </w:p>
              </w:tc>
              <w:tc>
                <w:tcPr>
                  <w:tcW w:w="4872" w:type="dxa"/>
                  <w:gridSpan w:val="2"/>
                  <w:noWrap w:val="0"/>
                  <w:vAlign w:val="top"/>
                </w:tcPr>
                <w:p w14:paraId="6C319C0B">
                  <w:pPr>
                    <w:spacing w:before="50" w:line="516" w:lineRule="exact"/>
                    <w:ind w:left="25"/>
                    <w:jc w:val="left"/>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术负责人意见(对工作内容及工程量见证)：</w:t>
                  </w:r>
                </w:p>
                <w:p w14:paraId="737CA102">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10E0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4387" w:type="dxa"/>
                  <w:gridSpan w:val="2"/>
                  <w:vMerge w:val="continue"/>
                  <w:tcBorders>
                    <w:top w:val="nil"/>
                    <w:bottom w:val="nil"/>
                  </w:tcBorders>
                  <w:noWrap w:val="0"/>
                  <w:vAlign w:val="top"/>
                </w:tcPr>
                <w:p w14:paraId="1D0C489C">
                  <w:pPr>
                    <w:rPr>
                      <w:rFonts w:hint="eastAsia" w:ascii="仿宋" w:hAnsi="仿宋" w:eastAsia="仿宋" w:cs="仿宋"/>
                      <w:color w:val="auto"/>
                      <w:sz w:val="22"/>
                      <w:szCs w:val="22"/>
                      <w:highlight w:val="none"/>
                    </w:rPr>
                  </w:pPr>
                </w:p>
              </w:tc>
              <w:tc>
                <w:tcPr>
                  <w:tcW w:w="4872" w:type="dxa"/>
                  <w:gridSpan w:val="2"/>
                  <w:noWrap w:val="0"/>
                  <w:vAlign w:val="top"/>
                </w:tcPr>
                <w:p w14:paraId="04321F97">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7614203E">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0D8E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4387" w:type="dxa"/>
                  <w:gridSpan w:val="2"/>
                  <w:vMerge w:val="continue"/>
                  <w:tcBorders>
                    <w:top w:val="nil"/>
                  </w:tcBorders>
                  <w:noWrap w:val="0"/>
                  <w:vAlign w:val="top"/>
                </w:tcPr>
                <w:p w14:paraId="26E68359">
                  <w:pPr>
                    <w:rPr>
                      <w:rFonts w:hint="eastAsia" w:ascii="仿宋" w:hAnsi="仿宋" w:eastAsia="仿宋" w:cs="仿宋"/>
                      <w:color w:val="auto"/>
                      <w:sz w:val="22"/>
                      <w:szCs w:val="22"/>
                      <w:highlight w:val="none"/>
                    </w:rPr>
                  </w:pPr>
                </w:p>
              </w:tc>
              <w:tc>
                <w:tcPr>
                  <w:tcW w:w="4872" w:type="dxa"/>
                  <w:gridSpan w:val="2"/>
                  <w:noWrap w:val="0"/>
                  <w:vAlign w:val="top"/>
                </w:tcPr>
                <w:p w14:paraId="06C09DE4">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1B50A549">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5B18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9259" w:type="dxa"/>
                  <w:gridSpan w:val="4"/>
                  <w:noWrap w:val="0"/>
                  <w:vAlign w:val="top"/>
                </w:tcPr>
                <w:p w14:paraId="51558BC7">
                  <w:pPr>
                    <w:spacing w:before="49" w:line="231" w:lineRule="auto"/>
                    <w:ind w:left="32"/>
                    <w:rPr>
                      <w:rFonts w:hint="eastAsia" w:ascii="仿宋" w:hAnsi="仿宋" w:eastAsia="仿宋" w:cs="仿宋"/>
                      <w:color w:val="auto"/>
                      <w:spacing w:val="8"/>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w:t>
                  </w:r>
                </w:p>
                <w:p w14:paraId="744623E2">
                  <w:pPr>
                    <w:spacing w:before="49" w:line="231" w:lineRule="auto"/>
                    <w:ind w:left="32"/>
                    <w:jc w:val="left"/>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1.通知单、工程变更(联系)单、工程量审核表、图像资料(事前、事中、事后)及其它相关依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w:t>
                  </w:r>
                  <w:r>
                    <w:rPr>
                      <w:rFonts w:hint="eastAsia" w:ascii="仿宋" w:hAnsi="仿宋" w:eastAsia="仿宋" w:cs="仿宋"/>
                      <w:color w:val="auto"/>
                      <w:spacing w:val="9"/>
                      <w:position w:val="4"/>
                      <w:sz w:val="20"/>
                      <w:szCs w:val="20"/>
                      <w:highlight w:val="none"/>
                      <w:lang w:val="en-US" w:eastAsia="zh-CN"/>
                    </w:rPr>
                    <w:t>承包方</w:t>
                  </w:r>
                  <w:r>
                    <w:rPr>
                      <w:rFonts w:hint="eastAsia" w:ascii="仿宋" w:hAnsi="仿宋" w:eastAsia="仿宋" w:cs="仿宋"/>
                      <w:color w:val="auto"/>
                      <w:spacing w:val="9"/>
                      <w:position w:val="4"/>
                      <w:sz w:val="20"/>
                      <w:szCs w:val="20"/>
                      <w:highlight w:val="none"/>
                    </w:rPr>
                    <w:t>项目成本管理员和分包方各一份。</w:t>
                  </w:r>
                </w:p>
                <w:p w14:paraId="4A8E0965">
                  <w:pPr>
                    <w:spacing w:line="258" w:lineRule="exact"/>
                    <w:ind w:left="0"/>
                    <w:jc w:val="left"/>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p>
                <w:p w14:paraId="089B1C6F">
                  <w:pPr>
                    <w:spacing w:before="129" w:line="386" w:lineRule="auto"/>
                    <w:ind w:left="0" w:right="87" w:firstLine="0"/>
                    <w:jc w:val="left"/>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515315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10AC0A46">
      <w:pPr>
        <w:keepNext w:val="0"/>
        <w:keepLines w:val="0"/>
        <w:pageBreakBefore w:val="0"/>
        <w:shd w:val="clear" w:color="auto" w:fill="auto"/>
        <w:wordWrap w:val="0"/>
        <w:overflowPunct/>
        <w:topLinePunct w:val="0"/>
        <w:bidi w:val="0"/>
        <w:snapToGrid w:val="0"/>
        <w:spacing w:line="360" w:lineRule="auto"/>
        <w:ind w:right="-672" w:rightChars="-320"/>
        <w:jc w:val="center"/>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w:t>
      </w:r>
    </w:p>
    <w:p w14:paraId="0D6B10E5">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 xml:space="preserve"> 附件九</w:t>
      </w:r>
    </w:p>
    <w:p w14:paraId="5036732D">
      <w:pPr>
        <w:widowControl w:val="0"/>
        <w:snapToGrid w:val="0"/>
        <w:spacing w:line="300" w:lineRule="exact"/>
        <w:ind w:left="630" w:leftChars="300" w:firstLine="2409" w:firstLineChars="1000"/>
        <w:jc w:val="lef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分项工程/认质认价申报审批表</w:t>
      </w:r>
    </w:p>
    <w:p w14:paraId="1212BED2">
      <w:pPr>
        <w:widowControl w:val="0"/>
        <w:snapToGrid w:val="0"/>
        <w:spacing w:line="300" w:lineRule="exact"/>
        <w:ind w:left="630" w:leftChars="300" w:firstLine="2409" w:firstLineChars="1000"/>
        <w:jc w:val="left"/>
        <w:rPr>
          <w:rFonts w:hint="eastAsia" w:ascii="仿宋" w:hAnsi="仿宋" w:eastAsia="仿宋" w:cs="仿宋"/>
          <w:b/>
          <w:color w:val="auto"/>
          <w:kern w:val="2"/>
          <w:sz w:val="24"/>
          <w:szCs w:val="24"/>
          <w:highlight w:val="none"/>
          <w:lang w:val="en-US" w:eastAsia="zh-CN" w:bidi="ar-SA"/>
        </w:rPr>
      </w:pPr>
    </w:p>
    <w:p w14:paraId="70FBBEFF">
      <w:pPr>
        <w:widowControl w:val="0"/>
        <w:snapToGrid w:val="0"/>
        <w:spacing w:line="300" w:lineRule="exact"/>
        <w:ind w:left="630" w:leftChars="300" w:firstLine="420" w:firstLineChars="200"/>
        <w:jc w:val="both"/>
        <w:rPr>
          <w:rFonts w:hint="eastAsia" w:ascii="仿宋" w:hAnsi="仿宋" w:eastAsia="仿宋" w:cs="仿宋"/>
          <w:color w:val="auto"/>
          <w:kern w:val="2"/>
          <w:sz w:val="21"/>
          <w:szCs w:val="22"/>
          <w:highlight w:val="none"/>
          <w:lang w:val="en-US" w:eastAsia="zh-CN" w:bidi="ar-SA"/>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6D04EE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18" w:hRule="atLeast"/>
        </w:trPr>
        <w:tc>
          <w:tcPr>
            <w:tcW w:w="1366" w:type="dxa"/>
            <w:noWrap w:val="0"/>
            <w:vAlign w:val="center"/>
          </w:tcPr>
          <w:p w14:paraId="10A4C84F">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450E6116">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D8830A1">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46984F9A">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67847C48">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752AC07E">
            <w:pPr>
              <w:jc w:val="center"/>
              <w:rPr>
                <w:rFonts w:hint="eastAsia" w:ascii="仿宋" w:hAnsi="仿宋" w:eastAsia="仿宋" w:cs="仿宋"/>
                <w:b w:val="0"/>
                <w:bCs/>
                <w:color w:val="auto"/>
                <w:sz w:val="21"/>
                <w:szCs w:val="21"/>
                <w:highlight w:val="none"/>
                <w:lang w:eastAsia="zh-CN"/>
              </w:rPr>
            </w:pPr>
          </w:p>
        </w:tc>
      </w:tr>
      <w:tr w14:paraId="1EDB2A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71BA85F">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6F866CE6">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74111B44">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7A1578A6">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1F33ADF">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7F9F03ED">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5473FB70">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703698BF">
            <w:pPr>
              <w:jc w:val="center"/>
              <w:rPr>
                <w:rFonts w:hint="eastAsia" w:ascii="仿宋" w:hAnsi="仿宋" w:eastAsia="仿宋" w:cs="仿宋"/>
                <w:b w:val="0"/>
                <w:bCs/>
                <w:color w:val="auto"/>
                <w:sz w:val="21"/>
                <w:szCs w:val="21"/>
                <w:highlight w:val="none"/>
                <w:lang w:eastAsia="zh-CN"/>
              </w:rPr>
            </w:pPr>
          </w:p>
        </w:tc>
      </w:tr>
      <w:tr w14:paraId="6F575C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029A8D3">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29365BDB">
            <w:pPr>
              <w:jc w:val="left"/>
              <w:rPr>
                <w:rFonts w:hint="eastAsia" w:ascii="仿宋" w:hAnsi="仿宋" w:eastAsia="仿宋" w:cs="仿宋"/>
                <w:b w:val="0"/>
                <w:bCs/>
                <w:color w:val="auto"/>
                <w:sz w:val="21"/>
                <w:szCs w:val="21"/>
                <w:highlight w:val="none"/>
                <w:lang w:eastAsia="zh-CN"/>
              </w:rPr>
            </w:pPr>
          </w:p>
        </w:tc>
      </w:tr>
      <w:tr w14:paraId="2CD11D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0E9157D5">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7D4166DF">
            <w:pPr>
              <w:jc w:val="left"/>
              <w:rPr>
                <w:rFonts w:hint="eastAsia" w:ascii="仿宋" w:hAnsi="仿宋" w:eastAsia="仿宋" w:cs="仿宋"/>
                <w:b w:val="0"/>
                <w:bCs/>
                <w:color w:val="auto"/>
                <w:sz w:val="21"/>
                <w:szCs w:val="21"/>
                <w:highlight w:val="none"/>
                <w:lang w:eastAsia="zh-CN"/>
              </w:rPr>
            </w:pPr>
          </w:p>
        </w:tc>
      </w:tr>
      <w:tr w14:paraId="281710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BB612CD">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1CB74761">
            <w:pPr>
              <w:jc w:val="left"/>
              <w:rPr>
                <w:rFonts w:hint="eastAsia" w:ascii="仿宋" w:hAnsi="仿宋" w:eastAsia="仿宋" w:cs="仿宋"/>
                <w:b w:val="0"/>
                <w:bCs/>
                <w:color w:val="auto"/>
                <w:sz w:val="21"/>
                <w:szCs w:val="21"/>
                <w:highlight w:val="none"/>
                <w:lang w:eastAsia="zh-CN"/>
              </w:rPr>
            </w:pPr>
          </w:p>
        </w:tc>
      </w:tr>
      <w:tr w14:paraId="577B71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710F01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7FD3E716">
            <w:pPr>
              <w:jc w:val="left"/>
              <w:rPr>
                <w:rFonts w:hint="eastAsia" w:ascii="仿宋" w:hAnsi="仿宋" w:eastAsia="仿宋" w:cs="仿宋"/>
                <w:b w:val="0"/>
                <w:bCs/>
                <w:color w:val="auto"/>
                <w:sz w:val="21"/>
                <w:szCs w:val="21"/>
                <w:highlight w:val="none"/>
                <w:lang w:eastAsia="zh-CN"/>
              </w:rPr>
            </w:pPr>
          </w:p>
        </w:tc>
      </w:tr>
      <w:tr w14:paraId="259CB4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4B4C692">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1C2EE6B2">
            <w:pPr>
              <w:jc w:val="left"/>
              <w:rPr>
                <w:rFonts w:hint="eastAsia" w:ascii="仿宋" w:hAnsi="仿宋" w:eastAsia="仿宋" w:cs="仿宋"/>
                <w:b w:val="0"/>
                <w:bCs/>
                <w:color w:val="auto"/>
                <w:sz w:val="21"/>
                <w:szCs w:val="21"/>
                <w:highlight w:val="none"/>
                <w:lang w:eastAsia="zh-CN"/>
              </w:rPr>
            </w:pPr>
          </w:p>
        </w:tc>
      </w:tr>
      <w:tr w14:paraId="17416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9B6D7FD">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00E0F750">
            <w:pPr>
              <w:ind w:right="284"/>
              <w:jc w:val="left"/>
              <w:rPr>
                <w:rFonts w:hint="eastAsia" w:ascii="仿宋" w:hAnsi="仿宋" w:eastAsia="仿宋" w:cs="仿宋"/>
                <w:b w:val="0"/>
                <w:bCs/>
                <w:color w:val="auto"/>
                <w:sz w:val="21"/>
                <w:szCs w:val="21"/>
                <w:highlight w:val="none"/>
              </w:rPr>
            </w:pPr>
          </w:p>
          <w:p w14:paraId="78480B48">
            <w:pPr>
              <w:ind w:right="284"/>
              <w:jc w:val="left"/>
              <w:rPr>
                <w:rFonts w:hint="eastAsia" w:ascii="仿宋" w:hAnsi="仿宋" w:eastAsia="仿宋" w:cs="仿宋"/>
                <w:b w:val="0"/>
                <w:bCs/>
                <w:color w:val="auto"/>
                <w:sz w:val="21"/>
                <w:szCs w:val="21"/>
                <w:highlight w:val="none"/>
              </w:rPr>
            </w:pPr>
          </w:p>
          <w:p w14:paraId="2D786826">
            <w:pPr>
              <w:ind w:right="284"/>
              <w:jc w:val="left"/>
              <w:rPr>
                <w:rFonts w:hint="eastAsia" w:ascii="仿宋" w:hAnsi="仿宋" w:eastAsia="仿宋" w:cs="仿宋"/>
                <w:b w:val="0"/>
                <w:bCs/>
                <w:color w:val="auto"/>
                <w:sz w:val="21"/>
                <w:szCs w:val="21"/>
                <w:highlight w:val="none"/>
              </w:rPr>
            </w:pPr>
          </w:p>
          <w:p w14:paraId="1A0B31DF">
            <w:pPr>
              <w:ind w:right="284"/>
              <w:jc w:val="left"/>
              <w:rPr>
                <w:rFonts w:hint="eastAsia" w:ascii="仿宋" w:hAnsi="仿宋" w:eastAsia="仿宋" w:cs="仿宋"/>
                <w:b w:val="0"/>
                <w:bCs/>
                <w:color w:val="auto"/>
                <w:sz w:val="21"/>
                <w:szCs w:val="21"/>
                <w:highlight w:val="none"/>
              </w:rPr>
            </w:pPr>
          </w:p>
          <w:p w14:paraId="22063F42">
            <w:pPr>
              <w:ind w:right="284"/>
              <w:jc w:val="left"/>
              <w:rPr>
                <w:rFonts w:hint="eastAsia" w:ascii="仿宋" w:hAnsi="仿宋" w:eastAsia="仿宋" w:cs="仿宋"/>
                <w:b w:val="0"/>
                <w:bCs/>
                <w:color w:val="auto"/>
                <w:sz w:val="21"/>
                <w:szCs w:val="21"/>
                <w:highlight w:val="none"/>
              </w:rPr>
            </w:pPr>
          </w:p>
          <w:p w14:paraId="42229F45">
            <w:pPr>
              <w:ind w:right="284"/>
              <w:jc w:val="left"/>
              <w:rPr>
                <w:rFonts w:hint="eastAsia" w:ascii="仿宋" w:hAnsi="仿宋" w:eastAsia="仿宋" w:cs="仿宋"/>
                <w:b w:val="0"/>
                <w:bCs/>
                <w:color w:val="auto"/>
                <w:sz w:val="21"/>
                <w:szCs w:val="21"/>
                <w:highlight w:val="none"/>
              </w:rPr>
            </w:pPr>
          </w:p>
          <w:p w14:paraId="6EACE319">
            <w:pPr>
              <w:ind w:right="284"/>
              <w:jc w:val="left"/>
              <w:rPr>
                <w:rFonts w:hint="eastAsia" w:ascii="仿宋" w:hAnsi="仿宋" w:eastAsia="仿宋" w:cs="仿宋"/>
                <w:b w:val="0"/>
                <w:bCs/>
                <w:color w:val="auto"/>
                <w:sz w:val="21"/>
                <w:szCs w:val="21"/>
                <w:highlight w:val="none"/>
              </w:rPr>
            </w:pPr>
          </w:p>
          <w:p w14:paraId="15A27A54">
            <w:pPr>
              <w:ind w:right="284"/>
              <w:jc w:val="left"/>
              <w:rPr>
                <w:rFonts w:hint="eastAsia" w:ascii="仿宋" w:hAnsi="仿宋" w:eastAsia="仿宋" w:cs="仿宋"/>
                <w:b w:val="0"/>
                <w:bCs/>
                <w:color w:val="auto"/>
                <w:sz w:val="21"/>
                <w:szCs w:val="21"/>
                <w:highlight w:val="none"/>
              </w:rPr>
            </w:pPr>
          </w:p>
          <w:p w14:paraId="3EE9B32D">
            <w:pPr>
              <w:ind w:right="284"/>
              <w:jc w:val="left"/>
              <w:rPr>
                <w:rFonts w:hint="eastAsia" w:ascii="仿宋" w:hAnsi="仿宋" w:eastAsia="仿宋" w:cs="仿宋"/>
                <w:b w:val="0"/>
                <w:bCs/>
                <w:color w:val="auto"/>
                <w:sz w:val="21"/>
                <w:szCs w:val="21"/>
                <w:highlight w:val="none"/>
              </w:rPr>
            </w:pPr>
          </w:p>
          <w:p w14:paraId="408FA85A">
            <w:pPr>
              <w:ind w:right="284"/>
              <w:jc w:val="left"/>
              <w:rPr>
                <w:rFonts w:hint="eastAsia" w:ascii="仿宋" w:hAnsi="仿宋" w:eastAsia="仿宋" w:cs="仿宋"/>
                <w:b w:val="0"/>
                <w:bCs/>
                <w:color w:val="auto"/>
                <w:sz w:val="21"/>
                <w:szCs w:val="21"/>
                <w:highlight w:val="none"/>
              </w:rPr>
            </w:pPr>
          </w:p>
          <w:p w14:paraId="3DC7243D">
            <w:pPr>
              <w:ind w:right="284"/>
              <w:jc w:val="left"/>
              <w:rPr>
                <w:rFonts w:hint="eastAsia" w:ascii="仿宋" w:hAnsi="仿宋" w:eastAsia="仿宋" w:cs="仿宋"/>
                <w:b w:val="0"/>
                <w:bCs/>
                <w:color w:val="auto"/>
                <w:sz w:val="21"/>
                <w:szCs w:val="21"/>
                <w:highlight w:val="none"/>
              </w:rPr>
            </w:pPr>
          </w:p>
          <w:p w14:paraId="0D0B97BC">
            <w:pPr>
              <w:ind w:right="284"/>
              <w:jc w:val="left"/>
              <w:rPr>
                <w:rFonts w:hint="eastAsia" w:ascii="仿宋" w:hAnsi="仿宋" w:eastAsia="仿宋" w:cs="仿宋"/>
                <w:b w:val="0"/>
                <w:bCs/>
                <w:color w:val="auto"/>
                <w:sz w:val="21"/>
                <w:szCs w:val="21"/>
                <w:highlight w:val="none"/>
              </w:rPr>
            </w:pPr>
          </w:p>
          <w:p w14:paraId="25503621">
            <w:pPr>
              <w:ind w:right="284"/>
              <w:jc w:val="left"/>
              <w:rPr>
                <w:rFonts w:hint="eastAsia" w:ascii="仿宋" w:hAnsi="仿宋" w:eastAsia="仿宋" w:cs="仿宋"/>
                <w:b w:val="0"/>
                <w:bCs/>
                <w:color w:val="auto"/>
                <w:sz w:val="21"/>
                <w:szCs w:val="21"/>
                <w:highlight w:val="none"/>
              </w:rPr>
            </w:pPr>
          </w:p>
          <w:p w14:paraId="35013C75">
            <w:pPr>
              <w:ind w:right="284"/>
              <w:jc w:val="left"/>
              <w:rPr>
                <w:rFonts w:hint="eastAsia" w:ascii="仿宋" w:hAnsi="仿宋" w:eastAsia="仿宋" w:cs="仿宋"/>
                <w:b w:val="0"/>
                <w:bCs/>
                <w:color w:val="auto"/>
                <w:sz w:val="21"/>
                <w:szCs w:val="21"/>
                <w:highlight w:val="none"/>
              </w:rPr>
            </w:pPr>
          </w:p>
          <w:p w14:paraId="6B7DB48A">
            <w:pPr>
              <w:ind w:right="284"/>
              <w:jc w:val="left"/>
              <w:rPr>
                <w:rFonts w:hint="eastAsia" w:ascii="仿宋" w:hAnsi="仿宋" w:eastAsia="仿宋" w:cs="仿宋"/>
                <w:b w:val="0"/>
                <w:bCs/>
                <w:color w:val="auto"/>
                <w:sz w:val="21"/>
                <w:szCs w:val="21"/>
                <w:highlight w:val="none"/>
              </w:rPr>
            </w:pPr>
          </w:p>
          <w:p w14:paraId="2989EAEF">
            <w:pPr>
              <w:ind w:right="284"/>
              <w:jc w:val="left"/>
              <w:rPr>
                <w:rFonts w:hint="eastAsia" w:ascii="仿宋" w:hAnsi="仿宋" w:eastAsia="仿宋" w:cs="仿宋"/>
                <w:b w:val="0"/>
                <w:bCs/>
                <w:color w:val="auto"/>
                <w:sz w:val="21"/>
                <w:szCs w:val="21"/>
                <w:highlight w:val="none"/>
              </w:rPr>
            </w:pPr>
          </w:p>
          <w:p w14:paraId="1D8E8B53">
            <w:pPr>
              <w:ind w:right="284"/>
              <w:jc w:val="left"/>
              <w:rPr>
                <w:rFonts w:hint="eastAsia" w:ascii="仿宋" w:hAnsi="仿宋" w:eastAsia="仿宋" w:cs="仿宋"/>
                <w:b w:val="0"/>
                <w:bCs/>
                <w:color w:val="auto"/>
                <w:sz w:val="21"/>
                <w:szCs w:val="21"/>
                <w:highlight w:val="none"/>
              </w:rPr>
            </w:pPr>
          </w:p>
          <w:p w14:paraId="0904A586">
            <w:pPr>
              <w:rPr>
                <w:rFonts w:hint="eastAsia" w:ascii="仿宋" w:hAnsi="仿宋" w:eastAsia="仿宋" w:cs="仿宋"/>
                <w:b w:val="0"/>
                <w:bCs/>
                <w:color w:val="auto"/>
                <w:sz w:val="21"/>
                <w:szCs w:val="21"/>
                <w:highlight w:val="none"/>
              </w:rPr>
            </w:pPr>
          </w:p>
          <w:p w14:paraId="31CE7A2B">
            <w:pPr>
              <w:ind w:right="284"/>
              <w:jc w:val="left"/>
              <w:rPr>
                <w:rFonts w:hint="eastAsia" w:ascii="仿宋" w:hAnsi="仿宋" w:eastAsia="仿宋" w:cs="仿宋"/>
                <w:b w:val="0"/>
                <w:bCs/>
                <w:color w:val="auto"/>
                <w:sz w:val="21"/>
                <w:szCs w:val="21"/>
                <w:highlight w:val="none"/>
              </w:rPr>
            </w:pPr>
          </w:p>
        </w:tc>
      </w:tr>
      <w:tr w14:paraId="6904A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E7D3F0A">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78D343A5">
            <w:pPr>
              <w:ind w:right="284"/>
              <w:jc w:val="left"/>
              <w:rPr>
                <w:rFonts w:hint="eastAsia" w:ascii="仿宋" w:hAnsi="仿宋" w:eastAsia="仿宋" w:cs="仿宋"/>
                <w:b/>
                <w:color w:val="auto"/>
                <w:sz w:val="21"/>
                <w:szCs w:val="21"/>
                <w:highlight w:val="none"/>
              </w:rPr>
            </w:pPr>
          </w:p>
        </w:tc>
      </w:tr>
      <w:tr w14:paraId="5F973A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1A1530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341E6367">
            <w:pPr>
              <w:ind w:right="284"/>
              <w:jc w:val="left"/>
              <w:rPr>
                <w:rFonts w:hint="eastAsia" w:ascii="仿宋" w:hAnsi="仿宋" w:eastAsia="仿宋" w:cs="仿宋"/>
                <w:b/>
                <w:color w:val="auto"/>
                <w:sz w:val="21"/>
                <w:szCs w:val="21"/>
                <w:highlight w:val="none"/>
              </w:rPr>
            </w:pPr>
          </w:p>
        </w:tc>
      </w:tr>
      <w:tr w14:paraId="409A78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77864BDE">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7BA90BD9">
            <w:pPr>
              <w:ind w:right="284"/>
              <w:jc w:val="left"/>
              <w:rPr>
                <w:rFonts w:hint="eastAsia" w:ascii="仿宋" w:hAnsi="仿宋" w:eastAsia="仿宋" w:cs="仿宋"/>
                <w:b/>
                <w:color w:val="auto"/>
                <w:sz w:val="21"/>
                <w:szCs w:val="21"/>
                <w:highlight w:val="none"/>
              </w:rPr>
            </w:pPr>
          </w:p>
        </w:tc>
      </w:tr>
      <w:tr w14:paraId="184007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5B0C515C">
            <w:pPr>
              <w:ind w:right="284"/>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29C533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C27C5C">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673A2AE9">
            <w:pPr>
              <w:ind w:right="284"/>
              <w:jc w:val="left"/>
              <w:rPr>
                <w:rFonts w:hint="eastAsia" w:ascii="仿宋" w:hAnsi="仿宋" w:eastAsia="仿宋" w:cs="仿宋"/>
                <w:b/>
                <w:color w:val="auto"/>
                <w:sz w:val="21"/>
                <w:szCs w:val="21"/>
                <w:highlight w:val="none"/>
              </w:rPr>
            </w:pPr>
          </w:p>
        </w:tc>
      </w:tr>
      <w:tr w14:paraId="3AF045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812C74A">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CE70D39">
            <w:pPr>
              <w:ind w:right="284"/>
              <w:jc w:val="left"/>
              <w:rPr>
                <w:rFonts w:hint="eastAsia" w:ascii="仿宋" w:hAnsi="仿宋" w:eastAsia="仿宋" w:cs="仿宋"/>
                <w:b/>
                <w:color w:val="auto"/>
                <w:sz w:val="21"/>
                <w:szCs w:val="21"/>
                <w:highlight w:val="none"/>
              </w:rPr>
            </w:pPr>
          </w:p>
        </w:tc>
      </w:tr>
      <w:tr w14:paraId="1BD8AD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4ED17BD">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w:t>
            </w:r>
            <w:r>
              <w:rPr>
                <w:rFonts w:hint="eastAsia" w:ascii="仿宋" w:hAnsi="仿宋" w:eastAsia="仿宋" w:cs="仿宋"/>
                <w:b w:val="0"/>
                <w:bCs/>
                <w:color w:val="auto"/>
                <w:sz w:val="21"/>
                <w:szCs w:val="21"/>
                <w:highlight w:val="none"/>
                <w:lang w:val="en-US" w:eastAsia="zh-CN"/>
              </w:rPr>
              <w:t>管理部</w:t>
            </w:r>
          </w:p>
        </w:tc>
        <w:tc>
          <w:tcPr>
            <w:tcW w:w="7910" w:type="dxa"/>
            <w:gridSpan w:val="10"/>
            <w:noWrap w:val="0"/>
            <w:vAlign w:val="center"/>
          </w:tcPr>
          <w:p w14:paraId="4D1D056B">
            <w:pPr>
              <w:ind w:right="284"/>
              <w:jc w:val="left"/>
              <w:rPr>
                <w:rFonts w:hint="eastAsia" w:ascii="仿宋" w:hAnsi="仿宋" w:eastAsia="仿宋" w:cs="仿宋"/>
                <w:b/>
                <w:color w:val="auto"/>
                <w:sz w:val="21"/>
                <w:szCs w:val="21"/>
                <w:highlight w:val="none"/>
              </w:rPr>
            </w:pPr>
          </w:p>
        </w:tc>
      </w:tr>
      <w:tr w14:paraId="44F86C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10BCAD2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1A72DA42">
            <w:pPr>
              <w:ind w:right="284"/>
              <w:jc w:val="left"/>
              <w:rPr>
                <w:rFonts w:hint="eastAsia" w:ascii="仿宋" w:hAnsi="仿宋" w:eastAsia="仿宋" w:cs="仿宋"/>
                <w:b/>
                <w:color w:val="auto"/>
                <w:sz w:val="21"/>
                <w:szCs w:val="21"/>
                <w:highlight w:val="none"/>
              </w:rPr>
            </w:pPr>
          </w:p>
        </w:tc>
      </w:tr>
    </w:tbl>
    <w:p w14:paraId="3465E1FC">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61" w:name="_Toc4826"/>
      <w:bookmarkStart w:id="362" w:name="_Toc17624"/>
      <w:bookmarkStart w:id="363" w:name="_Toc12351"/>
      <w:bookmarkStart w:id="364" w:name="_Toc31438"/>
    </w:p>
    <w:p w14:paraId="294969EB">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附件十</w:t>
      </w:r>
      <w:bookmarkEnd w:id="361"/>
      <w:bookmarkEnd w:id="362"/>
      <w:bookmarkEnd w:id="363"/>
      <w:bookmarkEnd w:id="364"/>
    </w:p>
    <w:p w14:paraId="77FF522E">
      <w:pPr>
        <w:widowControl w:val="0"/>
        <w:snapToGrid w:val="0"/>
        <w:spacing w:line="300" w:lineRule="exact"/>
        <w:ind w:left="630" w:leftChars="300" w:firstLine="2409" w:firstLineChars="1000"/>
        <w:jc w:val="left"/>
        <w:rPr>
          <w:rFonts w:hint="eastAsia" w:ascii="仿宋" w:hAnsi="仿宋" w:eastAsia="仿宋" w:cs="仿宋"/>
          <w:b/>
          <w:color w:val="auto"/>
          <w:kern w:val="2"/>
          <w:sz w:val="24"/>
          <w:szCs w:val="24"/>
          <w:highlight w:val="none"/>
          <w:lang w:val="en-US" w:eastAsia="zh-CN" w:bidi="ar-SA"/>
        </w:rPr>
      </w:pPr>
    </w:p>
    <w:p w14:paraId="490D4E2D">
      <w:pPr>
        <w:widowControl/>
        <w:kinsoku w:val="0"/>
        <w:autoSpaceDE w:val="0"/>
        <w:autoSpaceDN w:val="0"/>
        <w:adjustRightInd w:val="0"/>
        <w:snapToGrid w:val="0"/>
        <w:spacing w:before="60" w:line="226" w:lineRule="auto"/>
        <w:ind w:left="3233"/>
        <w:jc w:val="left"/>
        <w:textAlignment w:val="baseline"/>
        <w:rPr>
          <w:rFonts w:hint="eastAsia" w:ascii="仿宋" w:hAnsi="仿宋" w:eastAsia="仿宋" w:cs="仿宋"/>
          <w:snapToGrid w:val="0"/>
          <w:color w:val="auto"/>
          <w:spacing w:val="6"/>
          <w:kern w:val="0"/>
          <w:sz w:val="31"/>
          <w:szCs w:val="31"/>
          <w:highlight w:val="none"/>
        </w:rPr>
      </w:pPr>
      <w:r>
        <w:rPr>
          <w:rFonts w:hint="eastAsia" w:ascii="仿宋" w:hAnsi="仿宋" w:eastAsia="仿宋" w:cs="仿宋"/>
          <w:snapToGrid w:val="0"/>
          <w:color w:val="auto"/>
          <w:spacing w:val="11"/>
          <w:kern w:val="0"/>
          <w:sz w:val="31"/>
          <w:szCs w:val="31"/>
          <w:highlight w:val="none"/>
        </w:rPr>
        <w:t>签</w:t>
      </w:r>
      <w:r>
        <w:rPr>
          <w:rFonts w:hint="eastAsia" w:ascii="仿宋" w:hAnsi="仿宋" w:eastAsia="仿宋" w:cs="仿宋"/>
          <w:snapToGrid w:val="0"/>
          <w:color w:val="auto"/>
          <w:spacing w:val="6"/>
          <w:kern w:val="0"/>
          <w:sz w:val="31"/>
          <w:szCs w:val="31"/>
          <w:highlight w:val="none"/>
        </w:rPr>
        <w:t>证单分包说明</w:t>
      </w:r>
    </w:p>
    <w:p w14:paraId="6FE4E0AE">
      <w:pPr>
        <w:widowControl/>
        <w:kinsoku w:val="0"/>
        <w:autoSpaceDE w:val="0"/>
        <w:autoSpaceDN w:val="0"/>
        <w:adjustRightInd w:val="0"/>
        <w:snapToGrid w:val="0"/>
        <w:spacing w:before="60" w:line="226" w:lineRule="auto"/>
        <w:ind w:left="3233"/>
        <w:jc w:val="left"/>
        <w:textAlignment w:val="baseline"/>
        <w:rPr>
          <w:rFonts w:hint="eastAsia" w:ascii="仿宋" w:hAnsi="仿宋" w:eastAsia="仿宋" w:cs="仿宋"/>
          <w:snapToGrid w:val="0"/>
          <w:color w:val="auto"/>
          <w:spacing w:val="6"/>
          <w:kern w:val="0"/>
          <w:sz w:val="31"/>
          <w:szCs w:val="31"/>
          <w:highlight w:val="none"/>
        </w:rPr>
      </w:pPr>
    </w:p>
    <w:p w14:paraId="35E2BB98">
      <w:pPr>
        <w:widowControl/>
        <w:kinsoku w:val="0"/>
        <w:autoSpaceDE w:val="0"/>
        <w:autoSpaceDN w:val="0"/>
        <w:adjustRightInd w:val="0"/>
        <w:snapToGrid w:val="0"/>
        <w:spacing w:line="193" w:lineRule="exact"/>
        <w:jc w:val="left"/>
        <w:textAlignment w:val="baseline"/>
        <w:rPr>
          <w:rFonts w:hint="eastAsia" w:ascii="仿宋" w:hAnsi="仿宋" w:eastAsia="仿宋" w:cs="仿宋"/>
          <w:snapToGrid w:val="0"/>
          <w:color w:val="auto"/>
          <w:kern w:val="0"/>
          <w:szCs w:val="21"/>
          <w:highlight w:val="none"/>
        </w:rPr>
      </w:pPr>
    </w:p>
    <w:tbl>
      <w:tblPr>
        <w:tblStyle w:val="28"/>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14E7B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noWrap w:val="0"/>
            <w:vAlign w:val="top"/>
          </w:tcPr>
          <w:p w14:paraId="068634E5">
            <w:pPr>
              <w:widowControl/>
              <w:kinsoku w:val="0"/>
              <w:autoSpaceDE w:val="0"/>
              <w:autoSpaceDN w:val="0"/>
              <w:adjustRightInd w:val="0"/>
              <w:snapToGrid w:val="0"/>
              <w:spacing w:before="149" w:line="229" w:lineRule="auto"/>
              <w:ind w:left="21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工</w:t>
            </w:r>
            <w:r>
              <w:rPr>
                <w:rFonts w:hint="eastAsia" w:ascii="仿宋" w:hAnsi="仿宋" w:eastAsia="仿宋" w:cs="仿宋"/>
                <w:snapToGrid w:val="0"/>
                <w:color w:val="auto"/>
                <w:spacing w:val="4"/>
                <w:kern w:val="0"/>
                <w:sz w:val="23"/>
                <w:szCs w:val="23"/>
                <w:highlight w:val="none"/>
              </w:rPr>
              <w:t>程名称</w:t>
            </w:r>
          </w:p>
        </w:tc>
        <w:tc>
          <w:tcPr>
            <w:tcW w:w="4044" w:type="dxa"/>
            <w:noWrap w:val="0"/>
            <w:vAlign w:val="top"/>
          </w:tcPr>
          <w:p w14:paraId="5EB1F160">
            <w:pPr>
              <w:widowControl/>
              <w:kinsoku w:val="0"/>
              <w:autoSpaceDE w:val="0"/>
              <w:autoSpaceDN w:val="0"/>
              <w:adjustRightInd w:val="0"/>
              <w:snapToGrid w:val="0"/>
              <w:spacing w:before="148" w:line="232" w:lineRule="auto"/>
              <w:ind w:left="10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XX</w:t>
            </w:r>
            <w:r>
              <w:rPr>
                <w:rFonts w:hint="eastAsia" w:ascii="仿宋" w:hAnsi="仿宋" w:eastAsia="仿宋" w:cs="仿宋"/>
                <w:snapToGrid w:val="0"/>
                <w:color w:val="auto"/>
                <w:spacing w:val="-7"/>
                <w:kern w:val="0"/>
                <w:sz w:val="23"/>
                <w:szCs w:val="23"/>
                <w:highlight w:val="none"/>
              </w:rPr>
              <w:t xml:space="preserve"> </w:t>
            </w:r>
            <w:r>
              <w:rPr>
                <w:rFonts w:hint="eastAsia" w:ascii="仿宋" w:hAnsi="仿宋" w:eastAsia="仿宋" w:cs="仿宋"/>
                <w:snapToGrid w:val="0"/>
                <w:color w:val="auto"/>
                <w:spacing w:val="-6"/>
                <w:kern w:val="0"/>
                <w:sz w:val="23"/>
                <w:szCs w:val="23"/>
                <w:highlight w:val="none"/>
              </w:rPr>
              <w:t>项目</w:t>
            </w:r>
          </w:p>
        </w:tc>
        <w:tc>
          <w:tcPr>
            <w:tcW w:w="993" w:type="dxa"/>
            <w:noWrap w:val="0"/>
            <w:vAlign w:val="top"/>
          </w:tcPr>
          <w:p w14:paraId="2A2AF916">
            <w:pPr>
              <w:widowControl/>
              <w:kinsoku w:val="0"/>
              <w:autoSpaceDE w:val="0"/>
              <w:autoSpaceDN w:val="0"/>
              <w:adjustRightInd w:val="0"/>
              <w:snapToGrid w:val="0"/>
              <w:spacing w:before="149" w:line="229" w:lineRule="auto"/>
              <w:ind w:left="27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单</w:t>
            </w:r>
            <w:r>
              <w:rPr>
                <w:rFonts w:hint="eastAsia" w:ascii="仿宋" w:hAnsi="仿宋" w:eastAsia="仿宋" w:cs="仿宋"/>
                <w:snapToGrid w:val="0"/>
                <w:color w:val="auto"/>
                <w:kern w:val="0"/>
                <w:sz w:val="23"/>
                <w:szCs w:val="23"/>
                <w:highlight w:val="none"/>
              </w:rPr>
              <w:t>号</w:t>
            </w:r>
          </w:p>
        </w:tc>
        <w:tc>
          <w:tcPr>
            <w:tcW w:w="2327" w:type="dxa"/>
            <w:noWrap w:val="0"/>
            <w:vAlign w:val="top"/>
          </w:tcPr>
          <w:p w14:paraId="37553771">
            <w:pPr>
              <w:widowControl/>
              <w:kinsoku w:val="0"/>
              <w:autoSpaceDE w:val="0"/>
              <w:autoSpaceDN w:val="0"/>
              <w:adjustRightInd w:val="0"/>
              <w:snapToGrid w:val="0"/>
              <w:spacing w:before="149" w:line="231" w:lineRule="auto"/>
              <w:ind w:left="11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XX 地块/01</w:t>
            </w:r>
          </w:p>
        </w:tc>
      </w:tr>
      <w:tr w14:paraId="1A59F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noWrap w:val="0"/>
            <w:vAlign w:val="top"/>
          </w:tcPr>
          <w:p w14:paraId="5B0D6B36">
            <w:pPr>
              <w:widowControl/>
              <w:kinsoku w:val="0"/>
              <w:autoSpaceDE w:val="0"/>
              <w:autoSpaceDN w:val="0"/>
              <w:adjustRightInd w:val="0"/>
              <w:snapToGrid w:val="0"/>
              <w:spacing w:before="35" w:line="231" w:lineRule="auto"/>
              <w:ind w:left="385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说明内</w:t>
            </w:r>
            <w:r>
              <w:rPr>
                <w:rFonts w:hint="eastAsia" w:ascii="仿宋" w:hAnsi="仿宋" w:eastAsia="仿宋" w:cs="仿宋"/>
                <w:snapToGrid w:val="0"/>
                <w:color w:val="auto"/>
                <w:spacing w:val="5"/>
                <w:kern w:val="0"/>
                <w:sz w:val="23"/>
                <w:szCs w:val="23"/>
                <w:highlight w:val="none"/>
              </w:rPr>
              <w:t>容</w:t>
            </w:r>
          </w:p>
          <w:p w14:paraId="497D4B9D">
            <w:pPr>
              <w:widowControl/>
              <w:kinsoku w:val="0"/>
              <w:autoSpaceDE w:val="0"/>
              <w:autoSpaceDN w:val="0"/>
              <w:adjustRightInd w:val="0"/>
              <w:snapToGrid w:val="0"/>
              <w:spacing w:before="178" w:line="229" w:lineRule="auto"/>
              <w:ind w:left="12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8"/>
                <w:kern w:val="0"/>
                <w:sz w:val="23"/>
                <w:szCs w:val="23"/>
                <w:highlight w:val="none"/>
              </w:rPr>
              <w:t>根据甲</w:t>
            </w:r>
            <w:r>
              <w:rPr>
                <w:rFonts w:hint="eastAsia" w:ascii="仿宋" w:hAnsi="仿宋" w:eastAsia="仿宋" w:cs="仿宋"/>
                <w:snapToGrid w:val="0"/>
                <w:color w:val="auto"/>
                <w:spacing w:val="6"/>
                <w:kern w:val="0"/>
                <w:sz w:val="23"/>
                <w:szCs w:val="23"/>
                <w:highlight w:val="none"/>
              </w:rPr>
              <w:t>方</w:t>
            </w:r>
            <w:r>
              <w:rPr>
                <w:rFonts w:hint="eastAsia" w:ascii="仿宋" w:hAnsi="仿宋" w:eastAsia="仿宋" w:cs="仿宋"/>
                <w:snapToGrid w:val="0"/>
                <w:color w:val="auto"/>
                <w:spacing w:val="4"/>
                <w:kern w:val="0"/>
                <w:sz w:val="23"/>
                <w:szCs w:val="23"/>
                <w:highlight w:val="none"/>
              </w:rPr>
              <w:t xml:space="preserve">签字确认的签证单 (编号 </w:t>
            </w:r>
            <w:r>
              <w:rPr>
                <w:rFonts w:hint="eastAsia" w:ascii="仿宋" w:hAnsi="仿宋" w:eastAsia="仿宋" w:cs="仿宋"/>
                <w:snapToGrid w:val="0"/>
                <w:color w:val="auto"/>
                <w:kern w:val="0"/>
                <w:sz w:val="23"/>
                <w:szCs w:val="23"/>
                <w:highlight w:val="none"/>
              </w:rPr>
              <w:t>XX</w:t>
            </w:r>
            <w:r>
              <w:rPr>
                <w:rFonts w:hint="eastAsia" w:ascii="仿宋" w:hAnsi="仿宋" w:eastAsia="仿宋" w:cs="仿宋"/>
                <w:snapToGrid w:val="0"/>
                <w:color w:val="auto"/>
                <w:spacing w:val="4"/>
                <w:kern w:val="0"/>
                <w:sz w:val="23"/>
                <w:szCs w:val="23"/>
                <w:highlight w:val="none"/>
              </w:rPr>
              <w:t xml:space="preserve"> 地块/01) 内容中，其中</w:t>
            </w:r>
          </w:p>
          <w:p w14:paraId="4AA0CC0D">
            <w:pPr>
              <w:widowControl/>
              <w:kinsoku w:val="0"/>
              <w:autoSpaceDE w:val="0"/>
              <w:autoSpaceDN w:val="0"/>
              <w:adjustRightInd w:val="0"/>
              <w:snapToGrid w:val="0"/>
              <w:spacing w:before="180" w:line="229" w:lineRule="auto"/>
              <w:ind w:left="13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1、第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w:t>
            </w:r>
            <w:r>
              <w:rPr>
                <w:rFonts w:hint="eastAsia" w:ascii="仿宋" w:hAnsi="仿宋" w:eastAsia="仿宋" w:cs="仿宋"/>
                <w:snapToGrid w:val="0"/>
                <w:color w:val="auto"/>
                <w:spacing w:val="1"/>
                <w:kern w:val="0"/>
                <w:sz w:val="23"/>
                <w:szCs w:val="23"/>
                <w:highlight w:val="none"/>
              </w:rPr>
              <w:t>范围：</w:t>
            </w:r>
            <w:r>
              <w:rPr>
                <w:rFonts w:hint="eastAsia" w:ascii="仿宋" w:hAnsi="仿宋" w:eastAsia="仿宋" w:cs="仿宋"/>
                <w:snapToGrid w:val="0"/>
                <w:color w:val="auto"/>
                <w:spacing w:val="1"/>
                <w:kern w:val="0"/>
                <w:sz w:val="23"/>
                <w:szCs w:val="23"/>
                <w:highlight w:val="none"/>
                <w:u w:val="single" w:color="auto"/>
              </w:rPr>
              <w:t xml:space="preserve">包工包机械包 </w:t>
            </w:r>
            <w:r>
              <w:rPr>
                <w:rFonts w:hint="eastAsia" w:ascii="仿宋" w:hAnsi="仿宋" w:eastAsia="仿宋" w:cs="仿宋"/>
                <w:snapToGrid w:val="0"/>
                <w:color w:val="auto"/>
                <w:kern w:val="0"/>
                <w:sz w:val="23"/>
                <w:szCs w:val="23"/>
                <w:highlight w:val="none"/>
                <w:u w:val="single" w:color="auto"/>
              </w:rPr>
              <w:t xml:space="preserve">XX    </w:t>
            </w:r>
          </w:p>
          <w:p w14:paraId="17F74CAB">
            <w:pPr>
              <w:widowControl/>
              <w:kinsoku w:val="0"/>
              <w:autoSpaceDE w:val="0"/>
              <w:autoSpaceDN w:val="0"/>
              <w:adjustRightInd w:val="0"/>
              <w:snapToGrid w:val="0"/>
              <w:spacing w:before="182" w:line="229" w:lineRule="auto"/>
              <w:ind w:left="11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3"/>
                <w:kern w:val="0"/>
                <w:sz w:val="23"/>
                <w:szCs w:val="23"/>
                <w:highlight w:val="none"/>
              </w:rPr>
              <w:t>2</w:t>
            </w:r>
            <w:r>
              <w:rPr>
                <w:rFonts w:hint="eastAsia" w:ascii="仿宋" w:hAnsi="仿宋" w:eastAsia="仿宋" w:cs="仿宋"/>
                <w:snapToGrid w:val="0"/>
                <w:color w:val="auto"/>
                <w:spacing w:val="2"/>
                <w:kern w:val="0"/>
                <w:sz w:val="23"/>
                <w:szCs w:val="23"/>
                <w:highlight w:val="none"/>
              </w:rPr>
              <w:t>、第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 xml:space="preserve">包工包机械包 </w:t>
            </w:r>
            <w:r>
              <w:rPr>
                <w:rFonts w:hint="eastAsia" w:ascii="仿宋" w:hAnsi="仿宋" w:eastAsia="仿宋" w:cs="仿宋"/>
                <w:snapToGrid w:val="0"/>
                <w:color w:val="auto"/>
                <w:kern w:val="0"/>
                <w:sz w:val="23"/>
                <w:szCs w:val="23"/>
                <w:highlight w:val="none"/>
                <w:u w:val="single" w:color="auto"/>
              </w:rPr>
              <w:t xml:space="preserve">XX   </w:t>
            </w:r>
          </w:p>
          <w:p w14:paraId="166CEDAC">
            <w:pPr>
              <w:widowControl/>
              <w:kinsoku w:val="0"/>
              <w:autoSpaceDE w:val="0"/>
              <w:autoSpaceDN w:val="0"/>
              <w:adjustRightInd w:val="0"/>
              <w:snapToGrid w:val="0"/>
              <w:spacing w:before="183" w:line="229" w:lineRule="auto"/>
              <w:ind w:left="12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3、第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包工包机械包</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XX   </w:t>
            </w:r>
          </w:p>
          <w:p w14:paraId="2BD8297A">
            <w:pPr>
              <w:widowControl/>
              <w:kinsoku w:val="0"/>
              <w:autoSpaceDE w:val="0"/>
              <w:autoSpaceDN w:val="0"/>
              <w:adjustRightInd w:val="0"/>
              <w:snapToGrid w:val="0"/>
              <w:spacing w:before="180" w:line="229" w:lineRule="auto"/>
              <w:ind w:left="11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4"/>
                <w:kern w:val="0"/>
                <w:sz w:val="23"/>
                <w:szCs w:val="23"/>
                <w:highlight w:val="none"/>
              </w:rPr>
              <w:t>4、</w:t>
            </w:r>
            <w:r>
              <w:rPr>
                <w:rFonts w:hint="eastAsia" w:ascii="仿宋" w:hAnsi="仿宋" w:eastAsia="仿宋" w:cs="仿宋"/>
                <w:snapToGrid w:val="0"/>
                <w:color w:val="auto"/>
                <w:spacing w:val="3"/>
                <w:kern w:val="0"/>
                <w:sz w:val="23"/>
                <w:szCs w:val="23"/>
                <w:highlight w:val="none"/>
              </w:rPr>
              <w:t>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 xml:space="preserve">包工包机械包 </w:t>
            </w:r>
            <w:r>
              <w:rPr>
                <w:rFonts w:hint="eastAsia" w:ascii="仿宋" w:hAnsi="仿宋" w:eastAsia="仿宋" w:cs="仿宋"/>
                <w:snapToGrid w:val="0"/>
                <w:color w:val="auto"/>
                <w:kern w:val="0"/>
                <w:sz w:val="23"/>
                <w:szCs w:val="23"/>
                <w:highlight w:val="none"/>
                <w:u w:val="single" w:color="auto"/>
              </w:rPr>
              <w:t xml:space="preserve">XX   </w:t>
            </w:r>
          </w:p>
          <w:p w14:paraId="1F806567">
            <w:pPr>
              <w:widowControl/>
              <w:kinsoku w:val="0"/>
              <w:autoSpaceDE w:val="0"/>
              <w:autoSpaceDN w:val="0"/>
              <w:adjustRightInd w:val="0"/>
              <w:snapToGrid w:val="0"/>
              <w:spacing w:before="183" w:line="229" w:lineRule="auto"/>
              <w:ind w:left="12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5、第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包工包机械包</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XX   </w:t>
            </w:r>
          </w:p>
        </w:tc>
      </w:tr>
    </w:tbl>
    <w:p w14:paraId="0CDE010F">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602C6A03">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797037C8">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3711411B">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6A605C8F">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1A2632D2">
      <w:pPr>
        <w:widowControl/>
        <w:kinsoku w:val="0"/>
        <w:autoSpaceDE w:val="0"/>
        <w:autoSpaceDN w:val="0"/>
        <w:adjustRightInd w:val="0"/>
        <w:snapToGrid w:val="0"/>
        <w:spacing w:before="75" w:line="232" w:lineRule="auto"/>
        <w:ind w:left="12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施工员：</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rPr>
        <w:t>项目副经理：</w:t>
      </w:r>
      <w:r>
        <w:rPr>
          <w:rFonts w:hint="eastAsia" w:ascii="仿宋" w:hAnsi="仿宋" w:eastAsia="仿宋" w:cs="仿宋"/>
          <w:snapToGrid w:val="0"/>
          <w:color w:val="auto"/>
          <w:kern w:val="0"/>
          <w:sz w:val="23"/>
          <w:szCs w:val="23"/>
          <w:highlight w:val="none"/>
          <w:u w:val="single" w:color="auto"/>
        </w:rPr>
        <w:t xml:space="preserve">                     </w:t>
      </w:r>
    </w:p>
    <w:p w14:paraId="547555C0">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6C21603B">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7E2230CA">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5B4D748D">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58AAF330">
      <w:pPr>
        <w:widowControl/>
        <w:kinsoku w:val="0"/>
        <w:autoSpaceDE w:val="0"/>
        <w:autoSpaceDN w:val="0"/>
        <w:adjustRightInd w:val="0"/>
        <w:snapToGrid w:val="0"/>
        <w:spacing w:before="75" w:line="231" w:lineRule="auto"/>
        <w:ind w:left="13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项目成本管理员：</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rPr>
        <w:t>项目经理：</w:t>
      </w:r>
      <w:r>
        <w:rPr>
          <w:rFonts w:hint="eastAsia" w:ascii="仿宋" w:hAnsi="仿宋" w:eastAsia="仿宋" w:cs="仿宋"/>
          <w:snapToGrid w:val="0"/>
          <w:color w:val="auto"/>
          <w:kern w:val="0"/>
          <w:sz w:val="23"/>
          <w:szCs w:val="23"/>
          <w:highlight w:val="none"/>
          <w:u w:val="single" w:color="auto"/>
        </w:rPr>
        <w:t xml:space="preserve">                     </w:t>
      </w:r>
    </w:p>
    <w:p w14:paraId="316CF2DF">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4908B8E3">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536C6CCB">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1964E6A0">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104E2992">
      <w:pPr>
        <w:widowControl/>
        <w:kinsoku w:val="0"/>
        <w:autoSpaceDE w:val="0"/>
        <w:autoSpaceDN w:val="0"/>
        <w:adjustRightInd w:val="0"/>
        <w:snapToGrid w:val="0"/>
        <w:spacing w:before="76" w:line="231" w:lineRule="auto"/>
        <w:ind w:left="13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8"/>
          <w:kern w:val="0"/>
          <w:sz w:val="23"/>
          <w:szCs w:val="23"/>
          <w:highlight w:val="none"/>
        </w:rPr>
        <w:t>工</w:t>
      </w:r>
      <w:r>
        <w:rPr>
          <w:rFonts w:hint="eastAsia" w:ascii="仿宋" w:hAnsi="仿宋" w:eastAsia="仿宋" w:cs="仿宋"/>
          <w:snapToGrid w:val="0"/>
          <w:color w:val="auto"/>
          <w:spacing w:val="5"/>
          <w:kern w:val="0"/>
          <w:sz w:val="23"/>
          <w:szCs w:val="23"/>
          <w:highlight w:val="none"/>
        </w:rPr>
        <w:t>程部负责人：</w:t>
      </w:r>
      <w:r>
        <w:rPr>
          <w:rFonts w:hint="eastAsia" w:ascii="仿宋" w:hAnsi="仿宋" w:eastAsia="仿宋" w:cs="仿宋"/>
          <w:snapToGrid w:val="0"/>
          <w:color w:val="auto"/>
          <w:kern w:val="0"/>
          <w:sz w:val="23"/>
          <w:szCs w:val="23"/>
          <w:highlight w:val="none"/>
          <w:u w:val="single" w:color="auto"/>
        </w:rPr>
        <w:t xml:space="preserve">                  </w:t>
      </w:r>
    </w:p>
    <w:p w14:paraId="2E62961B">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6EBFB865">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5E1D15D0">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0A457D2D">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5A5B6CCA">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0A24DE69">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bookmarkStart w:id="365" w:name="_Toc25372"/>
      <w:bookmarkStart w:id="366" w:name="_Toc30613"/>
      <w:bookmarkStart w:id="367" w:name="_Toc24467"/>
      <w:bookmarkStart w:id="368" w:name="_Toc8770"/>
      <w:r>
        <w:rPr>
          <w:rFonts w:hint="eastAsia" w:ascii="仿宋" w:hAnsi="仿宋" w:eastAsia="仿宋" w:cs="仿宋"/>
          <w:b/>
          <w:bCs w:val="0"/>
          <w:color w:val="auto"/>
          <w:sz w:val="40"/>
          <w:szCs w:val="40"/>
          <w:highlight w:val="none"/>
          <w:shd w:val="clear" w:color="auto" w:fill="auto"/>
          <w:lang w:val="en-US" w:eastAsia="zh-CN"/>
        </w:rPr>
        <w:t>附件十</w:t>
      </w:r>
      <w:bookmarkEnd w:id="365"/>
      <w:bookmarkEnd w:id="366"/>
      <w:bookmarkEnd w:id="367"/>
      <w:bookmarkEnd w:id="368"/>
      <w:r>
        <w:rPr>
          <w:rFonts w:hint="eastAsia" w:ascii="仿宋" w:hAnsi="仿宋" w:eastAsia="仿宋" w:cs="仿宋"/>
          <w:b/>
          <w:bCs w:val="0"/>
          <w:color w:val="auto"/>
          <w:sz w:val="40"/>
          <w:szCs w:val="40"/>
          <w:highlight w:val="none"/>
          <w:shd w:val="clear" w:color="auto" w:fill="auto"/>
          <w:lang w:val="en-US" w:eastAsia="zh-CN"/>
        </w:rPr>
        <w:t>一</w:t>
      </w:r>
    </w:p>
    <w:p w14:paraId="77C32AD0">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rPr>
      </w:pPr>
      <w:r>
        <w:rPr>
          <w:rFonts w:hint="eastAsia" w:ascii="仿宋" w:hAnsi="仿宋" w:eastAsia="仿宋" w:cs="仿宋"/>
          <w:snapToGrid w:val="0"/>
          <w:color w:val="auto"/>
          <w:spacing w:val="10"/>
          <w:kern w:val="0"/>
          <w:sz w:val="31"/>
          <w:szCs w:val="31"/>
          <w:highlight w:val="none"/>
        </w:rPr>
        <w:t>工</w:t>
      </w:r>
      <w:r>
        <w:rPr>
          <w:rFonts w:hint="eastAsia" w:ascii="仿宋" w:hAnsi="仿宋" w:eastAsia="仿宋" w:cs="仿宋"/>
          <w:snapToGrid w:val="0"/>
          <w:color w:val="auto"/>
          <w:spacing w:val="8"/>
          <w:kern w:val="0"/>
          <w:sz w:val="31"/>
          <w:szCs w:val="31"/>
          <w:highlight w:val="none"/>
        </w:rPr>
        <w:t>程量现场草签记录表</w:t>
      </w:r>
    </w:p>
    <w:p w14:paraId="40B30984">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rPr>
      </w:pPr>
    </w:p>
    <w:tbl>
      <w:tblPr>
        <w:tblStyle w:val="28"/>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4E7AF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8" w:hRule="atLeast"/>
        </w:trPr>
        <w:tc>
          <w:tcPr>
            <w:tcW w:w="1297" w:type="dxa"/>
            <w:gridSpan w:val="2"/>
            <w:noWrap w:val="0"/>
            <w:vAlign w:val="top"/>
          </w:tcPr>
          <w:p w14:paraId="61C360AA">
            <w:pPr>
              <w:widowControl/>
              <w:kinsoku w:val="0"/>
              <w:autoSpaceDE w:val="0"/>
              <w:autoSpaceDN w:val="0"/>
              <w:adjustRightInd w:val="0"/>
              <w:snapToGrid w:val="0"/>
              <w:spacing w:before="86" w:line="229" w:lineRule="auto"/>
              <w:ind w:left="13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工程名称</w:t>
            </w:r>
          </w:p>
        </w:tc>
        <w:tc>
          <w:tcPr>
            <w:tcW w:w="7427" w:type="dxa"/>
            <w:gridSpan w:val="6"/>
            <w:noWrap w:val="0"/>
            <w:vAlign w:val="top"/>
          </w:tcPr>
          <w:p w14:paraId="39D43B33">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621A2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noWrap w:val="0"/>
            <w:vAlign w:val="top"/>
          </w:tcPr>
          <w:p w14:paraId="6265950E">
            <w:pPr>
              <w:widowControl/>
              <w:kinsoku w:val="0"/>
              <w:autoSpaceDE w:val="0"/>
              <w:autoSpaceDN w:val="0"/>
              <w:adjustRightInd w:val="0"/>
              <w:snapToGrid w:val="0"/>
              <w:spacing w:before="83" w:line="232" w:lineRule="auto"/>
              <w:ind w:left="29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承</w:t>
            </w:r>
            <w:r>
              <w:rPr>
                <w:rFonts w:hint="eastAsia" w:ascii="仿宋" w:hAnsi="仿宋" w:eastAsia="仿宋" w:cs="仿宋"/>
                <w:snapToGrid w:val="0"/>
                <w:color w:val="auto"/>
                <w:spacing w:val="5"/>
                <w:kern w:val="0"/>
                <w:sz w:val="23"/>
                <w:szCs w:val="23"/>
                <w:highlight w:val="none"/>
              </w:rPr>
              <w:t>包方</w:t>
            </w:r>
          </w:p>
        </w:tc>
        <w:tc>
          <w:tcPr>
            <w:tcW w:w="3628" w:type="dxa"/>
            <w:gridSpan w:val="2"/>
            <w:noWrap w:val="0"/>
            <w:vAlign w:val="top"/>
          </w:tcPr>
          <w:p w14:paraId="55DE62D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09" w:type="dxa"/>
            <w:noWrap w:val="0"/>
            <w:vAlign w:val="top"/>
          </w:tcPr>
          <w:p w14:paraId="6A040875">
            <w:pPr>
              <w:widowControl/>
              <w:kinsoku w:val="0"/>
              <w:autoSpaceDE w:val="0"/>
              <w:autoSpaceDN w:val="0"/>
              <w:adjustRightInd w:val="0"/>
              <w:snapToGrid w:val="0"/>
              <w:spacing w:before="83" w:line="229" w:lineRule="auto"/>
              <w:ind w:left="12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单</w:t>
            </w:r>
            <w:r>
              <w:rPr>
                <w:rFonts w:hint="eastAsia" w:ascii="仿宋" w:hAnsi="仿宋" w:eastAsia="仿宋" w:cs="仿宋"/>
                <w:snapToGrid w:val="0"/>
                <w:color w:val="auto"/>
                <w:kern w:val="0"/>
                <w:sz w:val="23"/>
                <w:szCs w:val="23"/>
                <w:highlight w:val="none"/>
              </w:rPr>
              <w:t>号</w:t>
            </w:r>
          </w:p>
        </w:tc>
        <w:tc>
          <w:tcPr>
            <w:tcW w:w="2990" w:type="dxa"/>
            <w:gridSpan w:val="3"/>
            <w:noWrap w:val="0"/>
            <w:vAlign w:val="top"/>
          </w:tcPr>
          <w:p w14:paraId="5140AE1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40134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noWrap w:val="0"/>
            <w:vAlign w:val="top"/>
          </w:tcPr>
          <w:p w14:paraId="3702D3C2">
            <w:pPr>
              <w:widowControl/>
              <w:kinsoku w:val="0"/>
              <w:autoSpaceDE w:val="0"/>
              <w:autoSpaceDN w:val="0"/>
              <w:adjustRightInd w:val="0"/>
              <w:snapToGrid w:val="0"/>
              <w:spacing w:before="84" w:line="232" w:lineRule="auto"/>
              <w:ind w:left="302"/>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分</w:t>
            </w:r>
            <w:r>
              <w:rPr>
                <w:rFonts w:hint="eastAsia" w:ascii="仿宋" w:hAnsi="仿宋" w:eastAsia="仿宋" w:cs="仿宋"/>
                <w:snapToGrid w:val="0"/>
                <w:color w:val="auto"/>
                <w:spacing w:val="4"/>
                <w:kern w:val="0"/>
                <w:sz w:val="23"/>
                <w:szCs w:val="23"/>
                <w:highlight w:val="none"/>
              </w:rPr>
              <w:t>包方</w:t>
            </w:r>
          </w:p>
        </w:tc>
        <w:tc>
          <w:tcPr>
            <w:tcW w:w="3628" w:type="dxa"/>
            <w:gridSpan w:val="2"/>
            <w:noWrap w:val="0"/>
            <w:vAlign w:val="top"/>
          </w:tcPr>
          <w:p w14:paraId="35AAAA4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09" w:type="dxa"/>
            <w:noWrap w:val="0"/>
            <w:vAlign w:val="top"/>
          </w:tcPr>
          <w:p w14:paraId="4A5102F9">
            <w:pPr>
              <w:widowControl/>
              <w:kinsoku w:val="0"/>
              <w:autoSpaceDE w:val="0"/>
              <w:autoSpaceDN w:val="0"/>
              <w:adjustRightInd w:val="0"/>
              <w:snapToGrid w:val="0"/>
              <w:spacing w:before="84" w:line="231" w:lineRule="auto"/>
              <w:ind w:left="12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原</w:t>
            </w:r>
            <w:r>
              <w:rPr>
                <w:rFonts w:hint="eastAsia" w:ascii="仿宋" w:hAnsi="仿宋" w:eastAsia="仿宋" w:cs="仿宋"/>
                <w:snapToGrid w:val="0"/>
                <w:color w:val="auto"/>
                <w:kern w:val="0"/>
                <w:sz w:val="23"/>
                <w:szCs w:val="23"/>
                <w:highlight w:val="none"/>
              </w:rPr>
              <w:t>因</w:t>
            </w:r>
          </w:p>
        </w:tc>
        <w:tc>
          <w:tcPr>
            <w:tcW w:w="2990" w:type="dxa"/>
            <w:gridSpan w:val="3"/>
            <w:noWrap w:val="0"/>
            <w:vAlign w:val="top"/>
          </w:tcPr>
          <w:p w14:paraId="17EA3388">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04CDE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414294AE">
            <w:pPr>
              <w:widowControl/>
              <w:kinsoku w:val="0"/>
              <w:autoSpaceDE w:val="0"/>
              <w:autoSpaceDN w:val="0"/>
              <w:adjustRightInd w:val="0"/>
              <w:snapToGrid w:val="0"/>
              <w:spacing w:before="149" w:line="231" w:lineRule="auto"/>
              <w:ind w:left="12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序号</w:t>
            </w:r>
          </w:p>
        </w:tc>
        <w:tc>
          <w:tcPr>
            <w:tcW w:w="4927" w:type="dxa"/>
            <w:gridSpan w:val="4"/>
            <w:noWrap w:val="0"/>
            <w:vAlign w:val="top"/>
          </w:tcPr>
          <w:p w14:paraId="7DC1A615">
            <w:pPr>
              <w:widowControl/>
              <w:kinsoku w:val="0"/>
              <w:autoSpaceDE w:val="0"/>
              <w:autoSpaceDN w:val="0"/>
              <w:adjustRightInd w:val="0"/>
              <w:snapToGrid w:val="0"/>
              <w:spacing w:before="150" w:line="229" w:lineRule="auto"/>
              <w:ind w:left="199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项目名</w:t>
            </w:r>
            <w:r>
              <w:rPr>
                <w:rFonts w:hint="eastAsia" w:ascii="仿宋" w:hAnsi="仿宋" w:eastAsia="仿宋" w:cs="仿宋"/>
                <w:snapToGrid w:val="0"/>
                <w:color w:val="auto"/>
                <w:spacing w:val="5"/>
                <w:kern w:val="0"/>
                <w:sz w:val="23"/>
                <w:szCs w:val="23"/>
                <w:highlight w:val="none"/>
              </w:rPr>
              <w:t>称</w:t>
            </w:r>
          </w:p>
        </w:tc>
        <w:tc>
          <w:tcPr>
            <w:tcW w:w="824" w:type="dxa"/>
            <w:noWrap w:val="0"/>
            <w:vAlign w:val="top"/>
          </w:tcPr>
          <w:p w14:paraId="40F064E5">
            <w:pPr>
              <w:widowControl/>
              <w:kinsoku w:val="0"/>
              <w:autoSpaceDE w:val="0"/>
              <w:autoSpaceDN w:val="0"/>
              <w:adjustRightInd w:val="0"/>
              <w:snapToGrid w:val="0"/>
              <w:spacing w:before="150" w:line="229" w:lineRule="auto"/>
              <w:ind w:left="19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单</w:t>
            </w:r>
            <w:r>
              <w:rPr>
                <w:rFonts w:hint="eastAsia" w:ascii="仿宋" w:hAnsi="仿宋" w:eastAsia="仿宋" w:cs="仿宋"/>
                <w:snapToGrid w:val="0"/>
                <w:color w:val="auto"/>
                <w:kern w:val="0"/>
                <w:sz w:val="23"/>
                <w:szCs w:val="23"/>
                <w:highlight w:val="none"/>
              </w:rPr>
              <w:t>位</w:t>
            </w:r>
          </w:p>
        </w:tc>
        <w:tc>
          <w:tcPr>
            <w:tcW w:w="795" w:type="dxa"/>
            <w:noWrap w:val="0"/>
            <w:vAlign w:val="top"/>
          </w:tcPr>
          <w:p w14:paraId="10E88B7F">
            <w:pPr>
              <w:widowControl/>
              <w:kinsoku w:val="0"/>
              <w:autoSpaceDE w:val="0"/>
              <w:autoSpaceDN w:val="0"/>
              <w:adjustRightInd w:val="0"/>
              <w:snapToGrid w:val="0"/>
              <w:spacing w:before="150" w:line="231" w:lineRule="auto"/>
              <w:ind w:left="172"/>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数量</w:t>
            </w:r>
          </w:p>
        </w:tc>
        <w:tc>
          <w:tcPr>
            <w:tcW w:w="1371" w:type="dxa"/>
            <w:noWrap w:val="0"/>
            <w:vAlign w:val="top"/>
          </w:tcPr>
          <w:p w14:paraId="50073187">
            <w:pPr>
              <w:widowControl/>
              <w:kinsoku w:val="0"/>
              <w:autoSpaceDE w:val="0"/>
              <w:autoSpaceDN w:val="0"/>
              <w:adjustRightInd w:val="0"/>
              <w:snapToGrid w:val="0"/>
              <w:spacing w:before="150" w:line="233" w:lineRule="auto"/>
              <w:ind w:left="45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备注</w:t>
            </w:r>
          </w:p>
        </w:tc>
      </w:tr>
      <w:tr w14:paraId="5FFB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7951C4F9">
            <w:pPr>
              <w:widowControl/>
              <w:kinsoku w:val="0"/>
              <w:autoSpaceDE w:val="0"/>
              <w:autoSpaceDN w:val="0"/>
              <w:adjustRightInd w:val="0"/>
              <w:snapToGrid w:val="0"/>
              <w:spacing w:before="190" w:line="187" w:lineRule="auto"/>
              <w:ind w:left="36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1</w:t>
            </w:r>
          </w:p>
        </w:tc>
        <w:tc>
          <w:tcPr>
            <w:tcW w:w="4927" w:type="dxa"/>
            <w:gridSpan w:val="4"/>
            <w:noWrap w:val="0"/>
            <w:vAlign w:val="top"/>
          </w:tcPr>
          <w:p w14:paraId="507B42F3">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59FE734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5B47AD66">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68F26612">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1EE5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696E82EB">
            <w:pPr>
              <w:widowControl/>
              <w:kinsoku w:val="0"/>
              <w:autoSpaceDE w:val="0"/>
              <w:autoSpaceDN w:val="0"/>
              <w:adjustRightInd w:val="0"/>
              <w:snapToGrid w:val="0"/>
              <w:spacing w:before="191" w:line="186" w:lineRule="auto"/>
              <w:ind w:left="352"/>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2</w:t>
            </w:r>
          </w:p>
        </w:tc>
        <w:tc>
          <w:tcPr>
            <w:tcW w:w="4927" w:type="dxa"/>
            <w:gridSpan w:val="4"/>
            <w:noWrap w:val="0"/>
            <w:vAlign w:val="top"/>
          </w:tcPr>
          <w:p w14:paraId="55CD993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EC61EF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43BBD9B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0457DF5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0797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noWrap w:val="0"/>
            <w:vAlign w:val="top"/>
          </w:tcPr>
          <w:p w14:paraId="62364D25">
            <w:pPr>
              <w:widowControl/>
              <w:kinsoku w:val="0"/>
              <w:autoSpaceDE w:val="0"/>
              <w:autoSpaceDN w:val="0"/>
              <w:adjustRightInd w:val="0"/>
              <w:snapToGrid w:val="0"/>
              <w:spacing w:before="191" w:line="186" w:lineRule="auto"/>
              <w:ind w:left="35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3</w:t>
            </w:r>
          </w:p>
        </w:tc>
        <w:tc>
          <w:tcPr>
            <w:tcW w:w="4927" w:type="dxa"/>
            <w:gridSpan w:val="4"/>
            <w:noWrap w:val="0"/>
            <w:vAlign w:val="top"/>
          </w:tcPr>
          <w:p w14:paraId="3E2B24B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679530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24DCD8A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5B7B94F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ACB5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01BF8D0B">
            <w:pPr>
              <w:widowControl/>
              <w:kinsoku w:val="0"/>
              <w:autoSpaceDE w:val="0"/>
              <w:autoSpaceDN w:val="0"/>
              <w:adjustRightInd w:val="0"/>
              <w:snapToGrid w:val="0"/>
              <w:spacing w:before="192" w:line="186" w:lineRule="auto"/>
              <w:ind w:left="34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4</w:t>
            </w:r>
          </w:p>
        </w:tc>
        <w:tc>
          <w:tcPr>
            <w:tcW w:w="4927" w:type="dxa"/>
            <w:gridSpan w:val="4"/>
            <w:noWrap w:val="0"/>
            <w:vAlign w:val="top"/>
          </w:tcPr>
          <w:p w14:paraId="6B7EA4FC">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6D51200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1B2B43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1598AF0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6D135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60895B0E">
            <w:pPr>
              <w:widowControl/>
              <w:kinsoku w:val="0"/>
              <w:autoSpaceDE w:val="0"/>
              <w:autoSpaceDN w:val="0"/>
              <w:adjustRightInd w:val="0"/>
              <w:snapToGrid w:val="0"/>
              <w:spacing w:before="195" w:line="184" w:lineRule="auto"/>
              <w:ind w:left="35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5</w:t>
            </w:r>
          </w:p>
        </w:tc>
        <w:tc>
          <w:tcPr>
            <w:tcW w:w="4927" w:type="dxa"/>
            <w:gridSpan w:val="4"/>
            <w:noWrap w:val="0"/>
            <w:vAlign w:val="top"/>
          </w:tcPr>
          <w:p w14:paraId="42A2C1C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002D4EE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B09C82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085214C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2DE17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302BA1DA">
            <w:pPr>
              <w:widowControl/>
              <w:kinsoku w:val="0"/>
              <w:autoSpaceDE w:val="0"/>
              <w:autoSpaceDN w:val="0"/>
              <w:adjustRightInd w:val="0"/>
              <w:snapToGrid w:val="0"/>
              <w:spacing w:before="192" w:line="186" w:lineRule="auto"/>
              <w:ind w:left="35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6</w:t>
            </w:r>
          </w:p>
        </w:tc>
        <w:tc>
          <w:tcPr>
            <w:tcW w:w="4927" w:type="dxa"/>
            <w:gridSpan w:val="4"/>
            <w:noWrap w:val="0"/>
            <w:vAlign w:val="top"/>
          </w:tcPr>
          <w:p w14:paraId="7271F7F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3B1A309">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D44C95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2EAA9B1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466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noWrap w:val="0"/>
            <w:vAlign w:val="top"/>
          </w:tcPr>
          <w:p w14:paraId="3BCFD64E">
            <w:pPr>
              <w:widowControl/>
              <w:kinsoku w:val="0"/>
              <w:autoSpaceDE w:val="0"/>
              <w:autoSpaceDN w:val="0"/>
              <w:adjustRightInd w:val="0"/>
              <w:snapToGrid w:val="0"/>
              <w:spacing w:before="195" w:line="184" w:lineRule="auto"/>
              <w:ind w:left="35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7</w:t>
            </w:r>
          </w:p>
        </w:tc>
        <w:tc>
          <w:tcPr>
            <w:tcW w:w="4927" w:type="dxa"/>
            <w:gridSpan w:val="4"/>
            <w:noWrap w:val="0"/>
            <w:vAlign w:val="top"/>
          </w:tcPr>
          <w:p w14:paraId="50ADD93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7CE924C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643820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45C2BB8E">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64067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73D0801C">
            <w:pPr>
              <w:widowControl/>
              <w:kinsoku w:val="0"/>
              <w:autoSpaceDE w:val="0"/>
              <w:autoSpaceDN w:val="0"/>
              <w:adjustRightInd w:val="0"/>
              <w:snapToGrid w:val="0"/>
              <w:spacing w:before="193" w:line="186" w:lineRule="auto"/>
              <w:ind w:left="35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8</w:t>
            </w:r>
          </w:p>
        </w:tc>
        <w:tc>
          <w:tcPr>
            <w:tcW w:w="4927" w:type="dxa"/>
            <w:gridSpan w:val="4"/>
            <w:noWrap w:val="0"/>
            <w:vAlign w:val="top"/>
          </w:tcPr>
          <w:p w14:paraId="62922BA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61268F2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4582E88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3C1A9C0C">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DFAD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3B9E8977">
            <w:pPr>
              <w:widowControl/>
              <w:kinsoku w:val="0"/>
              <w:autoSpaceDE w:val="0"/>
              <w:autoSpaceDN w:val="0"/>
              <w:adjustRightInd w:val="0"/>
              <w:snapToGrid w:val="0"/>
              <w:spacing w:before="193" w:line="186" w:lineRule="auto"/>
              <w:ind w:left="35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9</w:t>
            </w:r>
          </w:p>
        </w:tc>
        <w:tc>
          <w:tcPr>
            <w:tcW w:w="4927" w:type="dxa"/>
            <w:gridSpan w:val="4"/>
            <w:noWrap w:val="0"/>
            <w:vAlign w:val="top"/>
          </w:tcPr>
          <w:p w14:paraId="27F0062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02D2B1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4FF1788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7A10B6EA">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3FFB0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60A71C1C">
            <w:pPr>
              <w:widowControl/>
              <w:kinsoku w:val="0"/>
              <w:autoSpaceDE w:val="0"/>
              <w:autoSpaceDN w:val="0"/>
              <w:adjustRightInd w:val="0"/>
              <w:snapToGrid w:val="0"/>
              <w:spacing w:before="193" w:line="186" w:lineRule="auto"/>
              <w:ind w:left="30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9"/>
                <w:kern w:val="0"/>
                <w:sz w:val="23"/>
                <w:szCs w:val="23"/>
                <w:highlight w:val="none"/>
              </w:rPr>
              <w:t>1</w:t>
            </w:r>
            <w:r>
              <w:rPr>
                <w:rFonts w:hint="eastAsia" w:ascii="仿宋" w:hAnsi="仿宋" w:eastAsia="仿宋" w:cs="仿宋"/>
                <w:snapToGrid w:val="0"/>
                <w:color w:val="auto"/>
                <w:spacing w:val="-8"/>
                <w:kern w:val="0"/>
                <w:sz w:val="23"/>
                <w:szCs w:val="23"/>
                <w:highlight w:val="none"/>
              </w:rPr>
              <w:t>0</w:t>
            </w:r>
          </w:p>
        </w:tc>
        <w:tc>
          <w:tcPr>
            <w:tcW w:w="4927" w:type="dxa"/>
            <w:gridSpan w:val="4"/>
            <w:noWrap w:val="0"/>
            <w:vAlign w:val="top"/>
          </w:tcPr>
          <w:p w14:paraId="5985A41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6AF51A7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255DF27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6D2BEAF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680E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27F11ADD">
            <w:pPr>
              <w:widowControl/>
              <w:kinsoku w:val="0"/>
              <w:autoSpaceDE w:val="0"/>
              <w:autoSpaceDN w:val="0"/>
              <w:adjustRightInd w:val="0"/>
              <w:snapToGrid w:val="0"/>
              <w:spacing w:before="192" w:line="187" w:lineRule="auto"/>
              <w:ind w:left="30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9"/>
                <w:kern w:val="0"/>
                <w:sz w:val="23"/>
                <w:szCs w:val="23"/>
                <w:highlight w:val="none"/>
              </w:rPr>
              <w:t>1</w:t>
            </w:r>
            <w:r>
              <w:rPr>
                <w:rFonts w:hint="eastAsia" w:ascii="仿宋" w:hAnsi="仿宋" w:eastAsia="仿宋" w:cs="仿宋"/>
                <w:snapToGrid w:val="0"/>
                <w:color w:val="auto"/>
                <w:spacing w:val="-8"/>
                <w:kern w:val="0"/>
                <w:sz w:val="23"/>
                <w:szCs w:val="23"/>
                <w:highlight w:val="none"/>
              </w:rPr>
              <w:t>1</w:t>
            </w:r>
          </w:p>
        </w:tc>
        <w:tc>
          <w:tcPr>
            <w:tcW w:w="4927" w:type="dxa"/>
            <w:gridSpan w:val="4"/>
            <w:noWrap w:val="0"/>
            <w:vAlign w:val="top"/>
          </w:tcPr>
          <w:p w14:paraId="7D0243E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580971B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6BA50AD8">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16A4FBD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527CA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noWrap w:val="0"/>
            <w:vAlign w:val="top"/>
          </w:tcPr>
          <w:p w14:paraId="17F61E36">
            <w:pPr>
              <w:widowControl/>
              <w:kinsoku w:val="0"/>
              <w:autoSpaceDE w:val="0"/>
              <w:autoSpaceDN w:val="0"/>
              <w:adjustRightInd w:val="0"/>
              <w:snapToGrid w:val="0"/>
              <w:spacing w:before="197" w:line="187" w:lineRule="auto"/>
              <w:ind w:left="30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9"/>
                <w:kern w:val="0"/>
                <w:sz w:val="23"/>
                <w:szCs w:val="23"/>
                <w:highlight w:val="none"/>
              </w:rPr>
              <w:t>1</w:t>
            </w:r>
            <w:r>
              <w:rPr>
                <w:rFonts w:hint="eastAsia" w:ascii="仿宋" w:hAnsi="仿宋" w:eastAsia="仿宋" w:cs="仿宋"/>
                <w:snapToGrid w:val="0"/>
                <w:color w:val="auto"/>
                <w:spacing w:val="-8"/>
                <w:kern w:val="0"/>
                <w:sz w:val="23"/>
                <w:szCs w:val="23"/>
                <w:highlight w:val="none"/>
              </w:rPr>
              <w:t>2</w:t>
            </w:r>
          </w:p>
        </w:tc>
        <w:tc>
          <w:tcPr>
            <w:tcW w:w="4927" w:type="dxa"/>
            <w:gridSpan w:val="4"/>
            <w:noWrap w:val="0"/>
            <w:vAlign w:val="top"/>
          </w:tcPr>
          <w:p w14:paraId="08B8C492">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7D83BCE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6EE4A52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6937F723">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256D9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noWrap w:val="0"/>
            <w:vAlign w:val="top"/>
          </w:tcPr>
          <w:p w14:paraId="270C5C23">
            <w:pPr>
              <w:widowControl/>
              <w:kinsoku w:val="0"/>
              <w:autoSpaceDE w:val="0"/>
              <w:autoSpaceDN w:val="0"/>
              <w:adjustRightInd w:val="0"/>
              <w:snapToGrid w:val="0"/>
              <w:spacing w:before="39" w:line="222" w:lineRule="auto"/>
              <w:ind w:left="74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8"/>
                <w:kern w:val="0"/>
                <w:sz w:val="23"/>
                <w:szCs w:val="23"/>
                <w:highlight w:val="none"/>
              </w:rPr>
              <w:t>分</w:t>
            </w:r>
            <w:r>
              <w:rPr>
                <w:rFonts w:hint="eastAsia" w:ascii="仿宋" w:hAnsi="仿宋" w:eastAsia="仿宋" w:cs="仿宋"/>
                <w:snapToGrid w:val="0"/>
                <w:color w:val="auto"/>
                <w:spacing w:val="7"/>
                <w:kern w:val="0"/>
                <w:sz w:val="23"/>
                <w:szCs w:val="23"/>
                <w:highlight w:val="none"/>
              </w:rPr>
              <w:t>包方代表</w:t>
            </w:r>
          </w:p>
        </w:tc>
        <w:tc>
          <w:tcPr>
            <w:tcW w:w="3073" w:type="dxa"/>
            <w:gridSpan w:val="2"/>
            <w:noWrap w:val="0"/>
            <w:vAlign w:val="top"/>
          </w:tcPr>
          <w:p w14:paraId="720633E4">
            <w:pPr>
              <w:widowControl/>
              <w:kinsoku w:val="0"/>
              <w:autoSpaceDE w:val="0"/>
              <w:autoSpaceDN w:val="0"/>
              <w:adjustRightInd w:val="0"/>
              <w:snapToGrid w:val="0"/>
              <w:spacing w:before="39" w:line="222" w:lineRule="auto"/>
              <w:ind w:left="94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0"/>
                <w:kern w:val="0"/>
                <w:sz w:val="23"/>
                <w:szCs w:val="23"/>
                <w:highlight w:val="none"/>
              </w:rPr>
              <w:t>承</w:t>
            </w:r>
            <w:r>
              <w:rPr>
                <w:rFonts w:hint="eastAsia" w:ascii="仿宋" w:hAnsi="仿宋" w:eastAsia="仿宋" w:cs="仿宋"/>
                <w:snapToGrid w:val="0"/>
                <w:color w:val="auto"/>
                <w:spacing w:val="7"/>
                <w:kern w:val="0"/>
                <w:sz w:val="23"/>
                <w:szCs w:val="23"/>
                <w:highlight w:val="none"/>
              </w:rPr>
              <w:t>包方代表</w:t>
            </w:r>
          </w:p>
        </w:tc>
        <w:tc>
          <w:tcPr>
            <w:tcW w:w="2990" w:type="dxa"/>
            <w:gridSpan w:val="3"/>
            <w:noWrap w:val="0"/>
            <w:vAlign w:val="top"/>
          </w:tcPr>
          <w:p w14:paraId="76F497CA">
            <w:pPr>
              <w:widowControl/>
              <w:kinsoku w:val="0"/>
              <w:autoSpaceDE w:val="0"/>
              <w:autoSpaceDN w:val="0"/>
              <w:adjustRightInd w:val="0"/>
              <w:snapToGrid w:val="0"/>
              <w:spacing w:before="39" w:line="222" w:lineRule="auto"/>
              <w:ind w:left="126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其它</w:t>
            </w:r>
          </w:p>
        </w:tc>
      </w:tr>
      <w:tr w14:paraId="53492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noWrap w:val="0"/>
            <w:vAlign w:val="top"/>
          </w:tcPr>
          <w:p w14:paraId="57B41897">
            <w:pPr>
              <w:widowControl/>
              <w:kinsoku w:val="0"/>
              <w:autoSpaceDE w:val="0"/>
              <w:autoSpaceDN w:val="0"/>
              <w:adjustRightInd w:val="0"/>
              <w:snapToGrid w:val="0"/>
              <w:spacing w:line="272" w:lineRule="auto"/>
              <w:jc w:val="left"/>
              <w:textAlignment w:val="baseline"/>
              <w:rPr>
                <w:rFonts w:hint="eastAsia" w:ascii="仿宋" w:hAnsi="仿宋" w:eastAsia="仿宋" w:cs="仿宋"/>
                <w:snapToGrid w:val="0"/>
                <w:color w:val="auto"/>
                <w:kern w:val="0"/>
                <w:sz w:val="21"/>
                <w:szCs w:val="21"/>
                <w:highlight w:val="none"/>
              </w:rPr>
            </w:pPr>
          </w:p>
          <w:p w14:paraId="11F60143">
            <w:pPr>
              <w:widowControl/>
              <w:kinsoku w:val="0"/>
              <w:autoSpaceDE w:val="0"/>
              <w:autoSpaceDN w:val="0"/>
              <w:adjustRightInd w:val="0"/>
              <w:snapToGrid w:val="0"/>
              <w:spacing w:before="75" w:line="229" w:lineRule="auto"/>
              <w:ind w:left="12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现场执行人</w:t>
            </w:r>
            <w:r>
              <w:rPr>
                <w:rFonts w:hint="eastAsia" w:ascii="仿宋" w:hAnsi="仿宋" w:eastAsia="仿宋" w:cs="仿宋"/>
                <w:snapToGrid w:val="0"/>
                <w:color w:val="auto"/>
                <w:spacing w:val="4"/>
                <w:kern w:val="0"/>
                <w:sz w:val="23"/>
                <w:szCs w:val="23"/>
                <w:highlight w:val="none"/>
              </w:rPr>
              <w:t>：</w:t>
            </w:r>
          </w:p>
        </w:tc>
        <w:tc>
          <w:tcPr>
            <w:tcW w:w="3073" w:type="dxa"/>
            <w:gridSpan w:val="2"/>
            <w:noWrap w:val="0"/>
            <w:vAlign w:val="top"/>
          </w:tcPr>
          <w:p w14:paraId="5D21C256">
            <w:pPr>
              <w:widowControl/>
              <w:kinsoku w:val="0"/>
              <w:autoSpaceDE w:val="0"/>
              <w:autoSpaceDN w:val="0"/>
              <w:adjustRightInd w:val="0"/>
              <w:snapToGrid w:val="0"/>
              <w:spacing w:line="272" w:lineRule="auto"/>
              <w:jc w:val="left"/>
              <w:textAlignment w:val="baseline"/>
              <w:rPr>
                <w:rFonts w:hint="eastAsia" w:ascii="仿宋" w:hAnsi="仿宋" w:eastAsia="仿宋" w:cs="仿宋"/>
                <w:snapToGrid w:val="0"/>
                <w:color w:val="auto"/>
                <w:kern w:val="0"/>
                <w:sz w:val="21"/>
                <w:szCs w:val="21"/>
                <w:highlight w:val="none"/>
              </w:rPr>
            </w:pPr>
          </w:p>
          <w:p w14:paraId="18B2860F">
            <w:pPr>
              <w:widowControl/>
              <w:kinsoku w:val="0"/>
              <w:autoSpaceDE w:val="0"/>
              <w:autoSpaceDN w:val="0"/>
              <w:adjustRightInd w:val="0"/>
              <w:snapToGrid w:val="0"/>
              <w:spacing w:before="74" w:line="233" w:lineRule="auto"/>
              <w:ind w:left="11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施</w:t>
            </w:r>
            <w:r>
              <w:rPr>
                <w:rFonts w:hint="eastAsia" w:ascii="仿宋" w:hAnsi="仿宋" w:eastAsia="仿宋" w:cs="仿宋"/>
                <w:snapToGrid w:val="0"/>
                <w:color w:val="auto"/>
                <w:spacing w:val="3"/>
                <w:kern w:val="0"/>
                <w:sz w:val="23"/>
                <w:szCs w:val="23"/>
                <w:highlight w:val="none"/>
              </w:rPr>
              <w:t>工员：</w:t>
            </w:r>
          </w:p>
          <w:p w14:paraId="04DB0208">
            <w:pPr>
              <w:widowControl/>
              <w:kinsoku w:val="0"/>
              <w:autoSpaceDE w:val="0"/>
              <w:autoSpaceDN w:val="0"/>
              <w:adjustRightInd w:val="0"/>
              <w:snapToGrid w:val="0"/>
              <w:spacing w:line="255" w:lineRule="auto"/>
              <w:jc w:val="left"/>
              <w:textAlignment w:val="baseline"/>
              <w:rPr>
                <w:rFonts w:hint="eastAsia" w:ascii="仿宋" w:hAnsi="仿宋" w:eastAsia="仿宋" w:cs="仿宋"/>
                <w:snapToGrid w:val="0"/>
                <w:color w:val="auto"/>
                <w:kern w:val="0"/>
                <w:sz w:val="21"/>
                <w:szCs w:val="21"/>
                <w:highlight w:val="none"/>
              </w:rPr>
            </w:pPr>
          </w:p>
          <w:p w14:paraId="4E959302">
            <w:pPr>
              <w:widowControl/>
              <w:kinsoku w:val="0"/>
              <w:autoSpaceDE w:val="0"/>
              <w:autoSpaceDN w:val="0"/>
              <w:adjustRightInd w:val="0"/>
              <w:snapToGrid w:val="0"/>
              <w:spacing w:before="74" w:line="233" w:lineRule="auto"/>
              <w:ind w:left="12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副经理</w:t>
            </w:r>
            <w:r>
              <w:rPr>
                <w:rFonts w:hint="eastAsia" w:ascii="仿宋" w:hAnsi="仿宋" w:eastAsia="仿宋" w:cs="仿宋"/>
                <w:snapToGrid w:val="0"/>
                <w:color w:val="auto"/>
                <w:spacing w:val="1"/>
                <w:kern w:val="0"/>
                <w:sz w:val="23"/>
                <w:szCs w:val="23"/>
                <w:highlight w:val="none"/>
              </w:rPr>
              <w:t>：</w:t>
            </w:r>
          </w:p>
          <w:p w14:paraId="60A3762A">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3C1DA6B1">
            <w:pPr>
              <w:widowControl/>
              <w:kinsoku w:val="0"/>
              <w:autoSpaceDE w:val="0"/>
              <w:autoSpaceDN w:val="0"/>
              <w:adjustRightInd w:val="0"/>
              <w:snapToGrid w:val="0"/>
              <w:spacing w:before="74" w:line="231" w:lineRule="auto"/>
              <w:ind w:left="12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成本管理员：</w:t>
            </w:r>
          </w:p>
        </w:tc>
        <w:tc>
          <w:tcPr>
            <w:tcW w:w="2990" w:type="dxa"/>
            <w:gridSpan w:val="3"/>
            <w:noWrap w:val="0"/>
            <w:vAlign w:val="top"/>
          </w:tcPr>
          <w:p w14:paraId="7704EBD5">
            <w:pPr>
              <w:widowControl/>
              <w:kinsoku w:val="0"/>
              <w:autoSpaceDE w:val="0"/>
              <w:autoSpaceDN w:val="0"/>
              <w:adjustRightInd w:val="0"/>
              <w:snapToGrid w:val="0"/>
              <w:spacing w:line="272" w:lineRule="auto"/>
              <w:jc w:val="left"/>
              <w:textAlignment w:val="baseline"/>
              <w:rPr>
                <w:rFonts w:hint="eastAsia" w:ascii="仿宋" w:hAnsi="仿宋" w:eastAsia="仿宋" w:cs="仿宋"/>
                <w:snapToGrid w:val="0"/>
                <w:color w:val="auto"/>
                <w:kern w:val="0"/>
                <w:sz w:val="21"/>
                <w:szCs w:val="21"/>
                <w:highlight w:val="none"/>
              </w:rPr>
            </w:pPr>
          </w:p>
          <w:p w14:paraId="0DB2D5F3">
            <w:pPr>
              <w:widowControl/>
              <w:kinsoku w:val="0"/>
              <w:autoSpaceDE w:val="0"/>
              <w:autoSpaceDN w:val="0"/>
              <w:adjustRightInd w:val="0"/>
              <w:snapToGrid w:val="0"/>
              <w:spacing w:before="74" w:line="265" w:lineRule="auto"/>
              <w:ind w:left="127" w:right="107" w:firstLine="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附件如</w:t>
            </w:r>
            <w:r>
              <w:rPr>
                <w:rFonts w:hint="eastAsia" w:ascii="仿宋" w:hAnsi="仿宋" w:eastAsia="仿宋" w:cs="仿宋"/>
                <w:snapToGrid w:val="0"/>
                <w:color w:val="auto"/>
                <w:spacing w:val="-1"/>
                <w:kern w:val="0"/>
                <w:sz w:val="23"/>
                <w:szCs w:val="23"/>
                <w:highlight w:val="none"/>
              </w:rPr>
              <w:t>：施工前、中、后的</w:t>
            </w:r>
            <w:r>
              <w:rPr>
                <w:rFonts w:hint="eastAsia" w:ascii="仿宋" w:hAnsi="仿宋" w:eastAsia="仿宋" w:cs="仿宋"/>
                <w:snapToGrid w:val="0"/>
                <w:color w:val="auto"/>
                <w:kern w:val="0"/>
                <w:sz w:val="23"/>
                <w:szCs w:val="23"/>
                <w:highlight w:val="none"/>
              </w:rPr>
              <w:t xml:space="preserve"> </w:t>
            </w:r>
            <w:r>
              <w:rPr>
                <w:rFonts w:hint="eastAsia" w:ascii="仿宋" w:hAnsi="仿宋" w:eastAsia="仿宋" w:cs="仿宋"/>
                <w:snapToGrid w:val="0"/>
                <w:color w:val="auto"/>
                <w:spacing w:val="8"/>
                <w:kern w:val="0"/>
                <w:sz w:val="23"/>
                <w:szCs w:val="23"/>
                <w:highlight w:val="none"/>
              </w:rPr>
              <w:t>照</w:t>
            </w:r>
            <w:r>
              <w:rPr>
                <w:rFonts w:hint="eastAsia" w:ascii="仿宋" w:hAnsi="仿宋" w:eastAsia="仿宋" w:cs="仿宋"/>
                <w:snapToGrid w:val="0"/>
                <w:color w:val="auto"/>
                <w:spacing w:val="5"/>
                <w:kern w:val="0"/>
                <w:sz w:val="23"/>
                <w:szCs w:val="23"/>
                <w:highlight w:val="none"/>
              </w:rPr>
              <w:t>片、录像</w:t>
            </w:r>
          </w:p>
        </w:tc>
      </w:tr>
      <w:tr w14:paraId="572E0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noWrap w:val="0"/>
            <w:vAlign w:val="top"/>
          </w:tcPr>
          <w:p w14:paraId="59B14C91">
            <w:pPr>
              <w:widowControl/>
              <w:kinsoku w:val="0"/>
              <w:autoSpaceDE w:val="0"/>
              <w:autoSpaceDN w:val="0"/>
              <w:adjustRightInd w:val="0"/>
              <w:snapToGrid w:val="0"/>
              <w:spacing w:before="212" w:line="231" w:lineRule="auto"/>
              <w:ind w:left="62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5"/>
                <w:kern w:val="0"/>
                <w:sz w:val="23"/>
                <w:szCs w:val="23"/>
                <w:highlight w:val="none"/>
              </w:rPr>
              <w:t>年</w:t>
            </w:r>
            <w:r>
              <w:rPr>
                <w:rFonts w:hint="eastAsia" w:ascii="仿宋" w:hAnsi="仿宋" w:eastAsia="仿宋" w:cs="仿宋"/>
                <w:snapToGrid w:val="0"/>
                <w:color w:val="auto"/>
                <w:spacing w:val="10"/>
                <w:kern w:val="0"/>
                <w:sz w:val="23"/>
                <w:szCs w:val="23"/>
                <w:highlight w:val="none"/>
              </w:rPr>
              <w:t xml:space="preserve">   月   日</w:t>
            </w:r>
          </w:p>
        </w:tc>
        <w:tc>
          <w:tcPr>
            <w:tcW w:w="3073" w:type="dxa"/>
            <w:gridSpan w:val="2"/>
            <w:noWrap w:val="0"/>
            <w:vAlign w:val="top"/>
          </w:tcPr>
          <w:p w14:paraId="0B94FFF7">
            <w:pPr>
              <w:widowControl/>
              <w:kinsoku w:val="0"/>
              <w:autoSpaceDE w:val="0"/>
              <w:autoSpaceDN w:val="0"/>
              <w:adjustRightInd w:val="0"/>
              <w:snapToGrid w:val="0"/>
              <w:spacing w:before="212" w:line="231" w:lineRule="auto"/>
              <w:ind w:left="83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5"/>
                <w:kern w:val="0"/>
                <w:sz w:val="23"/>
                <w:szCs w:val="23"/>
                <w:highlight w:val="none"/>
              </w:rPr>
              <w:t>年</w:t>
            </w:r>
            <w:r>
              <w:rPr>
                <w:rFonts w:hint="eastAsia" w:ascii="仿宋" w:hAnsi="仿宋" w:eastAsia="仿宋" w:cs="仿宋"/>
                <w:snapToGrid w:val="0"/>
                <w:color w:val="auto"/>
                <w:spacing w:val="10"/>
                <w:kern w:val="0"/>
                <w:sz w:val="23"/>
                <w:szCs w:val="23"/>
                <w:highlight w:val="none"/>
              </w:rPr>
              <w:t xml:space="preserve">   月   日</w:t>
            </w:r>
          </w:p>
        </w:tc>
        <w:tc>
          <w:tcPr>
            <w:tcW w:w="2990" w:type="dxa"/>
            <w:gridSpan w:val="3"/>
            <w:noWrap w:val="0"/>
            <w:vAlign w:val="top"/>
          </w:tcPr>
          <w:p w14:paraId="6EAC556E">
            <w:pPr>
              <w:widowControl/>
              <w:kinsoku w:val="0"/>
              <w:autoSpaceDE w:val="0"/>
              <w:autoSpaceDN w:val="0"/>
              <w:adjustRightInd w:val="0"/>
              <w:snapToGrid w:val="0"/>
              <w:spacing w:before="212" w:line="231" w:lineRule="auto"/>
              <w:ind w:left="79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5"/>
                <w:kern w:val="0"/>
                <w:sz w:val="23"/>
                <w:szCs w:val="23"/>
                <w:highlight w:val="none"/>
              </w:rPr>
              <w:t>年</w:t>
            </w:r>
            <w:r>
              <w:rPr>
                <w:rFonts w:hint="eastAsia" w:ascii="仿宋" w:hAnsi="仿宋" w:eastAsia="仿宋" w:cs="仿宋"/>
                <w:snapToGrid w:val="0"/>
                <w:color w:val="auto"/>
                <w:spacing w:val="10"/>
                <w:kern w:val="0"/>
                <w:sz w:val="23"/>
                <w:szCs w:val="23"/>
                <w:highlight w:val="none"/>
              </w:rPr>
              <w:t xml:space="preserve">   月   日</w:t>
            </w:r>
          </w:p>
        </w:tc>
      </w:tr>
    </w:tbl>
    <w:p w14:paraId="0766F2A6">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5DD59DED">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69" w:name="_Toc9549"/>
      <w:bookmarkStart w:id="370" w:name="_Toc10964"/>
      <w:bookmarkStart w:id="371" w:name="_Toc28763"/>
      <w:bookmarkStart w:id="372" w:name="_Toc25617"/>
    </w:p>
    <w:p w14:paraId="196B3CB8">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附件十</w:t>
      </w:r>
      <w:bookmarkEnd w:id="369"/>
      <w:bookmarkEnd w:id="370"/>
      <w:bookmarkEnd w:id="371"/>
      <w:bookmarkEnd w:id="372"/>
      <w:r>
        <w:rPr>
          <w:rFonts w:hint="eastAsia" w:ascii="仿宋" w:hAnsi="仿宋" w:eastAsia="仿宋" w:cs="仿宋"/>
          <w:b/>
          <w:bCs w:val="0"/>
          <w:color w:val="auto"/>
          <w:sz w:val="40"/>
          <w:szCs w:val="40"/>
          <w:highlight w:val="none"/>
          <w:shd w:val="clear" w:color="auto" w:fill="auto"/>
          <w:lang w:val="en-US" w:eastAsia="zh-CN"/>
        </w:rPr>
        <w:t>二</w:t>
      </w:r>
    </w:p>
    <w:p w14:paraId="3A52F819">
      <w:pPr>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工程结算支付证明单</w:t>
      </w:r>
    </w:p>
    <w:p w14:paraId="22035A8D">
      <w:pPr>
        <w:jc w:val="center"/>
        <w:rPr>
          <w:rFonts w:hint="eastAsia" w:ascii="仿宋" w:hAnsi="仿宋" w:eastAsia="仿宋" w:cs="仿宋"/>
          <w:b/>
          <w:bCs/>
          <w:color w:val="auto"/>
          <w:sz w:val="44"/>
          <w:szCs w:val="44"/>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参考格式</w:t>
      </w:r>
      <w:r>
        <w:rPr>
          <w:rFonts w:hint="eastAsia" w:ascii="仿宋" w:hAnsi="仿宋" w:eastAsia="仿宋" w:cs="仿宋"/>
          <w:b/>
          <w:bCs/>
          <w:color w:val="auto"/>
          <w:sz w:val="21"/>
          <w:szCs w:val="21"/>
          <w:highlight w:val="none"/>
          <w:lang w:eastAsia="zh-CN"/>
        </w:rPr>
        <w:t>）</w:t>
      </w:r>
    </w:p>
    <w:p w14:paraId="09486071">
      <w:pPr>
        <w:jc w:val="center"/>
        <w:rPr>
          <w:rFonts w:hint="eastAsia" w:ascii="仿宋" w:hAnsi="仿宋" w:eastAsia="仿宋" w:cs="仿宋"/>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62E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845" w:type="dxa"/>
            <w:noWrap w:val="0"/>
            <w:vAlign w:val="top"/>
          </w:tcPr>
          <w:p w14:paraId="17755325">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序号</w:t>
            </w:r>
          </w:p>
        </w:tc>
        <w:tc>
          <w:tcPr>
            <w:tcW w:w="8428" w:type="dxa"/>
            <w:noWrap w:val="0"/>
            <w:vAlign w:val="top"/>
          </w:tcPr>
          <w:p w14:paraId="5C1E2F80">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结算明细</w:t>
            </w:r>
          </w:p>
        </w:tc>
      </w:tr>
      <w:tr w14:paraId="2FAB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1BAA266D">
            <w:pPr>
              <w:jc w:val="center"/>
              <w:rPr>
                <w:rFonts w:hint="eastAsia" w:ascii="仿宋" w:hAnsi="仿宋" w:eastAsia="仿宋" w:cs="仿宋"/>
                <w:color w:val="auto"/>
                <w:sz w:val="30"/>
                <w:szCs w:val="30"/>
                <w:highlight w:val="none"/>
              </w:rPr>
            </w:pPr>
            <w:r>
              <w:rPr>
                <w:rFonts w:hint="eastAsia" w:ascii="仿宋" w:hAnsi="仿宋" w:eastAsia="仿宋" w:cs="仿宋"/>
                <w:color w:val="auto"/>
                <w:sz w:val="28"/>
                <w:szCs w:val="28"/>
                <w:highlight w:val="none"/>
              </w:rPr>
              <w:t>1</w:t>
            </w:r>
          </w:p>
        </w:tc>
        <w:tc>
          <w:tcPr>
            <w:tcW w:w="8428" w:type="dxa"/>
            <w:noWrap w:val="0"/>
            <w:vAlign w:val="top"/>
          </w:tcPr>
          <w:p w14:paraId="4E169411">
            <w:pPr>
              <w:jc w:val="left"/>
              <w:rPr>
                <w:rFonts w:hint="eastAsia" w:ascii="仿宋" w:hAnsi="仿宋" w:eastAsia="仿宋" w:cs="仿宋"/>
                <w:color w:val="auto"/>
                <w:sz w:val="30"/>
                <w:szCs w:val="30"/>
                <w:highlight w:val="none"/>
              </w:rPr>
            </w:pPr>
            <w:r>
              <w:rPr>
                <w:rFonts w:hint="eastAsia" w:ascii="仿宋" w:hAnsi="仿宋" w:eastAsia="仿宋" w:cs="仿宋"/>
                <w:color w:val="auto"/>
                <w:sz w:val="28"/>
                <w:szCs w:val="28"/>
                <w:highlight w:val="none"/>
              </w:rPr>
              <w:t>工程名称：</w:t>
            </w:r>
          </w:p>
        </w:tc>
      </w:tr>
      <w:tr w14:paraId="3704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7366043B">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8428" w:type="dxa"/>
            <w:noWrap w:val="0"/>
            <w:vAlign w:val="top"/>
          </w:tcPr>
          <w:p w14:paraId="4AAA8417">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单位名称：</w:t>
            </w:r>
          </w:p>
        </w:tc>
      </w:tr>
      <w:tr w14:paraId="021E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54232FFC">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p>
        </w:tc>
        <w:tc>
          <w:tcPr>
            <w:tcW w:w="8428" w:type="dxa"/>
            <w:noWrap w:val="0"/>
            <w:vAlign w:val="top"/>
          </w:tcPr>
          <w:p w14:paraId="10CB586D">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合同单位负责人:</w:t>
            </w:r>
          </w:p>
        </w:tc>
      </w:tr>
      <w:tr w14:paraId="3630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5A949402">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p>
        </w:tc>
        <w:tc>
          <w:tcPr>
            <w:tcW w:w="8428" w:type="dxa"/>
            <w:noWrap w:val="0"/>
            <w:vAlign w:val="top"/>
          </w:tcPr>
          <w:p w14:paraId="64222BFC">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合同编号：</w:t>
            </w:r>
          </w:p>
        </w:tc>
      </w:tr>
      <w:tr w14:paraId="24C4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20B9A189">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p>
        </w:tc>
        <w:tc>
          <w:tcPr>
            <w:tcW w:w="8428" w:type="dxa"/>
            <w:noWrap w:val="0"/>
            <w:vAlign w:val="top"/>
          </w:tcPr>
          <w:p w14:paraId="16070656">
            <w:pPr>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合同总价：</w:t>
            </w:r>
            <w:r>
              <w:rPr>
                <w:rFonts w:hint="eastAsia" w:ascii="仿宋" w:hAnsi="仿宋" w:eastAsia="仿宋" w:cs="仿宋"/>
                <w:color w:val="auto"/>
                <w:sz w:val="28"/>
                <w:szCs w:val="28"/>
                <w:highlight w:val="none"/>
                <w:lang w:val="en-US" w:eastAsia="zh-CN"/>
              </w:rPr>
              <w:t xml:space="preserve">     元</w:t>
            </w:r>
          </w:p>
        </w:tc>
      </w:tr>
      <w:tr w14:paraId="0A6F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104B5EC6">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p>
        </w:tc>
        <w:tc>
          <w:tcPr>
            <w:tcW w:w="8428" w:type="dxa"/>
            <w:noWrap w:val="0"/>
            <w:vAlign w:val="top"/>
          </w:tcPr>
          <w:p w14:paraId="3C017771">
            <w:pPr>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结算总价：</w:t>
            </w:r>
            <w:r>
              <w:rPr>
                <w:rFonts w:hint="eastAsia" w:ascii="仿宋" w:hAnsi="仿宋" w:eastAsia="仿宋" w:cs="仿宋"/>
                <w:color w:val="auto"/>
                <w:sz w:val="28"/>
                <w:szCs w:val="28"/>
                <w:highlight w:val="none"/>
                <w:lang w:val="en-US" w:eastAsia="zh-CN"/>
              </w:rPr>
              <w:t xml:space="preserve">     元</w:t>
            </w:r>
          </w:p>
        </w:tc>
      </w:tr>
      <w:tr w14:paraId="66E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468ADE40">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p>
        </w:tc>
        <w:tc>
          <w:tcPr>
            <w:tcW w:w="8428" w:type="dxa"/>
            <w:noWrap w:val="0"/>
            <w:vAlign w:val="top"/>
          </w:tcPr>
          <w:p w14:paraId="737DE0D0">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累计已收款：</w:t>
            </w:r>
            <w:r>
              <w:rPr>
                <w:rFonts w:hint="eastAsia" w:ascii="仿宋" w:hAnsi="仿宋" w:eastAsia="仿宋" w:cs="仿宋"/>
                <w:color w:val="auto"/>
                <w:sz w:val="28"/>
                <w:szCs w:val="28"/>
                <w:highlight w:val="none"/>
                <w:lang w:val="en-US" w:eastAsia="zh-CN"/>
              </w:rPr>
              <w:t xml:space="preserve">   元</w:t>
            </w:r>
            <w:r>
              <w:rPr>
                <w:rFonts w:hint="eastAsia" w:ascii="仿宋" w:hAnsi="仿宋" w:eastAsia="仿宋" w:cs="仿宋"/>
                <w:color w:val="auto"/>
                <w:sz w:val="28"/>
                <w:szCs w:val="28"/>
                <w:highlight w:val="none"/>
              </w:rPr>
              <w:t xml:space="preserve">        截止日期：</w:t>
            </w:r>
            <w:r>
              <w:rPr>
                <w:rFonts w:hint="eastAsia" w:ascii="仿宋" w:hAnsi="仿宋" w:eastAsia="仿宋" w:cs="仿宋"/>
                <w:color w:val="auto"/>
                <w:sz w:val="28"/>
                <w:szCs w:val="28"/>
                <w:highlight w:val="none"/>
                <w:lang w:val="en-US" w:eastAsia="zh-CN"/>
              </w:rPr>
              <w:t xml:space="preserve">202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p>
        </w:tc>
      </w:tr>
      <w:tr w14:paraId="5AEE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632F653D">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w:t>
            </w:r>
          </w:p>
        </w:tc>
        <w:tc>
          <w:tcPr>
            <w:tcW w:w="8428" w:type="dxa"/>
            <w:noWrap w:val="0"/>
            <w:vAlign w:val="top"/>
          </w:tcPr>
          <w:p w14:paraId="2A6DF193">
            <w:pPr>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未付款：</w:t>
            </w:r>
            <w:r>
              <w:rPr>
                <w:rFonts w:hint="eastAsia" w:ascii="仿宋" w:hAnsi="仿宋" w:eastAsia="仿宋" w:cs="仿宋"/>
                <w:color w:val="auto"/>
                <w:sz w:val="28"/>
                <w:szCs w:val="28"/>
                <w:highlight w:val="none"/>
                <w:lang w:val="en-US" w:eastAsia="zh-CN"/>
              </w:rPr>
              <w:t xml:space="preserve">       元</w:t>
            </w:r>
          </w:p>
        </w:tc>
      </w:tr>
    </w:tbl>
    <w:p w14:paraId="64653A79">
      <w:pPr>
        <w:jc w:val="center"/>
        <w:rPr>
          <w:rFonts w:hint="eastAsia" w:ascii="仿宋" w:hAnsi="仿宋" w:eastAsia="仿宋" w:cs="仿宋"/>
          <w:color w:val="auto"/>
          <w:sz w:val="36"/>
          <w:szCs w:val="36"/>
          <w:highlight w:val="none"/>
        </w:rPr>
      </w:pPr>
    </w:p>
    <w:p w14:paraId="5776297E">
      <w:pPr>
        <w:jc w:val="center"/>
        <w:rPr>
          <w:rFonts w:hint="eastAsia" w:ascii="仿宋" w:hAnsi="仿宋" w:eastAsia="仿宋" w:cs="仿宋"/>
          <w:color w:val="auto"/>
          <w:sz w:val="28"/>
          <w:szCs w:val="28"/>
          <w:highlight w:val="none"/>
        </w:rPr>
      </w:pPr>
    </w:p>
    <w:p w14:paraId="3DC9B41B">
      <w:pPr>
        <w:jc w:val="center"/>
        <w:rPr>
          <w:rFonts w:hint="eastAsia" w:ascii="仿宋" w:hAnsi="仿宋" w:eastAsia="仿宋" w:cs="仿宋"/>
          <w:color w:val="auto"/>
          <w:sz w:val="28"/>
          <w:szCs w:val="28"/>
          <w:highlight w:val="none"/>
        </w:rPr>
      </w:pPr>
    </w:p>
    <w:p w14:paraId="7FF1C5BC">
      <w:pPr>
        <w:jc w:val="center"/>
        <w:rPr>
          <w:rFonts w:hint="eastAsia" w:ascii="仿宋" w:hAnsi="仿宋" w:eastAsia="仿宋" w:cs="仿宋"/>
          <w:color w:val="auto"/>
          <w:sz w:val="28"/>
          <w:szCs w:val="28"/>
          <w:highlight w:val="none"/>
        </w:rPr>
      </w:pPr>
    </w:p>
    <w:p w14:paraId="34E9751E">
      <w:pPr>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30"/>
          <w:szCs w:val="30"/>
          <w:highlight w:val="none"/>
        </w:rPr>
        <w:t xml:space="preserve">                               </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28"/>
          <w:szCs w:val="28"/>
          <w:highlight w:val="none"/>
        </w:rPr>
        <w:t>有限公司</w:t>
      </w:r>
      <w:r>
        <w:rPr>
          <w:rFonts w:hint="eastAsia" w:ascii="仿宋" w:hAnsi="仿宋" w:eastAsia="仿宋" w:cs="仿宋"/>
          <w:color w:val="auto"/>
          <w:sz w:val="28"/>
          <w:szCs w:val="28"/>
          <w:highlight w:val="none"/>
          <w:lang w:val="en-US" w:eastAsia="zh-CN"/>
        </w:rPr>
        <w:t>(加盖公章)</w:t>
      </w:r>
    </w:p>
    <w:p w14:paraId="408552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202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p>
    <w:p w14:paraId="27969ADC">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73" w:name="_Toc18518"/>
      <w:bookmarkStart w:id="374" w:name="_Toc26856"/>
      <w:bookmarkStart w:id="375" w:name="_Toc20382"/>
      <w:bookmarkStart w:id="376" w:name="_Toc5925"/>
    </w:p>
    <w:p w14:paraId="2EBB30E1">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3178B23E">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6FAD95AB">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51966DDE">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bookmarkStart w:id="377" w:name="_Toc31854"/>
      <w:bookmarkStart w:id="378" w:name="_Toc12674"/>
      <w:bookmarkStart w:id="379" w:name="_Toc4374"/>
      <w:bookmarkStart w:id="380" w:name="_Toc1310"/>
      <w:r>
        <w:rPr>
          <w:rFonts w:hint="eastAsia" w:ascii="仿宋" w:hAnsi="仿宋" w:eastAsia="仿宋" w:cs="仿宋"/>
          <w:b/>
          <w:bCs w:val="0"/>
          <w:color w:val="auto"/>
          <w:sz w:val="40"/>
          <w:szCs w:val="40"/>
          <w:highlight w:val="none"/>
          <w:shd w:val="clear" w:color="auto" w:fill="auto"/>
          <w:lang w:val="en-US" w:eastAsia="zh-CN"/>
        </w:rPr>
        <w:t>附件</w:t>
      </w:r>
      <w:bookmarkEnd w:id="373"/>
      <w:r>
        <w:rPr>
          <w:rFonts w:hint="eastAsia" w:ascii="仿宋" w:hAnsi="仿宋" w:eastAsia="仿宋" w:cs="仿宋"/>
          <w:b/>
          <w:bCs w:val="0"/>
          <w:color w:val="auto"/>
          <w:sz w:val="40"/>
          <w:szCs w:val="40"/>
          <w:highlight w:val="none"/>
          <w:shd w:val="clear" w:color="auto" w:fill="auto"/>
          <w:lang w:val="en-US" w:eastAsia="zh-CN"/>
        </w:rPr>
        <w:t>十</w:t>
      </w:r>
      <w:bookmarkEnd w:id="374"/>
      <w:bookmarkEnd w:id="375"/>
      <w:bookmarkEnd w:id="376"/>
      <w:bookmarkEnd w:id="377"/>
      <w:bookmarkEnd w:id="378"/>
      <w:bookmarkEnd w:id="379"/>
      <w:bookmarkEnd w:id="380"/>
      <w:r>
        <w:rPr>
          <w:rFonts w:hint="eastAsia" w:ascii="仿宋" w:hAnsi="仿宋" w:eastAsia="仿宋" w:cs="仿宋"/>
          <w:b/>
          <w:bCs w:val="0"/>
          <w:color w:val="auto"/>
          <w:sz w:val="40"/>
          <w:szCs w:val="40"/>
          <w:highlight w:val="none"/>
          <w:shd w:val="clear" w:color="auto" w:fill="auto"/>
          <w:lang w:val="en-US" w:eastAsia="zh-CN"/>
        </w:rPr>
        <w:t>三</w:t>
      </w:r>
    </w:p>
    <w:tbl>
      <w:tblPr>
        <w:tblStyle w:val="15"/>
        <w:tblpPr w:leftFromText="180" w:rightFromText="180" w:vertAnchor="text" w:horzAnchor="page" w:tblpX="1465" w:tblpY="768"/>
        <w:tblOverlap w:val="never"/>
        <w:tblW w:w="92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3910"/>
        <w:gridCol w:w="1951"/>
        <w:gridCol w:w="2145"/>
      </w:tblGrid>
      <w:tr w14:paraId="25708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noWrap w:val="0"/>
            <w:vAlign w:val="center"/>
          </w:tcPr>
          <w:p w14:paraId="764E4CB3">
            <w:pPr>
              <w:keepNext w:val="0"/>
              <w:keepLines w:val="0"/>
              <w:widowControl/>
              <w:suppressLineNumbers w:val="0"/>
              <w:jc w:val="center"/>
              <w:textAlignment w:val="center"/>
              <w:rPr>
                <w:rFonts w:hint="eastAsia" w:ascii="仿宋" w:hAnsi="仿宋" w:eastAsia="仿宋" w:cs="仿宋"/>
                <w:b/>
                <w:bCs/>
                <w:i w:val="0"/>
                <w:iCs w:val="0"/>
                <w:color w:val="auto"/>
                <w:sz w:val="40"/>
                <w:szCs w:val="40"/>
                <w:highlight w:val="none"/>
                <w:u w:val="none"/>
              </w:rPr>
            </w:pPr>
            <w:r>
              <w:rPr>
                <w:rFonts w:hint="eastAsia" w:ascii="仿宋" w:hAnsi="仿宋" w:eastAsia="仿宋" w:cs="仿宋"/>
                <w:b/>
                <w:bCs w:val="0"/>
                <w:color w:val="auto"/>
                <w:sz w:val="40"/>
                <w:szCs w:val="40"/>
                <w:highlight w:val="none"/>
                <w:shd w:val="clear" w:color="auto" w:fill="auto"/>
                <w:lang w:val="en-US" w:eastAsia="zh-CN"/>
              </w:rPr>
              <w:t>工完场清交接单</w:t>
            </w:r>
            <w:r>
              <w:rPr>
                <w:rFonts w:hint="eastAsia" w:ascii="仿宋" w:hAnsi="仿宋" w:eastAsia="仿宋" w:cs="仿宋"/>
                <w:b/>
                <w:bCs/>
                <w:i w:val="0"/>
                <w:iCs w:val="0"/>
                <w:color w:val="auto"/>
                <w:kern w:val="0"/>
                <w:sz w:val="40"/>
                <w:szCs w:val="40"/>
                <w:highlight w:val="none"/>
                <w:u w:val="none"/>
                <w:lang w:val="en-US" w:eastAsia="zh-CN" w:bidi="ar"/>
              </w:rPr>
              <w:t xml:space="preserve">                                                                                                            </w:t>
            </w:r>
          </w:p>
        </w:tc>
      </w:tr>
      <w:tr w14:paraId="6A04F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noWrap w:val="0"/>
            <w:vAlign w:val="center"/>
          </w:tcPr>
          <w:p w14:paraId="437A8CC9">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3E38F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noWrap/>
            <w:vAlign w:val="center"/>
          </w:tcPr>
          <w:p w14:paraId="5BF68A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3910" w:type="dxa"/>
            <w:tcBorders>
              <w:top w:val="single" w:color="000000" w:sz="4" w:space="0"/>
              <w:left w:val="single" w:color="000000" w:sz="4" w:space="0"/>
              <w:bottom w:val="single" w:color="000000" w:sz="4" w:space="0"/>
              <w:right w:val="nil"/>
            </w:tcBorders>
            <w:noWrap/>
            <w:vAlign w:val="center"/>
          </w:tcPr>
          <w:p w14:paraId="27383E89">
            <w:pP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48158A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noWrap/>
            <w:vAlign w:val="center"/>
          </w:tcPr>
          <w:p w14:paraId="566939F2">
            <w:pPr>
              <w:rPr>
                <w:rFonts w:hint="eastAsia" w:ascii="仿宋" w:hAnsi="仿宋" w:eastAsia="仿宋" w:cs="仿宋"/>
                <w:i w:val="0"/>
                <w:iCs w:val="0"/>
                <w:color w:val="auto"/>
                <w:sz w:val="24"/>
                <w:szCs w:val="24"/>
                <w:highlight w:val="none"/>
                <w:u w:val="none"/>
              </w:rPr>
            </w:pPr>
          </w:p>
        </w:tc>
      </w:tr>
      <w:tr w14:paraId="27CA0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07496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3910" w:type="dxa"/>
            <w:vMerge w:val="restart"/>
            <w:tcBorders>
              <w:top w:val="single" w:color="000000" w:sz="4" w:space="0"/>
              <w:left w:val="single" w:color="000000" w:sz="4" w:space="0"/>
              <w:bottom w:val="single" w:color="000000" w:sz="4" w:space="0"/>
              <w:right w:val="single" w:color="000000" w:sz="4" w:space="0"/>
            </w:tcBorders>
            <w:noWrap/>
            <w:vAlign w:val="center"/>
          </w:tcPr>
          <w:p w14:paraId="73C477B6">
            <w:pPr>
              <w:jc w:val="center"/>
              <w:rPr>
                <w:rFonts w:hint="eastAsia" w:ascii="仿宋" w:hAnsi="仿宋" w:eastAsia="仿宋" w:cs="仿宋"/>
                <w:i w:val="0"/>
                <w:iCs w:val="0"/>
                <w:color w:val="auto"/>
                <w:sz w:val="24"/>
                <w:szCs w:val="24"/>
                <w:highlight w:val="none"/>
                <w:u w:val="none"/>
              </w:rPr>
            </w:pPr>
          </w:p>
        </w:tc>
        <w:tc>
          <w:tcPr>
            <w:tcW w:w="1951" w:type="dxa"/>
            <w:vMerge w:val="restart"/>
            <w:tcBorders>
              <w:top w:val="single" w:color="000000" w:sz="4" w:space="0"/>
              <w:left w:val="single" w:color="000000" w:sz="4" w:space="0"/>
              <w:bottom w:val="single" w:color="000000" w:sz="4" w:space="0"/>
              <w:right w:val="single" w:color="000000" w:sz="4" w:space="0"/>
            </w:tcBorders>
            <w:noWrap w:val="0"/>
            <w:vAlign w:val="center"/>
          </w:tcPr>
          <w:p w14:paraId="0278D6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noWrap/>
            <w:vAlign w:val="center"/>
          </w:tcPr>
          <w:p w14:paraId="737EF1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3735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CC91E7">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3269AB80">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005F2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76D41581">
            <w:pPr>
              <w:jc w:val="center"/>
              <w:rPr>
                <w:rFonts w:hint="eastAsia" w:ascii="仿宋" w:hAnsi="仿宋" w:eastAsia="仿宋" w:cs="仿宋"/>
                <w:i w:val="0"/>
                <w:iCs w:val="0"/>
                <w:color w:val="auto"/>
                <w:sz w:val="24"/>
                <w:szCs w:val="24"/>
                <w:highlight w:val="none"/>
                <w:u w:val="none"/>
              </w:rPr>
            </w:pPr>
          </w:p>
        </w:tc>
      </w:tr>
      <w:tr w14:paraId="4E58E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1EF350">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0A5B0C4F">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0CA73">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2F960ABF">
            <w:pPr>
              <w:jc w:val="center"/>
              <w:rPr>
                <w:rFonts w:hint="eastAsia" w:ascii="仿宋" w:hAnsi="仿宋" w:eastAsia="仿宋" w:cs="仿宋"/>
                <w:i w:val="0"/>
                <w:iCs w:val="0"/>
                <w:color w:val="auto"/>
                <w:sz w:val="24"/>
                <w:szCs w:val="24"/>
                <w:highlight w:val="none"/>
                <w:u w:val="none"/>
              </w:rPr>
            </w:pPr>
          </w:p>
        </w:tc>
      </w:tr>
      <w:tr w14:paraId="26EB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D4FD99">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79B47278">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F5C33B">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70CDD422">
            <w:pPr>
              <w:jc w:val="center"/>
              <w:rPr>
                <w:rFonts w:hint="eastAsia" w:ascii="仿宋" w:hAnsi="仿宋" w:eastAsia="仿宋" w:cs="仿宋"/>
                <w:i w:val="0"/>
                <w:iCs w:val="0"/>
                <w:color w:val="auto"/>
                <w:sz w:val="24"/>
                <w:szCs w:val="24"/>
                <w:highlight w:val="none"/>
                <w:u w:val="none"/>
              </w:rPr>
            </w:pPr>
          </w:p>
        </w:tc>
      </w:tr>
      <w:tr w14:paraId="40F1D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C349AA">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04AB44A3">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410033">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68DB8E3A">
            <w:pPr>
              <w:jc w:val="center"/>
              <w:rPr>
                <w:rFonts w:hint="eastAsia" w:ascii="仿宋" w:hAnsi="仿宋" w:eastAsia="仿宋" w:cs="仿宋"/>
                <w:i w:val="0"/>
                <w:iCs w:val="0"/>
                <w:color w:val="auto"/>
                <w:sz w:val="24"/>
                <w:szCs w:val="24"/>
                <w:highlight w:val="none"/>
                <w:u w:val="none"/>
              </w:rPr>
            </w:pPr>
          </w:p>
        </w:tc>
      </w:tr>
      <w:tr w14:paraId="66AB3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645D37">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4E929BAB">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EC8B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531AE499">
            <w:pPr>
              <w:jc w:val="center"/>
              <w:rPr>
                <w:rFonts w:hint="eastAsia" w:ascii="仿宋" w:hAnsi="仿宋" w:eastAsia="仿宋" w:cs="仿宋"/>
                <w:i w:val="0"/>
                <w:iCs w:val="0"/>
                <w:color w:val="auto"/>
                <w:sz w:val="24"/>
                <w:szCs w:val="24"/>
                <w:highlight w:val="none"/>
                <w:u w:val="none"/>
              </w:rPr>
            </w:pPr>
          </w:p>
        </w:tc>
      </w:tr>
      <w:tr w14:paraId="5F55D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08F533">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51A29755">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B5ECC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1DE6EA0B">
            <w:pPr>
              <w:jc w:val="center"/>
              <w:rPr>
                <w:rFonts w:hint="eastAsia" w:ascii="仿宋" w:hAnsi="仿宋" w:eastAsia="仿宋" w:cs="仿宋"/>
                <w:i w:val="0"/>
                <w:iCs w:val="0"/>
                <w:color w:val="auto"/>
                <w:sz w:val="24"/>
                <w:szCs w:val="24"/>
                <w:highlight w:val="none"/>
                <w:u w:val="none"/>
              </w:rPr>
            </w:pPr>
          </w:p>
        </w:tc>
      </w:tr>
      <w:tr w14:paraId="55B09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6D6E47">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22B2CB9A">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702F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3E0AD3A1">
            <w:pPr>
              <w:jc w:val="center"/>
              <w:rPr>
                <w:rFonts w:hint="eastAsia" w:ascii="仿宋" w:hAnsi="仿宋" w:eastAsia="仿宋" w:cs="仿宋"/>
                <w:i w:val="0"/>
                <w:iCs w:val="0"/>
                <w:color w:val="auto"/>
                <w:sz w:val="24"/>
                <w:szCs w:val="24"/>
                <w:highlight w:val="none"/>
                <w:u w:val="none"/>
              </w:rPr>
            </w:pPr>
          </w:p>
        </w:tc>
      </w:tr>
      <w:tr w14:paraId="60A7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7B11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3910" w:type="dxa"/>
            <w:tcBorders>
              <w:top w:val="nil"/>
              <w:left w:val="single" w:color="000000" w:sz="4" w:space="0"/>
              <w:bottom w:val="single" w:color="000000" w:sz="4" w:space="0"/>
              <w:right w:val="single" w:color="000000" w:sz="4" w:space="0"/>
            </w:tcBorders>
            <w:noWrap/>
            <w:vAlign w:val="center"/>
          </w:tcPr>
          <w:p w14:paraId="00B7C4D4">
            <w:pPr>
              <w:jc w:val="cente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1B7298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noWrap/>
            <w:vAlign w:val="center"/>
          </w:tcPr>
          <w:p w14:paraId="751C21BE">
            <w:pPr>
              <w:jc w:val="center"/>
              <w:rPr>
                <w:rFonts w:hint="eastAsia" w:ascii="仿宋" w:hAnsi="仿宋" w:eastAsia="仿宋" w:cs="仿宋"/>
                <w:i w:val="0"/>
                <w:iCs w:val="0"/>
                <w:color w:val="auto"/>
                <w:sz w:val="24"/>
                <w:szCs w:val="24"/>
                <w:highlight w:val="none"/>
                <w:u w:val="none"/>
              </w:rPr>
            </w:pPr>
          </w:p>
        </w:tc>
      </w:tr>
      <w:tr w14:paraId="4554C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C6C5C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14:paraId="37B26152">
            <w:pPr>
              <w:jc w:val="cente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38C90A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14:paraId="1FFB7972">
            <w:pPr>
              <w:jc w:val="center"/>
              <w:rPr>
                <w:rFonts w:hint="eastAsia" w:ascii="仿宋" w:hAnsi="仿宋" w:eastAsia="仿宋" w:cs="仿宋"/>
                <w:i w:val="0"/>
                <w:iCs w:val="0"/>
                <w:color w:val="auto"/>
                <w:sz w:val="24"/>
                <w:szCs w:val="24"/>
                <w:highlight w:val="none"/>
                <w:u w:val="none"/>
              </w:rPr>
            </w:pPr>
          </w:p>
        </w:tc>
      </w:tr>
      <w:tr w14:paraId="7754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A469A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noWrap w:val="0"/>
            <w:vAlign w:val="top"/>
          </w:tcPr>
          <w:p w14:paraId="02AD3ACC">
            <w:pPr>
              <w:jc w:val="center"/>
              <w:rPr>
                <w:rFonts w:hint="eastAsia" w:ascii="仿宋" w:hAnsi="仿宋" w:eastAsia="仿宋" w:cs="仿宋"/>
                <w:i w:val="0"/>
                <w:iCs w:val="0"/>
                <w:color w:val="auto"/>
                <w:sz w:val="24"/>
                <w:szCs w:val="24"/>
                <w:highlight w:val="none"/>
                <w:u w:val="none"/>
              </w:rPr>
            </w:pPr>
          </w:p>
        </w:tc>
      </w:tr>
      <w:tr w14:paraId="2B600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noWrap w:val="0"/>
            <w:vAlign w:val="center"/>
          </w:tcPr>
          <w:p w14:paraId="77B69FB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注：1、本表一式三份，交接单位及项目部各执一份，本表格签字完善后作为分包单位申请工程进度款的依据。2、移交人和接收人均为合同约定现场负责人。</w:t>
            </w:r>
          </w:p>
        </w:tc>
      </w:tr>
      <w:tr w14:paraId="7FDF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noWrap w:val="0"/>
            <w:vAlign w:val="center"/>
          </w:tcPr>
          <w:p w14:paraId="1D26A558">
            <w:pPr>
              <w:jc w:val="left"/>
              <w:rPr>
                <w:rFonts w:hint="eastAsia" w:ascii="仿宋" w:hAnsi="仿宋" w:eastAsia="仿宋" w:cs="仿宋"/>
                <w:i w:val="0"/>
                <w:iCs w:val="0"/>
                <w:color w:val="auto"/>
                <w:sz w:val="24"/>
                <w:szCs w:val="24"/>
                <w:highlight w:val="none"/>
                <w:u w:val="none"/>
              </w:rPr>
            </w:pPr>
          </w:p>
        </w:tc>
      </w:tr>
    </w:tbl>
    <w:p w14:paraId="4EF32A2C">
      <w:pPr>
        <w:keepNext w:val="0"/>
        <w:keepLines w:val="0"/>
        <w:pageBreakBefore w:val="0"/>
        <w:shd w:val="clear" w:color="auto" w:fill="auto"/>
        <w:overflowPunct/>
        <w:topLinePunct w:val="0"/>
        <w:bidi w:val="0"/>
        <w:snapToGrid w:val="0"/>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3313E95D">
      <w:pPr>
        <w:keepNext w:val="0"/>
        <w:keepLines w:val="0"/>
        <w:pageBreakBefore w:val="0"/>
        <w:shd w:val="clear" w:color="auto" w:fill="auto"/>
        <w:overflowPunct/>
        <w:topLinePunct w:val="0"/>
        <w:bidi w:val="0"/>
        <w:snapToGrid w:val="0"/>
        <w:spacing w:line="360" w:lineRule="auto"/>
        <w:ind w:firstLineChars="0"/>
        <w:jc w:val="right"/>
        <w:outlineLvl w:val="9"/>
        <w:rPr>
          <w:rFonts w:hint="eastAsia" w:ascii="仿宋" w:hAnsi="仿宋" w:eastAsia="仿宋" w:cs="仿宋"/>
          <w:b/>
          <w:bCs w:val="0"/>
          <w:color w:val="auto"/>
          <w:sz w:val="40"/>
          <w:szCs w:val="40"/>
          <w:highlight w:val="none"/>
          <w:shd w:val="clear" w:color="auto" w:fill="auto"/>
          <w:lang w:val="en-US" w:eastAsia="zh-CN"/>
        </w:rPr>
      </w:pPr>
      <w:bookmarkStart w:id="381" w:name="_Toc16390"/>
      <w:bookmarkStart w:id="382" w:name="_Toc5270"/>
    </w:p>
    <w:bookmarkEnd w:id="381"/>
    <w:bookmarkEnd w:id="382"/>
    <w:p w14:paraId="4AE5CA5C">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sectPr>
      <w:footerReference r:id="rId7" w:type="default"/>
      <w:pgSz w:w="11906" w:h="16838"/>
      <w:pgMar w:top="1440" w:right="1361" w:bottom="952" w:left="1361"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B2A88">
    <w:pPr>
      <w:pStyle w:val="8"/>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336D">
    <w:pPr>
      <w:pStyle w:val="8"/>
    </w:pPr>
  </w:p>
  <w:p w14:paraId="1966A5ED">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440A1">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A257E">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BA257E">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AF4BB1F">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7D25E">
    <w:pPr>
      <w:pStyle w:val="8"/>
    </w:pPr>
  </w:p>
  <w:p w14:paraId="43AA541F">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708A3">
    <w:pPr>
      <w:pStyle w:val="9"/>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26E733"/>
    <w:multiLevelType w:val="singleLevel"/>
    <w:tmpl w:val="AA26E733"/>
    <w:lvl w:ilvl="0" w:tentative="0">
      <w:start w:val="1"/>
      <w:numFmt w:val="chineseCounting"/>
      <w:suff w:val="space"/>
      <w:lvlText w:val="第%1部分"/>
      <w:lvlJc w:val="left"/>
      <w:rPr>
        <w:rFonts w:hint="eastAsia"/>
      </w:rPr>
    </w:lvl>
  </w:abstractNum>
  <w:abstractNum w:abstractNumId="1">
    <w:nsid w:val="EF8D7EDD"/>
    <w:multiLevelType w:val="singleLevel"/>
    <w:tmpl w:val="EF8D7EDD"/>
    <w:lvl w:ilvl="0" w:tentative="0">
      <w:start w:val="1"/>
      <w:numFmt w:val="chineseCounting"/>
      <w:suff w:val="nothing"/>
      <w:lvlText w:val="%1、"/>
      <w:lvlJc w:val="left"/>
      <w:rPr>
        <w:rFonts w:hint="eastAsia"/>
      </w:rPr>
    </w:lvl>
  </w:abstractNum>
  <w:abstractNum w:abstractNumId="2">
    <w:nsid w:val="0EC079B0"/>
    <w:multiLevelType w:val="singleLevel"/>
    <w:tmpl w:val="0EC079B0"/>
    <w:lvl w:ilvl="0" w:tentative="0">
      <w:start w:val="1"/>
      <w:numFmt w:val="decimal"/>
      <w:suff w:val="nothing"/>
      <w:lvlText w:val="%1、"/>
      <w:lvlJc w:val="left"/>
    </w:lvl>
  </w:abstractNum>
  <w:abstractNum w:abstractNumId="3">
    <w:nsid w:val="763669C7"/>
    <w:multiLevelType w:val="singleLevel"/>
    <w:tmpl w:val="763669C7"/>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mNzg0ZDE1ZjI5YzY0YjcwMzc3YWFjNzM4OTY4NGIifQ=="/>
    <w:docVar w:name="KSO_WPS_MARK_KEY" w:val="3e6183d2-6170-4c9f-9194-9e1f6c12a256"/>
  </w:docVars>
  <w:rsids>
    <w:rsidRoot w:val="00172A27"/>
    <w:rsid w:val="000118A6"/>
    <w:rsid w:val="00014E71"/>
    <w:rsid w:val="00070351"/>
    <w:rsid w:val="00163894"/>
    <w:rsid w:val="00190047"/>
    <w:rsid w:val="00200E93"/>
    <w:rsid w:val="00203180"/>
    <w:rsid w:val="00203CC0"/>
    <w:rsid w:val="00213CF6"/>
    <w:rsid w:val="00387CA6"/>
    <w:rsid w:val="003F5F2A"/>
    <w:rsid w:val="004874D5"/>
    <w:rsid w:val="005373E8"/>
    <w:rsid w:val="00592882"/>
    <w:rsid w:val="006730BA"/>
    <w:rsid w:val="0078136E"/>
    <w:rsid w:val="008102F1"/>
    <w:rsid w:val="00895C57"/>
    <w:rsid w:val="008B3493"/>
    <w:rsid w:val="009224FE"/>
    <w:rsid w:val="009450A4"/>
    <w:rsid w:val="00950240"/>
    <w:rsid w:val="009530E3"/>
    <w:rsid w:val="00AE31A0"/>
    <w:rsid w:val="00B35E9C"/>
    <w:rsid w:val="00B970C4"/>
    <w:rsid w:val="00BC3A1F"/>
    <w:rsid w:val="00BF7D50"/>
    <w:rsid w:val="00C01140"/>
    <w:rsid w:val="00C14B6F"/>
    <w:rsid w:val="00C70D2C"/>
    <w:rsid w:val="00C94BA8"/>
    <w:rsid w:val="00CA1002"/>
    <w:rsid w:val="00CB30A1"/>
    <w:rsid w:val="00D25D47"/>
    <w:rsid w:val="00DF5360"/>
    <w:rsid w:val="00E1609D"/>
    <w:rsid w:val="00E178E3"/>
    <w:rsid w:val="00E95BC4"/>
    <w:rsid w:val="00ED202F"/>
    <w:rsid w:val="00F30062"/>
    <w:rsid w:val="00F474E7"/>
    <w:rsid w:val="010A1348"/>
    <w:rsid w:val="01176EA7"/>
    <w:rsid w:val="011E0CCE"/>
    <w:rsid w:val="01235E37"/>
    <w:rsid w:val="01294748"/>
    <w:rsid w:val="013730A5"/>
    <w:rsid w:val="01401F5A"/>
    <w:rsid w:val="014632E9"/>
    <w:rsid w:val="0147153B"/>
    <w:rsid w:val="01510F6A"/>
    <w:rsid w:val="015765E3"/>
    <w:rsid w:val="01813F60"/>
    <w:rsid w:val="01853E11"/>
    <w:rsid w:val="01B5752C"/>
    <w:rsid w:val="01B6046E"/>
    <w:rsid w:val="01BF37C7"/>
    <w:rsid w:val="01C04E49"/>
    <w:rsid w:val="01CE44FC"/>
    <w:rsid w:val="01D26D8C"/>
    <w:rsid w:val="021C600F"/>
    <w:rsid w:val="022C24DE"/>
    <w:rsid w:val="02391BF0"/>
    <w:rsid w:val="024C0DD3"/>
    <w:rsid w:val="024E1742"/>
    <w:rsid w:val="024F7C95"/>
    <w:rsid w:val="02587777"/>
    <w:rsid w:val="026D5E00"/>
    <w:rsid w:val="027345B1"/>
    <w:rsid w:val="02820350"/>
    <w:rsid w:val="02854A8C"/>
    <w:rsid w:val="028873DB"/>
    <w:rsid w:val="02901091"/>
    <w:rsid w:val="02994018"/>
    <w:rsid w:val="029D34AA"/>
    <w:rsid w:val="02A9480A"/>
    <w:rsid w:val="02B63659"/>
    <w:rsid w:val="02BF77F6"/>
    <w:rsid w:val="02D55869"/>
    <w:rsid w:val="02D768EE"/>
    <w:rsid w:val="02E1776D"/>
    <w:rsid w:val="02EF25D4"/>
    <w:rsid w:val="02FE1B0B"/>
    <w:rsid w:val="031C2553"/>
    <w:rsid w:val="033E696D"/>
    <w:rsid w:val="03406F06"/>
    <w:rsid w:val="03602C89"/>
    <w:rsid w:val="03630182"/>
    <w:rsid w:val="036D65A5"/>
    <w:rsid w:val="03800D34"/>
    <w:rsid w:val="03806F86"/>
    <w:rsid w:val="038A7D29"/>
    <w:rsid w:val="03C24EEE"/>
    <w:rsid w:val="03D05B8B"/>
    <w:rsid w:val="03EE2CEC"/>
    <w:rsid w:val="040B4A77"/>
    <w:rsid w:val="04277401"/>
    <w:rsid w:val="04332207"/>
    <w:rsid w:val="04340622"/>
    <w:rsid w:val="04910D1F"/>
    <w:rsid w:val="049F343C"/>
    <w:rsid w:val="04AB1DE0"/>
    <w:rsid w:val="04B35139"/>
    <w:rsid w:val="04C93D27"/>
    <w:rsid w:val="04CE3287"/>
    <w:rsid w:val="04D532F8"/>
    <w:rsid w:val="04D53318"/>
    <w:rsid w:val="04DA0918"/>
    <w:rsid w:val="04DF3C4E"/>
    <w:rsid w:val="04E6106A"/>
    <w:rsid w:val="04E77D7D"/>
    <w:rsid w:val="04EB042F"/>
    <w:rsid w:val="04FB7762"/>
    <w:rsid w:val="04FF3EDA"/>
    <w:rsid w:val="050128A7"/>
    <w:rsid w:val="051300AE"/>
    <w:rsid w:val="051C4A8C"/>
    <w:rsid w:val="052027CE"/>
    <w:rsid w:val="05216546"/>
    <w:rsid w:val="053022E6"/>
    <w:rsid w:val="05333266"/>
    <w:rsid w:val="053F5954"/>
    <w:rsid w:val="054965A0"/>
    <w:rsid w:val="054B5371"/>
    <w:rsid w:val="054F4E62"/>
    <w:rsid w:val="05657FDC"/>
    <w:rsid w:val="056B1570"/>
    <w:rsid w:val="058638BE"/>
    <w:rsid w:val="059705B7"/>
    <w:rsid w:val="059B1E55"/>
    <w:rsid w:val="05A101F3"/>
    <w:rsid w:val="05AB5E10"/>
    <w:rsid w:val="05AC4062"/>
    <w:rsid w:val="05D56967"/>
    <w:rsid w:val="05E732EC"/>
    <w:rsid w:val="05FA2136"/>
    <w:rsid w:val="060317A8"/>
    <w:rsid w:val="0609596A"/>
    <w:rsid w:val="064A0EA5"/>
    <w:rsid w:val="06530982"/>
    <w:rsid w:val="06596213"/>
    <w:rsid w:val="06706AD8"/>
    <w:rsid w:val="06976105"/>
    <w:rsid w:val="069A7EE2"/>
    <w:rsid w:val="06A66D03"/>
    <w:rsid w:val="06B630D1"/>
    <w:rsid w:val="06D31393"/>
    <w:rsid w:val="06D870D9"/>
    <w:rsid w:val="06DC2F7F"/>
    <w:rsid w:val="06E04565"/>
    <w:rsid w:val="06ED4932"/>
    <w:rsid w:val="06F832D7"/>
    <w:rsid w:val="070B125C"/>
    <w:rsid w:val="07100030"/>
    <w:rsid w:val="07130F1E"/>
    <w:rsid w:val="071716FC"/>
    <w:rsid w:val="07181283"/>
    <w:rsid w:val="071B1643"/>
    <w:rsid w:val="07311721"/>
    <w:rsid w:val="073F4A62"/>
    <w:rsid w:val="07513FB1"/>
    <w:rsid w:val="07580BE5"/>
    <w:rsid w:val="075D56E6"/>
    <w:rsid w:val="076369A2"/>
    <w:rsid w:val="076A3F72"/>
    <w:rsid w:val="07740BAF"/>
    <w:rsid w:val="07AF3996"/>
    <w:rsid w:val="07B2565E"/>
    <w:rsid w:val="07B436A2"/>
    <w:rsid w:val="07B9513E"/>
    <w:rsid w:val="07C02047"/>
    <w:rsid w:val="07E13D6B"/>
    <w:rsid w:val="07E31891"/>
    <w:rsid w:val="07F41CF0"/>
    <w:rsid w:val="07F61040"/>
    <w:rsid w:val="07F7358F"/>
    <w:rsid w:val="07FC5C21"/>
    <w:rsid w:val="080C703A"/>
    <w:rsid w:val="081B54CF"/>
    <w:rsid w:val="081B70BC"/>
    <w:rsid w:val="08326375"/>
    <w:rsid w:val="083A6C4A"/>
    <w:rsid w:val="083B347B"/>
    <w:rsid w:val="084410E6"/>
    <w:rsid w:val="084731D1"/>
    <w:rsid w:val="085547A4"/>
    <w:rsid w:val="08566955"/>
    <w:rsid w:val="085C7B8E"/>
    <w:rsid w:val="089112ED"/>
    <w:rsid w:val="08A6123D"/>
    <w:rsid w:val="08B374B6"/>
    <w:rsid w:val="08BC34BB"/>
    <w:rsid w:val="08C16076"/>
    <w:rsid w:val="08D04EA3"/>
    <w:rsid w:val="08D1580F"/>
    <w:rsid w:val="08F24A3C"/>
    <w:rsid w:val="08FA1588"/>
    <w:rsid w:val="090207D6"/>
    <w:rsid w:val="09183142"/>
    <w:rsid w:val="091A7535"/>
    <w:rsid w:val="0936023B"/>
    <w:rsid w:val="094F7E28"/>
    <w:rsid w:val="09757AB5"/>
    <w:rsid w:val="09760B9C"/>
    <w:rsid w:val="097C01F9"/>
    <w:rsid w:val="099A1CCF"/>
    <w:rsid w:val="09A56C91"/>
    <w:rsid w:val="09A82D92"/>
    <w:rsid w:val="09C46844"/>
    <w:rsid w:val="09C94AB7"/>
    <w:rsid w:val="09E22A5D"/>
    <w:rsid w:val="09E87633"/>
    <w:rsid w:val="09ED493B"/>
    <w:rsid w:val="09FB1114"/>
    <w:rsid w:val="09FB55B8"/>
    <w:rsid w:val="09FB7366"/>
    <w:rsid w:val="09FF6F98"/>
    <w:rsid w:val="0A2118B5"/>
    <w:rsid w:val="0A2A2EDF"/>
    <w:rsid w:val="0A442C30"/>
    <w:rsid w:val="0A454A85"/>
    <w:rsid w:val="0A5922DF"/>
    <w:rsid w:val="0A60366D"/>
    <w:rsid w:val="0A7964DD"/>
    <w:rsid w:val="0A9A5DF0"/>
    <w:rsid w:val="0A9B48C1"/>
    <w:rsid w:val="0AC4505C"/>
    <w:rsid w:val="0ACE6829"/>
    <w:rsid w:val="0AD16319"/>
    <w:rsid w:val="0AD62B48"/>
    <w:rsid w:val="0ADD2F10"/>
    <w:rsid w:val="0AE30F3A"/>
    <w:rsid w:val="0AFA3582"/>
    <w:rsid w:val="0AFE2A9E"/>
    <w:rsid w:val="0B316DB7"/>
    <w:rsid w:val="0B3C1D27"/>
    <w:rsid w:val="0B3D2BA6"/>
    <w:rsid w:val="0B4329BB"/>
    <w:rsid w:val="0B70650A"/>
    <w:rsid w:val="0B7A69B0"/>
    <w:rsid w:val="0B927856"/>
    <w:rsid w:val="0BB84DE3"/>
    <w:rsid w:val="0BB93035"/>
    <w:rsid w:val="0BD92D6E"/>
    <w:rsid w:val="0BD95485"/>
    <w:rsid w:val="0BDB7D38"/>
    <w:rsid w:val="0C125258"/>
    <w:rsid w:val="0C177688"/>
    <w:rsid w:val="0C1D2B00"/>
    <w:rsid w:val="0C4D2770"/>
    <w:rsid w:val="0C4F1873"/>
    <w:rsid w:val="0C727688"/>
    <w:rsid w:val="0C863002"/>
    <w:rsid w:val="0C8E44C1"/>
    <w:rsid w:val="0C9B273A"/>
    <w:rsid w:val="0CBC5C8A"/>
    <w:rsid w:val="0CC04DC6"/>
    <w:rsid w:val="0CC9374C"/>
    <w:rsid w:val="0CCA5228"/>
    <w:rsid w:val="0CD17570"/>
    <w:rsid w:val="0CD42209"/>
    <w:rsid w:val="0CE1709F"/>
    <w:rsid w:val="0D006A41"/>
    <w:rsid w:val="0D0522AA"/>
    <w:rsid w:val="0D077DD0"/>
    <w:rsid w:val="0D0B0EE3"/>
    <w:rsid w:val="0D186481"/>
    <w:rsid w:val="0D4536A9"/>
    <w:rsid w:val="0D6042F4"/>
    <w:rsid w:val="0D6671EC"/>
    <w:rsid w:val="0D6E7935"/>
    <w:rsid w:val="0D723345"/>
    <w:rsid w:val="0D8B6C53"/>
    <w:rsid w:val="0D9553DC"/>
    <w:rsid w:val="0D964F5E"/>
    <w:rsid w:val="0DAE068F"/>
    <w:rsid w:val="0DAE649D"/>
    <w:rsid w:val="0DBB3044"/>
    <w:rsid w:val="0DD203DE"/>
    <w:rsid w:val="0DD51C7C"/>
    <w:rsid w:val="0DD56120"/>
    <w:rsid w:val="0DD63101"/>
    <w:rsid w:val="0DD95C10"/>
    <w:rsid w:val="0DEF4AF4"/>
    <w:rsid w:val="0DF51C0D"/>
    <w:rsid w:val="0DFE67C9"/>
    <w:rsid w:val="0E060087"/>
    <w:rsid w:val="0E0D6E79"/>
    <w:rsid w:val="0E2055ED"/>
    <w:rsid w:val="0E236E8B"/>
    <w:rsid w:val="0E40102B"/>
    <w:rsid w:val="0E464928"/>
    <w:rsid w:val="0E4741D7"/>
    <w:rsid w:val="0E4806A0"/>
    <w:rsid w:val="0E5127BD"/>
    <w:rsid w:val="0E5205B9"/>
    <w:rsid w:val="0E575B4B"/>
    <w:rsid w:val="0E590AFF"/>
    <w:rsid w:val="0E753A46"/>
    <w:rsid w:val="0EA63619"/>
    <w:rsid w:val="0EC33E92"/>
    <w:rsid w:val="0EC341CA"/>
    <w:rsid w:val="0EDD34DE"/>
    <w:rsid w:val="0EEE7499"/>
    <w:rsid w:val="0EFD148A"/>
    <w:rsid w:val="0F0A3692"/>
    <w:rsid w:val="0F0E18EA"/>
    <w:rsid w:val="0F2E7896"/>
    <w:rsid w:val="0F3050A6"/>
    <w:rsid w:val="0F465E76"/>
    <w:rsid w:val="0F476BAA"/>
    <w:rsid w:val="0F56503F"/>
    <w:rsid w:val="0F6C4862"/>
    <w:rsid w:val="0F706264"/>
    <w:rsid w:val="0F714329"/>
    <w:rsid w:val="0F9A1418"/>
    <w:rsid w:val="0F9A4F2B"/>
    <w:rsid w:val="0FA17752"/>
    <w:rsid w:val="0FB22358"/>
    <w:rsid w:val="0FB64669"/>
    <w:rsid w:val="0FD350DC"/>
    <w:rsid w:val="0FD541B5"/>
    <w:rsid w:val="0FDC5544"/>
    <w:rsid w:val="0FE4089C"/>
    <w:rsid w:val="10352EA6"/>
    <w:rsid w:val="10523A58"/>
    <w:rsid w:val="108674CF"/>
    <w:rsid w:val="10922D88"/>
    <w:rsid w:val="109E0A4B"/>
    <w:rsid w:val="10A145F0"/>
    <w:rsid w:val="10A14840"/>
    <w:rsid w:val="10A23752"/>
    <w:rsid w:val="10D80992"/>
    <w:rsid w:val="10E62F63"/>
    <w:rsid w:val="11126856"/>
    <w:rsid w:val="111B209C"/>
    <w:rsid w:val="11243FFF"/>
    <w:rsid w:val="113718BF"/>
    <w:rsid w:val="11407F98"/>
    <w:rsid w:val="11557E4D"/>
    <w:rsid w:val="11565855"/>
    <w:rsid w:val="11665A0D"/>
    <w:rsid w:val="1188642D"/>
    <w:rsid w:val="11902C28"/>
    <w:rsid w:val="119D1F55"/>
    <w:rsid w:val="11D01CF9"/>
    <w:rsid w:val="11EB7CC0"/>
    <w:rsid w:val="11F76665"/>
    <w:rsid w:val="11FC60EA"/>
    <w:rsid w:val="12056FCB"/>
    <w:rsid w:val="12077CFA"/>
    <w:rsid w:val="121B43BF"/>
    <w:rsid w:val="12271A49"/>
    <w:rsid w:val="122907E8"/>
    <w:rsid w:val="124205D1"/>
    <w:rsid w:val="12613ED3"/>
    <w:rsid w:val="12635AA8"/>
    <w:rsid w:val="12696E37"/>
    <w:rsid w:val="126E62DF"/>
    <w:rsid w:val="127952CC"/>
    <w:rsid w:val="128C7E3E"/>
    <w:rsid w:val="12A30FD7"/>
    <w:rsid w:val="12AA36D7"/>
    <w:rsid w:val="12BF17E3"/>
    <w:rsid w:val="12CD386A"/>
    <w:rsid w:val="12F901BB"/>
    <w:rsid w:val="130D422A"/>
    <w:rsid w:val="130F3E82"/>
    <w:rsid w:val="13165211"/>
    <w:rsid w:val="131D226C"/>
    <w:rsid w:val="132E143F"/>
    <w:rsid w:val="13385187"/>
    <w:rsid w:val="133D1075"/>
    <w:rsid w:val="13471AD0"/>
    <w:rsid w:val="134753CA"/>
    <w:rsid w:val="134C478E"/>
    <w:rsid w:val="135B5878"/>
    <w:rsid w:val="13781A27"/>
    <w:rsid w:val="13826402"/>
    <w:rsid w:val="13845E89"/>
    <w:rsid w:val="13877EBC"/>
    <w:rsid w:val="1393060F"/>
    <w:rsid w:val="13985C26"/>
    <w:rsid w:val="13B14F39"/>
    <w:rsid w:val="13CE4A0B"/>
    <w:rsid w:val="13E97B32"/>
    <w:rsid w:val="14092680"/>
    <w:rsid w:val="14226B92"/>
    <w:rsid w:val="142A4B9B"/>
    <w:rsid w:val="14301B15"/>
    <w:rsid w:val="143E2EB2"/>
    <w:rsid w:val="14530591"/>
    <w:rsid w:val="14564D5E"/>
    <w:rsid w:val="14661880"/>
    <w:rsid w:val="14726477"/>
    <w:rsid w:val="14870CC8"/>
    <w:rsid w:val="14877E44"/>
    <w:rsid w:val="148D505F"/>
    <w:rsid w:val="1492781C"/>
    <w:rsid w:val="1499025C"/>
    <w:rsid w:val="149B6797"/>
    <w:rsid w:val="14B678F8"/>
    <w:rsid w:val="14C41530"/>
    <w:rsid w:val="14C9686C"/>
    <w:rsid w:val="14E07884"/>
    <w:rsid w:val="14F15522"/>
    <w:rsid w:val="14FB46BE"/>
    <w:rsid w:val="150337D5"/>
    <w:rsid w:val="1504174F"/>
    <w:rsid w:val="15084B3F"/>
    <w:rsid w:val="152135DE"/>
    <w:rsid w:val="15237771"/>
    <w:rsid w:val="152F6751"/>
    <w:rsid w:val="15406575"/>
    <w:rsid w:val="1553452D"/>
    <w:rsid w:val="15542020"/>
    <w:rsid w:val="156F29B6"/>
    <w:rsid w:val="157E0E4B"/>
    <w:rsid w:val="158263AD"/>
    <w:rsid w:val="158F501B"/>
    <w:rsid w:val="15920C2E"/>
    <w:rsid w:val="159452FD"/>
    <w:rsid w:val="15956F9B"/>
    <w:rsid w:val="159D6764"/>
    <w:rsid w:val="15A9794A"/>
    <w:rsid w:val="15AE1730"/>
    <w:rsid w:val="15B036FB"/>
    <w:rsid w:val="15B14B22"/>
    <w:rsid w:val="15BA33B1"/>
    <w:rsid w:val="15CD0276"/>
    <w:rsid w:val="15E16AFD"/>
    <w:rsid w:val="15E16D7A"/>
    <w:rsid w:val="15E46F00"/>
    <w:rsid w:val="15FE0734"/>
    <w:rsid w:val="16041350"/>
    <w:rsid w:val="16151C72"/>
    <w:rsid w:val="161A23FF"/>
    <w:rsid w:val="161F43DC"/>
    <w:rsid w:val="16290B92"/>
    <w:rsid w:val="16297009"/>
    <w:rsid w:val="16411B20"/>
    <w:rsid w:val="165A18B8"/>
    <w:rsid w:val="165C2217"/>
    <w:rsid w:val="16614700"/>
    <w:rsid w:val="166C5148"/>
    <w:rsid w:val="16704C38"/>
    <w:rsid w:val="167069E6"/>
    <w:rsid w:val="167D7D71"/>
    <w:rsid w:val="169F1079"/>
    <w:rsid w:val="16A3500D"/>
    <w:rsid w:val="16A362C6"/>
    <w:rsid w:val="16B36AE1"/>
    <w:rsid w:val="16C15493"/>
    <w:rsid w:val="16C46FE7"/>
    <w:rsid w:val="16E3365C"/>
    <w:rsid w:val="16E42F30"/>
    <w:rsid w:val="16ED4897"/>
    <w:rsid w:val="16FE0496"/>
    <w:rsid w:val="17033CFE"/>
    <w:rsid w:val="172A0C99"/>
    <w:rsid w:val="1741369A"/>
    <w:rsid w:val="174C7453"/>
    <w:rsid w:val="174D0264"/>
    <w:rsid w:val="17822E75"/>
    <w:rsid w:val="179A1DCD"/>
    <w:rsid w:val="179B5CE4"/>
    <w:rsid w:val="17A15E0B"/>
    <w:rsid w:val="17AF1790"/>
    <w:rsid w:val="17B24490"/>
    <w:rsid w:val="17B402E8"/>
    <w:rsid w:val="17B565B3"/>
    <w:rsid w:val="17C400EA"/>
    <w:rsid w:val="17DE3E23"/>
    <w:rsid w:val="17E53404"/>
    <w:rsid w:val="17E71CF6"/>
    <w:rsid w:val="17EC5092"/>
    <w:rsid w:val="1811244B"/>
    <w:rsid w:val="18187335"/>
    <w:rsid w:val="181C1A30"/>
    <w:rsid w:val="181D494B"/>
    <w:rsid w:val="183C2E3A"/>
    <w:rsid w:val="183D3240"/>
    <w:rsid w:val="18416A30"/>
    <w:rsid w:val="185B7321"/>
    <w:rsid w:val="186E09C7"/>
    <w:rsid w:val="188E5849"/>
    <w:rsid w:val="18937310"/>
    <w:rsid w:val="189E4F3F"/>
    <w:rsid w:val="18C83A9F"/>
    <w:rsid w:val="18F224FA"/>
    <w:rsid w:val="18F558C8"/>
    <w:rsid w:val="18FC77C6"/>
    <w:rsid w:val="19033B41"/>
    <w:rsid w:val="190D49C0"/>
    <w:rsid w:val="19191C06"/>
    <w:rsid w:val="191D4341"/>
    <w:rsid w:val="19206CA1"/>
    <w:rsid w:val="19265A82"/>
    <w:rsid w:val="1938288F"/>
    <w:rsid w:val="193C37AA"/>
    <w:rsid w:val="193D3C3C"/>
    <w:rsid w:val="193E360F"/>
    <w:rsid w:val="193E5B14"/>
    <w:rsid w:val="19597C05"/>
    <w:rsid w:val="195C7136"/>
    <w:rsid w:val="197762DD"/>
    <w:rsid w:val="19786A87"/>
    <w:rsid w:val="198B5F6F"/>
    <w:rsid w:val="19A05834"/>
    <w:rsid w:val="19A1648E"/>
    <w:rsid w:val="19A462E3"/>
    <w:rsid w:val="19AE6C9F"/>
    <w:rsid w:val="19B1359D"/>
    <w:rsid w:val="19B24E93"/>
    <w:rsid w:val="19B25567"/>
    <w:rsid w:val="19B7455F"/>
    <w:rsid w:val="19BC1535"/>
    <w:rsid w:val="19CF2197"/>
    <w:rsid w:val="19DB4ABE"/>
    <w:rsid w:val="1A015E61"/>
    <w:rsid w:val="1A0667DD"/>
    <w:rsid w:val="1A1B00A3"/>
    <w:rsid w:val="1A1F0E4F"/>
    <w:rsid w:val="1A2A15A2"/>
    <w:rsid w:val="1A366BD3"/>
    <w:rsid w:val="1A402B73"/>
    <w:rsid w:val="1A425DB1"/>
    <w:rsid w:val="1A6446CA"/>
    <w:rsid w:val="1A693E78"/>
    <w:rsid w:val="1A903AFB"/>
    <w:rsid w:val="1A977F74"/>
    <w:rsid w:val="1AA475A6"/>
    <w:rsid w:val="1AB07CF9"/>
    <w:rsid w:val="1AC11F06"/>
    <w:rsid w:val="1ACC0721"/>
    <w:rsid w:val="1B022F94"/>
    <w:rsid w:val="1B2B4344"/>
    <w:rsid w:val="1B310517"/>
    <w:rsid w:val="1B3C1FFD"/>
    <w:rsid w:val="1B9118D8"/>
    <w:rsid w:val="1BA16335"/>
    <w:rsid w:val="1BA57132"/>
    <w:rsid w:val="1BA6218E"/>
    <w:rsid w:val="1BAD5FE6"/>
    <w:rsid w:val="1BB13D28"/>
    <w:rsid w:val="1BC13DCC"/>
    <w:rsid w:val="1BDF0508"/>
    <w:rsid w:val="1BE177E6"/>
    <w:rsid w:val="1BEE6D2B"/>
    <w:rsid w:val="1BF5598D"/>
    <w:rsid w:val="1C0148AF"/>
    <w:rsid w:val="1C116575"/>
    <w:rsid w:val="1C305105"/>
    <w:rsid w:val="1C3861D8"/>
    <w:rsid w:val="1C465CBD"/>
    <w:rsid w:val="1C485D0F"/>
    <w:rsid w:val="1C4A1A87"/>
    <w:rsid w:val="1C4F3541"/>
    <w:rsid w:val="1C547B70"/>
    <w:rsid w:val="1C6C369E"/>
    <w:rsid w:val="1C700BEF"/>
    <w:rsid w:val="1C7B17FA"/>
    <w:rsid w:val="1C7D1E5D"/>
    <w:rsid w:val="1C896A53"/>
    <w:rsid w:val="1C8E20B0"/>
    <w:rsid w:val="1C972259"/>
    <w:rsid w:val="1C9A1D5B"/>
    <w:rsid w:val="1C9D20E2"/>
    <w:rsid w:val="1CA05B4B"/>
    <w:rsid w:val="1CAF0157"/>
    <w:rsid w:val="1CB11B06"/>
    <w:rsid w:val="1CB12109"/>
    <w:rsid w:val="1CBF2781"/>
    <w:rsid w:val="1CC306E9"/>
    <w:rsid w:val="1CD70D11"/>
    <w:rsid w:val="1CDF09E4"/>
    <w:rsid w:val="1CEE594C"/>
    <w:rsid w:val="1CF42E6E"/>
    <w:rsid w:val="1CF70848"/>
    <w:rsid w:val="1D085BCA"/>
    <w:rsid w:val="1D0C42FA"/>
    <w:rsid w:val="1D0D1432"/>
    <w:rsid w:val="1D104A7F"/>
    <w:rsid w:val="1D1074B6"/>
    <w:rsid w:val="1D444728"/>
    <w:rsid w:val="1D4D6E7B"/>
    <w:rsid w:val="1D52005B"/>
    <w:rsid w:val="1D5232E9"/>
    <w:rsid w:val="1D7711E5"/>
    <w:rsid w:val="1D7E60AC"/>
    <w:rsid w:val="1D8D5398"/>
    <w:rsid w:val="1D9F0A2C"/>
    <w:rsid w:val="1DC36C05"/>
    <w:rsid w:val="1DD26A50"/>
    <w:rsid w:val="1DE5092B"/>
    <w:rsid w:val="1DEB0CCB"/>
    <w:rsid w:val="1DFB128B"/>
    <w:rsid w:val="1E052B8D"/>
    <w:rsid w:val="1E0D7210"/>
    <w:rsid w:val="1E2A7D44"/>
    <w:rsid w:val="1E5310C7"/>
    <w:rsid w:val="1E550F93"/>
    <w:rsid w:val="1E611A53"/>
    <w:rsid w:val="1E641526"/>
    <w:rsid w:val="1E67154A"/>
    <w:rsid w:val="1E6B19BE"/>
    <w:rsid w:val="1E842B01"/>
    <w:rsid w:val="1E8A02A3"/>
    <w:rsid w:val="1E933BB9"/>
    <w:rsid w:val="1E9E3807"/>
    <w:rsid w:val="1ECE2E43"/>
    <w:rsid w:val="1EE518CA"/>
    <w:rsid w:val="1EF1268E"/>
    <w:rsid w:val="1EFE4EDD"/>
    <w:rsid w:val="1F026649"/>
    <w:rsid w:val="1F1464D9"/>
    <w:rsid w:val="1F176598"/>
    <w:rsid w:val="1F2B2044"/>
    <w:rsid w:val="1F356A1F"/>
    <w:rsid w:val="1F3F20C1"/>
    <w:rsid w:val="1F417171"/>
    <w:rsid w:val="1F437CC6"/>
    <w:rsid w:val="1F444EB4"/>
    <w:rsid w:val="1F4F074B"/>
    <w:rsid w:val="1F5A6485"/>
    <w:rsid w:val="1F6040D7"/>
    <w:rsid w:val="1F6B5C4E"/>
    <w:rsid w:val="1F837DFD"/>
    <w:rsid w:val="1F881E32"/>
    <w:rsid w:val="1F8D0609"/>
    <w:rsid w:val="1F8D23B7"/>
    <w:rsid w:val="1FB45B95"/>
    <w:rsid w:val="1FC3519E"/>
    <w:rsid w:val="1FC61487"/>
    <w:rsid w:val="1FD405FC"/>
    <w:rsid w:val="1FF57B15"/>
    <w:rsid w:val="201C6394"/>
    <w:rsid w:val="202076CF"/>
    <w:rsid w:val="202A29CE"/>
    <w:rsid w:val="202D3B9A"/>
    <w:rsid w:val="20305F21"/>
    <w:rsid w:val="203B28A1"/>
    <w:rsid w:val="20482300"/>
    <w:rsid w:val="204A474C"/>
    <w:rsid w:val="20542ED4"/>
    <w:rsid w:val="2063580D"/>
    <w:rsid w:val="20644136"/>
    <w:rsid w:val="20695B32"/>
    <w:rsid w:val="207A51ED"/>
    <w:rsid w:val="207B343E"/>
    <w:rsid w:val="20801F1B"/>
    <w:rsid w:val="20915ED7"/>
    <w:rsid w:val="20994D8B"/>
    <w:rsid w:val="20B35E4D"/>
    <w:rsid w:val="20BB73F7"/>
    <w:rsid w:val="20C4005A"/>
    <w:rsid w:val="20C40F70"/>
    <w:rsid w:val="20CF6A27"/>
    <w:rsid w:val="20D364EF"/>
    <w:rsid w:val="20DB1848"/>
    <w:rsid w:val="20DE6C42"/>
    <w:rsid w:val="20E95E3C"/>
    <w:rsid w:val="20EC75B1"/>
    <w:rsid w:val="20EF2BFD"/>
    <w:rsid w:val="21260D15"/>
    <w:rsid w:val="212C2C54"/>
    <w:rsid w:val="212C428E"/>
    <w:rsid w:val="212E194B"/>
    <w:rsid w:val="212E52ED"/>
    <w:rsid w:val="2144119B"/>
    <w:rsid w:val="215D109F"/>
    <w:rsid w:val="215E090F"/>
    <w:rsid w:val="21613AFB"/>
    <w:rsid w:val="2164771A"/>
    <w:rsid w:val="216A13BE"/>
    <w:rsid w:val="21735A99"/>
    <w:rsid w:val="2177331E"/>
    <w:rsid w:val="21837F15"/>
    <w:rsid w:val="219A78C7"/>
    <w:rsid w:val="21A8557E"/>
    <w:rsid w:val="21BB761B"/>
    <w:rsid w:val="21CE3BBD"/>
    <w:rsid w:val="21D02A2F"/>
    <w:rsid w:val="21D12468"/>
    <w:rsid w:val="21E55344"/>
    <w:rsid w:val="21E9116B"/>
    <w:rsid w:val="220B1CB9"/>
    <w:rsid w:val="220B2782"/>
    <w:rsid w:val="220F05CF"/>
    <w:rsid w:val="22205764"/>
    <w:rsid w:val="2222637E"/>
    <w:rsid w:val="22451E98"/>
    <w:rsid w:val="225275BA"/>
    <w:rsid w:val="225E003A"/>
    <w:rsid w:val="226D4721"/>
    <w:rsid w:val="227B299A"/>
    <w:rsid w:val="227E692E"/>
    <w:rsid w:val="228E4923"/>
    <w:rsid w:val="228F6446"/>
    <w:rsid w:val="22910410"/>
    <w:rsid w:val="22A363ED"/>
    <w:rsid w:val="22AE65BE"/>
    <w:rsid w:val="22B63195"/>
    <w:rsid w:val="22BC4220"/>
    <w:rsid w:val="22E5250A"/>
    <w:rsid w:val="22F369D5"/>
    <w:rsid w:val="22F616B5"/>
    <w:rsid w:val="22FD0E5C"/>
    <w:rsid w:val="230778C7"/>
    <w:rsid w:val="231A510B"/>
    <w:rsid w:val="23294DB1"/>
    <w:rsid w:val="23331187"/>
    <w:rsid w:val="235F1197"/>
    <w:rsid w:val="235F406A"/>
    <w:rsid w:val="236A7616"/>
    <w:rsid w:val="236F7F68"/>
    <w:rsid w:val="2374647C"/>
    <w:rsid w:val="237C3267"/>
    <w:rsid w:val="23933EB3"/>
    <w:rsid w:val="23A21A79"/>
    <w:rsid w:val="23BC326A"/>
    <w:rsid w:val="23BD72DF"/>
    <w:rsid w:val="23DA1E7B"/>
    <w:rsid w:val="23E629DD"/>
    <w:rsid w:val="23E7405F"/>
    <w:rsid w:val="23EA5501"/>
    <w:rsid w:val="24156E1F"/>
    <w:rsid w:val="2419690F"/>
    <w:rsid w:val="241A4435"/>
    <w:rsid w:val="243E45C7"/>
    <w:rsid w:val="2451624A"/>
    <w:rsid w:val="2475240E"/>
    <w:rsid w:val="247955FF"/>
    <w:rsid w:val="24961E78"/>
    <w:rsid w:val="24AD5A93"/>
    <w:rsid w:val="24AF7273"/>
    <w:rsid w:val="24B148C0"/>
    <w:rsid w:val="24B56686"/>
    <w:rsid w:val="24BD3F2F"/>
    <w:rsid w:val="24D665AE"/>
    <w:rsid w:val="24DE5EE7"/>
    <w:rsid w:val="25201F1F"/>
    <w:rsid w:val="25207829"/>
    <w:rsid w:val="25275932"/>
    <w:rsid w:val="254C15F2"/>
    <w:rsid w:val="256A6BDA"/>
    <w:rsid w:val="256E456D"/>
    <w:rsid w:val="257D37C2"/>
    <w:rsid w:val="257D3EAF"/>
    <w:rsid w:val="258A399C"/>
    <w:rsid w:val="25976845"/>
    <w:rsid w:val="25AE72ED"/>
    <w:rsid w:val="25B34B41"/>
    <w:rsid w:val="26086C3B"/>
    <w:rsid w:val="261920D8"/>
    <w:rsid w:val="261B0492"/>
    <w:rsid w:val="2623053C"/>
    <w:rsid w:val="26254703"/>
    <w:rsid w:val="262D7F52"/>
    <w:rsid w:val="26415CA9"/>
    <w:rsid w:val="26492DAF"/>
    <w:rsid w:val="264D0AF2"/>
    <w:rsid w:val="26571970"/>
    <w:rsid w:val="26655E3B"/>
    <w:rsid w:val="26681488"/>
    <w:rsid w:val="266F6CBA"/>
    <w:rsid w:val="26725B01"/>
    <w:rsid w:val="26B56B51"/>
    <w:rsid w:val="26E75394"/>
    <w:rsid w:val="26EF4335"/>
    <w:rsid w:val="270B4948"/>
    <w:rsid w:val="27194E78"/>
    <w:rsid w:val="27215AAC"/>
    <w:rsid w:val="2723400E"/>
    <w:rsid w:val="273E668C"/>
    <w:rsid w:val="274041B2"/>
    <w:rsid w:val="27594AEA"/>
    <w:rsid w:val="27767BD4"/>
    <w:rsid w:val="27A5262E"/>
    <w:rsid w:val="27B8643F"/>
    <w:rsid w:val="27C132F1"/>
    <w:rsid w:val="27CB7D80"/>
    <w:rsid w:val="27CD1F54"/>
    <w:rsid w:val="27D85841"/>
    <w:rsid w:val="27D86AE1"/>
    <w:rsid w:val="27DD7C53"/>
    <w:rsid w:val="27E014F2"/>
    <w:rsid w:val="27EC7E96"/>
    <w:rsid w:val="28034C6D"/>
    <w:rsid w:val="28040E4A"/>
    <w:rsid w:val="281F201A"/>
    <w:rsid w:val="28201DDD"/>
    <w:rsid w:val="282F2F82"/>
    <w:rsid w:val="283F0087"/>
    <w:rsid w:val="283F090E"/>
    <w:rsid w:val="2844798D"/>
    <w:rsid w:val="28691716"/>
    <w:rsid w:val="286A42FF"/>
    <w:rsid w:val="28B26D79"/>
    <w:rsid w:val="28BA65A2"/>
    <w:rsid w:val="28C45AE6"/>
    <w:rsid w:val="28C64B8B"/>
    <w:rsid w:val="28CD5F1A"/>
    <w:rsid w:val="28D366FF"/>
    <w:rsid w:val="28D9669A"/>
    <w:rsid w:val="28DF697D"/>
    <w:rsid w:val="28E913EF"/>
    <w:rsid w:val="28F65471"/>
    <w:rsid w:val="291458F7"/>
    <w:rsid w:val="292C49EE"/>
    <w:rsid w:val="294C2BD9"/>
    <w:rsid w:val="297B7724"/>
    <w:rsid w:val="29826D04"/>
    <w:rsid w:val="29B6075C"/>
    <w:rsid w:val="29D532D8"/>
    <w:rsid w:val="29EE6148"/>
    <w:rsid w:val="29FB219D"/>
    <w:rsid w:val="2A047719"/>
    <w:rsid w:val="2A157B78"/>
    <w:rsid w:val="2A3E201B"/>
    <w:rsid w:val="2A5A558B"/>
    <w:rsid w:val="2A6B59EA"/>
    <w:rsid w:val="2A6C2FBF"/>
    <w:rsid w:val="2A77438F"/>
    <w:rsid w:val="2A7D127A"/>
    <w:rsid w:val="2A8D5961"/>
    <w:rsid w:val="2A957654"/>
    <w:rsid w:val="2A9E191C"/>
    <w:rsid w:val="2AD92954"/>
    <w:rsid w:val="2AEA2DB3"/>
    <w:rsid w:val="2AEC6B2B"/>
    <w:rsid w:val="2B0B4446"/>
    <w:rsid w:val="2B0B5F38"/>
    <w:rsid w:val="2B230BF3"/>
    <w:rsid w:val="2B30453E"/>
    <w:rsid w:val="2B471FB3"/>
    <w:rsid w:val="2B795EE5"/>
    <w:rsid w:val="2B8054C5"/>
    <w:rsid w:val="2B88437A"/>
    <w:rsid w:val="2B88534B"/>
    <w:rsid w:val="2BB4516F"/>
    <w:rsid w:val="2BCD2F8E"/>
    <w:rsid w:val="2BE27F2E"/>
    <w:rsid w:val="2BE55328"/>
    <w:rsid w:val="2BFF463C"/>
    <w:rsid w:val="2C0E487F"/>
    <w:rsid w:val="2C161986"/>
    <w:rsid w:val="2C180916"/>
    <w:rsid w:val="2C1E35F3"/>
    <w:rsid w:val="2C35005E"/>
    <w:rsid w:val="2C4F5B19"/>
    <w:rsid w:val="2C505CDF"/>
    <w:rsid w:val="2C526E62"/>
    <w:rsid w:val="2C5524AE"/>
    <w:rsid w:val="2C5A1872"/>
    <w:rsid w:val="2C6E3292"/>
    <w:rsid w:val="2C7E4AF1"/>
    <w:rsid w:val="2C862B2D"/>
    <w:rsid w:val="2C8974AE"/>
    <w:rsid w:val="2C901738"/>
    <w:rsid w:val="2C9651E0"/>
    <w:rsid w:val="2CA034F5"/>
    <w:rsid w:val="2CA64AB8"/>
    <w:rsid w:val="2CC118F2"/>
    <w:rsid w:val="2CC8525F"/>
    <w:rsid w:val="2CD34A44"/>
    <w:rsid w:val="2CE101E6"/>
    <w:rsid w:val="2CEB1DDF"/>
    <w:rsid w:val="2CF00E40"/>
    <w:rsid w:val="2CF43CB8"/>
    <w:rsid w:val="2CF96C08"/>
    <w:rsid w:val="2CFF066C"/>
    <w:rsid w:val="2D1A7254"/>
    <w:rsid w:val="2D1F247C"/>
    <w:rsid w:val="2D2360D5"/>
    <w:rsid w:val="2D32459D"/>
    <w:rsid w:val="2D3575D7"/>
    <w:rsid w:val="2D392A9A"/>
    <w:rsid w:val="2D3F2720"/>
    <w:rsid w:val="2D66090F"/>
    <w:rsid w:val="2D6A3D37"/>
    <w:rsid w:val="2D724E8D"/>
    <w:rsid w:val="2D7A11B1"/>
    <w:rsid w:val="2D8017AD"/>
    <w:rsid w:val="2DB43204"/>
    <w:rsid w:val="2DB54923"/>
    <w:rsid w:val="2DBF6A28"/>
    <w:rsid w:val="2DC75DE6"/>
    <w:rsid w:val="2DD04934"/>
    <w:rsid w:val="2DDB4BC1"/>
    <w:rsid w:val="2DDD3FC1"/>
    <w:rsid w:val="2DDF4522"/>
    <w:rsid w:val="2DED6820"/>
    <w:rsid w:val="2E0F2B31"/>
    <w:rsid w:val="2E220AB6"/>
    <w:rsid w:val="2E255EB0"/>
    <w:rsid w:val="2E3A7D96"/>
    <w:rsid w:val="2E4427DA"/>
    <w:rsid w:val="2E4A5917"/>
    <w:rsid w:val="2E5C5D76"/>
    <w:rsid w:val="2E5D389C"/>
    <w:rsid w:val="2E5D477B"/>
    <w:rsid w:val="2E630C84"/>
    <w:rsid w:val="2E641B42"/>
    <w:rsid w:val="2E837111"/>
    <w:rsid w:val="2E84600A"/>
    <w:rsid w:val="2E956466"/>
    <w:rsid w:val="2EA66FF1"/>
    <w:rsid w:val="2EAB0AAB"/>
    <w:rsid w:val="2EBA0CEE"/>
    <w:rsid w:val="2EBF37A7"/>
    <w:rsid w:val="2EBF4B0B"/>
    <w:rsid w:val="2EC97183"/>
    <w:rsid w:val="2ED26038"/>
    <w:rsid w:val="2ED86F63"/>
    <w:rsid w:val="2EDF1048"/>
    <w:rsid w:val="2EED10C4"/>
    <w:rsid w:val="2EF7784D"/>
    <w:rsid w:val="2EFA10EB"/>
    <w:rsid w:val="2EFB21A9"/>
    <w:rsid w:val="2F1A353B"/>
    <w:rsid w:val="2F1F5FD6"/>
    <w:rsid w:val="2F3C1703"/>
    <w:rsid w:val="2F407445"/>
    <w:rsid w:val="2F4412E8"/>
    <w:rsid w:val="2F4A18BE"/>
    <w:rsid w:val="2F544C9F"/>
    <w:rsid w:val="2F5527C5"/>
    <w:rsid w:val="2F5702EB"/>
    <w:rsid w:val="2F6F0666"/>
    <w:rsid w:val="2F860BD0"/>
    <w:rsid w:val="2F927575"/>
    <w:rsid w:val="2FA95C42"/>
    <w:rsid w:val="2FF574A1"/>
    <w:rsid w:val="300246FB"/>
    <w:rsid w:val="301D42EF"/>
    <w:rsid w:val="30250D25"/>
    <w:rsid w:val="3025488D"/>
    <w:rsid w:val="3044084D"/>
    <w:rsid w:val="304E5F54"/>
    <w:rsid w:val="30644D23"/>
    <w:rsid w:val="30894E1C"/>
    <w:rsid w:val="308F2E8B"/>
    <w:rsid w:val="3097100B"/>
    <w:rsid w:val="30B05F05"/>
    <w:rsid w:val="30C4716D"/>
    <w:rsid w:val="30CD3408"/>
    <w:rsid w:val="30CF4EA4"/>
    <w:rsid w:val="30DA76A0"/>
    <w:rsid w:val="30E91417"/>
    <w:rsid w:val="30F57DBC"/>
    <w:rsid w:val="30FA3624"/>
    <w:rsid w:val="31002A27"/>
    <w:rsid w:val="310A4AEB"/>
    <w:rsid w:val="310D2023"/>
    <w:rsid w:val="31132938"/>
    <w:rsid w:val="311C7A3E"/>
    <w:rsid w:val="313308E4"/>
    <w:rsid w:val="3146291E"/>
    <w:rsid w:val="314D7BF8"/>
    <w:rsid w:val="3163741B"/>
    <w:rsid w:val="31662CD4"/>
    <w:rsid w:val="317C228B"/>
    <w:rsid w:val="31857392"/>
    <w:rsid w:val="318E1BB8"/>
    <w:rsid w:val="319475D5"/>
    <w:rsid w:val="319976C6"/>
    <w:rsid w:val="319A711F"/>
    <w:rsid w:val="31A15954"/>
    <w:rsid w:val="31AA329C"/>
    <w:rsid w:val="31BF1AA9"/>
    <w:rsid w:val="31C375C8"/>
    <w:rsid w:val="31CB1C69"/>
    <w:rsid w:val="31E75151"/>
    <w:rsid w:val="31F84F28"/>
    <w:rsid w:val="31FB0E97"/>
    <w:rsid w:val="32006501"/>
    <w:rsid w:val="320643AF"/>
    <w:rsid w:val="32130E41"/>
    <w:rsid w:val="322841C1"/>
    <w:rsid w:val="322D6302"/>
    <w:rsid w:val="32562ADC"/>
    <w:rsid w:val="32585F5F"/>
    <w:rsid w:val="32632A63"/>
    <w:rsid w:val="32697A24"/>
    <w:rsid w:val="326F46E0"/>
    <w:rsid w:val="32724227"/>
    <w:rsid w:val="3273368E"/>
    <w:rsid w:val="327A3BC6"/>
    <w:rsid w:val="327D450D"/>
    <w:rsid w:val="327F745D"/>
    <w:rsid w:val="3284589B"/>
    <w:rsid w:val="32846148"/>
    <w:rsid w:val="328E671A"/>
    <w:rsid w:val="32962C35"/>
    <w:rsid w:val="32990C1B"/>
    <w:rsid w:val="32C24615"/>
    <w:rsid w:val="32CB013A"/>
    <w:rsid w:val="32D3412D"/>
    <w:rsid w:val="32DA017D"/>
    <w:rsid w:val="32E4458C"/>
    <w:rsid w:val="32E8120D"/>
    <w:rsid w:val="32F347CF"/>
    <w:rsid w:val="32F848CB"/>
    <w:rsid w:val="32F94550"/>
    <w:rsid w:val="32FD05B3"/>
    <w:rsid w:val="33007B2E"/>
    <w:rsid w:val="330306C4"/>
    <w:rsid w:val="330B1B18"/>
    <w:rsid w:val="331134D2"/>
    <w:rsid w:val="331D1161"/>
    <w:rsid w:val="331F3816"/>
    <w:rsid w:val="332130EA"/>
    <w:rsid w:val="332B21BB"/>
    <w:rsid w:val="33372EAB"/>
    <w:rsid w:val="333A29E6"/>
    <w:rsid w:val="3341378C"/>
    <w:rsid w:val="334C66DF"/>
    <w:rsid w:val="335C4122"/>
    <w:rsid w:val="335D1989"/>
    <w:rsid w:val="336851BD"/>
    <w:rsid w:val="336F1756"/>
    <w:rsid w:val="33786E01"/>
    <w:rsid w:val="337A0A4C"/>
    <w:rsid w:val="338056EA"/>
    <w:rsid w:val="33911204"/>
    <w:rsid w:val="33AF3D68"/>
    <w:rsid w:val="33AF6666"/>
    <w:rsid w:val="33BE6F4E"/>
    <w:rsid w:val="33C63C91"/>
    <w:rsid w:val="33CB572B"/>
    <w:rsid w:val="33CE21B1"/>
    <w:rsid w:val="33CE657B"/>
    <w:rsid w:val="33EA3E24"/>
    <w:rsid w:val="33EC7B9C"/>
    <w:rsid w:val="33FB0977"/>
    <w:rsid w:val="34034EE6"/>
    <w:rsid w:val="340842AA"/>
    <w:rsid w:val="341C53BA"/>
    <w:rsid w:val="342C131A"/>
    <w:rsid w:val="34312EC5"/>
    <w:rsid w:val="344A041F"/>
    <w:rsid w:val="345F6A06"/>
    <w:rsid w:val="346B35D2"/>
    <w:rsid w:val="347C1D6E"/>
    <w:rsid w:val="347C39A8"/>
    <w:rsid w:val="34847DD4"/>
    <w:rsid w:val="34853B4C"/>
    <w:rsid w:val="3493296C"/>
    <w:rsid w:val="34A22009"/>
    <w:rsid w:val="34AE30A3"/>
    <w:rsid w:val="34B34723"/>
    <w:rsid w:val="34C46423"/>
    <w:rsid w:val="34C83A95"/>
    <w:rsid w:val="34CD4559"/>
    <w:rsid w:val="34E00D83"/>
    <w:rsid w:val="34E41339"/>
    <w:rsid w:val="34EB6364"/>
    <w:rsid w:val="34F565DC"/>
    <w:rsid w:val="35132F06"/>
    <w:rsid w:val="35272A09"/>
    <w:rsid w:val="35373099"/>
    <w:rsid w:val="3538296D"/>
    <w:rsid w:val="354B444E"/>
    <w:rsid w:val="354E440C"/>
    <w:rsid w:val="356F6F29"/>
    <w:rsid w:val="357C6CFE"/>
    <w:rsid w:val="358A766C"/>
    <w:rsid w:val="358B2CE3"/>
    <w:rsid w:val="358C26FA"/>
    <w:rsid w:val="35904557"/>
    <w:rsid w:val="359C4C4F"/>
    <w:rsid w:val="35AD5109"/>
    <w:rsid w:val="35BE2E72"/>
    <w:rsid w:val="35C32BDC"/>
    <w:rsid w:val="35D5640E"/>
    <w:rsid w:val="35F745D6"/>
    <w:rsid w:val="36421DB2"/>
    <w:rsid w:val="364610BA"/>
    <w:rsid w:val="36522344"/>
    <w:rsid w:val="365657A0"/>
    <w:rsid w:val="36724494"/>
    <w:rsid w:val="3679649B"/>
    <w:rsid w:val="367D0F7F"/>
    <w:rsid w:val="36826C31"/>
    <w:rsid w:val="368F0CBF"/>
    <w:rsid w:val="36916FED"/>
    <w:rsid w:val="36A469C4"/>
    <w:rsid w:val="36A521D9"/>
    <w:rsid w:val="36E508D2"/>
    <w:rsid w:val="36F55EAA"/>
    <w:rsid w:val="370F0532"/>
    <w:rsid w:val="371676C9"/>
    <w:rsid w:val="372B09DB"/>
    <w:rsid w:val="375A33F7"/>
    <w:rsid w:val="37763F45"/>
    <w:rsid w:val="3784095E"/>
    <w:rsid w:val="37895E9F"/>
    <w:rsid w:val="37974CAD"/>
    <w:rsid w:val="37E40B8A"/>
    <w:rsid w:val="37EA2644"/>
    <w:rsid w:val="37EB1F18"/>
    <w:rsid w:val="380447BA"/>
    <w:rsid w:val="38044D88"/>
    <w:rsid w:val="3806031D"/>
    <w:rsid w:val="382C513A"/>
    <w:rsid w:val="382E79D1"/>
    <w:rsid w:val="38341B11"/>
    <w:rsid w:val="38417D8A"/>
    <w:rsid w:val="3842422E"/>
    <w:rsid w:val="384635F3"/>
    <w:rsid w:val="3847643D"/>
    <w:rsid w:val="38526F7A"/>
    <w:rsid w:val="3863193C"/>
    <w:rsid w:val="386A0A3A"/>
    <w:rsid w:val="386B63C8"/>
    <w:rsid w:val="387A2F34"/>
    <w:rsid w:val="387C555A"/>
    <w:rsid w:val="387E2D8D"/>
    <w:rsid w:val="389278D8"/>
    <w:rsid w:val="38975BFC"/>
    <w:rsid w:val="389C521D"/>
    <w:rsid w:val="38A743B4"/>
    <w:rsid w:val="38AA5930"/>
    <w:rsid w:val="38AB198A"/>
    <w:rsid w:val="38E52970"/>
    <w:rsid w:val="38EA21D0"/>
    <w:rsid w:val="38EE7F12"/>
    <w:rsid w:val="38F24DE8"/>
    <w:rsid w:val="38F372D7"/>
    <w:rsid w:val="38F65019"/>
    <w:rsid w:val="38FB43DD"/>
    <w:rsid w:val="390810C8"/>
    <w:rsid w:val="391673FF"/>
    <w:rsid w:val="39182D35"/>
    <w:rsid w:val="39463C3B"/>
    <w:rsid w:val="3946752A"/>
    <w:rsid w:val="39641F82"/>
    <w:rsid w:val="39684912"/>
    <w:rsid w:val="397441F3"/>
    <w:rsid w:val="398919E9"/>
    <w:rsid w:val="398C75BD"/>
    <w:rsid w:val="39A16C97"/>
    <w:rsid w:val="39A24859"/>
    <w:rsid w:val="39A56B84"/>
    <w:rsid w:val="39A77BB2"/>
    <w:rsid w:val="39AD173D"/>
    <w:rsid w:val="39AD5743"/>
    <w:rsid w:val="39BE5B37"/>
    <w:rsid w:val="39CD1EE3"/>
    <w:rsid w:val="39CD78A2"/>
    <w:rsid w:val="39D1471A"/>
    <w:rsid w:val="39ED6FFB"/>
    <w:rsid w:val="3A0568AB"/>
    <w:rsid w:val="3A257964"/>
    <w:rsid w:val="3A67104B"/>
    <w:rsid w:val="3A81200E"/>
    <w:rsid w:val="3A850402"/>
    <w:rsid w:val="3A975B5D"/>
    <w:rsid w:val="3A9C399E"/>
    <w:rsid w:val="3AA52E29"/>
    <w:rsid w:val="3AA91B3C"/>
    <w:rsid w:val="3ABA3B8B"/>
    <w:rsid w:val="3ABB7AA2"/>
    <w:rsid w:val="3AD1189A"/>
    <w:rsid w:val="3AD62A0C"/>
    <w:rsid w:val="3AFD68A7"/>
    <w:rsid w:val="3B014F9B"/>
    <w:rsid w:val="3B1F45BC"/>
    <w:rsid w:val="3B255741"/>
    <w:rsid w:val="3B345984"/>
    <w:rsid w:val="3B36794F"/>
    <w:rsid w:val="3B367AA6"/>
    <w:rsid w:val="3B3F6BAE"/>
    <w:rsid w:val="3B437161"/>
    <w:rsid w:val="3B506C62"/>
    <w:rsid w:val="3B514FD2"/>
    <w:rsid w:val="3B5A7643"/>
    <w:rsid w:val="3B6224F2"/>
    <w:rsid w:val="3B693880"/>
    <w:rsid w:val="3B854AB6"/>
    <w:rsid w:val="3B8E1539"/>
    <w:rsid w:val="3B9D177C"/>
    <w:rsid w:val="3BA046F2"/>
    <w:rsid w:val="3BA50630"/>
    <w:rsid w:val="3BD80550"/>
    <w:rsid w:val="3BE56E1B"/>
    <w:rsid w:val="3BED2DB3"/>
    <w:rsid w:val="3C1A2DCC"/>
    <w:rsid w:val="3C215F09"/>
    <w:rsid w:val="3C4075D1"/>
    <w:rsid w:val="3C436B55"/>
    <w:rsid w:val="3C54160F"/>
    <w:rsid w:val="3C595E61"/>
    <w:rsid w:val="3C622D83"/>
    <w:rsid w:val="3C7324DC"/>
    <w:rsid w:val="3C844B13"/>
    <w:rsid w:val="3C920830"/>
    <w:rsid w:val="3C96557D"/>
    <w:rsid w:val="3C9E39FD"/>
    <w:rsid w:val="3CAA7145"/>
    <w:rsid w:val="3CB74ABF"/>
    <w:rsid w:val="3CBC6D81"/>
    <w:rsid w:val="3CC0618E"/>
    <w:rsid w:val="3CC35212"/>
    <w:rsid w:val="3CC828E4"/>
    <w:rsid w:val="3CD14C56"/>
    <w:rsid w:val="3CD25455"/>
    <w:rsid w:val="3CD87391"/>
    <w:rsid w:val="3CEA1374"/>
    <w:rsid w:val="3CF032A3"/>
    <w:rsid w:val="3D1D70A7"/>
    <w:rsid w:val="3D2263DC"/>
    <w:rsid w:val="3D245259"/>
    <w:rsid w:val="3D2736E7"/>
    <w:rsid w:val="3D2C1009"/>
    <w:rsid w:val="3D3C1DEC"/>
    <w:rsid w:val="3D502922"/>
    <w:rsid w:val="3D605157"/>
    <w:rsid w:val="3D943877"/>
    <w:rsid w:val="3DB77087"/>
    <w:rsid w:val="3DE042EE"/>
    <w:rsid w:val="3DE60DD6"/>
    <w:rsid w:val="3E004349"/>
    <w:rsid w:val="3E0F7B1D"/>
    <w:rsid w:val="3E155F41"/>
    <w:rsid w:val="3E234AB8"/>
    <w:rsid w:val="3E4009FD"/>
    <w:rsid w:val="3E444130"/>
    <w:rsid w:val="3E4B3449"/>
    <w:rsid w:val="3E4C5C06"/>
    <w:rsid w:val="3E5C1BAD"/>
    <w:rsid w:val="3E60064C"/>
    <w:rsid w:val="3E80516D"/>
    <w:rsid w:val="3E921E77"/>
    <w:rsid w:val="3E9230EE"/>
    <w:rsid w:val="3E9F6F17"/>
    <w:rsid w:val="3EA21E20"/>
    <w:rsid w:val="3EA37CD2"/>
    <w:rsid w:val="3EDF3E59"/>
    <w:rsid w:val="3EE06168"/>
    <w:rsid w:val="3EE85404"/>
    <w:rsid w:val="3EFA3D38"/>
    <w:rsid w:val="3F141725"/>
    <w:rsid w:val="3F1B1335"/>
    <w:rsid w:val="3F200257"/>
    <w:rsid w:val="3F286DBF"/>
    <w:rsid w:val="3F3E3276"/>
    <w:rsid w:val="3F4028FA"/>
    <w:rsid w:val="3F611A6D"/>
    <w:rsid w:val="3F8D1475"/>
    <w:rsid w:val="3F975C22"/>
    <w:rsid w:val="3FA70E1B"/>
    <w:rsid w:val="3FB47094"/>
    <w:rsid w:val="3FB5178A"/>
    <w:rsid w:val="3FC419A7"/>
    <w:rsid w:val="3FC64109"/>
    <w:rsid w:val="3FCC77A7"/>
    <w:rsid w:val="3FD65247"/>
    <w:rsid w:val="3FDB385A"/>
    <w:rsid w:val="3FDF6807"/>
    <w:rsid w:val="3FE23C01"/>
    <w:rsid w:val="3FE3145D"/>
    <w:rsid w:val="3FE71217"/>
    <w:rsid w:val="40026051"/>
    <w:rsid w:val="40060A10"/>
    <w:rsid w:val="40061FE5"/>
    <w:rsid w:val="400E0CEC"/>
    <w:rsid w:val="401B4DC9"/>
    <w:rsid w:val="401C3766"/>
    <w:rsid w:val="4022565B"/>
    <w:rsid w:val="402266F3"/>
    <w:rsid w:val="40290AEF"/>
    <w:rsid w:val="403629A3"/>
    <w:rsid w:val="403B1006"/>
    <w:rsid w:val="403B122D"/>
    <w:rsid w:val="404B007A"/>
    <w:rsid w:val="405A5E8D"/>
    <w:rsid w:val="405A7C3B"/>
    <w:rsid w:val="405B7334"/>
    <w:rsid w:val="405C70C5"/>
    <w:rsid w:val="40646D0C"/>
    <w:rsid w:val="406B3BF6"/>
    <w:rsid w:val="40875F80"/>
    <w:rsid w:val="40C31C84"/>
    <w:rsid w:val="40CD2BBC"/>
    <w:rsid w:val="40CE74E8"/>
    <w:rsid w:val="40D55514"/>
    <w:rsid w:val="40D7128C"/>
    <w:rsid w:val="40F0234E"/>
    <w:rsid w:val="40F430E1"/>
    <w:rsid w:val="40F96B4C"/>
    <w:rsid w:val="40FE0F0E"/>
    <w:rsid w:val="41107AF2"/>
    <w:rsid w:val="41390199"/>
    <w:rsid w:val="41503F2D"/>
    <w:rsid w:val="41561B7B"/>
    <w:rsid w:val="415D5C35"/>
    <w:rsid w:val="415F2382"/>
    <w:rsid w:val="41644CA3"/>
    <w:rsid w:val="417C604D"/>
    <w:rsid w:val="418238EE"/>
    <w:rsid w:val="41C84587"/>
    <w:rsid w:val="41DF75B5"/>
    <w:rsid w:val="41E11DF7"/>
    <w:rsid w:val="41E64E09"/>
    <w:rsid w:val="41FD4053"/>
    <w:rsid w:val="42016538"/>
    <w:rsid w:val="421568CA"/>
    <w:rsid w:val="421D6795"/>
    <w:rsid w:val="422229DB"/>
    <w:rsid w:val="422A47BA"/>
    <w:rsid w:val="422F2C0A"/>
    <w:rsid w:val="425608D6"/>
    <w:rsid w:val="426C1EA8"/>
    <w:rsid w:val="427A77FA"/>
    <w:rsid w:val="427C658F"/>
    <w:rsid w:val="42997BDD"/>
    <w:rsid w:val="42AC4D28"/>
    <w:rsid w:val="42B60CBA"/>
    <w:rsid w:val="42BA4570"/>
    <w:rsid w:val="42C43A92"/>
    <w:rsid w:val="42D670A8"/>
    <w:rsid w:val="42DB62DB"/>
    <w:rsid w:val="42DD01B9"/>
    <w:rsid w:val="42F40D87"/>
    <w:rsid w:val="430F75E6"/>
    <w:rsid w:val="43157031"/>
    <w:rsid w:val="431F6F1A"/>
    <w:rsid w:val="43204D6E"/>
    <w:rsid w:val="43364990"/>
    <w:rsid w:val="433C388A"/>
    <w:rsid w:val="433E0C67"/>
    <w:rsid w:val="434171A0"/>
    <w:rsid w:val="434F476D"/>
    <w:rsid w:val="43560B8E"/>
    <w:rsid w:val="43661D30"/>
    <w:rsid w:val="436C09A1"/>
    <w:rsid w:val="436E0D52"/>
    <w:rsid w:val="436F047F"/>
    <w:rsid w:val="436F39FE"/>
    <w:rsid w:val="436F7EA2"/>
    <w:rsid w:val="437B082C"/>
    <w:rsid w:val="43853221"/>
    <w:rsid w:val="43863FBF"/>
    <w:rsid w:val="43B835F7"/>
    <w:rsid w:val="43BA63BC"/>
    <w:rsid w:val="43BD6A6D"/>
    <w:rsid w:val="43E56FFE"/>
    <w:rsid w:val="43E77A38"/>
    <w:rsid w:val="44033175"/>
    <w:rsid w:val="44071DF4"/>
    <w:rsid w:val="440C749E"/>
    <w:rsid w:val="441912DB"/>
    <w:rsid w:val="442347E8"/>
    <w:rsid w:val="442567B2"/>
    <w:rsid w:val="4435005E"/>
    <w:rsid w:val="44384517"/>
    <w:rsid w:val="444C3C60"/>
    <w:rsid w:val="4450382F"/>
    <w:rsid w:val="445B2639"/>
    <w:rsid w:val="44894274"/>
    <w:rsid w:val="44C77869"/>
    <w:rsid w:val="44D51F86"/>
    <w:rsid w:val="44E1092B"/>
    <w:rsid w:val="44E70410"/>
    <w:rsid w:val="45073342"/>
    <w:rsid w:val="451720F2"/>
    <w:rsid w:val="45223472"/>
    <w:rsid w:val="452B604A"/>
    <w:rsid w:val="453C0257"/>
    <w:rsid w:val="45406B12"/>
    <w:rsid w:val="455A06DD"/>
    <w:rsid w:val="456A3F6D"/>
    <w:rsid w:val="458F482B"/>
    <w:rsid w:val="45A42F3B"/>
    <w:rsid w:val="45DA2553"/>
    <w:rsid w:val="45DA2E00"/>
    <w:rsid w:val="45ED3300"/>
    <w:rsid w:val="45EF1111"/>
    <w:rsid w:val="460C7409"/>
    <w:rsid w:val="460D74FE"/>
    <w:rsid w:val="4613720A"/>
    <w:rsid w:val="461643C7"/>
    <w:rsid w:val="4636593F"/>
    <w:rsid w:val="46390F6D"/>
    <w:rsid w:val="463D7DE3"/>
    <w:rsid w:val="464A2500"/>
    <w:rsid w:val="464C0026"/>
    <w:rsid w:val="465D4CB9"/>
    <w:rsid w:val="467632F5"/>
    <w:rsid w:val="46B207DF"/>
    <w:rsid w:val="46B86825"/>
    <w:rsid w:val="46CD35E4"/>
    <w:rsid w:val="46EA07B2"/>
    <w:rsid w:val="46F506BE"/>
    <w:rsid w:val="46F82CC1"/>
    <w:rsid w:val="4703337B"/>
    <w:rsid w:val="47094142"/>
    <w:rsid w:val="47150D60"/>
    <w:rsid w:val="471E65B1"/>
    <w:rsid w:val="471F1784"/>
    <w:rsid w:val="47242D51"/>
    <w:rsid w:val="473311E6"/>
    <w:rsid w:val="47347438"/>
    <w:rsid w:val="474074AC"/>
    <w:rsid w:val="475A2341"/>
    <w:rsid w:val="4760647F"/>
    <w:rsid w:val="47633879"/>
    <w:rsid w:val="476C689D"/>
    <w:rsid w:val="47A72EC9"/>
    <w:rsid w:val="47B71E17"/>
    <w:rsid w:val="47CA7D9C"/>
    <w:rsid w:val="47CC40D8"/>
    <w:rsid w:val="48082673"/>
    <w:rsid w:val="480B5E01"/>
    <w:rsid w:val="480E3260"/>
    <w:rsid w:val="48480CC1"/>
    <w:rsid w:val="48597B07"/>
    <w:rsid w:val="486414CE"/>
    <w:rsid w:val="48691B36"/>
    <w:rsid w:val="48741AB6"/>
    <w:rsid w:val="487910EC"/>
    <w:rsid w:val="487B1097"/>
    <w:rsid w:val="487F2935"/>
    <w:rsid w:val="48834C9A"/>
    <w:rsid w:val="48877A3B"/>
    <w:rsid w:val="48886A56"/>
    <w:rsid w:val="488C0CE1"/>
    <w:rsid w:val="489108BA"/>
    <w:rsid w:val="489C2DB7"/>
    <w:rsid w:val="489C351F"/>
    <w:rsid w:val="489E1D09"/>
    <w:rsid w:val="48A028AB"/>
    <w:rsid w:val="48BD520B"/>
    <w:rsid w:val="48C1039E"/>
    <w:rsid w:val="48EB1D78"/>
    <w:rsid w:val="48EB7FCA"/>
    <w:rsid w:val="490023BE"/>
    <w:rsid w:val="49155047"/>
    <w:rsid w:val="491A265E"/>
    <w:rsid w:val="491D285B"/>
    <w:rsid w:val="491D3EFC"/>
    <w:rsid w:val="491F1A22"/>
    <w:rsid w:val="49236546"/>
    <w:rsid w:val="493666B5"/>
    <w:rsid w:val="49482F21"/>
    <w:rsid w:val="494877A6"/>
    <w:rsid w:val="49663358"/>
    <w:rsid w:val="49683634"/>
    <w:rsid w:val="49724393"/>
    <w:rsid w:val="497C0C22"/>
    <w:rsid w:val="497F6965"/>
    <w:rsid w:val="49816239"/>
    <w:rsid w:val="498F2C8C"/>
    <w:rsid w:val="49975A5C"/>
    <w:rsid w:val="49975BE8"/>
    <w:rsid w:val="49B22896"/>
    <w:rsid w:val="49BE123B"/>
    <w:rsid w:val="49C425C9"/>
    <w:rsid w:val="49EF3581"/>
    <w:rsid w:val="49F66C27"/>
    <w:rsid w:val="49FA5FEB"/>
    <w:rsid w:val="4A01737A"/>
    <w:rsid w:val="4A0A7682"/>
    <w:rsid w:val="4A1C69A8"/>
    <w:rsid w:val="4A282B58"/>
    <w:rsid w:val="4A2C2648"/>
    <w:rsid w:val="4A372D9B"/>
    <w:rsid w:val="4A38723F"/>
    <w:rsid w:val="4A5676C5"/>
    <w:rsid w:val="4A590F64"/>
    <w:rsid w:val="4A5A4C2D"/>
    <w:rsid w:val="4A622805"/>
    <w:rsid w:val="4A670CE8"/>
    <w:rsid w:val="4A791606"/>
    <w:rsid w:val="4A83500A"/>
    <w:rsid w:val="4A995804"/>
    <w:rsid w:val="4AA246B9"/>
    <w:rsid w:val="4AA541A9"/>
    <w:rsid w:val="4AB27C27"/>
    <w:rsid w:val="4AC24D5B"/>
    <w:rsid w:val="4AD3077D"/>
    <w:rsid w:val="4ADB5E1D"/>
    <w:rsid w:val="4B1F21AD"/>
    <w:rsid w:val="4B1F5D09"/>
    <w:rsid w:val="4B21248D"/>
    <w:rsid w:val="4B2B3A38"/>
    <w:rsid w:val="4B313C8F"/>
    <w:rsid w:val="4B4B0ED8"/>
    <w:rsid w:val="4B6C61E6"/>
    <w:rsid w:val="4B6D633F"/>
    <w:rsid w:val="4B797CFE"/>
    <w:rsid w:val="4B7A6071"/>
    <w:rsid w:val="4B80662D"/>
    <w:rsid w:val="4B96714B"/>
    <w:rsid w:val="4BA95F1B"/>
    <w:rsid w:val="4BB16CD5"/>
    <w:rsid w:val="4BB5666E"/>
    <w:rsid w:val="4BB723FD"/>
    <w:rsid w:val="4BEE2F77"/>
    <w:rsid w:val="4BF73906"/>
    <w:rsid w:val="4BF958AF"/>
    <w:rsid w:val="4C0F1BEA"/>
    <w:rsid w:val="4C3A2445"/>
    <w:rsid w:val="4C3C28EB"/>
    <w:rsid w:val="4C742085"/>
    <w:rsid w:val="4C87625C"/>
    <w:rsid w:val="4C910E89"/>
    <w:rsid w:val="4CA56323"/>
    <w:rsid w:val="4CE0596C"/>
    <w:rsid w:val="4CF66F3E"/>
    <w:rsid w:val="4D0478AD"/>
    <w:rsid w:val="4D0A4797"/>
    <w:rsid w:val="4D187642"/>
    <w:rsid w:val="4D2553D4"/>
    <w:rsid w:val="4D2F41FE"/>
    <w:rsid w:val="4D372D43"/>
    <w:rsid w:val="4D56422A"/>
    <w:rsid w:val="4D59639E"/>
    <w:rsid w:val="4D6F3B43"/>
    <w:rsid w:val="4D712FDA"/>
    <w:rsid w:val="4D746E8E"/>
    <w:rsid w:val="4D800456"/>
    <w:rsid w:val="4D862070"/>
    <w:rsid w:val="4D92310A"/>
    <w:rsid w:val="4D9D385D"/>
    <w:rsid w:val="4DB90870"/>
    <w:rsid w:val="4DC4703C"/>
    <w:rsid w:val="4DCB01B8"/>
    <w:rsid w:val="4DCD7C9F"/>
    <w:rsid w:val="4DD252B5"/>
    <w:rsid w:val="4DE17BEE"/>
    <w:rsid w:val="4E1C02AE"/>
    <w:rsid w:val="4E1E6324"/>
    <w:rsid w:val="4E4F4B57"/>
    <w:rsid w:val="4E5C1A72"/>
    <w:rsid w:val="4E615284"/>
    <w:rsid w:val="4E6744B1"/>
    <w:rsid w:val="4E93713A"/>
    <w:rsid w:val="4EA64556"/>
    <w:rsid w:val="4EAD29E4"/>
    <w:rsid w:val="4EC310A1"/>
    <w:rsid w:val="4EEA2AD2"/>
    <w:rsid w:val="4F043B94"/>
    <w:rsid w:val="4F1A55F3"/>
    <w:rsid w:val="4F1B205A"/>
    <w:rsid w:val="4F2A7373"/>
    <w:rsid w:val="4F2E5442"/>
    <w:rsid w:val="4F2F1144"/>
    <w:rsid w:val="4F30313F"/>
    <w:rsid w:val="4F52580A"/>
    <w:rsid w:val="4F691C49"/>
    <w:rsid w:val="4F6A776F"/>
    <w:rsid w:val="4F702FD7"/>
    <w:rsid w:val="4F707F08"/>
    <w:rsid w:val="4F9273F2"/>
    <w:rsid w:val="4FD277EE"/>
    <w:rsid w:val="4FD60B6D"/>
    <w:rsid w:val="4FDA7D75"/>
    <w:rsid w:val="4FF57980"/>
    <w:rsid w:val="4FFB3E9B"/>
    <w:rsid w:val="501E6ED7"/>
    <w:rsid w:val="50787096"/>
    <w:rsid w:val="507C775A"/>
    <w:rsid w:val="508D5E0B"/>
    <w:rsid w:val="508F1B83"/>
    <w:rsid w:val="50B25281"/>
    <w:rsid w:val="50BF0E64"/>
    <w:rsid w:val="50E579F5"/>
    <w:rsid w:val="50E87836"/>
    <w:rsid w:val="50EA500B"/>
    <w:rsid w:val="50F83282"/>
    <w:rsid w:val="50FB4B23"/>
    <w:rsid w:val="50FE3FD9"/>
    <w:rsid w:val="51031250"/>
    <w:rsid w:val="51173459"/>
    <w:rsid w:val="511E2B79"/>
    <w:rsid w:val="51257DF2"/>
    <w:rsid w:val="51265C7E"/>
    <w:rsid w:val="514814EC"/>
    <w:rsid w:val="5153670D"/>
    <w:rsid w:val="515E4990"/>
    <w:rsid w:val="515F1555"/>
    <w:rsid w:val="519C765E"/>
    <w:rsid w:val="51A83B47"/>
    <w:rsid w:val="51A96C75"/>
    <w:rsid w:val="51AC22C1"/>
    <w:rsid w:val="51B17E6B"/>
    <w:rsid w:val="51CB2747"/>
    <w:rsid w:val="51DA038A"/>
    <w:rsid w:val="51DB032E"/>
    <w:rsid w:val="51EB4B97"/>
    <w:rsid w:val="51EE6435"/>
    <w:rsid w:val="51FD2B1C"/>
    <w:rsid w:val="5201260D"/>
    <w:rsid w:val="52072F1E"/>
    <w:rsid w:val="521665CC"/>
    <w:rsid w:val="5217644D"/>
    <w:rsid w:val="523D6181"/>
    <w:rsid w:val="523E73BD"/>
    <w:rsid w:val="523F4EE3"/>
    <w:rsid w:val="524620FA"/>
    <w:rsid w:val="52597DAA"/>
    <w:rsid w:val="5274360D"/>
    <w:rsid w:val="52756B57"/>
    <w:rsid w:val="528A1E88"/>
    <w:rsid w:val="528D71A5"/>
    <w:rsid w:val="52972F71"/>
    <w:rsid w:val="52BF7DD2"/>
    <w:rsid w:val="52C11D9C"/>
    <w:rsid w:val="52DA377C"/>
    <w:rsid w:val="52DA5E34"/>
    <w:rsid w:val="52EC1919"/>
    <w:rsid w:val="5305604C"/>
    <w:rsid w:val="530A3743"/>
    <w:rsid w:val="532145E9"/>
    <w:rsid w:val="53266552"/>
    <w:rsid w:val="53395DD6"/>
    <w:rsid w:val="534213D4"/>
    <w:rsid w:val="5347038D"/>
    <w:rsid w:val="534A6CD4"/>
    <w:rsid w:val="534E7AD3"/>
    <w:rsid w:val="536553EF"/>
    <w:rsid w:val="53830375"/>
    <w:rsid w:val="538B4884"/>
    <w:rsid w:val="53A3143D"/>
    <w:rsid w:val="53A5521A"/>
    <w:rsid w:val="53A63921"/>
    <w:rsid w:val="53AC47FA"/>
    <w:rsid w:val="53CC5791"/>
    <w:rsid w:val="53D95D45"/>
    <w:rsid w:val="53DA1367"/>
    <w:rsid w:val="53E2646E"/>
    <w:rsid w:val="53E85ECA"/>
    <w:rsid w:val="53EB53BD"/>
    <w:rsid w:val="53F8359B"/>
    <w:rsid w:val="53F84036"/>
    <w:rsid w:val="54406CC2"/>
    <w:rsid w:val="54505185"/>
    <w:rsid w:val="545671EC"/>
    <w:rsid w:val="545C4F02"/>
    <w:rsid w:val="54611097"/>
    <w:rsid w:val="5487370E"/>
    <w:rsid w:val="54915C10"/>
    <w:rsid w:val="549C6BFC"/>
    <w:rsid w:val="54B27BEE"/>
    <w:rsid w:val="54C618EB"/>
    <w:rsid w:val="54CD4A28"/>
    <w:rsid w:val="54D15F1A"/>
    <w:rsid w:val="54D264E2"/>
    <w:rsid w:val="54D65699"/>
    <w:rsid w:val="54D9161F"/>
    <w:rsid w:val="54E01D6C"/>
    <w:rsid w:val="54E47B17"/>
    <w:rsid w:val="54E9481D"/>
    <w:rsid w:val="54F1391B"/>
    <w:rsid w:val="54F226E1"/>
    <w:rsid w:val="55046B0A"/>
    <w:rsid w:val="55094443"/>
    <w:rsid w:val="551142AB"/>
    <w:rsid w:val="5539097C"/>
    <w:rsid w:val="554127C0"/>
    <w:rsid w:val="55487546"/>
    <w:rsid w:val="55560EC1"/>
    <w:rsid w:val="5579695E"/>
    <w:rsid w:val="557D19A9"/>
    <w:rsid w:val="559B0682"/>
    <w:rsid w:val="55B31E70"/>
    <w:rsid w:val="55B87486"/>
    <w:rsid w:val="55C45860"/>
    <w:rsid w:val="55C470D8"/>
    <w:rsid w:val="55CD41D9"/>
    <w:rsid w:val="55CE6CAA"/>
    <w:rsid w:val="55DF5DA8"/>
    <w:rsid w:val="55EF136D"/>
    <w:rsid w:val="55F55C55"/>
    <w:rsid w:val="56156687"/>
    <w:rsid w:val="56177EC9"/>
    <w:rsid w:val="5635492A"/>
    <w:rsid w:val="563F0838"/>
    <w:rsid w:val="5647080A"/>
    <w:rsid w:val="565E3307"/>
    <w:rsid w:val="5684052B"/>
    <w:rsid w:val="56921A85"/>
    <w:rsid w:val="56927CD7"/>
    <w:rsid w:val="569976E5"/>
    <w:rsid w:val="56A417B8"/>
    <w:rsid w:val="56E16569"/>
    <w:rsid w:val="56EE460E"/>
    <w:rsid w:val="56F25D16"/>
    <w:rsid w:val="56F72230"/>
    <w:rsid w:val="56F770C8"/>
    <w:rsid w:val="56F95FA8"/>
    <w:rsid w:val="57087F99"/>
    <w:rsid w:val="570F0DAD"/>
    <w:rsid w:val="57136DC9"/>
    <w:rsid w:val="571C1C97"/>
    <w:rsid w:val="571D2F37"/>
    <w:rsid w:val="57342B3C"/>
    <w:rsid w:val="57394670"/>
    <w:rsid w:val="57443D1C"/>
    <w:rsid w:val="575738E1"/>
    <w:rsid w:val="575F6DB6"/>
    <w:rsid w:val="5769056B"/>
    <w:rsid w:val="57715B3F"/>
    <w:rsid w:val="577949F3"/>
    <w:rsid w:val="57805D82"/>
    <w:rsid w:val="579068FA"/>
    <w:rsid w:val="579730CB"/>
    <w:rsid w:val="579B705F"/>
    <w:rsid w:val="57A1422C"/>
    <w:rsid w:val="57E427B4"/>
    <w:rsid w:val="57F02C2A"/>
    <w:rsid w:val="57F246BE"/>
    <w:rsid w:val="57F648EB"/>
    <w:rsid w:val="5809221B"/>
    <w:rsid w:val="5814296E"/>
    <w:rsid w:val="582A3F3F"/>
    <w:rsid w:val="582B03E3"/>
    <w:rsid w:val="582F35B7"/>
    <w:rsid w:val="585F0D52"/>
    <w:rsid w:val="586525C2"/>
    <w:rsid w:val="586557AC"/>
    <w:rsid w:val="5867455C"/>
    <w:rsid w:val="587A5C94"/>
    <w:rsid w:val="588B42F5"/>
    <w:rsid w:val="588D4BFA"/>
    <w:rsid w:val="58A81A34"/>
    <w:rsid w:val="58C139D3"/>
    <w:rsid w:val="58C93758"/>
    <w:rsid w:val="58DE5456"/>
    <w:rsid w:val="58E40592"/>
    <w:rsid w:val="5939268C"/>
    <w:rsid w:val="59462FFB"/>
    <w:rsid w:val="59617E35"/>
    <w:rsid w:val="596B09D5"/>
    <w:rsid w:val="596E25BB"/>
    <w:rsid w:val="59722042"/>
    <w:rsid w:val="59777658"/>
    <w:rsid w:val="59796F2C"/>
    <w:rsid w:val="599E0ACF"/>
    <w:rsid w:val="59AD3D34"/>
    <w:rsid w:val="59B03888"/>
    <w:rsid w:val="59C503C4"/>
    <w:rsid w:val="59EC76FE"/>
    <w:rsid w:val="59F1740B"/>
    <w:rsid w:val="59F91818"/>
    <w:rsid w:val="59FB3DE5"/>
    <w:rsid w:val="5A172243"/>
    <w:rsid w:val="5A196ED2"/>
    <w:rsid w:val="5A2570B4"/>
    <w:rsid w:val="5A3317D1"/>
    <w:rsid w:val="5A395B76"/>
    <w:rsid w:val="5A432F55"/>
    <w:rsid w:val="5A5878B5"/>
    <w:rsid w:val="5A5C69D5"/>
    <w:rsid w:val="5A636344"/>
    <w:rsid w:val="5A871B1D"/>
    <w:rsid w:val="5AA2093F"/>
    <w:rsid w:val="5AA95EA4"/>
    <w:rsid w:val="5AC26CBD"/>
    <w:rsid w:val="5AC93C88"/>
    <w:rsid w:val="5AD63E09"/>
    <w:rsid w:val="5AD80DDB"/>
    <w:rsid w:val="5AFC7E15"/>
    <w:rsid w:val="5AFF3461"/>
    <w:rsid w:val="5B123195"/>
    <w:rsid w:val="5B223606"/>
    <w:rsid w:val="5B266C40"/>
    <w:rsid w:val="5B2A2BD4"/>
    <w:rsid w:val="5B2E6FAA"/>
    <w:rsid w:val="5B422E2E"/>
    <w:rsid w:val="5B4332B6"/>
    <w:rsid w:val="5B433C96"/>
    <w:rsid w:val="5B4B66A7"/>
    <w:rsid w:val="5B5C6B06"/>
    <w:rsid w:val="5B5E0F00"/>
    <w:rsid w:val="5B6516C6"/>
    <w:rsid w:val="5B6F1A17"/>
    <w:rsid w:val="5B972453"/>
    <w:rsid w:val="5B9E7C72"/>
    <w:rsid w:val="5BA87F9D"/>
    <w:rsid w:val="5BAF4E87"/>
    <w:rsid w:val="5BDE39BF"/>
    <w:rsid w:val="5BE65C1B"/>
    <w:rsid w:val="5BFD68E7"/>
    <w:rsid w:val="5C0B7B76"/>
    <w:rsid w:val="5C1271C4"/>
    <w:rsid w:val="5C245C94"/>
    <w:rsid w:val="5C4562E5"/>
    <w:rsid w:val="5C5048E0"/>
    <w:rsid w:val="5C675762"/>
    <w:rsid w:val="5C682BEC"/>
    <w:rsid w:val="5C797243"/>
    <w:rsid w:val="5C967DF5"/>
    <w:rsid w:val="5C9A1694"/>
    <w:rsid w:val="5C9D1184"/>
    <w:rsid w:val="5CA7123C"/>
    <w:rsid w:val="5CAD1369"/>
    <w:rsid w:val="5CAE15E3"/>
    <w:rsid w:val="5CB00EB7"/>
    <w:rsid w:val="5CB24AF2"/>
    <w:rsid w:val="5CC42BB4"/>
    <w:rsid w:val="5CC826A5"/>
    <w:rsid w:val="5CDA26B5"/>
    <w:rsid w:val="5CDC7EFE"/>
    <w:rsid w:val="5CE40B61"/>
    <w:rsid w:val="5CF77950"/>
    <w:rsid w:val="5D101956"/>
    <w:rsid w:val="5D115D59"/>
    <w:rsid w:val="5D1D5D6B"/>
    <w:rsid w:val="5D1F1D46"/>
    <w:rsid w:val="5D2F7565"/>
    <w:rsid w:val="5D3970FE"/>
    <w:rsid w:val="5D441D14"/>
    <w:rsid w:val="5D4A542D"/>
    <w:rsid w:val="5D972077"/>
    <w:rsid w:val="5DAE426C"/>
    <w:rsid w:val="5DAF467E"/>
    <w:rsid w:val="5DB524FD"/>
    <w:rsid w:val="5DC2123B"/>
    <w:rsid w:val="5DCB6DD4"/>
    <w:rsid w:val="5DCD04E0"/>
    <w:rsid w:val="5DD03A54"/>
    <w:rsid w:val="5DD15BF4"/>
    <w:rsid w:val="5DD25BBB"/>
    <w:rsid w:val="5DD441D7"/>
    <w:rsid w:val="5DDE1134"/>
    <w:rsid w:val="5E187A8F"/>
    <w:rsid w:val="5E1D1CEB"/>
    <w:rsid w:val="5E1D6CF8"/>
    <w:rsid w:val="5E23390B"/>
    <w:rsid w:val="5E311C0C"/>
    <w:rsid w:val="5E421185"/>
    <w:rsid w:val="5E7E4EC5"/>
    <w:rsid w:val="5E820631"/>
    <w:rsid w:val="5E895C8E"/>
    <w:rsid w:val="5ED510A9"/>
    <w:rsid w:val="5F20216B"/>
    <w:rsid w:val="5F36439B"/>
    <w:rsid w:val="5F5D4BFA"/>
    <w:rsid w:val="5F683CCB"/>
    <w:rsid w:val="5F6C388E"/>
    <w:rsid w:val="5F700DD2"/>
    <w:rsid w:val="5F755A2A"/>
    <w:rsid w:val="5F814D8D"/>
    <w:rsid w:val="5F8328B3"/>
    <w:rsid w:val="5F8959EF"/>
    <w:rsid w:val="5F920D48"/>
    <w:rsid w:val="5FA40A7B"/>
    <w:rsid w:val="5FB07420"/>
    <w:rsid w:val="5FC04410"/>
    <w:rsid w:val="5FC652C4"/>
    <w:rsid w:val="5FC845C3"/>
    <w:rsid w:val="5FCB6F0A"/>
    <w:rsid w:val="5FE62E42"/>
    <w:rsid w:val="5FE641F1"/>
    <w:rsid w:val="5FE97DAA"/>
    <w:rsid w:val="60017C7C"/>
    <w:rsid w:val="600D4872"/>
    <w:rsid w:val="6016735B"/>
    <w:rsid w:val="601C6864"/>
    <w:rsid w:val="601F4747"/>
    <w:rsid w:val="602C2F4B"/>
    <w:rsid w:val="602F6597"/>
    <w:rsid w:val="603B07BF"/>
    <w:rsid w:val="6052321D"/>
    <w:rsid w:val="60696BC9"/>
    <w:rsid w:val="607B7A2E"/>
    <w:rsid w:val="608508AD"/>
    <w:rsid w:val="609A3376"/>
    <w:rsid w:val="60A42170"/>
    <w:rsid w:val="60B47D5B"/>
    <w:rsid w:val="60CA62C0"/>
    <w:rsid w:val="60E5134B"/>
    <w:rsid w:val="60FD45FF"/>
    <w:rsid w:val="611A0FF5"/>
    <w:rsid w:val="611D1FCC"/>
    <w:rsid w:val="61220F29"/>
    <w:rsid w:val="612B3202"/>
    <w:rsid w:val="616008F1"/>
    <w:rsid w:val="61847169"/>
    <w:rsid w:val="618625DD"/>
    <w:rsid w:val="61903065"/>
    <w:rsid w:val="61932B55"/>
    <w:rsid w:val="61AD1E69"/>
    <w:rsid w:val="61B249C0"/>
    <w:rsid w:val="61B7149D"/>
    <w:rsid w:val="61B9080E"/>
    <w:rsid w:val="61CA1C79"/>
    <w:rsid w:val="61CA2363"/>
    <w:rsid w:val="61D61932"/>
    <w:rsid w:val="61E0223F"/>
    <w:rsid w:val="61E36F1D"/>
    <w:rsid w:val="620852F1"/>
    <w:rsid w:val="621048C9"/>
    <w:rsid w:val="6210694A"/>
    <w:rsid w:val="62115706"/>
    <w:rsid w:val="621231A6"/>
    <w:rsid w:val="62143C96"/>
    <w:rsid w:val="621641CF"/>
    <w:rsid w:val="62210161"/>
    <w:rsid w:val="62861F1F"/>
    <w:rsid w:val="629139EC"/>
    <w:rsid w:val="62917095"/>
    <w:rsid w:val="62A16A87"/>
    <w:rsid w:val="62A648D5"/>
    <w:rsid w:val="62B04EEB"/>
    <w:rsid w:val="62BA646B"/>
    <w:rsid w:val="62CF7FE7"/>
    <w:rsid w:val="62D94CCA"/>
    <w:rsid w:val="631D2A8C"/>
    <w:rsid w:val="63462575"/>
    <w:rsid w:val="63493E13"/>
    <w:rsid w:val="635A1B7D"/>
    <w:rsid w:val="63666773"/>
    <w:rsid w:val="63895FFA"/>
    <w:rsid w:val="638B7F88"/>
    <w:rsid w:val="638C48DD"/>
    <w:rsid w:val="63936E3D"/>
    <w:rsid w:val="639B087E"/>
    <w:rsid w:val="639F1C85"/>
    <w:rsid w:val="63A64DC2"/>
    <w:rsid w:val="63A90E76"/>
    <w:rsid w:val="63B55005"/>
    <w:rsid w:val="63BA6D0B"/>
    <w:rsid w:val="63CB5CCC"/>
    <w:rsid w:val="63DB4038"/>
    <w:rsid w:val="63EB4ECB"/>
    <w:rsid w:val="63F975E8"/>
    <w:rsid w:val="63FA3360"/>
    <w:rsid w:val="64032214"/>
    <w:rsid w:val="640B731B"/>
    <w:rsid w:val="640C5AA6"/>
    <w:rsid w:val="641745A0"/>
    <w:rsid w:val="645529C0"/>
    <w:rsid w:val="645C36D2"/>
    <w:rsid w:val="64657739"/>
    <w:rsid w:val="64721148"/>
    <w:rsid w:val="64754794"/>
    <w:rsid w:val="64824B18"/>
    <w:rsid w:val="64881976"/>
    <w:rsid w:val="648C023B"/>
    <w:rsid w:val="649410BE"/>
    <w:rsid w:val="64942E6C"/>
    <w:rsid w:val="64AE3CB5"/>
    <w:rsid w:val="64B90B25"/>
    <w:rsid w:val="64CD637E"/>
    <w:rsid w:val="64D43BB1"/>
    <w:rsid w:val="64DC03FF"/>
    <w:rsid w:val="64F425BA"/>
    <w:rsid w:val="650D6603"/>
    <w:rsid w:val="651346D9"/>
    <w:rsid w:val="65202952"/>
    <w:rsid w:val="65210C32"/>
    <w:rsid w:val="652225D5"/>
    <w:rsid w:val="652F2B95"/>
    <w:rsid w:val="65311E05"/>
    <w:rsid w:val="65402FF4"/>
    <w:rsid w:val="65451957"/>
    <w:rsid w:val="65623E76"/>
    <w:rsid w:val="657333CA"/>
    <w:rsid w:val="659770B8"/>
    <w:rsid w:val="65995BCE"/>
    <w:rsid w:val="65B46366"/>
    <w:rsid w:val="65BD63F3"/>
    <w:rsid w:val="65CC3FD7"/>
    <w:rsid w:val="65D025CA"/>
    <w:rsid w:val="65E000CA"/>
    <w:rsid w:val="65F570CF"/>
    <w:rsid w:val="66002CD4"/>
    <w:rsid w:val="6613137D"/>
    <w:rsid w:val="66215782"/>
    <w:rsid w:val="6624387D"/>
    <w:rsid w:val="66246472"/>
    <w:rsid w:val="662824C8"/>
    <w:rsid w:val="66320B8F"/>
    <w:rsid w:val="66377721"/>
    <w:rsid w:val="663E7534"/>
    <w:rsid w:val="664B6B47"/>
    <w:rsid w:val="6655487D"/>
    <w:rsid w:val="66661757"/>
    <w:rsid w:val="66707909"/>
    <w:rsid w:val="66763171"/>
    <w:rsid w:val="667C005C"/>
    <w:rsid w:val="66915BCA"/>
    <w:rsid w:val="66976C44"/>
    <w:rsid w:val="669B7B39"/>
    <w:rsid w:val="66A51361"/>
    <w:rsid w:val="66AC7A81"/>
    <w:rsid w:val="66AE4D0B"/>
    <w:rsid w:val="66B5494D"/>
    <w:rsid w:val="66B84695"/>
    <w:rsid w:val="66CD4D5B"/>
    <w:rsid w:val="66D103A8"/>
    <w:rsid w:val="66D47E98"/>
    <w:rsid w:val="66DE0D17"/>
    <w:rsid w:val="66EF6A80"/>
    <w:rsid w:val="66F978FF"/>
    <w:rsid w:val="66FB71D3"/>
    <w:rsid w:val="670523DE"/>
    <w:rsid w:val="670C5884"/>
    <w:rsid w:val="670D5158"/>
    <w:rsid w:val="67256946"/>
    <w:rsid w:val="67461D48"/>
    <w:rsid w:val="67472418"/>
    <w:rsid w:val="67486190"/>
    <w:rsid w:val="674A6CAF"/>
    <w:rsid w:val="676034DA"/>
    <w:rsid w:val="67694A84"/>
    <w:rsid w:val="67784F2E"/>
    <w:rsid w:val="6780592A"/>
    <w:rsid w:val="678A67A9"/>
    <w:rsid w:val="678C2521"/>
    <w:rsid w:val="678F1925"/>
    <w:rsid w:val="67942577"/>
    <w:rsid w:val="67A92539"/>
    <w:rsid w:val="67CA4EF1"/>
    <w:rsid w:val="67E04216"/>
    <w:rsid w:val="67E20393"/>
    <w:rsid w:val="67F76A7E"/>
    <w:rsid w:val="67F86871"/>
    <w:rsid w:val="68064081"/>
    <w:rsid w:val="682A34BB"/>
    <w:rsid w:val="684352D5"/>
    <w:rsid w:val="68482324"/>
    <w:rsid w:val="684D1CB0"/>
    <w:rsid w:val="686D5EAE"/>
    <w:rsid w:val="686F7E78"/>
    <w:rsid w:val="687E455F"/>
    <w:rsid w:val="687E630D"/>
    <w:rsid w:val="688B0A2A"/>
    <w:rsid w:val="68A5389A"/>
    <w:rsid w:val="68AF3CA2"/>
    <w:rsid w:val="68BB130F"/>
    <w:rsid w:val="68C63810"/>
    <w:rsid w:val="68CB0E27"/>
    <w:rsid w:val="68CC560D"/>
    <w:rsid w:val="68E04E0C"/>
    <w:rsid w:val="68E97265"/>
    <w:rsid w:val="68EF0FB9"/>
    <w:rsid w:val="6917406C"/>
    <w:rsid w:val="691E189E"/>
    <w:rsid w:val="692635EB"/>
    <w:rsid w:val="69342E70"/>
    <w:rsid w:val="693B41FE"/>
    <w:rsid w:val="69470DF5"/>
    <w:rsid w:val="6951757E"/>
    <w:rsid w:val="69561384"/>
    <w:rsid w:val="69754C8C"/>
    <w:rsid w:val="69775165"/>
    <w:rsid w:val="697B7D23"/>
    <w:rsid w:val="697D07C3"/>
    <w:rsid w:val="69807E63"/>
    <w:rsid w:val="69AA3132"/>
    <w:rsid w:val="69B230A2"/>
    <w:rsid w:val="69CB3977"/>
    <w:rsid w:val="69E2224C"/>
    <w:rsid w:val="69EE74C3"/>
    <w:rsid w:val="69F819AA"/>
    <w:rsid w:val="6A136F29"/>
    <w:rsid w:val="6A187723"/>
    <w:rsid w:val="6A1D1B56"/>
    <w:rsid w:val="6A1D2B18"/>
    <w:rsid w:val="6A274783"/>
    <w:rsid w:val="6A307D4A"/>
    <w:rsid w:val="6A3D56E9"/>
    <w:rsid w:val="6A422862"/>
    <w:rsid w:val="6A595414"/>
    <w:rsid w:val="6A5A4A67"/>
    <w:rsid w:val="6A682DD1"/>
    <w:rsid w:val="6A6E7FF3"/>
    <w:rsid w:val="6A700C09"/>
    <w:rsid w:val="6A82630A"/>
    <w:rsid w:val="6A8E3BBF"/>
    <w:rsid w:val="6AA67D9D"/>
    <w:rsid w:val="6AAD6A36"/>
    <w:rsid w:val="6AC05EBF"/>
    <w:rsid w:val="6AC57AA5"/>
    <w:rsid w:val="6ADC731B"/>
    <w:rsid w:val="6ADD3291"/>
    <w:rsid w:val="6B0A70A4"/>
    <w:rsid w:val="6B2A62D8"/>
    <w:rsid w:val="6B3B6738"/>
    <w:rsid w:val="6B3D24B0"/>
    <w:rsid w:val="6B685053"/>
    <w:rsid w:val="6B7F4739"/>
    <w:rsid w:val="6B8A4FC9"/>
    <w:rsid w:val="6B9A5FD4"/>
    <w:rsid w:val="6BA75B7B"/>
    <w:rsid w:val="6C042FCD"/>
    <w:rsid w:val="6C20148A"/>
    <w:rsid w:val="6C3710E8"/>
    <w:rsid w:val="6C44786E"/>
    <w:rsid w:val="6C9431CC"/>
    <w:rsid w:val="6CAA7A6B"/>
    <w:rsid w:val="6CAB1AEE"/>
    <w:rsid w:val="6CAE2F39"/>
    <w:rsid w:val="6CAF10DA"/>
    <w:rsid w:val="6CB513FE"/>
    <w:rsid w:val="6CBE317C"/>
    <w:rsid w:val="6CDA06B8"/>
    <w:rsid w:val="6D0715F8"/>
    <w:rsid w:val="6D30394E"/>
    <w:rsid w:val="6D426B56"/>
    <w:rsid w:val="6D505108"/>
    <w:rsid w:val="6D6C7892"/>
    <w:rsid w:val="6D77297F"/>
    <w:rsid w:val="6D7A7229"/>
    <w:rsid w:val="6D8238F3"/>
    <w:rsid w:val="6D8617C0"/>
    <w:rsid w:val="6D920165"/>
    <w:rsid w:val="6DBB5AC1"/>
    <w:rsid w:val="6DC9627D"/>
    <w:rsid w:val="6DCF4F15"/>
    <w:rsid w:val="6DD662A4"/>
    <w:rsid w:val="6DE4548A"/>
    <w:rsid w:val="6E0468F3"/>
    <w:rsid w:val="6E0F7A08"/>
    <w:rsid w:val="6E38263C"/>
    <w:rsid w:val="6E526272"/>
    <w:rsid w:val="6E573B2B"/>
    <w:rsid w:val="6E616223"/>
    <w:rsid w:val="6E884858"/>
    <w:rsid w:val="6E930639"/>
    <w:rsid w:val="6E94481B"/>
    <w:rsid w:val="6EA2373C"/>
    <w:rsid w:val="6EBA3E17"/>
    <w:rsid w:val="6ED51EC0"/>
    <w:rsid w:val="6EDF387E"/>
    <w:rsid w:val="6EF70BC7"/>
    <w:rsid w:val="6F0230C8"/>
    <w:rsid w:val="6F0357BE"/>
    <w:rsid w:val="6F0B01CF"/>
    <w:rsid w:val="6F241291"/>
    <w:rsid w:val="6F2F65B3"/>
    <w:rsid w:val="6F3552E1"/>
    <w:rsid w:val="6F4066AD"/>
    <w:rsid w:val="6F4A1C6F"/>
    <w:rsid w:val="6F6F075E"/>
    <w:rsid w:val="6F7658CB"/>
    <w:rsid w:val="6F976FBE"/>
    <w:rsid w:val="6FA359EB"/>
    <w:rsid w:val="6FA6381A"/>
    <w:rsid w:val="6FB42615"/>
    <w:rsid w:val="6FC36CFC"/>
    <w:rsid w:val="6FCA63E4"/>
    <w:rsid w:val="6FD26F3F"/>
    <w:rsid w:val="6FF218DD"/>
    <w:rsid w:val="6FF42BE0"/>
    <w:rsid w:val="6FFC41AF"/>
    <w:rsid w:val="6FFF339E"/>
    <w:rsid w:val="700C0A1A"/>
    <w:rsid w:val="70372623"/>
    <w:rsid w:val="704C4F43"/>
    <w:rsid w:val="706804A2"/>
    <w:rsid w:val="706C2EEF"/>
    <w:rsid w:val="70761F1B"/>
    <w:rsid w:val="708C1ED2"/>
    <w:rsid w:val="70B30B1E"/>
    <w:rsid w:val="70CB230C"/>
    <w:rsid w:val="70DD3506"/>
    <w:rsid w:val="70E32593"/>
    <w:rsid w:val="70E801A2"/>
    <w:rsid w:val="70FF6F56"/>
    <w:rsid w:val="7104581E"/>
    <w:rsid w:val="71132E62"/>
    <w:rsid w:val="711D41EA"/>
    <w:rsid w:val="711E1588"/>
    <w:rsid w:val="71222297"/>
    <w:rsid w:val="71231438"/>
    <w:rsid w:val="712D4FD8"/>
    <w:rsid w:val="714348B5"/>
    <w:rsid w:val="714D63CB"/>
    <w:rsid w:val="71504B10"/>
    <w:rsid w:val="71554590"/>
    <w:rsid w:val="715A0F06"/>
    <w:rsid w:val="715D01AD"/>
    <w:rsid w:val="71762326"/>
    <w:rsid w:val="719941B8"/>
    <w:rsid w:val="719C15B2"/>
    <w:rsid w:val="719E357C"/>
    <w:rsid w:val="71A5490B"/>
    <w:rsid w:val="71A87F57"/>
    <w:rsid w:val="71BD1788"/>
    <w:rsid w:val="71C50B09"/>
    <w:rsid w:val="71D55766"/>
    <w:rsid w:val="71DD525F"/>
    <w:rsid w:val="71FB452B"/>
    <w:rsid w:val="722515A8"/>
    <w:rsid w:val="723979C9"/>
    <w:rsid w:val="723E6B71"/>
    <w:rsid w:val="725E7ADD"/>
    <w:rsid w:val="726631BE"/>
    <w:rsid w:val="727265AC"/>
    <w:rsid w:val="727B1B10"/>
    <w:rsid w:val="727D13E4"/>
    <w:rsid w:val="729C3F60"/>
    <w:rsid w:val="72A526E9"/>
    <w:rsid w:val="72AC3A77"/>
    <w:rsid w:val="72B93EA9"/>
    <w:rsid w:val="72D71070"/>
    <w:rsid w:val="72E41463"/>
    <w:rsid w:val="72EC1039"/>
    <w:rsid w:val="72F13B80"/>
    <w:rsid w:val="72FF57F4"/>
    <w:rsid w:val="73004C2C"/>
    <w:rsid w:val="7304330F"/>
    <w:rsid w:val="731755C9"/>
    <w:rsid w:val="7318654B"/>
    <w:rsid w:val="732E5FCC"/>
    <w:rsid w:val="73337CF4"/>
    <w:rsid w:val="733817AF"/>
    <w:rsid w:val="73412411"/>
    <w:rsid w:val="73440778"/>
    <w:rsid w:val="734463A5"/>
    <w:rsid w:val="73520AC2"/>
    <w:rsid w:val="73524A76"/>
    <w:rsid w:val="7358775B"/>
    <w:rsid w:val="737F4571"/>
    <w:rsid w:val="73840550"/>
    <w:rsid w:val="739509AF"/>
    <w:rsid w:val="73C052CC"/>
    <w:rsid w:val="73DC3547"/>
    <w:rsid w:val="73EC4A73"/>
    <w:rsid w:val="73ED2599"/>
    <w:rsid w:val="73F750FA"/>
    <w:rsid w:val="73F957F0"/>
    <w:rsid w:val="740D6797"/>
    <w:rsid w:val="74113F05"/>
    <w:rsid w:val="74163F16"/>
    <w:rsid w:val="741C69DA"/>
    <w:rsid w:val="742424F5"/>
    <w:rsid w:val="744103B3"/>
    <w:rsid w:val="7450221E"/>
    <w:rsid w:val="74542618"/>
    <w:rsid w:val="74566390"/>
    <w:rsid w:val="745E69DA"/>
    <w:rsid w:val="7464154E"/>
    <w:rsid w:val="74784559"/>
    <w:rsid w:val="747C2C1E"/>
    <w:rsid w:val="749F595E"/>
    <w:rsid w:val="74AA2238"/>
    <w:rsid w:val="74CF0EA0"/>
    <w:rsid w:val="74DF0134"/>
    <w:rsid w:val="74F87650"/>
    <w:rsid w:val="75054390"/>
    <w:rsid w:val="751122B7"/>
    <w:rsid w:val="75114065"/>
    <w:rsid w:val="751A5610"/>
    <w:rsid w:val="7539539D"/>
    <w:rsid w:val="75695C4F"/>
    <w:rsid w:val="757B0B57"/>
    <w:rsid w:val="758C657E"/>
    <w:rsid w:val="759248B8"/>
    <w:rsid w:val="75977314"/>
    <w:rsid w:val="759C7DD3"/>
    <w:rsid w:val="75A153E9"/>
    <w:rsid w:val="75CB6E7D"/>
    <w:rsid w:val="75EA3234"/>
    <w:rsid w:val="75ED3231"/>
    <w:rsid w:val="75FC2C73"/>
    <w:rsid w:val="75FD5C4B"/>
    <w:rsid w:val="76047756"/>
    <w:rsid w:val="760A5684"/>
    <w:rsid w:val="76155660"/>
    <w:rsid w:val="761B33ED"/>
    <w:rsid w:val="761E5D99"/>
    <w:rsid w:val="761F03BE"/>
    <w:rsid w:val="762B1157"/>
    <w:rsid w:val="764A5A81"/>
    <w:rsid w:val="764C7A4B"/>
    <w:rsid w:val="766111DA"/>
    <w:rsid w:val="76612DCA"/>
    <w:rsid w:val="766528BB"/>
    <w:rsid w:val="76680181"/>
    <w:rsid w:val="767B20DE"/>
    <w:rsid w:val="767B7C93"/>
    <w:rsid w:val="7680773A"/>
    <w:rsid w:val="768C42EB"/>
    <w:rsid w:val="7694586D"/>
    <w:rsid w:val="76B4739E"/>
    <w:rsid w:val="76C75323"/>
    <w:rsid w:val="76D1655C"/>
    <w:rsid w:val="76D25D41"/>
    <w:rsid w:val="76E666DE"/>
    <w:rsid w:val="76E72AA0"/>
    <w:rsid w:val="76EA57E2"/>
    <w:rsid w:val="7701090C"/>
    <w:rsid w:val="7706409E"/>
    <w:rsid w:val="771A3308"/>
    <w:rsid w:val="771A711A"/>
    <w:rsid w:val="771D4F43"/>
    <w:rsid w:val="771F7C5B"/>
    <w:rsid w:val="772A600E"/>
    <w:rsid w:val="77336515"/>
    <w:rsid w:val="77362975"/>
    <w:rsid w:val="77444BC6"/>
    <w:rsid w:val="77577349"/>
    <w:rsid w:val="775A6197"/>
    <w:rsid w:val="776D7992"/>
    <w:rsid w:val="7772349F"/>
    <w:rsid w:val="777C4360"/>
    <w:rsid w:val="778238FB"/>
    <w:rsid w:val="77955421"/>
    <w:rsid w:val="77A411C1"/>
    <w:rsid w:val="77B238DE"/>
    <w:rsid w:val="77B6486A"/>
    <w:rsid w:val="77C17DFB"/>
    <w:rsid w:val="77C655DB"/>
    <w:rsid w:val="77F71C38"/>
    <w:rsid w:val="77F90661"/>
    <w:rsid w:val="7808174F"/>
    <w:rsid w:val="780D57F6"/>
    <w:rsid w:val="78106856"/>
    <w:rsid w:val="781E4FE7"/>
    <w:rsid w:val="78276B74"/>
    <w:rsid w:val="783764D9"/>
    <w:rsid w:val="7840256B"/>
    <w:rsid w:val="786C62CD"/>
    <w:rsid w:val="7884096A"/>
    <w:rsid w:val="78850FF2"/>
    <w:rsid w:val="788E0A67"/>
    <w:rsid w:val="789524E8"/>
    <w:rsid w:val="789D29DD"/>
    <w:rsid w:val="78B611AB"/>
    <w:rsid w:val="78CA10FB"/>
    <w:rsid w:val="78E03E67"/>
    <w:rsid w:val="78E71CAD"/>
    <w:rsid w:val="78EA52F9"/>
    <w:rsid w:val="78F06D68"/>
    <w:rsid w:val="78F55DA6"/>
    <w:rsid w:val="78F743FE"/>
    <w:rsid w:val="790E548B"/>
    <w:rsid w:val="79236E7C"/>
    <w:rsid w:val="792A1B99"/>
    <w:rsid w:val="794013BD"/>
    <w:rsid w:val="796B1B89"/>
    <w:rsid w:val="797B008A"/>
    <w:rsid w:val="797B7D48"/>
    <w:rsid w:val="798516DF"/>
    <w:rsid w:val="798C015E"/>
    <w:rsid w:val="79921C19"/>
    <w:rsid w:val="79A46F00"/>
    <w:rsid w:val="79C618C2"/>
    <w:rsid w:val="79D73ACF"/>
    <w:rsid w:val="79E46056"/>
    <w:rsid w:val="7A086F3C"/>
    <w:rsid w:val="7A0C534E"/>
    <w:rsid w:val="7A0D399C"/>
    <w:rsid w:val="7A222CE3"/>
    <w:rsid w:val="7A27280E"/>
    <w:rsid w:val="7A5D3F04"/>
    <w:rsid w:val="7A735C4D"/>
    <w:rsid w:val="7A8C2B0C"/>
    <w:rsid w:val="7A8E7C8A"/>
    <w:rsid w:val="7A9F01F0"/>
    <w:rsid w:val="7AAA6765"/>
    <w:rsid w:val="7ABB7B5C"/>
    <w:rsid w:val="7AD87AFF"/>
    <w:rsid w:val="7B0152A5"/>
    <w:rsid w:val="7B112B38"/>
    <w:rsid w:val="7B2A5E81"/>
    <w:rsid w:val="7B2C7E4B"/>
    <w:rsid w:val="7B2F16E9"/>
    <w:rsid w:val="7B4636CB"/>
    <w:rsid w:val="7B7567C0"/>
    <w:rsid w:val="7B7B66DC"/>
    <w:rsid w:val="7B7D2454"/>
    <w:rsid w:val="7B845591"/>
    <w:rsid w:val="7B9072BC"/>
    <w:rsid w:val="7B944A08"/>
    <w:rsid w:val="7B960850"/>
    <w:rsid w:val="7B9F57C7"/>
    <w:rsid w:val="7BDD1145"/>
    <w:rsid w:val="7BEB3862"/>
    <w:rsid w:val="7BF5023D"/>
    <w:rsid w:val="7BF97C74"/>
    <w:rsid w:val="7C19584E"/>
    <w:rsid w:val="7C266648"/>
    <w:rsid w:val="7C2823C0"/>
    <w:rsid w:val="7C354382"/>
    <w:rsid w:val="7C563402"/>
    <w:rsid w:val="7C572F4E"/>
    <w:rsid w:val="7C5E2286"/>
    <w:rsid w:val="7C686C61"/>
    <w:rsid w:val="7C765D1B"/>
    <w:rsid w:val="7C7B659E"/>
    <w:rsid w:val="7C7E0232"/>
    <w:rsid w:val="7C831CEC"/>
    <w:rsid w:val="7C9712F4"/>
    <w:rsid w:val="7C9B0FDB"/>
    <w:rsid w:val="7CAB6D80"/>
    <w:rsid w:val="7CAD6D69"/>
    <w:rsid w:val="7CB974BC"/>
    <w:rsid w:val="7CBA4D6C"/>
    <w:rsid w:val="7CC85951"/>
    <w:rsid w:val="7CCC5441"/>
    <w:rsid w:val="7CD23C7F"/>
    <w:rsid w:val="7CD24BAE"/>
    <w:rsid w:val="7CE56503"/>
    <w:rsid w:val="7D026F49"/>
    <w:rsid w:val="7D033147"/>
    <w:rsid w:val="7D1066E2"/>
    <w:rsid w:val="7D1B3CD3"/>
    <w:rsid w:val="7D2232B3"/>
    <w:rsid w:val="7D227CB6"/>
    <w:rsid w:val="7D300C5A"/>
    <w:rsid w:val="7D4C0330"/>
    <w:rsid w:val="7D811B7B"/>
    <w:rsid w:val="7D836171"/>
    <w:rsid w:val="7DAB2803"/>
    <w:rsid w:val="7DBA0B43"/>
    <w:rsid w:val="7DF47503"/>
    <w:rsid w:val="7E0330AF"/>
    <w:rsid w:val="7E0D5D12"/>
    <w:rsid w:val="7E186464"/>
    <w:rsid w:val="7E1A78D3"/>
    <w:rsid w:val="7E3E4800"/>
    <w:rsid w:val="7E4454AB"/>
    <w:rsid w:val="7E5042D1"/>
    <w:rsid w:val="7E696CC0"/>
    <w:rsid w:val="7E74183B"/>
    <w:rsid w:val="7E7B41B8"/>
    <w:rsid w:val="7E7F0292"/>
    <w:rsid w:val="7E835AFC"/>
    <w:rsid w:val="7E851714"/>
    <w:rsid w:val="7E88060D"/>
    <w:rsid w:val="7E966D9F"/>
    <w:rsid w:val="7EA45F4A"/>
    <w:rsid w:val="7EBE0318"/>
    <w:rsid w:val="7ECA197C"/>
    <w:rsid w:val="7ECD54A1"/>
    <w:rsid w:val="7EDF79CA"/>
    <w:rsid w:val="7EE02B0F"/>
    <w:rsid w:val="7EE30820"/>
    <w:rsid w:val="7EF16259"/>
    <w:rsid w:val="7EF163A6"/>
    <w:rsid w:val="7F0D7FB9"/>
    <w:rsid w:val="7F225D2F"/>
    <w:rsid w:val="7F2B0D53"/>
    <w:rsid w:val="7F4E65E2"/>
    <w:rsid w:val="7F6A7194"/>
    <w:rsid w:val="7F714152"/>
    <w:rsid w:val="7F773EF6"/>
    <w:rsid w:val="7F7A32AB"/>
    <w:rsid w:val="7F7F5D50"/>
    <w:rsid w:val="7F954211"/>
    <w:rsid w:val="7F9A5B2F"/>
    <w:rsid w:val="7FA0125F"/>
    <w:rsid w:val="7FA043A1"/>
    <w:rsid w:val="7FD12D6F"/>
    <w:rsid w:val="7FD44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qFormat/>
    <w:uiPriority w:val="0"/>
    <w:pPr>
      <w:jc w:val="left"/>
    </w:pPr>
  </w:style>
  <w:style w:type="paragraph" w:styleId="4">
    <w:name w:val="Body Text"/>
    <w:basedOn w:val="1"/>
    <w:semiHidden/>
    <w:qFormat/>
    <w:uiPriority w:val="0"/>
    <w:rPr>
      <w:rFonts w:ascii="宋体" w:hAnsi="宋体" w:eastAsia="宋体" w:cs="宋体"/>
      <w:sz w:val="28"/>
      <w:szCs w:val="28"/>
      <w:lang w:val="en-US" w:eastAsia="en-US" w:bidi="ar-SA"/>
    </w:rPr>
  </w:style>
  <w:style w:type="paragraph" w:styleId="5">
    <w:name w:val="Body Text Indent"/>
    <w:basedOn w:val="1"/>
    <w:qFormat/>
    <w:uiPriority w:val="0"/>
    <w:pPr>
      <w:tabs>
        <w:tab w:val="left" w:pos="840"/>
      </w:tabs>
      <w:snapToGrid w:val="0"/>
      <w:spacing w:line="300" w:lineRule="exact"/>
      <w:ind w:left="630" w:leftChars="300"/>
    </w:pPr>
  </w:style>
  <w:style w:type="paragraph" w:styleId="6">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7">
    <w:name w:val="Balloon Text"/>
    <w:basedOn w:val="1"/>
    <w:link w:val="2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3"/>
    <w:next w:val="3"/>
    <w:link w:val="23"/>
    <w:qFormat/>
    <w:uiPriority w:val="0"/>
    <w:rPr>
      <w:b/>
      <w:bCs/>
    </w:rPr>
  </w:style>
  <w:style w:type="paragraph" w:styleId="14">
    <w:name w:val="Body Text First Indent 2"/>
    <w:basedOn w:val="5"/>
    <w:qFormat/>
    <w:uiPriority w:val="0"/>
    <w:pPr>
      <w:tabs>
        <w:tab w:val="left" w:pos="-116"/>
        <w:tab w:val="left" w:pos="420"/>
      </w:tabs>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Emphasis"/>
    <w:basedOn w:val="17"/>
    <w:qFormat/>
    <w:uiPriority w:val="0"/>
    <w:rPr>
      <w:i/>
    </w:rPr>
  </w:style>
  <w:style w:type="character" w:styleId="20">
    <w:name w:val="annotation reference"/>
    <w:basedOn w:val="17"/>
    <w:qFormat/>
    <w:uiPriority w:val="0"/>
    <w:rPr>
      <w:sz w:val="21"/>
      <w:szCs w:val="21"/>
    </w:rPr>
  </w:style>
  <w:style w:type="character" w:customStyle="1" w:styleId="21">
    <w:name w:val="批注框文本 Char"/>
    <w:basedOn w:val="17"/>
    <w:link w:val="7"/>
    <w:qFormat/>
    <w:uiPriority w:val="0"/>
    <w:rPr>
      <w:rFonts w:ascii="Times New Roman" w:hAnsi="Times New Roman"/>
      <w:kern w:val="2"/>
      <w:sz w:val="18"/>
      <w:szCs w:val="18"/>
    </w:rPr>
  </w:style>
  <w:style w:type="character" w:customStyle="1" w:styleId="22">
    <w:name w:val="批注文字 Char"/>
    <w:basedOn w:val="17"/>
    <w:link w:val="3"/>
    <w:qFormat/>
    <w:uiPriority w:val="0"/>
    <w:rPr>
      <w:rFonts w:ascii="Times New Roman" w:hAnsi="Times New Roman"/>
      <w:kern w:val="2"/>
      <w:sz w:val="21"/>
      <w:szCs w:val="22"/>
    </w:rPr>
  </w:style>
  <w:style w:type="character" w:customStyle="1" w:styleId="23">
    <w:name w:val="批注主题 Char"/>
    <w:basedOn w:val="22"/>
    <w:link w:val="13"/>
    <w:qFormat/>
    <w:uiPriority w:val="0"/>
  </w:style>
  <w:style w:type="character" w:customStyle="1" w:styleId="24">
    <w:name w:val="font51"/>
    <w:basedOn w:val="17"/>
    <w:qFormat/>
    <w:uiPriority w:val="0"/>
    <w:rPr>
      <w:rFonts w:hint="eastAsia" w:ascii="宋体" w:hAnsi="宋体" w:eastAsia="宋体" w:cs="宋体"/>
      <w:color w:val="000000"/>
      <w:sz w:val="20"/>
      <w:szCs w:val="20"/>
      <w:u w:val="none"/>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character" w:customStyle="1" w:styleId="26">
    <w:name w:val="font31"/>
    <w:basedOn w:val="17"/>
    <w:qFormat/>
    <w:uiPriority w:val="0"/>
    <w:rPr>
      <w:rFonts w:hint="eastAsia" w:ascii="宋体" w:hAnsi="宋体" w:eastAsia="宋体" w:cs="宋体"/>
      <w:color w:val="000000"/>
      <w:sz w:val="20"/>
      <w:szCs w:val="20"/>
      <w:u w:val="none"/>
    </w:rPr>
  </w:style>
  <w:style w:type="character" w:customStyle="1" w:styleId="27">
    <w:name w:val="font21"/>
    <w:qFormat/>
    <w:uiPriority w:val="0"/>
    <w:rPr>
      <w:rFonts w:hint="eastAsia" w:ascii="宋体" w:hAnsi="宋体" w:eastAsia="宋体" w:cs="宋体"/>
      <w:color w:val="000000"/>
      <w:sz w:val="20"/>
      <w:szCs w:val="20"/>
      <w:u w:val="none"/>
    </w:rPr>
  </w:style>
  <w:style w:type="table" w:customStyle="1" w:styleId="28">
    <w:name w:val="Table Normal"/>
    <w:unhideWhenUsed/>
    <w:qFormat/>
    <w:uiPriority w:val="0"/>
    <w:tblPr>
      <w:tblCellMar>
        <w:top w:w="0" w:type="dxa"/>
        <w:left w:w="0" w:type="dxa"/>
        <w:bottom w:w="0" w:type="dxa"/>
        <w:right w:w="0" w:type="dxa"/>
      </w:tblCellMar>
    </w:tbl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64</Pages>
  <Words>5814</Words>
  <Characters>6180</Characters>
  <Lines>1</Lines>
  <Paragraphs>1</Paragraphs>
  <TotalTime>6</TotalTime>
  <ScaleCrop>false</ScaleCrop>
  <LinksUpToDate>false</LinksUpToDate>
  <CharactersWithSpaces>6324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招采2</cp:lastModifiedBy>
  <cp:lastPrinted>2024-11-14T06:42:00Z</cp:lastPrinted>
  <dcterms:modified xsi:type="dcterms:W3CDTF">2026-01-27T11:49:54Z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E614972FDE874BBBBB05E5F596D3CD09_13</vt:lpwstr>
  </property>
  <property fmtid="{D5CDD505-2E9C-101B-9397-08002B2CF9AE}" pid="4" name="commondata">
    <vt:lpwstr>eyJoZGlkIjoiZDJiMzdlZTkyZWRmN2IzYzY2ZmI2ZTBlN2MyMWRiOWEifQ==</vt:lpwstr>
  </property>
  <property fmtid="{D5CDD505-2E9C-101B-9397-08002B2CF9AE}" pid="5" name="KSOTemplateDocerSaveRecord">
    <vt:lpwstr>eyJoZGlkIjoiMTlhN2Q5OTg4ZDQwZmUyYWViMWY0NjNlYzljNWI4MzMiLCJ1c2VySWQiOiIzMjYyOTIwOTcifQ==</vt:lpwstr>
  </property>
</Properties>
</file>