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CFA0A">
      <w:pPr>
        <w:pageBreakBefore w:val="0"/>
        <w:wordWrap/>
        <w:topLinePunct w:val="0"/>
        <w:bidi w:val="0"/>
        <w:spacing w:line="360" w:lineRule="auto"/>
        <w:ind w:left="-199" w:leftChars="-95" w:firstLine="315" w:firstLineChars="150"/>
        <w:jc w:val="both"/>
        <w:rPr>
          <w:rFonts w:hint="eastAsia" w:ascii="仿宋" w:hAnsi="仿宋" w:eastAsia="仿宋" w:cs="仿宋"/>
          <w:color w:val="auto"/>
          <w:highlight w:val="none"/>
          <w:shd w:val="clear" w:color="auto" w:fill="auto"/>
          <w:lang w:val="en-US" w:eastAsia="zh-CN"/>
        </w:rPr>
      </w:pPr>
    </w:p>
    <w:p w14:paraId="1EDE7D3A">
      <w:pPr>
        <w:pageBreakBefore w:val="0"/>
        <w:wordWrap/>
        <w:topLinePunct w:val="0"/>
        <w:bidi w:val="0"/>
        <w:spacing w:line="360" w:lineRule="auto"/>
        <w:ind w:left="-199" w:leftChars="-95" w:firstLine="315" w:firstLineChars="150"/>
        <w:jc w:val="both"/>
        <w:rPr>
          <w:rFonts w:hint="eastAsia" w:ascii="仿宋" w:hAnsi="仿宋" w:eastAsia="仿宋" w:cs="仿宋"/>
          <w:color w:val="auto"/>
          <w:highlight w:val="none"/>
          <w:shd w:val="clear" w:color="auto" w:fill="auto"/>
          <w:lang w:val="en-US" w:eastAsia="zh-CN"/>
        </w:rPr>
      </w:pPr>
    </w:p>
    <w:p w14:paraId="5CE820A2">
      <w:pPr>
        <w:pageBreakBefore w:val="0"/>
        <w:wordWrap/>
        <w:topLinePunct w:val="0"/>
        <w:bidi w:val="0"/>
        <w:spacing w:line="360" w:lineRule="auto"/>
        <w:ind w:left="-199" w:leftChars="-95" w:firstLine="360" w:firstLineChars="150"/>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rPr>
        <w:drawing>
          <wp:anchor distT="0" distB="0" distL="114300" distR="114300" simplePos="0" relativeHeight="251659264" behindDoc="0" locked="0" layoutInCell="1" allowOverlap="1">
            <wp:simplePos x="0" y="0"/>
            <wp:positionH relativeFrom="column">
              <wp:posOffset>965200</wp:posOffset>
            </wp:positionH>
            <wp:positionV relativeFrom="paragraph">
              <wp:posOffset>30480</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11"/>
                    <a:stretch>
                      <a:fillRect/>
                    </a:stretch>
                  </pic:blipFill>
                  <pic:spPr>
                    <a:xfrm>
                      <a:off x="0" y="0"/>
                      <a:ext cx="4288790" cy="690245"/>
                    </a:xfrm>
                    <a:prstGeom prst="rect">
                      <a:avLst/>
                    </a:prstGeom>
                    <a:noFill/>
                    <a:ln>
                      <a:noFill/>
                    </a:ln>
                  </pic:spPr>
                </pic:pic>
              </a:graphicData>
            </a:graphic>
          </wp:anchor>
        </w:drawing>
      </w:r>
    </w:p>
    <w:p w14:paraId="76C052A5">
      <w:pPr>
        <w:pageBreakBefore w:val="0"/>
        <w:wordWrap/>
        <w:topLinePunct w:val="0"/>
        <w:bidi w:val="0"/>
        <w:spacing w:line="360" w:lineRule="auto"/>
        <w:ind w:left="-199" w:leftChars="-95" w:firstLine="315" w:firstLineChars="150"/>
        <w:jc w:val="both"/>
        <w:rPr>
          <w:rFonts w:hint="eastAsia" w:ascii="仿宋" w:hAnsi="仿宋" w:eastAsia="仿宋" w:cs="仿宋"/>
          <w:color w:val="auto"/>
          <w:highlight w:val="none"/>
          <w:shd w:val="clear" w:color="auto" w:fill="auto"/>
          <w:lang w:val="en-US" w:eastAsia="zh-CN"/>
        </w:rPr>
      </w:pPr>
    </w:p>
    <w:p w14:paraId="0581EBB4">
      <w:pPr>
        <w:pageBreakBefore w:val="0"/>
        <w:wordWrap/>
        <w:topLinePunct w:val="0"/>
        <w:bidi w:val="0"/>
        <w:spacing w:line="360" w:lineRule="auto"/>
        <w:ind w:left="-199" w:leftChars="-95" w:firstLine="315" w:firstLineChars="150"/>
        <w:jc w:val="both"/>
        <w:rPr>
          <w:rFonts w:hint="eastAsia" w:ascii="仿宋" w:hAnsi="仿宋" w:eastAsia="仿宋" w:cs="仿宋"/>
          <w:color w:val="auto"/>
          <w:highlight w:val="none"/>
          <w:shd w:val="clear" w:color="auto" w:fill="auto"/>
          <w:lang w:val="en-US" w:eastAsia="zh-CN"/>
        </w:rPr>
      </w:pPr>
    </w:p>
    <w:p w14:paraId="4BC039A6">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eastAsia" w:ascii="仿宋" w:hAnsi="仿宋" w:eastAsia="仿宋" w:cs="仿宋"/>
          <w:b/>
          <w:color w:val="auto"/>
          <w:sz w:val="52"/>
          <w:szCs w:val="52"/>
          <w:highlight w:val="none"/>
          <w:u w:val="single"/>
          <w:shd w:val="clear" w:color="auto" w:fill="auto"/>
          <w:lang w:val="en-US" w:eastAsia="zh-CN"/>
        </w:rPr>
      </w:pPr>
    </w:p>
    <w:p w14:paraId="6C1214B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color w:val="auto"/>
          <w:sz w:val="52"/>
          <w:szCs w:val="52"/>
          <w:highlight w:val="none"/>
          <w:u w:val="none"/>
          <w:shd w:val="clear" w:color="auto" w:fill="auto"/>
          <w:lang w:val="en-US" w:eastAsia="zh-CN"/>
        </w:rPr>
      </w:pPr>
      <w:bookmarkStart w:id="0" w:name="_Toc17"/>
      <w:bookmarkStart w:id="1" w:name="_Toc11175"/>
      <w:bookmarkStart w:id="2" w:name="_Toc21151"/>
      <w:bookmarkStart w:id="3" w:name="_Toc2687"/>
      <w:bookmarkStart w:id="4" w:name="_Toc17976"/>
      <w:bookmarkStart w:id="5" w:name="_Toc25781"/>
      <w:bookmarkStart w:id="6" w:name="_Toc21152"/>
      <w:bookmarkStart w:id="7" w:name="_Toc12665"/>
      <w:bookmarkStart w:id="8" w:name="_Toc4166"/>
      <w:bookmarkStart w:id="9" w:name="_Toc31196"/>
      <w:r>
        <w:rPr>
          <w:rFonts w:hint="eastAsia" w:ascii="仿宋" w:hAnsi="仿宋" w:eastAsia="仿宋" w:cs="仿宋"/>
          <w:b/>
          <w:color w:val="auto"/>
          <w:sz w:val="52"/>
          <w:szCs w:val="52"/>
          <w:highlight w:val="none"/>
          <w:u w:val="none"/>
          <w:shd w:val="clear" w:color="auto" w:fill="auto"/>
          <w:lang w:val="en-US" w:eastAsia="zh-CN"/>
        </w:rPr>
        <w:t>玉林(福绵)节能环保产业园</w:t>
      </w:r>
    </w:p>
    <w:p w14:paraId="657F425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color w:val="auto"/>
          <w:sz w:val="52"/>
          <w:szCs w:val="52"/>
          <w:highlight w:val="none"/>
          <w:u w:val="none"/>
          <w:shd w:val="clear" w:color="auto" w:fill="auto"/>
          <w:lang w:val="en-US" w:eastAsia="zh-CN"/>
        </w:rPr>
      </w:pPr>
      <w:r>
        <w:rPr>
          <w:rFonts w:hint="eastAsia" w:ascii="仿宋" w:hAnsi="仿宋" w:eastAsia="仿宋" w:cs="仿宋"/>
          <w:b/>
          <w:color w:val="auto"/>
          <w:sz w:val="52"/>
          <w:szCs w:val="52"/>
          <w:highlight w:val="none"/>
          <w:u w:val="none"/>
          <w:shd w:val="clear" w:color="auto" w:fill="auto"/>
        </w:rPr>
        <w:t>南部工业供水厂建设项目(二期5万吨/天)</w:t>
      </w:r>
      <w:r>
        <w:rPr>
          <w:rFonts w:hint="eastAsia" w:ascii="仿宋" w:hAnsi="仿宋" w:eastAsia="仿宋" w:cs="仿宋"/>
          <w:b/>
          <w:color w:val="auto"/>
          <w:sz w:val="52"/>
          <w:szCs w:val="52"/>
          <w:highlight w:val="none"/>
          <w:u w:val="none"/>
          <w:shd w:val="clear" w:color="auto" w:fill="auto"/>
          <w:lang w:val="en-US" w:eastAsia="zh-CN"/>
        </w:rPr>
        <w:t>/</w:t>
      </w:r>
      <w:r>
        <w:rPr>
          <w:rFonts w:hint="eastAsia" w:ascii="仿宋" w:hAnsi="仿宋" w:eastAsia="仿宋" w:cs="仿宋"/>
          <w:b/>
          <w:color w:val="auto"/>
          <w:sz w:val="52"/>
          <w:szCs w:val="52"/>
          <w:highlight w:val="none"/>
          <w:u w:val="none"/>
          <w:shd w:val="clear" w:color="auto" w:fill="auto"/>
        </w:rPr>
        <w:t>玉林（福绵）节能环保产业园南部污水处理厂及中水回用设施建设项目（一期二标段5万吨/天）</w:t>
      </w:r>
      <w:r>
        <w:rPr>
          <w:rFonts w:hint="eastAsia" w:ascii="仿宋" w:hAnsi="仿宋" w:eastAsia="仿宋" w:cs="仿宋"/>
          <w:b/>
          <w:color w:val="auto"/>
          <w:sz w:val="52"/>
          <w:szCs w:val="52"/>
          <w:highlight w:val="none"/>
          <w:u w:val="none"/>
          <w:shd w:val="clear" w:color="auto" w:fill="auto"/>
          <w:lang w:val="en-US" w:eastAsia="zh-CN"/>
        </w:rPr>
        <w:t>外墙砖</w:t>
      </w:r>
    </w:p>
    <w:p w14:paraId="6A524A24">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val="0"/>
          <w:color w:val="auto"/>
          <w:sz w:val="52"/>
          <w:szCs w:val="52"/>
          <w:highlight w:val="none"/>
          <w:u w:val="none"/>
          <w:lang w:val="en-US" w:eastAsia="zh-CN"/>
        </w:rPr>
      </w:pPr>
      <w:bookmarkStart w:id="10" w:name="_Toc7508"/>
      <w:r>
        <w:rPr>
          <w:rFonts w:hint="eastAsia" w:ascii="仿宋" w:hAnsi="仿宋" w:eastAsia="仿宋" w:cs="仿宋"/>
          <w:b/>
          <w:bCs w:val="0"/>
          <w:color w:val="auto"/>
          <w:sz w:val="52"/>
          <w:szCs w:val="52"/>
          <w:highlight w:val="none"/>
          <w:u w:val="none"/>
          <w:lang w:val="en-US" w:eastAsia="zh-CN"/>
        </w:rPr>
        <w:t>购</w:t>
      </w:r>
      <w:bookmarkEnd w:id="0"/>
      <w:bookmarkEnd w:id="1"/>
      <w:bookmarkEnd w:id="2"/>
      <w:bookmarkEnd w:id="3"/>
      <w:bookmarkEnd w:id="4"/>
      <w:bookmarkEnd w:id="5"/>
      <w:bookmarkEnd w:id="6"/>
      <w:bookmarkEnd w:id="7"/>
      <w:bookmarkEnd w:id="8"/>
      <w:bookmarkEnd w:id="9"/>
      <w:bookmarkEnd w:id="10"/>
    </w:p>
    <w:p w14:paraId="6C9B0315">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val="0"/>
          <w:color w:val="auto"/>
          <w:sz w:val="52"/>
          <w:szCs w:val="52"/>
          <w:highlight w:val="none"/>
          <w:u w:val="none"/>
          <w:lang w:val="en-US" w:eastAsia="zh-CN"/>
        </w:rPr>
      </w:pPr>
      <w:bookmarkStart w:id="11" w:name="_Toc26031"/>
      <w:bookmarkStart w:id="12" w:name="_Toc19526"/>
      <w:bookmarkStart w:id="13" w:name="_Toc4379"/>
      <w:bookmarkStart w:id="14" w:name="_Toc10524"/>
      <w:bookmarkStart w:id="15" w:name="_Toc23932"/>
      <w:bookmarkStart w:id="16" w:name="_Toc5858"/>
      <w:bookmarkStart w:id="17" w:name="_Toc32305"/>
      <w:bookmarkStart w:id="18" w:name="_Toc7457"/>
      <w:bookmarkStart w:id="19" w:name="_Toc21502"/>
      <w:bookmarkStart w:id="20" w:name="_Toc11121"/>
      <w:bookmarkStart w:id="21" w:name="_Toc5036"/>
      <w:r>
        <w:rPr>
          <w:rFonts w:hint="eastAsia" w:ascii="仿宋" w:hAnsi="仿宋" w:eastAsia="仿宋" w:cs="仿宋"/>
          <w:b/>
          <w:bCs w:val="0"/>
          <w:color w:val="auto"/>
          <w:sz w:val="52"/>
          <w:szCs w:val="52"/>
          <w:highlight w:val="none"/>
          <w:u w:val="none"/>
          <w:lang w:val="en-US" w:eastAsia="zh-CN"/>
        </w:rPr>
        <w:t>销</w:t>
      </w:r>
      <w:bookmarkEnd w:id="11"/>
      <w:bookmarkEnd w:id="12"/>
      <w:bookmarkEnd w:id="13"/>
      <w:bookmarkEnd w:id="14"/>
      <w:bookmarkEnd w:id="15"/>
      <w:bookmarkEnd w:id="16"/>
      <w:bookmarkEnd w:id="17"/>
      <w:bookmarkEnd w:id="18"/>
      <w:bookmarkEnd w:id="19"/>
      <w:bookmarkEnd w:id="20"/>
      <w:bookmarkEnd w:id="21"/>
    </w:p>
    <w:p w14:paraId="3985919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b/>
          <w:bCs w:val="0"/>
          <w:color w:val="auto"/>
          <w:sz w:val="52"/>
          <w:szCs w:val="52"/>
          <w:highlight w:val="none"/>
          <w:u w:val="none"/>
          <w:lang w:val="en-US" w:eastAsia="zh-CN"/>
        </w:rPr>
      </w:pPr>
      <w:bookmarkStart w:id="22" w:name="_Toc2135"/>
      <w:bookmarkStart w:id="23" w:name="_Toc5530"/>
      <w:bookmarkStart w:id="24" w:name="_Toc31378"/>
      <w:bookmarkStart w:id="25" w:name="_Toc25139"/>
      <w:bookmarkStart w:id="26" w:name="_Toc14019"/>
      <w:bookmarkStart w:id="27" w:name="_Toc21640"/>
      <w:bookmarkStart w:id="28" w:name="_Toc5299"/>
      <w:bookmarkStart w:id="29" w:name="_Toc7110"/>
      <w:bookmarkStart w:id="30" w:name="_Toc25801"/>
      <w:bookmarkStart w:id="31" w:name="_Toc27505"/>
      <w:bookmarkStart w:id="32" w:name="_Toc13495"/>
      <w:r>
        <w:rPr>
          <w:rFonts w:hint="eastAsia" w:ascii="仿宋" w:hAnsi="仿宋" w:eastAsia="仿宋" w:cs="仿宋"/>
          <w:b/>
          <w:bCs w:val="0"/>
          <w:color w:val="auto"/>
          <w:sz w:val="52"/>
          <w:szCs w:val="52"/>
          <w:highlight w:val="none"/>
          <w:u w:val="none"/>
          <w:lang w:val="en-US" w:eastAsia="zh-CN"/>
        </w:rPr>
        <w:t>合</w:t>
      </w:r>
      <w:bookmarkEnd w:id="22"/>
      <w:bookmarkEnd w:id="23"/>
      <w:bookmarkEnd w:id="24"/>
      <w:bookmarkEnd w:id="25"/>
      <w:bookmarkEnd w:id="26"/>
      <w:bookmarkEnd w:id="27"/>
      <w:bookmarkEnd w:id="28"/>
      <w:bookmarkEnd w:id="29"/>
      <w:bookmarkEnd w:id="30"/>
      <w:bookmarkEnd w:id="31"/>
      <w:bookmarkEnd w:id="32"/>
    </w:p>
    <w:p w14:paraId="4454FBC9">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 w:hAnsi="仿宋" w:eastAsia="仿宋" w:cs="仿宋"/>
          <w:color w:val="auto"/>
          <w:highlight w:val="none"/>
          <w:shd w:val="clear" w:color="auto" w:fill="auto"/>
          <w:lang w:val="en-US" w:eastAsia="zh-CN"/>
        </w:rPr>
      </w:pPr>
      <w:bookmarkStart w:id="33" w:name="_Toc15292"/>
      <w:bookmarkStart w:id="34" w:name="_Toc18146"/>
      <w:bookmarkStart w:id="35" w:name="_Toc4267"/>
      <w:bookmarkStart w:id="36" w:name="_Toc26535"/>
      <w:bookmarkStart w:id="37" w:name="_Toc24897"/>
      <w:bookmarkStart w:id="38" w:name="_Toc16558"/>
      <w:bookmarkStart w:id="39" w:name="_Toc6193"/>
      <w:bookmarkStart w:id="40" w:name="_Toc18761"/>
      <w:bookmarkStart w:id="41" w:name="_Toc9453"/>
      <w:bookmarkStart w:id="42" w:name="_Toc24786"/>
      <w:bookmarkStart w:id="43" w:name="_Toc26787"/>
      <w:r>
        <w:rPr>
          <w:rFonts w:hint="eastAsia" w:ascii="仿宋" w:hAnsi="仿宋" w:eastAsia="仿宋" w:cs="仿宋"/>
          <w:b/>
          <w:bCs w:val="0"/>
          <w:color w:val="auto"/>
          <w:sz w:val="52"/>
          <w:szCs w:val="52"/>
          <w:highlight w:val="none"/>
          <w:u w:val="none"/>
          <w:lang w:val="en-US" w:eastAsia="zh-CN"/>
        </w:rPr>
        <w:t>同</w:t>
      </w:r>
      <w:bookmarkEnd w:id="33"/>
      <w:bookmarkEnd w:id="34"/>
      <w:bookmarkEnd w:id="35"/>
      <w:bookmarkEnd w:id="36"/>
      <w:bookmarkEnd w:id="37"/>
      <w:bookmarkEnd w:id="38"/>
      <w:bookmarkEnd w:id="39"/>
      <w:bookmarkEnd w:id="40"/>
      <w:bookmarkEnd w:id="41"/>
      <w:bookmarkEnd w:id="42"/>
      <w:bookmarkEnd w:id="43"/>
    </w:p>
    <w:p w14:paraId="632D6E83">
      <w:pPr>
        <w:keepNext w:val="0"/>
        <w:keepLines w:val="0"/>
        <w:pageBreakBefore w:val="0"/>
        <w:kinsoku/>
        <w:wordWrap/>
        <w:overflowPunct/>
        <w:topLinePunct w:val="0"/>
        <w:autoSpaceDE/>
        <w:autoSpaceDN/>
        <w:bidi w:val="0"/>
        <w:snapToGrid w:val="0"/>
        <w:spacing w:line="360" w:lineRule="auto"/>
        <w:ind w:left="-199" w:leftChars="-95" w:firstLine="315" w:firstLineChars="150"/>
        <w:jc w:val="left"/>
        <w:textAlignment w:val="auto"/>
        <w:rPr>
          <w:rFonts w:hint="eastAsia" w:ascii="仿宋" w:hAnsi="仿宋" w:eastAsia="仿宋" w:cs="仿宋"/>
          <w:color w:val="auto"/>
          <w:highlight w:val="none"/>
          <w:shd w:val="clear" w:color="auto" w:fill="auto"/>
          <w:lang w:val="en-US" w:eastAsia="zh-CN"/>
        </w:rPr>
      </w:pPr>
    </w:p>
    <w:p w14:paraId="0F0FCD37">
      <w:pPr>
        <w:keepNext w:val="0"/>
        <w:keepLines w:val="0"/>
        <w:pageBreakBefore w:val="0"/>
        <w:widowControl w:val="0"/>
        <w:kinsoku/>
        <w:wordWrap/>
        <w:overflowPunct/>
        <w:topLinePunct w:val="0"/>
        <w:autoSpaceDE/>
        <w:autoSpaceDN/>
        <w:bidi w:val="0"/>
        <w:adjustRightInd/>
        <w:snapToGrid w:val="0"/>
        <w:spacing w:line="360" w:lineRule="auto"/>
        <w:ind w:left="0" w:leftChars="0" w:firstLine="1478" w:firstLineChars="528"/>
        <w:jc w:val="left"/>
        <w:textAlignment w:val="auto"/>
        <w:rPr>
          <w:rFonts w:hint="eastAsia" w:ascii="仿宋" w:hAnsi="仿宋" w:eastAsia="仿宋" w:cs="仿宋"/>
          <w:b w:val="0"/>
          <w:bCs w:val="0"/>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合同编号：</w:t>
      </w:r>
    </w:p>
    <w:p w14:paraId="4DFBED7D">
      <w:pPr>
        <w:keepNext w:val="0"/>
        <w:keepLines w:val="0"/>
        <w:pageBreakBefore w:val="0"/>
        <w:widowControl w:val="0"/>
        <w:kinsoku/>
        <w:wordWrap/>
        <w:overflowPunct/>
        <w:topLinePunct w:val="0"/>
        <w:autoSpaceDE/>
        <w:autoSpaceDN/>
        <w:bidi w:val="0"/>
        <w:adjustRightInd/>
        <w:snapToGrid w:val="0"/>
        <w:spacing w:line="360" w:lineRule="auto"/>
        <w:ind w:left="0" w:leftChars="0" w:firstLine="1478" w:firstLineChars="528"/>
        <w:jc w:val="left"/>
        <w:textAlignment w:val="auto"/>
        <w:rPr>
          <w:rFonts w:hint="eastAsia" w:ascii="仿宋" w:hAnsi="仿宋" w:eastAsia="仿宋" w:cs="仿宋"/>
          <w:b w:val="0"/>
          <w:bCs w:val="0"/>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甲方（需方）：东莞市中泰建安工程有限公司</w:t>
      </w:r>
    </w:p>
    <w:p w14:paraId="11B54B8B">
      <w:pPr>
        <w:keepNext w:val="0"/>
        <w:keepLines w:val="0"/>
        <w:pageBreakBefore w:val="0"/>
        <w:widowControl w:val="0"/>
        <w:kinsoku/>
        <w:wordWrap/>
        <w:overflowPunct/>
        <w:topLinePunct w:val="0"/>
        <w:autoSpaceDE/>
        <w:autoSpaceDN/>
        <w:bidi w:val="0"/>
        <w:adjustRightInd/>
        <w:snapToGrid w:val="0"/>
        <w:spacing w:line="360" w:lineRule="auto"/>
        <w:ind w:left="0" w:leftChars="0" w:firstLine="1478" w:firstLineChars="528"/>
        <w:jc w:val="left"/>
        <w:textAlignment w:val="auto"/>
        <w:rPr>
          <w:rFonts w:hint="eastAsia" w:ascii="仿宋" w:hAnsi="仿宋" w:eastAsia="仿宋" w:cs="仿宋"/>
          <w:b w:val="0"/>
          <w:bCs w:val="0"/>
          <w:color w:val="auto"/>
          <w:sz w:val="28"/>
          <w:szCs w:val="28"/>
          <w:highlight w:val="non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乙方（供方）：</w:t>
      </w:r>
    </w:p>
    <w:p w14:paraId="76CEED15">
      <w:pPr>
        <w:keepNext w:val="0"/>
        <w:keepLines w:val="0"/>
        <w:pageBreakBefore w:val="0"/>
        <w:widowControl w:val="0"/>
        <w:kinsoku/>
        <w:wordWrap/>
        <w:overflowPunct/>
        <w:topLinePunct w:val="0"/>
        <w:autoSpaceDE/>
        <w:autoSpaceDN/>
        <w:bidi w:val="0"/>
        <w:adjustRightInd/>
        <w:snapToGrid w:val="0"/>
        <w:spacing w:line="360" w:lineRule="auto"/>
        <w:ind w:left="0" w:leftChars="0" w:firstLine="1478" w:firstLineChars="528"/>
        <w:jc w:val="left"/>
        <w:textAlignment w:val="auto"/>
        <w:rPr>
          <w:rFonts w:hint="eastAsia" w:ascii="仿宋" w:hAnsi="仿宋" w:eastAsia="仿宋" w:cs="仿宋"/>
          <w:b w:val="0"/>
          <w:bCs w:val="0"/>
          <w:color w:val="auto"/>
          <w:sz w:val="28"/>
          <w:szCs w:val="28"/>
          <w:highlight w:val="none"/>
          <w:u w:val="none"/>
          <w:shd w:val="clear" w:color="auto" w:fill="auto"/>
          <w:lang w:val="en-US" w:eastAsia="zh-CN"/>
        </w:rPr>
      </w:pPr>
      <w:r>
        <w:rPr>
          <w:rFonts w:hint="eastAsia" w:ascii="仿宋" w:hAnsi="仿宋" w:eastAsia="仿宋" w:cs="仿宋"/>
          <w:b w:val="0"/>
          <w:bCs w:val="0"/>
          <w:color w:val="auto"/>
          <w:sz w:val="28"/>
          <w:szCs w:val="28"/>
          <w:highlight w:val="none"/>
          <w:u w:val="none"/>
          <w:shd w:val="clear" w:color="auto" w:fill="auto"/>
          <w:lang w:val="en-US" w:eastAsia="zh-CN"/>
        </w:rPr>
        <w:t>签订日期：202</w:t>
      </w:r>
      <w:r>
        <w:rPr>
          <w:rFonts w:hint="eastAsia" w:ascii="仿宋" w:hAnsi="仿宋" w:eastAsia="仿宋" w:cs="仿宋"/>
          <w:b w:val="0"/>
          <w:bCs w:val="0"/>
          <w:color w:val="auto"/>
          <w:sz w:val="28"/>
          <w:szCs w:val="28"/>
          <w:highlight w:val="none"/>
          <w:u w:val="single"/>
          <w:shd w:val="clear" w:color="auto" w:fill="auto"/>
          <w:lang w:val="en-US" w:eastAsia="zh-CN"/>
        </w:rPr>
        <w:t>5</w:t>
      </w:r>
      <w:r>
        <w:rPr>
          <w:rFonts w:hint="eastAsia" w:ascii="仿宋" w:hAnsi="仿宋" w:eastAsia="仿宋" w:cs="仿宋"/>
          <w:b w:val="0"/>
          <w:bCs w:val="0"/>
          <w:color w:val="auto"/>
          <w:sz w:val="28"/>
          <w:szCs w:val="28"/>
          <w:highlight w:val="none"/>
          <w:u w:val="none"/>
          <w:shd w:val="clear" w:color="auto" w:fill="auto"/>
          <w:lang w:val="en-US" w:eastAsia="zh-CN"/>
        </w:rPr>
        <w:t>年</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月</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日</w:t>
      </w:r>
    </w:p>
    <w:p w14:paraId="29CA70B3">
      <w:pPr>
        <w:keepNext w:val="0"/>
        <w:keepLines w:val="0"/>
        <w:pageBreakBefore w:val="0"/>
        <w:widowControl w:val="0"/>
        <w:kinsoku/>
        <w:wordWrap/>
        <w:overflowPunct/>
        <w:topLinePunct w:val="0"/>
        <w:autoSpaceDE/>
        <w:autoSpaceDN/>
        <w:bidi w:val="0"/>
        <w:adjustRightInd/>
        <w:snapToGrid w:val="0"/>
        <w:spacing w:line="360" w:lineRule="auto"/>
        <w:ind w:left="0" w:leftChars="0" w:firstLine="1478" w:firstLineChars="528"/>
        <w:jc w:val="left"/>
        <w:textAlignment w:val="auto"/>
        <w:rPr>
          <w:rFonts w:hint="eastAsia" w:ascii="仿宋" w:hAnsi="仿宋" w:eastAsia="仿宋" w:cs="仿宋"/>
          <w:b/>
          <w:bCs/>
          <w:color w:val="auto"/>
          <w:kern w:val="2"/>
          <w:sz w:val="32"/>
          <w:szCs w:val="32"/>
          <w:highlight w:val="none"/>
          <w:u w:val="none"/>
          <w:shd w:val="clear" w:color="auto" w:fill="auto"/>
          <w:lang w:val="en-US" w:eastAsia="zh-CN" w:bidi="ar-SA"/>
        </w:rPr>
        <w:sectPr>
          <w:footerReference r:id="rId3" w:type="default"/>
          <w:pgSz w:w="11906" w:h="16838"/>
          <w:pgMar w:top="720" w:right="1134" w:bottom="720" w:left="1134"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auto"/>
          <w:sz w:val="28"/>
          <w:szCs w:val="28"/>
          <w:highlight w:val="none"/>
          <w:u w:val="none"/>
          <w:shd w:val="clear" w:color="auto" w:fill="auto"/>
          <w:lang w:val="en-US" w:eastAsia="zh-CN"/>
        </w:rPr>
        <w:t>签订地点：广东东莞南城</w:t>
      </w:r>
    </w:p>
    <w:p w14:paraId="1ED17B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仿宋" w:hAnsi="仿宋" w:eastAsia="仿宋" w:cs="仿宋"/>
          <w:b/>
          <w:bCs/>
          <w:color w:val="auto"/>
          <w:kern w:val="2"/>
          <w:sz w:val="28"/>
          <w:szCs w:val="28"/>
          <w:highlight w:val="none"/>
          <w:u w:val="none"/>
          <w:shd w:val="clear" w:color="auto" w:fill="auto"/>
          <w:lang w:val="en-US" w:eastAsia="zh-CN" w:bidi="ar-SA"/>
        </w:rPr>
      </w:pPr>
    </w:p>
    <w:sdt>
      <w:sdtPr>
        <w:rPr>
          <w:rFonts w:ascii="宋体" w:hAnsi="宋体" w:eastAsia="宋体" w:cs="Times New Roman"/>
          <w:b/>
          <w:bCs/>
          <w:color w:val="auto"/>
          <w:kern w:val="2"/>
          <w:sz w:val="32"/>
          <w:szCs w:val="40"/>
          <w:highlight w:val="none"/>
          <w:lang w:val="en-US" w:eastAsia="zh-CN" w:bidi="ar-SA"/>
        </w:rPr>
        <w:id w:val="147458885"/>
        <w15:color w:val="DBDBDB"/>
        <w:docPartObj>
          <w:docPartGallery w:val="Table of Contents"/>
          <w:docPartUnique/>
        </w:docPartObj>
      </w:sdtPr>
      <w:sdtEndPr>
        <w:rPr>
          <w:rFonts w:ascii="宋体" w:hAnsi="宋体" w:eastAsia="宋体" w:cs="Times New Roman"/>
          <w:b/>
          <w:bCs/>
          <w:color w:val="auto"/>
          <w:kern w:val="2"/>
          <w:sz w:val="32"/>
          <w:szCs w:val="40"/>
          <w:highlight w:val="none"/>
          <w:lang w:val="en-US" w:eastAsia="zh-CN" w:bidi="ar-SA"/>
        </w:rPr>
      </w:sdtEndPr>
      <w:sdtContent>
        <w:p w14:paraId="3C94B0E6">
          <w:pPr>
            <w:keepNext w:val="0"/>
            <w:keepLines w:val="0"/>
            <w:pageBreakBefore w:val="0"/>
            <w:kinsoku/>
            <w:wordWrap/>
            <w:overflowPunct/>
            <w:topLinePunct w:val="0"/>
            <w:autoSpaceDE/>
            <w:autoSpaceDN/>
            <w:bidi w:val="0"/>
            <w:snapToGrid w:val="0"/>
            <w:spacing w:before="0" w:beforeLines="0" w:after="0" w:afterLines="0" w:line="500" w:lineRule="exact"/>
            <w:ind w:left="0" w:leftChars="0" w:right="0" w:rightChars="0" w:firstLine="0" w:firstLineChars="0"/>
            <w:jc w:val="center"/>
            <w:textAlignment w:val="auto"/>
            <w:rPr>
              <w:b/>
              <w:bCs/>
              <w:color w:val="auto"/>
              <w:sz w:val="32"/>
              <w:szCs w:val="40"/>
              <w:highlight w:val="none"/>
            </w:rPr>
          </w:pPr>
          <w:bookmarkStart w:id="162" w:name="_GoBack"/>
          <w:bookmarkEnd w:id="162"/>
          <w:bookmarkStart w:id="44" w:name="_Toc5958"/>
          <w:r>
            <w:rPr>
              <w:rFonts w:ascii="宋体" w:hAnsi="宋体" w:eastAsia="宋体"/>
              <w:b/>
              <w:bCs/>
              <w:color w:val="auto"/>
              <w:sz w:val="32"/>
              <w:szCs w:val="40"/>
              <w:highlight w:val="none"/>
            </w:rPr>
            <w:t>目录</w:t>
          </w:r>
        </w:p>
        <w:p w14:paraId="3697238B">
          <w:pPr>
            <w:pStyle w:val="8"/>
            <w:tabs>
              <w:tab w:val="right" w:leader="dot" w:pos="9298"/>
            </w:tabs>
            <w:rPr>
              <w:color w:val="auto"/>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14:paraId="4217BA11">
          <w:pPr>
            <w:pStyle w:val="8"/>
            <w:tabs>
              <w:tab w:val="right" w:leader="dot" w:pos="9298"/>
            </w:tabs>
            <w:rPr>
              <w:color w:val="auto"/>
            </w:rPr>
          </w:pPr>
          <w:r>
            <w:rPr>
              <w:b/>
              <w:bCs/>
              <w:color w:val="auto"/>
              <w:highlight w:val="none"/>
            </w:rPr>
            <w:fldChar w:fldCharType="begin"/>
          </w:r>
          <w:r>
            <w:rPr>
              <w:b/>
              <w:bCs/>
              <w:color w:val="auto"/>
              <w:highlight w:val="none"/>
            </w:rPr>
            <w:instrText xml:space="preserve"> HYPERLINK \l _Toc24813 </w:instrText>
          </w:r>
          <w:r>
            <w:rPr>
              <w:b/>
              <w:bCs/>
              <w:color w:val="auto"/>
              <w:highlight w:val="none"/>
            </w:rPr>
            <w:fldChar w:fldCharType="separate"/>
          </w:r>
          <w:r>
            <w:rPr>
              <w:rFonts w:hint="eastAsia" w:ascii="仿宋_GB2312" w:hAnsi="仿宋_GB2312" w:eastAsia="仿宋_GB2312" w:cs="仿宋_GB2312"/>
              <w:b/>
              <w:bCs/>
              <w:i w:val="0"/>
              <w:iCs w:val="0"/>
              <w:color w:val="auto"/>
              <w:kern w:val="0"/>
              <w:szCs w:val="32"/>
              <w:highlight w:val="none"/>
              <w:shd w:val="clear" w:fill="auto"/>
              <w:lang w:val="en-US" w:eastAsia="zh-CN" w:bidi="ar-SA"/>
            </w:rPr>
            <w:t xml:space="preserve">第一部分 </w:t>
          </w:r>
          <w:r>
            <w:rPr>
              <w:rFonts w:hint="eastAsia" w:ascii="仿宋_GB2312" w:hAnsi="仿宋_GB2312" w:eastAsia="仿宋_GB2312" w:cs="仿宋_GB2312"/>
              <w:b/>
              <w:bCs/>
              <w:i w:val="0"/>
              <w:iCs w:val="0"/>
              <w:color w:val="auto"/>
              <w:kern w:val="0"/>
              <w:szCs w:val="32"/>
              <w:highlight w:val="none"/>
              <w:shd w:val="clear" w:color="auto" w:fill="auto"/>
              <w:lang w:val="en-US" w:eastAsia="zh-CN"/>
            </w:rPr>
            <w:t>协议书</w:t>
          </w:r>
          <w:r>
            <w:rPr>
              <w:b/>
              <w:bCs/>
              <w:color w:val="auto"/>
            </w:rPr>
            <w:tab/>
          </w:r>
          <w:r>
            <w:rPr>
              <w:b/>
              <w:bCs/>
              <w:color w:val="auto"/>
            </w:rPr>
            <w:fldChar w:fldCharType="begin"/>
          </w:r>
          <w:r>
            <w:rPr>
              <w:b/>
              <w:bCs/>
              <w:color w:val="auto"/>
            </w:rPr>
            <w:instrText xml:space="preserve"> PAGEREF _Toc24813 \h </w:instrText>
          </w:r>
          <w:r>
            <w:rPr>
              <w:b/>
              <w:bCs/>
              <w:color w:val="auto"/>
            </w:rPr>
            <w:fldChar w:fldCharType="separate"/>
          </w:r>
          <w:r>
            <w:rPr>
              <w:b/>
              <w:bCs/>
              <w:color w:val="auto"/>
            </w:rPr>
            <w:t>1</w:t>
          </w:r>
          <w:r>
            <w:rPr>
              <w:b/>
              <w:bCs/>
              <w:color w:val="auto"/>
            </w:rPr>
            <w:fldChar w:fldCharType="end"/>
          </w:r>
          <w:r>
            <w:rPr>
              <w:b/>
              <w:bCs/>
              <w:color w:val="auto"/>
              <w:highlight w:val="none"/>
            </w:rPr>
            <w:fldChar w:fldCharType="end"/>
          </w:r>
        </w:p>
        <w:p w14:paraId="52D23153">
          <w:pPr>
            <w:pStyle w:val="9"/>
            <w:tabs>
              <w:tab w:val="right" w:leader="dot" w:pos="9298"/>
            </w:tabs>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_Toc16715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lang w:val="en-US" w:eastAsia="zh-CN"/>
            </w:rPr>
            <w:t xml:space="preserve">第一章、 </w:t>
          </w:r>
          <w:r>
            <w:rPr>
              <w:rFonts w:hint="eastAsia" w:ascii="仿宋" w:hAnsi="仿宋" w:eastAsia="仿宋" w:cs="仿宋"/>
              <w:bCs/>
              <w:color w:val="auto"/>
              <w:sz w:val="28"/>
              <w:szCs w:val="28"/>
              <w:highlight w:val="none"/>
              <w:lang w:val="en-US" w:eastAsia="zh-CN"/>
            </w:rPr>
            <w:t>产品内容及合同价格</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rPr>
            <w:fldChar w:fldCharType="end"/>
          </w:r>
        </w:p>
        <w:p w14:paraId="12FFB3DE">
          <w:pPr>
            <w:pStyle w:val="9"/>
            <w:tabs>
              <w:tab w:val="right" w:leader="dot" w:pos="9298"/>
            </w:tabs>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_Toc20306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lang w:val="en-US" w:eastAsia="zh-CN"/>
            </w:rPr>
            <w:t xml:space="preserve">第二章、 </w:t>
          </w:r>
          <w:r>
            <w:rPr>
              <w:rFonts w:hint="eastAsia" w:ascii="仿宋" w:hAnsi="仿宋" w:eastAsia="仿宋" w:cs="仿宋"/>
              <w:bCs/>
              <w:color w:val="auto"/>
              <w:sz w:val="28"/>
              <w:szCs w:val="28"/>
              <w:highlight w:val="none"/>
              <w:lang w:val="en-US" w:eastAsia="zh-CN"/>
            </w:rPr>
            <w:t>付款方式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_Toc20306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rPr>
            <w:fldChar w:fldCharType="end"/>
          </w:r>
        </w:p>
        <w:p w14:paraId="56209161">
          <w:pPr>
            <w:pStyle w:val="9"/>
            <w:tabs>
              <w:tab w:val="right" w:leader="dot" w:pos="9298"/>
            </w:tabs>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_Toc11935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lang w:val="en-US" w:eastAsia="zh-CN"/>
            </w:rPr>
            <w:t xml:space="preserve">第三章、 </w:t>
          </w:r>
          <w:r>
            <w:rPr>
              <w:rFonts w:hint="eastAsia" w:ascii="仿宋" w:hAnsi="仿宋" w:eastAsia="仿宋" w:cs="仿宋"/>
              <w:bCs/>
              <w:color w:val="auto"/>
              <w:sz w:val="28"/>
              <w:szCs w:val="28"/>
              <w:highlight w:val="none"/>
              <w:lang w:val="en-US" w:eastAsia="zh-CN"/>
            </w:rPr>
            <w:t>交货</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_Toc11935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rPr>
            <w:fldChar w:fldCharType="end"/>
          </w:r>
        </w:p>
        <w:p w14:paraId="3F29E69B">
          <w:pPr>
            <w:pStyle w:val="9"/>
            <w:tabs>
              <w:tab w:val="right" w:leader="dot" w:pos="9298"/>
            </w:tabs>
            <w:ind w:left="0" w:leftChars="0" w:firstLine="0" w:firstLineChars="0"/>
            <w:rPr>
              <w:rFonts w:hint="eastAsia" w:ascii="仿宋" w:hAnsi="仿宋" w:eastAsia="仿宋" w:cs="仿宋"/>
              <w:color w:val="auto"/>
              <w:sz w:val="28"/>
              <w:szCs w:val="28"/>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_Toc26173 </w:instrText>
          </w:r>
          <w:r>
            <w:rPr>
              <w:rFonts w:hint="eastAsia" w:ascii="仿宋" w:hAnsi="仿宋" w:eastAsia="仿宋" w:cs="仿宋"/>
              <w:color w:val="auto"/>
              <w:sz w:val="28"/>
              <w:szCs w:val="28"/>
              <w:highlight w:val="none"/>
            </w:rPr>
            <w:fldChar w:fldCharType="separate"/>
          </w:r>
          <w:r>
            <w:rPr>
              <w:rFonts w:hint="eastAsia" w:ascii="仿宋" w:hAnsi="仿宋" w:eastAsia="仿宋" w:cs="仿宋"/>
              <w:bCs/>
              <w:color w:val="auto"/>
              <w:sz w:val="28"/>
              <w:szCs w:val="28"/>
              <w:lang w:val="en-US" w:eastAsia="zh-CN"/>
            </w:rPr>
            <w:t xml:space="preserve">第四章、 </w:t>
          </w:r>
          <w:r>
            <w:rPr>
              <w:rFonts w:hint="eastAsia" w:ascii="仿宋" w:hAnsi="仿宋" w:eastAsia="仿宋" w:cs="仿宋"/>
              <w:bCs/>
              <w:color w:val="auto"/>
              <w:sz w:val="28"/>
              <w:szCs w:val="28"/>
              <w:highlight w:val="none"/>
              <w:lang w:val="en-US" w:eastAsia="zh-CN"/>
            </w:rPr>
            <w:t>甲乙双方联系人</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_Toc26173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highlight w:val="none"/>
            </w:rPr>
            <w:fldChar w:fldCharType="end"/>
          </w:r>
        </w:p>
        <w:p w14:paraId="5DAEE151">
          <w:pPr>
            <w:pStyle w:val="8"/>
            <w:tabs>
              <w:tab w:val="right" w:leader="dot" w:pos="9298"/>
            </w:tabs>
            <w:rPr>
              <w:color w:val="auto"/>
            </w:rPr>
          </w:pPr>
          <w:r>
            <w:rPr>
              <w:b/>
              <w:bCs/>
              <w:color w:val="auto"/>
              <w:highlight w:val="none"/>
            </w:rPr>
            <w:fldChar w:fldCharType="begin"/>
          </w:r>
          <w:r>
            <w:rPr>
              <w:b/>
              <w:bCs/>
              <w:color w:val="auto"/>
              <w:highlight w:val="none"/>
            </w:rPr>
            <w:instrText xml:space="preserve"> HYPERLINK \l _Toc16771 </w:instrText>
          </w:r>
          <w:r>
            <w:rPr>
              <w:b/>
              <w:bCs/>
              <w:color w:val="auto"/>
              <w:highlight w:val="none"/>
            </w:rPr>
            <w:fldChar w:fldCharType="separate"/>
          </w:r>
          <w:r>
            <w:rPr>
              <w:rFonts w:hint="eastAsia" w:ascii="仿宋_GB2312" w:hAnsi="仿宋_GB2312" w:eastAsia="仿宋_GB2312" w:cs="仿宋_GB2312"/>
              <w:b/>
              <w:bCs/>
              <w:i w:val="0"/>
              <w:iCs w:val="0"/>
              <w:color w:val="auto"/>
              <w:kern w:val="0"/>
              <w:szCs w:val="32"/>
              <w:shd w:val="clear" w:fill="auto"/>
              <w:lang w:val="en-US" w:eastAsia="zh-CN"/>
            </w:rPr>
            <w:t xml:space="preserve">第二部分 </w:t>
          </w:r>
          <w:r>
            <w:rPr>
              <w:rFonts w:hint="eastAsia" w:ascii="仿宋_GB2312" w:hAnsi="仿宋_GB2312" w:eastAsia="仿宋_GB2312" w:cs="仿宋_GB2312"/>
              <w:b/>
              <w:bCs/>
              <w:i w:val="0"/>
              <w:iCs w:val="0"/>
              <w:color w:val="auto"/>
              <w:kern w:val="0"/>
              <w:szCs w:val="32"/>
              <w:highlight w:val="none"/>
              <w:shd w:val="clear" w:color="auto" w:fill="auto"/>
              <w:lang w:val="en-US" w:eastAsia="zh-CN"/>
            </w:rPr>
            <w:t>合同专用条款</w:t>
          </w:r>
          <w:r>
            <w:rPr>
              <w:b/>
              <w:bCs/>
              <w:color w:val="auto"/>
            </w:rPr>
            <w:tab/>
          </w:r>
          <w:r>
            <w:rPr>
              <w:b/>
              <w:bCs/>
              <w:color w:val="auto"/>
            </w:rPr>
            <w:fldChar w:fldCharType="begin"/>
          </w:r>
          <w:r>
            <w:rPr>
              <w:b/>
              <w:bCs/>
              <w:color w:val="auto"/>
            </w:rPr>
            <w:instrText xml:space="preserve"> PAGEREF _Toc16771 \h </w:instrText>
          </w:r>
          <w:r>
            <w:rPr>
              <w:b/>
              <w:bCs/>
              <w:color w:val="auto"/>
            </w:rPr>
            <w:fldChar w:fldCharType="separate"/>
          </w:r>
          <w:r>
            <w:rPr>
              <w:b/>
              <w:bCs/>
              <w:color w:val="auto"/>
            </w:rPr>
            <w:t>8</w:t>
          </w:r>
          <w:r>
            <w:rPr>
              <w:b/>
              <w:bCs/>
              <w:color w:val="auto"/>
            </w:rPr>
            <w:fldChar w:fldCharType="end"/>
          </w:r>
          <w:r>
            <w:rPr>
              <w:b/>
              <w:bCs/>
              <w:color w:val="auto"/>
              <w:highlight w:val="none"/>
            </w:rPr>
            <w:fldChar w:fldCharType="end"/>
          </w:r>
        </w:p>
        <w:p w14:paraId="38FD9743">
          <w:pPr>
            <w:pStyle w:val="9"/>
            <w:tabs>
              <w:tab w:val="right" w:leader="dot" w:pos="9298"/>
            </w:tabs>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_Toc25983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第一章、 产品质量及包装要求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_Toc25983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81F633D">
          <w:pPr>
            <w:pStyle w:val="9"/>
            <w:tabs>
              <w:tab w:val="right" w:leader="dot" w:pos="9298"/>
            </w:tabs>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_Toc28133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第二章、 交货、验收及保修</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_Toc28133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6CD0F7A5">
          <w:pPr>
            <w:pStyle w:val="8"/>
            <w:tabs>
              <w:tab w:val="right" w:leader="dot" w:pos="9298"/>
            </w:tabs>
            <w:rPr>
              <w:b/>
              <w:bCs/>
              <w:color w:val="auto"/>
              <w:highlight w:val="none"/>
            </w:rPr>
          </w:pPr>
          <w:r>
            <w:rPr>
              <w:b/>
              <w:bCs/>
              <w:color w:val="auto"/>
              <w:highlight w:val="none"/>
            </w:rPr>
            <w:fldChar w:fldCharType="begin"/>
          </w:r>
          <w:r>
            <w:rPr>
              <w:b/>
              <w:bCs/>
              <w:color w:val="auto"/>
              <w:highlight w:val="none"/>
            </w:rPr>
            <w:instrText xml:space="preserve"> HYPERLINK \l _Toc14034 </w:instrText>
          </w:r>
          <w:r>
            <w:rPr>
              <w:b/>
              <w:bCs/>
              <w:color w:val="auto"/>
              <w:highlight w:val="none"/>
            </w:rPr>
            <w:fldChar w:fldCharType="separate"/>
          </w:r>
          <w:r>
            <w:rPr>
              <w:rFonts w:hint="eastAsia"/>
              <w:b/>
              <w:bCs/>
              <w:color w:val="auto"/>
              <w:highlight w:val="none"/>
              <w:lang w:val="en-US" w:eastAsia="zh-CN"/>
            </w:rPr>
            <w:t>第三部分 合同通用条款</w:t>
          </w:r>
          <w:r>
            <w:rPr>
              <w:b/>
              <w:bCs/>
              <w:color w:val="auto"/>
              <w:highlight w:val="none"/>
            </w:rPr>
            <w:tab/>
          </w:r>
          <w:r>
            <w:rPr>
              <w:b/>
              <w:bCs/>
              <w:color w:val="auto"/>
              <w:highlight w:val="none"/>
            </w:rPr>
            <w:fldChar w:fldCharType="begin"/>
          </w:r>
          <w:r>
            <w:rPr>
              <w:b/>
              <w:bCs/>
              <w:color w:val="auto"/>
              <w:highlight w:val="none"/>
            </w:rPr>
            <w:instrText xml:space="preserve"> PAGEREF _Toc14034 \h </w:instrText>
          </w:r>
          <w:r>
            <w:rPr>
              <w:b/>
              <w:bCs/>
              <w:color w:val="auto"/>
              <w:highlight w:val="none"/>
            </w:rPr>
            <w:fldChar w:fldCharType="separate"/>
          </w:r>
          <w:r>
            <w:rPr>
              <w:b/>
              <w:bCs/>
              <w:color w:val="auto"/>
              <w:highlight w:val="none"/>
            </w:rPr>
            <w:t>10</w:t>
          </w:r>
          <w:r>
            <w:rPr>
              <w:b/>
              <w:bCs/>
              <w:color w:val="auto"/>
              <w:highlight w:val="none"/>
            </w:rPr>
            <w:fldChar w:fldCharType="end"/>
          </w:r>
          <w:r>
            <w:rPr>
              <w:b/>
              <w:bCs/>
              <w:color w:val="auto"/>
              <w:highlight w:val="none"/>
            </w:rPr>
            <w:fldChar w:fldCharType="end"/>
          </w:r>
        </w:p>
        <w:p w14:paraId="0590FE9D">
          <w:pPr>
            <w:pStyle w:val="9"/>
            <w:tabs>
              <w:tab w:val="right" w:leader="dot" w:pos="9298"/>
            </w:tabs>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_Toc15533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第一章、 对账及发票要求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_Toc15533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99B4D52">
          <w:pPr>
            <w:pStyle w:val="9"/>
            <w:tabs>
              <w:tab w:val="right" w:leader="dot" w:pos="9298"/>
            </w:tabs>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_Toc25828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第三章、保修</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_Toc25828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C1FDD7E">
          <w:pPr>
            <w:pStyle w:val="9"/>
            <w:tabs>
              <w:tab w:val="right" w:leader="dot" w:pos="9298"/>
            </w:tabs>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_Toc27611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第四章、</w:t>
          </w:r>
          <w:r>
            <w:rPr>
              <w:rFonts w:hint="eastAsia" w:ascii="仿宋" w:hAnsi="仿宋" w:eastAsia="仿宋" w:cs="仿宋"/>
              <w:color w:val="auto"/>
              <w:sz w:val="28"/>
              <w:szCs w:val="28"/>
              <w:highlight w:val="none"/>
            </w:rPr>
            <w:t>违约责任</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_Toc27611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390393E">
          <w:pPr>
            <w:pStyle w:val="9"/>
            <w:tabs>
              <w:tab w:val="right" w:leader="dot" w:pos="9298"/>
            </w:tabs>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_Toc4433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第五章、</w:t>
          </w:r>
          <w:r>
            <w:rPr>
              <w:rFonts w:hint="eastAsia" w:ascii="仿宋" w:hAnsi="仿宋" w:eastAsia="仿宋" w:cs="仿宋"/>
              <w:color w:val="auto"/>
              <w:sz w:val="28"/>
              <w:szCs w:val="28"/>
              <w:highlight w:val="none"/>
            </w:rPr>
            <w:t>廉洁条款</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_Toc4433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688CABB">
          <w:pPr>
            <w:pStyle w:val="9"/>
            <w:tabs>
              <w:tab w:val="right" w:leader="dot" w:pos="9298"/>
            </w:tabs>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_Toc1615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第六章、甲乙双方联系人权限</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_Toc1615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A977B93">
          <w:pPr>
            <w:pStyle w:val="9"/>
            <w:tabs>
              <w:tab w:val="right" w:leader="dot" w:pos="9298"/>
            </w:tabs>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_Toc31201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lang w:val="en-US" w:eastAsia="zh-CN"/>
            </w:rPr>
            <w:t>第七章、其他</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_Toc31201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95AF881">
          <w:pPr>
            <w:keepNext w:val="0"/>
            <w:keepLines w:val="0"/>
            <w:pageBreakBefore w:val="0"/>
            <w:kinsoku/>
            <w:wordWrap/>
            <w:overflowPunct/>
            <w:topLinePunct w:val="0"/>
            <w:autoSpaceDE/>
            <w:autoSpaceDN/>
            <w:bidi w:val="0"/>
            <w:snapToGrid w:val="0"/>
            <w:spacing w:line="500" w:lineRule="exact"/>
            <w:textAlignment w:val="auto"/>
            <w:rPr>
              <w:b/>
              <w:color w:val="auto"/>
              <w:highlight w:val="none"/>
            </w:rPr>
          </w:pPr>
          <w:r>
            <w:rPr>
              <w:color w:val="auto"/>
              <w:highlight w:val="none"/>
            </w:rPr>
            <w:fldChar w:fldCharType="end"/>
          </w:r>
        </w:p>
      </w:sdtContent>
    </w:sdt>
    <w:p w14:paraId="5E1B693C">
      <w:pPr>
        <w:keepNext w:val="0"/>
        <w:keepLines w:val="0"/>
        <w:pageBreakBefore w:val="0"/>
        <w:kinsoku/>
        <w:wordWrap/>
        <w:overflowPunct/>
        <w:topLinePunct w:val="0"/>
        <w:autoSpaceDE/>
        <w:autoSpaceDN/>
        <w:bidi w:val="0"/>
        <w:snapToGrid w:val="0"/>
        <w:spacing w:line="500" w:lineRule="exact"/>
        <w:textAlignment w:val="auto"/>
        <w:rPr>
          <w:b/>
          <w:color w:val="auto"/>
          <w:highlight w:val="none"/>
        </w:rPr>
        <w:sectPr>
          <w:headerReference r:id="rId4" w:type="default"/>
          <w:footerReference r:id="rId5" w:type="default"/>
          <w:pgSz w:w="11906" w:h="16838"/>
          <w:pgMar w:top="1247" w:right="1304" w:bottom="1304" w:left="130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579DF8AB">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after="157" w:afterLines="50" w:line="360" w:lineRule="auto"/>
        <w:ind w:right="-578" w:rightChars="-275"/>
        <w:jc w:val="center"/>
        <w:textAlignment w:val="auto"/>
        <w:outlineLvl w:val="0"/>
        <w:rPr>
          <w:rFonts w:hint="eastAsia" w:ascii="仿宋" w:hAnsi="仿宋" w:eastAsia="仿宋" w:cs="仿宋"/>
          <w:b w:val="0"/>
          <w:bCs w:val="0"/>
          <w:color w:val="auto"/>
          <w:kern w:val="2"/>
          <w:sz w:val="28"/>
          <w:szCs w:val="28"/>
          <w:highlight w:val="none"/>
          <w:u w:val="none"/>
          <w:shd w:val="clear" w:color="auto" w:fill="auto"/>
          <w:lang w:val="en-US" w:eastAsia="zh-CN" w:bidi="ar-SA"/>
        </w:rPr>
      </w:pPr>
      <w:bookmarkStart w:id="45" w:name="_Toc24813"/>
      <w:r>
        <w:rPr>
          <w:rFonts w:hint="eastAsia" w:ascii="仿宋_GB2312" w:hAnsi="仿宋_GB2312" w:eastAsia="仿宋_GB2312" w:cs="仿宋_GB2312"/>
          <w:b/>
          <w:bCs/>
          <w:i w:val="0"/>
          <w:iCs w:val="0"/>
          <w:color w:val="auto"/>
          <w:kern w:val="0"/>
          <w:sz w:val="32"/>
          <w:szCs w:val="32"/>
          <w:highlight w:val="none"/>
          <w:shd w:val="clear" w:fill="auto"/>
          <w:lang w:val="en-US" w:eastAsia="zh-CN" w:bidi="ar-SA"/>
        </w:rPr>
        <w:t xml:space="preserve">第一部分 </w:t>
      </w:r>
      <w:r>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t>协议书</w:t>
      </w:r>
      <w:bookmarkEnd w:id="44"/>
      <w:bookmarkEnd w:id="45"/>
    </w:p>
    <w:p w14:paraId="7E176C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kern w:val="2"/>
          <w:sz w:val="28"/>
          <w:szCs w:val="28"/>
          <w:highlight w:val="none"/>
          <w:u w:val="none"/>
          <w:shd w:val="clear" w:color="auto" w:fill="auto"/>
          <w:lang w:val="en-US" w:eastAsia="zh-CN" w:bidi="ar-SA"/>
        </w:rPr>
      </w:pPr>
      <w:r>
        <w:rPr>
          <w:rFonts w:hint="eastAsia" w:ascii="仿宋" w:hAnsi="仿宋" w:eastAsia="仿宋" w:cs="仿宋"/>
          <w:b w:val="0"/>
          <w:bCs w:val="0"/>
          <w:color w:val="auto"/>
          <w:kern w:val="2"/>
          <w:sz w:val="28"/>
          <w:szCs w:val="28"/>
          <w:highlight w:val="none"/>
          <w:u w:val="none"/>
          <w:shd w:val="clear" w:color="auto" w:fill="auto"/>
          <w:lang w:val="en-US" w:eastAsia="zh-CN" w:bidi="ar-SA"/>
        </w:rPr>
        <w:t>根据《中华人民共和国民法典》《中华人民共和国产品质量法》及其他有关法律法规，乙方确认并承诺满足本项目所在地政府主管部门各项要求（如资质、资格等）的前提下，甲乙双方在平等、自愿、公平和诚实信用的基础上，就拟用于</w:t>
      </w:r>
      <w:r>
        <w:rPr>
          <w:rFonts w:hint="eastAsia" w:ascii="仿宋" w:hAnsi="仿宋" w:eastAsia="仿宋" w:cs="仿宋"/>
          <w:b w:val="0"/>
          <w:bCs w:val="0"/>
          <w:color w:val="auto"/>
          <w:kern w:val="2"/>
          <w:sz w:val="28"/>
          <w:szCs w:val="28"/>
          <w:highlight w:val="none"/>
          <w:u w:val="single"/>
          <w:shd w:val="clear" w:color="auto" w:fill="auto"/>
          <w:lang w:val="en-US" w:eastAsia="zh-CN" w:bidi="ar-SA"/>
        </w:rPr>
        <w:t>玉林(福绵)节能环保产业园</w:t>
      </w:r>
      <w:r>
        <w:rPr>
          <w:rFonts w:hint="eastAsia" w:ascii="仿宋" w:hAnsi="仿宋" w:eastAsia="仿宋" w:cs="仿宋"/>
          <w:color w:val="auto"/>
          <w:sz w:val="28"/>
          <w:szCs w:val="28"/>
          <w:highlight w:val="none"/>
          <w:u w:val="single"/>
          <w:shd w:val="clear" w:color="auto" w:fill="auto"/>
        </w:rPr>
        <w:t>南部工业供水厂建设项目(二期5万吨/天)/玉林（福绵）节能环保产业园南部污水处理厂及中水回用设施建设项目（一期二标段5万吨/天）</w:t>
      </w:r>
      <w:r>
        <w:rPr>
          <w:rFonts w:hint="eastAsia" w:ascii="仿宋" w:hAnsi="仿宋" w:eastAsia="仿宋" w:cs="仿宋"/>
          <w:b w:val="0"/>
          <w:bCs w:val="0"/>
          <w:color w:val="auto"/>
          <w:kern w:val="2"/>
          <w:sz w:val="28"/>
          <w:szCs w:val="28"/>
          <w:highlight w:val="none"/>
          <w:u w:val="single"/>
          <w:shd w:val="clear" w:color="auto" w:fill="auto"/>
          <w:lang w:val="en-US" w:eastAsia="zh-CN" w:bidi="ar-SA"/>
        </w:rPr>
        <w:t>（</w:t>
      </w:r>
      <w:r>
        <w:rPr>
          <w:rFonts w:hint="eastAsia" w:ascii="仿宋" w:hAnsi="仿宋" w:eastAsia="仿宋" w:cs="仿宋"/>
          <w:b w:val="0"/>
          <w:bCs w:val="0"/>
          <w:color w:val="auto"/>
          <w:kern w:val="2"/>
          <w:sz w:val="28"/>
          <w:szCs w:val="28"/>
          <w:highlight w:val="none"/>
          <w:u w:val="none"/>
          <w:lang w:val="en-US" w:eastAsia="zh-CN" w:bidi="ar-SA"/>
        </w:rPr>
        <w:t>简称“本项目”）</w:t>
      </w:r>
      <w:r>
        <w:rPr>
          <w:rFonts w:hint="eastAsia" w:ascii="仿宋" w:hAnsi="仿宋" w:eastAsia="仿宋" w:cs="仿宋"/>
          <w:b w:val="0"/>
          <w:bCs w:val="0"/>
          <w:color w:val="auto"/>
          <w:kern w:val="2"/>
          <w:sz w:val="28"/>
          <w:szCs w:val="28"/>
          <w:highlight w:val="none"/>
          <w:u w:val="none"/>
          <w:shd w:val="clear" w:color="auto" w:fill="auto"/>
          <w:lang w:val="en-US" w:eastAsia="zh-CN" w:bidi="ar-SA"/>
        </w:rPr>
        <w:t>的</w:t>
      </w:r>
      <w:r>
        <w:rPr>
          <w:rFonts w:hint="eastAsia" w:ascii="仿宋" w:hAnsi="仿宋" w:eastAsia="仿宋" w:cs="仿宋"/>
          <w:b w:val="0"/>
          <w:bCs w:val="0"/>
          <w:color w:val="auto"/>
          <w:kern w:val="2"/>
          <w:sz w:val="28"/>
          <w:szCs w:val="28"/>
          <w:highlight w:val="none"/>
          <w:u w:val="single"/>
          <w:shd w:val="clear" w:color="auto" w:fill="auto"/>
          <w:lang w:val="en-US" w:eastAsia="zh-CN" w:bidi="ar-SA"/>
        </w:rPr>
        <w:t>外墙砖</w:t>
      </w:r>
      <w:r>
        <w:rPr>
          <w:rFonts w:hint="eastAsia" w:ascii="仿宋" w:hAnsi="仿宋" w:eastAsia="仿宋" w:cs="仿宋"/>
          <w:b w:val="0"/>
          <w:bCs w:val="0"/>
          <w:color w:val="auto"/>
          <w:kern w:val="2"/>
          <w:sz w:val="28"/>
          <w:szCs w:val="28"/>
          <w:highlight w:val="none"/>
          <w:u w:val="none"/>
          <w:shd w:val="clear" w:color="auto" w:fill="auto"/>
          <w:lang w:val="en-US" w:eastAsia="zh-CN" w:bidi="ar-SA"/>
        </w:rPr>
        <w:t>（以下简称“产品”） 购销事宜协商一致，特签订本合同并共同遵守。</w:t>
      </w:r>
      <w:r>
        <w:rPr>
          <w:rFonts w:hint="eastAsia" w:ascii="仿宋" w:hAnsi="仿宋" w:eastAsia="仿宋" w:cs="仿宋"/>
          <w:b w:val="0"/>
          <w:bCs w:val="0"/>
          <w:color w:val="auto"/>
          <w:kern w:val="2"/>
          <w:sz w:val="28"/>
          <w:szCs w:val="28"/>
          <w:highlight w:val="none"/>
          <w:u w:val="none"/>
          <w:lang w:val="en-US" w:eastAsia="zh-CN" w:bidi="ar-SA"/>
        </w:rPr>
        <w:t>（本合同范围内，对以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开头的内容为准。）</w:t>
      </w:r>
      <w:r>
        <w:rPr>
          <w:rFonts w:hint="eastAsia" w:ascii="仿宋" w:hAnsi="仿宋" w:eastAsia="仿宋" w:cs="仿宋"/>
          <w:b w:val="0"/>
          <w:bCs w:val="0"/>
          <w:color w:val="auto"/>
          <w:kern w:val="2"/>
          <w:sz w:val="28"/>
          <w:szCs w:val="28"/>
          <w:highlight w:val="none"/>
          <w:u w:val="none"/>
          <w:lang w:val="en-US" w:eastAsia="zh-CN" w:bidi="ar-SA"/>
        </w:rPr>
        <w:tab/>
      </w:r>
    </w:p>
    <w:p w14:paraId="37E3400D">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highlight w:val="none"/>
          <w:lang w:val="en-US" w:eastAsia="zh-CN"/>
        </w:rPr>
      </w:pPr>
      <w:bookmarkStart w:id="46" w:name="_Toc26009"/>
      <w:bookmarkStart w:id="47" w:name="_Toc30517"/>
      <w:bookmarkStart w:id="48" w:name="_Toc1077"/>
      <w:bookmarkStart w:id="49" w:name="_Toc11394"/>
      <w:bookmarkStart w:id="50" w:name="_Toc5560"/>
      <w:bookmarkStart w:id="51" w:name="_Toc21647"/>
      <w:bookmarkStart w:id="52" w:name="_Toc1522"/>
      <w:bookmarkStart w:id="53" w:name="_Toc25994"/>
      <w:r>
        <w:rPr>
          <w:rFonts w:hint="eastAsia" w:ascii="仿宋" w:hAnsi="仿宋" w:eastAsia="仿宋" w:cs="仿宋"/>
          <w:b/>
          <w:bCs/>
          <w:color w:val="auto"/>
          <w:sz w:val="28"/>
          <w:highlight w:val="none"/>
          <w:lang w:val="en-US" w:eastAsia="zh-CN"/>
        </w:rPr>
        <w:t>合同价格、产品内容</w:t>
      </w:r>
      <w:bookmarkEnd w:id="46"/>
      <w:bookmarkEnd w:id="47"/>
      <w:r>
        <w:rPr>
          <w:rFonts w:hint="eastAsia" w:ascii="仿宋" w:hAnsi="仿宋" w:eastAsia="仿宋" w:cs="仿宋"/>
          <w:b/>
          <w:bCs/>
          <w:color w:val="auto"/>
          <w:sz w:val="28"/>
          <w:highlight w:val="none"/>
          <w:lang w:val="en-US" w:eastAsia="zh-CN"/>
        </w:rPr>
        <w:t>及</w:t>
      </w:r>
      <w:bookmarkEnd w:id="48"/>
      <w:bookmarkEnd w:id="49"/>
      <w:bookmarkEnd w:id="50"/>
      <w:bookmarkEnd w:id="51"/>
      <w:bookmarkEnd w:id="52"/>
      <w:bookmarkEnd w:id="53"/>
      <w:r>
        <w:rPr>
          <w:rFonts w:hint="eastAsia" w:ascii="仿宋" w:hAnsi="仿宋" w:eastAsia="仿宋" w:cs="仿宋"/>
          <w:b/>
          <w:bCs/>
          <w:color w:val="auto"/>
          <w:sz w:val="28"/>
          <w:highlight w:val="none"/>
          <w:lang w:val="en-US" w:eastAsia="zh-CN"/>
        </w:rPr>
        <w:t>质量要求</w:t>
      </w:r>
    </w:p>
    <w:p w14:paraId="662E6C56">
      <w:pPr>
        <w:keepNext w:val="0"/>
        <w:keepLines w:val="0"/>
        <w:pageBreakBefore w:val="0"/>
        <w:widowControl w:val="0"/>
        <w:numPr>
          <w:ilvl w:val="1"/>
          <w:numId w:val="2"/>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u w:val="none"/>
          <w:vertAlign w:val="baseline"/>
          <w:lang w:val="en-US" w:eastAsia="zh-CN"/>
        </w:rPr>
        <w:t>合同单价详见附件《报价清单》，</w:t>
      </w:r>
      <w:r>
        <w:rPr>
          <w:rFonts w:hint="eastAsia" w:ascii="仿宋" w:hAnsi="仿宋" w:eastAsia="仿宋" w:cs="仿宋"/>
          <w:color w:val="auto"/>
          <w:sz w:val="28"/>
          <w:szCs w:val="28"/>
          <w:highlight w:val="none"/>
          <w:shd w:val="clear"/>
          <w:vertAlign w:val="baseline"/>
          <w:lang w:val="en-US" w:eastAsia="zh-CN"/>
        </w:rPr>
        <w:t>乙方</w:t>
      </w:r>
      <w:r>
        <w:rPr>
          <w:rFonts w:hint="eastAsia" w:ascii="仿宋" w:hAnsi="仿宋" w:eastAsia="仿宋" w:cs="仿宋"/>
          <w:color w:val="auto"/>
          <w:sz w:val="28"/>
          <w:szCs w:val="28"/>
          <w:highlight w:val="none"/>
          <w:shd w:val="clear"/>
          <w:vertAlign w:val="baseline"/>
        </w:rPr>
        <w:t>开具税率</w:t>
      </w:r>
      <w:r>
        <w:rPr>
          <w:rFonts w:hint="eastAsia" w:ascii="仿宋" w:hAnsi="仿宋" w:eastAsia="仿宋" w:cs="仿宋"/>
          <w:color w:val="auto"/>
          <w:sz w:val="28"/>
          <w:szCs w:val="28"/>
          <w:highlight w:val="none"/>
          <w:u w:val="single"/>
          <w:shd w:val="clear"/>
          <w:vertAlign w:val="baseline"/>
          <w:lang w:val="en-US" w:eastAsia="zh-CN"/>
        </w:rPr>
        <w:t xml:space="preserve">   </w:t>
      </w:r>
      <w:r>
        <w:rPr>
          <w:rFonts w:hint="eastAsia" w:ascii="仿宋" w:hAnsi="仿宋" w:eastAsia="仿宋" w:cs="仿宋"/>
          <w:color w:val="auto"/>
          <w:sz w:val="28"/>
          <w:szCs w:val="28"/>
          <w:highlight w:val="none"/>
          <w:shd w:val="clear"/>
          <w:vertAlign w:val="baseline"/>
        </w:rPr>
        <w:t>%的增值税</w:t>
      </w:r>
      <w:r>
        <w:rPr>
          <w:rFonts w:hint="eastAsia" w:ascii="仿宋" w:hAnsi="仿宋" w:eastAsia="仿宋" w:cs="仿宋"/>
          <w:color w:val="auto"/>
          <w:sz w:val="28"/>
          <w:szCs w:val="28"/>
          <w:highlight w:val="none"/>
          <w:shd w:val="clear"/>
          <w:vertAlign w:val="baseline"/>
        </w:rPr>
        <w:sym w:font="Wingdings 2" w:char="0052"/>
      </w:r>
      <w:r>
        <w:rPr>
          <w:rFonts w:hint="eastAsia" w:ascii="仿宋" w:hAnsi="仿宋" w:eastAsia="仿宋" w:cs="仿宋"/>
          <w:color w:val="auto"/>
          <w:sz w:val="28"/>
          <w:szCs w:val="28"/>
          <w:highlight w:val="none"/>
          <w:shd w:val="clear"/>
          <w:vertAlign w:val="baseline"/>
        </w:rPr>
        <w:t>专用</w:t>
      </w:r>
      <w:r>
        <w:rPr>
          <w:rFonts w:hint="eastAsia" w:ascii="仿宋" w:hAnsi="仿宋" w:eastAsia="仿宋" w:cs="仿宋"/>
          <w:color w:val="auto"/>
          <w:sz w:val="28"/>
          <w:szCs w:val="28"/>
          <w:highlight w:val="none"/>
          <w:shd w:val="clear"/>
          <w:vertAlign w:val="baseline"/>
          <w:lang w:val="en-US" w:eastAsia="zh-CN"/>
        </w:rPr>
        <w:t>发票/</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合同</w:t>
      </w:r>
      <w:r>
        <w:rPr>
          <w:rFonts w:hint="eastAsia" w:ascii="仿宋" w:hAnsi="仿宋" w:eastAsia="仿宋" w:cs="仿宋"/>
          <w:color w:val="auto"/>
          <w:sz w:val="28"/>
          <w:szCs w:val="28"/>
          <w:highlight w:val="none"/>
          <w:vertAlign w:val="baseline"/>
        </w:rPr>
        <w:t>单价随之调整</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w:t>
      </w:r>
      <w:r>
        <w:rPr>
          <w:rFonts w:hint="eastAsia" w:ascii="仿宋" w:hAnsi="仿宋" w:eastAsia="仿宋" w:cs="仿宋"/>
          <w:color w:val="auto"/>
          <w:sz w:val="28"/>
          <w:szCs w:val="28"/>
          <w:highlight w:val="none"/>
          <w:vertAlign w:val="baseline"/>
          <w:lang w:val="en-US" w:eastAsia="zh-CN"/>
        </w:rPr>
        <w:t>成本</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shd w:val="clear"/>
          <w:vertAlign w:val="baseline"/>
          <w:lang w:eastAsia="zh-CN"/>
        </w:rPr>
        <w:t>装卸费（</w:t>
      </w:r>
      <w:r>
        <w:rPr>
          <w:rFonts w:hint="eastAsia" w:ascii="仿宋" w:hAnsi="仿宋" w:eastAsia="仿宋" w:cs="仿宋"/>
          <w:color w:val="auto"/>
          <w:sz w:val="28"/>
          <w:szCs w:val="28"/>
          <w:highlight w:val="none"/>
          <w:shd w:val="clear"/>
          <w:vertAlign w:val="baseline"/>
          <w:lang w:val="en-US" w:eastAsia="zh-CN"/>
        </w:rPr>
        <w:t>产品由乙方负责装车，乙方负责将产品卸车并按甲方要求放置在运输车辆周边</w:t>
      </w:r>
      <w:r>
        <w:rPr>
          <w:rFonts w:hint="eastAsia" w:ascii="仿宋" w:hAnsi="仿宋" w:eastAsia="仿宋" w:cs="仿宋"/>
          <w:color w:val="FF0000"/>
          <w:sz w:val="28"/>
          <w:szCs w:val="28"/>
          <w:highlight w:val="none"/>
          <w:shd w:val="clear"/>
          <w:vertAlign w:val="baseline"/>
          <w:lang w:val="en-US" w:eastAsia="zh-CN"/>
        </w:rPr>
        <w:t>10米范围内</w:t>
      </w:r>
      <w:r>
        <w:rPr>
          <w:rFonts w:hint="eastAsia" w:ascii="仿宋" w:hAnsi="仿宋" w:eastAsia="仿宋" w:cs="仿宋"/>
          <w:color w:val="auto"/>
          <w:sz w:val="28"/>
          <w:szCs w:val="28"/>
          <w:highlight w:val="none"/>
          <w:shd w:val="clear"/>
          <w:vertAlign w:val="baseline"/>
          <w:lang w:eastAsia="zh-CN"/>
        </w:rPr>
        <w:t>）、</w:t>
      </w:r>
      <w:r>
        <w:rPr>
          <w:rFonts w:hint="eastAsia" w:ascii="仿宋" w:hAnsi="仿宋" w:eastAsia="仿宋" w:cs="仿宋"/>
          <w:b w:val="0"/>
          <w:bCs w:val="0"/>
          <w:color w:val="auto"/>
          <w:sz w:val="28"/>
          <w:szCs w:val="28"/>
          <w:highlight w:val="none"/>
          <w:u w:val="none"/>
          <w:shd w:val="clear"/>
          <w:vertAlign w:val="baseline"/>
          <w:lang w:val="en-US" w:eastAsia="zh-CN"/>
        </w:rPr>
        <w:t>免费提供</w:t>
      </w:r>
      <w:r>
        <w:rPr>
          <w:rFonts w:hint="eastAsia" w:ascii="仿宋" w:hAnsi="仿宋" w:eastAsia="仿宋" w:cs="仿宋"/>
          <w:color w:val="auto"/>
          <w:sz w:val="28"/>
          <w:szCs w:val="28"/>
          <w:highlight w:val="none"/>
          <w:u w:val="none"/>
          <w:shd w:val="clear"/>
          <w:vertAlign w:val="baseline"/>
          <w:lang w:val="en-US" w:eastAsia="zh-CN"/>
        </w:rPr>
        <w:t>检验检测所需产品（数量按使用地点送检取样要求）及检验检测费（产品移交甲方前的所有检验检测费用，检验检测须符合产品使用地点政府主管部门要求）、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shd w:val="clear"/>
          <w:vertAlign w:val="baseline"/>
        </w:rPr>
        <w:t>保险费、利</w:t>
      </w:r>
      <w:r>
        <w:rPr>
          <w:rFonts w:hint="eastAsia" w:ascii="仿宋" w:hAnsi="仿宋" w:eastAsia="仿宋" w:cs="仿宋"/>
          <w:color w:val="auto"/>
          <w:sz w:val="28"/>
          <w:szCs w:val="28"/>
          <w:highlight w:val="none"/>
          <w:shd w:val="clear"/>
          <w:vertAlign w:val="baseline"/>
        </w:rPr>
        <w:t>润、管理费、税金</w:t>
      </w:r>
      <w:r>
        <w:rPr>
          <w:rFonts w:hint="eastAsia" w:ascii="仿宋" w:hAnsi="仿宋" w:eastAsia="仿宋" w:cs="仿宋"/>
          <w:color w:val="auto"/>
          <w:sz w:val="28"/>
          <w:szCs w:val="28"/>
          <w:highlight w:val="none"/>
          <w:vertAlign w:val="baseline"/>
        </w:rPr>
        <w:t>等，含乙方承担合同义务、责任、风险的费用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合同</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eastAsia="zh-CN"/>
        </w:rPr>
        <w:t>作</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14:paraId="7E0A9D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kern w:val="2"/>
          <w:sz w:val="28"/>
          <w:szCs w:val="28"/>
          <w:highlight w:val="none"/>
          <w:u w:val="none"/>
          <w:lang w:val="en-US" w:eastAsia="zh-CN" w:bidi="ar-SA"/>
        </w:rPr>
        <w:t>1.2</w:t>
      </w:r>
      <w:r>
        <w:rPr>
          <w:rFonts w:hint="eastAsia" w:ascii="仿宋" w:hAnsi="仿宋" w:eastAsia="仿宋" w:cs="仿宋"/>
          <w:color w:val="auto"/>
          <w:sz w:val="28"/>
          <w:szCs w:val="28"/>
          <w:highlight w:val="none"/>
          <w:u w:val="none"/>
          <w:vertAlign w:val="baseline"/>
          <w:lang w:val="en-US" w:eastAsia="zh-CN"/>
        </w:rPr>
        <w:t>本合同约定的产品暂定</w:t>
      </w:r>
      <w:r>
        <w:rPr>
          <w:rFonts w:hint="eastAsia" w:ascii="仿宋" w:hAnsi="仿宋" w:eastAsia="仿宋" w:cs="仿宋"/>
          <w:color w:val="auto"/>
          <w:sz w:val="28"/>
          <w:szCs w:val="28"/>
          <w:highlight w:val="none"/>
          <w:u w:val="none"/>
          <w:vertAlign w:val="baseline"/>
          <w:lang w:eastAsia="zh-CN"/>
        </w:rPr>
        <w:t>数量仅作参考，不作为结算依据。</w:t>
      </w:r>
      <w:r>
        <w:rPr>
          <w:rFonts w:hint="eastAsia" w:ascii="仿宋" w:hAnsi="仿宋" w:eastAsia="仿宋" w:cs="仿宋"/>
          <w:color w:val="auto"/>
          <w:sz w:val="28"/>
          <w:szCs w:val="28"/>
          <w:highlight w:val="none"/>
          <w:vertAlign w:val="baseline"/>
          <w:lang w:eastAsia="zh-CN"/>
        </w:rPr>
        <w:t>乙方的送货数量、品牌、规格由甲方决定，乙方无条件配合，</w:t>
      </w:r>
      <w:r>
        <w:rPr>
          <w:rFonts w:hint="eastAsia" w:ascii="仿宋" w:hAnsi="仿宋" w:eastAsia="仿宋" w:cs="仿宋"/>
          <w:color w:val="auto"/>
          <w:sz w:val="28"/>
          <w:szCs w:val="28"/>
          <w:highlight w:val="none"/>
          <w:u w:val="none"/>
          <w:vertAlign w:val="baseline"/>
          <w:lang w:val="en-US" w:eastAsia="zh-CN"/>
        </w:rPr>
        <w:t>所需费用已含在合同单价内无需另计，</w:t>
      </w:r>
      <w:r>
        <w:rPr>
          <w:rFonts w:hint="eastAsia" w:ascii="仿宋" w:hAnsi="仿宋" w:eastAsia="仿宋" w:cs="仿宋"/>
          <w:color w:val="auto"/>
          <w:sz w:val="28"/>
          <w:szCs w:val="28"/>
          <w:highlight w:val="none"/>
          <w:vertAlign w:val="baseline"/>
          <w:lang w:eastAsia="zh-CN"/>
        </w:rPr>
        <w:t>否则甲方有权单方取消该批订单或解除本合同且不违约。乙方每次送货时须在送货单上注明该批产品的品牌、规格、数量，否则甲方有权自行决定该批产品的结算价格。产品购销数量按甲方实际接收并验收合格的产品数量结算。乙方必须按甲方要求现场办理签收单确认收货入库数量的签字手续，乙方逾期办理的视同乙方违约，按违约条款处理。</w:t>
      </w:r>
    </w:p>
    <w:p w14:paraId="060B20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kern w:val="2"/>
          <w:sz w:val="28"/>
          <w:szCs w:val="28"/>
          <w:highlight w:val="none"/>
          <w:u w:val="none"/>
          <w:lang w:val="en-US" w:eastAsia="zh-CN" w:bidi="ar-SA"/>
        </w:rPr>
        <w:t>1.3</w:t>
      </w:r>
      <w:r>
        <w:rPr>
          <w:rFonts w:hint="eastAsia" w:ascii="仿宋" w:hAnsi="仿宋" w:eastAsia="仿宋" w:cs="仿宋"/>
          <w:color w:val="auto"/>
          <w:sz w:val="28"/>
          <w:szCs w:val="28"/>
          <w:highlight w:val="none"/>
          <w:vertAlign w:val="baseline"/>
          <w:lang w:val="en-US" w:eastAsia="zh-CN"/>
        </w:rPr>
        <w:t>合同单价有效期为：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本合同生效之日起至本项目所需产品全部供应完毕为止。</w:t>
      </w:r>
    </w:p>
    <w:p w14:paraId="0053B0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jc w:val="left"/>
        <w:textAlignment w:val="auto"/>
        <w:rPr>
          <w:rFonts w:hint="eastAsia" w:ascii="仿宋" w:hAnsi="仿宋" w:eastAsia="仿宋" w:cs="仿宋"/>
          <w:b/>
          <w:bCs/>
          <w:color w:val="auto"/>
          <w:sz w:val="28"/>
          <w:szCs w:val="28"/>
          <w:highlight w:val="none"/>
          <w:u w:val="single"/>
          <w:vertAlign w:val="baseline"/>
          <w:lang w:val="en-US" w:eastAsia="zh-CN"/>
        </w:rPr>
      </w:pPr>
      <w:bookmarkStart w:id="54" w:name="_Toc13709"/>
      <w:r>
        <w:rPr>
          <w:rFonts w:hint="eastAsia" w:ascii="仿宋" w:hAnsi="仿宋" w:eastAsia="仿宋" w:cs="仿宋"/>
          <w:b/>
          <w:bCs/>
          <w:color w:val="auto"/>
          <w:sz w:val="28"/>
          <w:szCs w:val="28"/>
          <w:highlight w:val="none"/>
          <w:u w:val="none"/>
          <w:vertAlign w:val="baseline"/>
          <w:lang w:val="en-US" w:eastAsia="zh-CN"/>
        </w:rPr>
        <w:t>1.4其他要求</w:t>
      </w:r>
    </w:p>
    <w:p w14:paraId="3FA0CD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1.4.1产品质量标准：产品单片尺寸为45</w:t>
      </w:r>
      <w:r>
        <w:rPr>
          <w:rFonts w:hint="default" w:ascii="Arial" w:hAnsi="Arial" w:eastAsia="仿宋" w:cs="Arial"/>
          <w:color w:val="auto"/>
          <w:sz w:val="28"/>
          <w:szCs w:val="28"/>
          <w:highlight w:val="none"/>
          <w:u w:val="single"/>
          <w:vertAlign w:val="baseline"/>
          <w:lang w:val="en-US" w:eastAsia="zh-CN"/>
        </w:rPr>
        <w:t>×</w:t>
      </w:r>
      <w:r>
        <w:rPr>
          <w:rFonts w:hint="eastAsia" w:ascii="仿宋" w:hAnsi="仿宋" w:eastAsia="仿宋" w:cs="仿宋"/>
          <w:color w:val="auto"/>
          <w:sz w:val="28"/>
          <w:szCs w:val="28"/>
          <w:highlight w:val="none"/>
          <w:u w:val="single"/>
          <w:vertAlign w:val="baseline"/>
          <w:lang w:val="en-US" w:eastAsia="zh-CN"/>
        </w:rPr>
        <w:t>95mm，厚度不小于5mm，18片/贴，11贴/m²，22贴/箱。产品表面平整，边缘整齐，棱角不得损坏，表面光洁，质地坚固，尺寸、色泽一致，无裂缝夹心和缺釉现象，无暗痕和裂纹，燃烧性能为A级，质量等级为合格品。乙方承诺本合同所有地块产品供货规格、颜色统一一致。</w:t>
      </w:r>
    </w:p>
    <w:p w14:paraId="5624E7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1.4.2样品确认：</w:t>
      </w:r>
    </w:p>
    <w:p w14:paraId="6DEF4A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本合同签订前，乙方已向甲方提供经甲方确认的实物样品并封存于甲方，该样品作为本合同不可分割的组成部分，甲方将依据该样品进行收货验收。</w:t>
      </w:r>
    </w:p>
    <w:p w14:paraId="43D002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1.4.3验收标准：</w:t>
      </w:r>
    </w:p>
    <w:p w14:paraId="5B641F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产品应与封存样品在规格、尺寸、颜色、纹理、光泽度等外观特征及物理性能上保持完全一致且不低于本合同的文字约定；</w:t>
      </w:r>
    </w:p>
    <w:p w14:paraId="39641B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产品色差控制在甲方认可的范围内。</w:t>
      </w:r>
    </w:p>
    <w:p w14:paraId="513BF8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1.4.4不合格产品的处理：</w:t>
      </w:r>
    </w:p>
    <w:p w14:paraId="364908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如产品与样品不一致或不符合本合同其他约定，甲方有权拒收；</w:t>
      </w:r>
    </w:p>
    <w:p w14:paraId="3ECBA6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乙方应在收到甲方书面通知后15个日历天内完成退换货，并承担因此产生的全部费用；</w:t>
      </w:r>
    </w:p>
    <w:p w14:paraId="3687C0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如因产品质量或供货延迟问题导致甲方工期延误，每延误一天，乙方按合同暂定总价的1%向甲方支付违约金。</w:t>
      </w:r>
    </w:p>
    <w:p w14:paraId="614BDB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1.4.5其他约定：</w:t>
      </w:r>
    </w:p>
    <w:p w14:paraId="0ED172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乙方应随货提供产品质量合格证、出厂检验报告、防火性能检测报告、产品说明书及批次一致的色号标识；</w:t>
      </w:r>
    </w:p>
    <w:p w14:paraId="2BE5E1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default"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产品包装应完好无损，并标注生产批次、生产日期、色号等信息，便于验收核对；每批产品到达交货地点后双方立即开箱进行外观签收，每种颜色的产品开箱数量不少于3箱/批；</w:t>
      </w:r>
    </w:p>
    <w:p w14:paraId="372CAD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甲方保留在产品投入使用前进行复检的权利，如发现潜在质量问题，仍可追究乙方责任。</w:t>
      </w:r>
    </w:p>
    <w:p w14:paraId="78EFEE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single"/>
          <w:vertAlign w:val="baseline"/>
          <w:lang w:val="en-US" w:eastAsia="zh-CN"/>
        </w:rPr>
        <w:t>乙方保证其产品适用于本项目所在地的气候环境（特别是抗冻、耐温差、耐紫外线等），且与甲方所用的粘结剂、勾缝剂兼容。若因产品固有缺陷导致任何质量问题，乙方承担全部责任。</w:t>
      </w:r>
    </w:p>
    <w:p w14:paraId="30542E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none"/>
          <w:shd w:val="clear" w:color="auto" w:fill="auto"/>
          <w:vertAlign w:val="baseline"/>
          <w:lang w:val="en-US" w:eastAsia="zh-CN"/>
        </w:rPr>
      </w:pPr>
      <w:r>
        <w:rPr>
          <w:rFonts w:hint="eastAsia" w:ascii="仿宋" w:hAnsi="仿宋" w:eastAsia="仿宋" w:cs="仿宋"/>
          <w:color w:val="auto"/>
          <w:sz w:val="28"/>
          <w:szCs w:val="28"/>
          <w:highlight w:val="none"/>
          <w:u w:val="none"/>
          <w:shd w:val="clear" w:color="auto" w:fill="auto"/>
          <w:vertAlign w:val="baseline"/>
          <w:lang w:val="en-US" w:eastAsia="zh-CN"/>
        </w:rPr>
        <w:t>1.5本合同约定的产品“暂定数量”仅供参考，不是必须订货数量及送货数量，实际订货数量以实际送货并按本合同约定的甲方合同执行联系人及甲方签收人等书面签名的材料验收单、签收单等依据计算。</w:t>
      </w:r>
    </w:p>
    <w:p w14:paraId="03796D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none"/>
          <w:shd w:val="clear" w:color="auto" w:fill="auto"/>
          <w:vertAlign w:val="baseline"/>
          <w:lang w:val="en-US" w:eastAsia="zh-CN"/>
        </w:rPr>
      </w:pPr>
      <w:r>
        <w:rPr>
          <w:rFonts w:hint="eastAsia" w:ascii="仿宋" w:hAnsi="仿宋" w:eastAsia="仿宋" w:cs="仿宋"/>
          <w:color w:val="auto"/>
          <w:sz w:val="28"/>
          <w:szCs w:val="28"/>
          <w:highlight w:val="none"/>
          <w:u w:val="none"/>
          <w:shd w:val="clear" w:color="auto" w:fill="auto"/>
          <w:vertAlign w:val="baseline"/>
          <w:lang w:val="en-US" w:eastAsia="zh-CN"/>
        </w:rPr>
        <w:t>1.6合同单价已包含多种保险费用，乙方不得另计保险而向甲方索取费用。</w:t>
      </w:r>
    </w:p>
    <w:p w14:paraId="53B11E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none"/>
          <w:shd w:val="clear" w:color="auto" w:fill="auto"/>
          <w:vertAlign w:val="baseline"/>
          <w:lang w:val="en-US" w:eastAsia="zh-CN"/>
        </w:rPr>
      </w:pPr>
      <w:r>
        <w:rPr>
          <w:rFonts w:hint="eastAsia" w:ascii="仿宋" w:hAnsi="仿宋" w:eastAsia="仿宋" w:cs="仿宋"/>
          <w:color w:val="auto"/>
          <w:sz w:val="28"/>
          <w:szCs w:val="28"/>
          <w:highlight w:val="none"/>
          <w:u w:val="none"/>
          <w:shd w:val="clear" w:color="auto" w:fill="auto"/>
          <w:vertAlign w:val="baseline"/>
          <w:lang w:val="en-US" w:eastAsia="zh-CN"/>
        </w:rPr>
        <w:t>1.7甲方或使用单位在产品使用过程中遇到的问题，乙方须随时提供电话答疑。凡与产品相关联的问题都属于答疑范围，所需费用已包含在合同单价中，不另计费。</w:t>
      </w:r>
    </w:p>
    <w:p w14:paraId="2CF779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u w:val="none"/>
          <w:shd w:val="clear" w:color="auto" w:fill="auto"/>
          <w:vertAlign w:val="baseline"/>
          <w:lang w:val="en-US" w:eastAsia="zh-CN"/>
        </w:rPr>
      </w:pPr>
      <w:r>
        <w:rPr>
          <w:rFonts w:hint="eastAsia" w:ascii="仿宋" w:hAnsi="仿宋" w:eastAsia="仿宋" w:cs="仿宋"/>
          <w:color w:val="auto"/>
          <w:sz w:val="28"/>
          <w:szCs w:val="28"/>
          <w:highlight w:val="none"/>
          <w:u w:val="none"/>
          <w:shd w:val="clear" w:color="auto" w:fill="auto"/>
          <w:vertAlign w:val="baseline"/>
          <w:lang w:val="en-US" w:eastAsia="zh-CN"/>
        </w:rPr>
        <w:t>1.8根据产品暂定数量计算，合同暂定总价为人民币</w:t>
      </w:r>
      <w:r>
        <w:rPr>
          <w:rFonts w:hint="eastAsia" w:ascii="仿宋" w:hAnsi="仿宋" w:eastAsia="仿宋" w:cs="仿宋"/>
          <w:color w:val="auto"/>
          <w:sz w:val="28"/>
          <w:szCs w:val="28"/>
          <w:highlight w:val="none"/>
          <w:u w:val="single"/>
          <w:shd w:val="clear" w:color="auto" w:fill="auto"/>
          <w:vertAlign w:val="baseline"/>
          <w:lang w:val="en-US" w:eastAsia="zh-CN"/>
        </w:rPr>
        <w:t xml:space="preserve">     </w:t>
      </w:r>
      <w:r>
        <w:rPr>
          <w:rFonts w:hint="eastAsia" w:ascii="仿宋" w:hAnsi="仿宋" w:eastAsia="仿宋" w:cs="仿宋"/>
          <w:color w:val="auto"/>
          <w:sz w:val="28"/>
          <w:szCs w:val="28"/>
          <w:highlight w:val="none"/>
          <w:u w:val="none"/>
          <w:shd w:val="clear" w:color="auto" w:fill="auto"/>
          <w:vertAlign w:val="baseline"/>
          <w:lang w:val="en-US" w:eastAsia="zh-CN"/>
        </w:rPr>
        <w:t>元，其中不含税暂定总价为人民币</w:t>
      </w:r>
      <w:r>
        <w:rPr>
          <w:rFonts w:hint="eastAsia" w:ascii="仿宋" w:hAnsi="仿宋" w:eastAsia="仿宋" w:cs="仿宋"/>
          <w:color w:val="auto"/>
          <w:sz w:val="28"/>
          <w:szCs w:val="28"/>
          <w:highlight w:val="none"/>
          <w:u w:val="single"/>
          <w:shd w:val="clear" w:color="auto" w:fill="auto"/>
          <w:vertAlign w:val="baseline"/>
          <w:lang w:val="en-US" w:eastAsia="zh-CN"/>
        </w:rPr>
        <w:t xml:space="preserve">     </w:t>
      </w:r>
      <w:r>
        <w:rPr>
          <w:rFonts w:hint="eastAsia" w:ascii="仿宋" w:hAnsi="仿宋" w:eastAsia="仿宋" w:cs="仿宋"/>
          <w:color w:val="auto"/>
          <w:sz w:val="28"/>
          <w:szCs w:val="28"/>
          <w:highlight w:val="none"/>
          <w:u w:val="none"/>
          <w:shd w:val="clear" w:color="auto" w:fill="auto"/>
          <w:vertAlign w:val="baseline"/>
          <w:lang w:val="en-US" w:eastAsia="zh-CN"/>
        </w:rPr>
        <w:t>元，增值税税金为人民币</w:t>
      </w:r>
      <w:r>
        <w:rPr>
          <w:rFonts w:hint="eastAsia" w:ascii="仿宋" w:hAnsi="仿宋" w:eastAsia="仿宋" w:cs="仿宋"/>
          <w:color w:val="auto"/>
          <w:sz w:val="28"/>
          <w:szCs w:val="28"/>
          <w:highlight w:val="none"/>
          <w:u w:val="single"/>
          <w:shd w:val="clear" w:color="auto" w:fill="auto"/>
          <w:vertAlign w:val="baseline"/>
          <w:lang w:val="en-US" w:eastAsia="zh-CN"/>
        </w:rPr>
        <w:t xml:space="preserve">     </w:t>
      </w:r>
      <w:r>
        <w:rPr>
          <w:rFonts w:hint="eastAsia" w:ascii="仿宋" w:hAnsi="仿宋" w:eastAsia="仿宋" w:cs="仿宋"/>
          <w:color w:val="auto"/>
          <w:sz w:val="28"/>
          <w:szCs w:val="28"/>
          <w:highlight w:val="none"/>
          <w:u w:val="none"/>
          <w:shd w:val="clear" w:color="auto" w:fill="auto"/>
          <w:vertAlign w:val="baseline"/>
          <w:lang w:val="en-US" w:eastAsia="zh-CN"/>
        </w:rPr>
        <w:t>元。合同暂定总价仅供参考，不作结算用途。</w:t>
      </w:r>
    </w:p>
    <w:p w14:paraId="0C307FE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highlight w:val="none"/>
          <w:lang w:val="en-US" w:eastAsia="zh-CN"/>
        </w:rPr>
      </w:pPr>
      <w:bookmarkStart w:id="55" w:name="_Toc26857"/>
      <w:bookmarkStart w:id="56" w:name="_Toc20306"/>
      <w:bookmarkStart w:id="57" w:name="_Toc3912"/>
      <w:bookmarkStart w:id="58" w:name="_Toc19171"/>
      <w:r>
        <w:rPr>
          <w:rFonts w:hint="eastAsia" w:ascii="仿宋" w:hAnsi="仿宋" w:eastAsia="仿宋" w:cs="仿宋"/>
          <w:b/>
          <w:bCs/>
          <w:color w:val="auto"/>
          <w:sz w:val="28"/>
          <w:highlight w:val="none"/>
          <w:lang w:val="en-US" w:eastAsia="zh-CN"/>
        </w:rPr>
        <w:t>付款方式</w:t>
      </w:r>
      <w:bookmarkEnd w:id="55"/>
      <w:bookmarkEnd w:id="56"/>
      <w:bookmarkEnd w:id="57"/>
      <w:bookmarkEnd w:id="58"/>
    </w:p>
    <w:p w14:paraId="303859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1"/>
        <w:rPr>
          <w:rFonts w:hint="eastAsia" w:ascii="仿宋" w:hAnsi="仿宋" w:eastAsia="仿宋" w:cs="仿宋"/>
          <w:color w:val="auto"/>
          <w:sz w:val="28"/>
          <w:highlight w:val="none"/>
          <w:u w:val="none"/>
          <w:lang w:val="en-US" w:eastAsia="zh-CN"/>
        </w:rPr>
      </w:pPr>
      <w:bookmarkStart w:id="59" w:name="_Toc8407"/>
      <w:bookmarkStart w:id="60" w:name="_Toc17152"/>
      <w:bookmarkStart w:id="61" w:name="_Toc20418"/>
      <w:bookmarkStart w:id="62" w:name="_Toc756"/>
      <w:bookmarkStart w:id="63" w:name="_Toc17058"/>
      <w:bookmarkStart w:id="64" w:name="_Toc24559"/>
      <w:bookmarkStart w:id="65" w:name="_Toc5520"/>
      <w:bookmarkStart w:id="66" w:name="_Toc26371"/>
      <w:bookmarkStart w:id="67" w:name="_Toc25652"/>
      <w:bookmarkStart w:id="68" w:name="_Toc10191"/>
      <w:bookmarkStart w:id="69" w:name="_Toc135"/>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b w:val="0"/>
          <w:bCs w:val="0"/>
          <w:color w:val="auto"/>
          <w:kern w:val="2"/>
          <w:sz w:val="28"/>
          <w:szCs w:val="28"/>
          <w:highlight w:val="none"/>
          <w:u w:val="none"/>
          <w:lang w:val="en-US" w:eastAsia="zh-CN" w:bidi="ar-SA"/>
        </w:rPr>
        <w:t>方式</w:t>
      </w:r>
      <w:r>
        <w:rPr>
          <w:rFonts w:hint="eastAsia" w:ascii="仿宋" w:hAnsi="仿宋" w:eastAsia="仿宋" w:cs="仿宋"/>
          <w:color w:val="auto"/>
          <w:sz w:val="28"/>
          <w:highlight w:val="none"/>
          <w:u w:val="none"/>
          <w:lang w:val="en-US" w:eastAsia="zh-CN"/>
        </w:rPr>
        <w:t>一</w:t>
      </w:r>
      <w:bookmarkEnd w:id="59"/>
      <w:bookmarkEnd w:id="60"/>
      <w:bookmarkEnd w:id="61"/>
      <w:bookmarkEnd w:id="62"/>
      <w:bookmarkEnd w:id="63"/>
      <w:bookmarkEnd w:id="64"/>
      <w:bookmarkEnd w:id="65"/>
      <w:bookmarkEnd w:id="66"/>
      <w:bookmarkEnd w:id="67"/>
      <w:bookmarkEnd w:id="68"/>
      <w:bookmarkEnd w:id="69"/>
    </w:p>
    <w:p w14:paraId="78B38E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1"/>
        <w:rPr>
          <w:rFonts w:hint="eastAsia" w:ascii="仿宋" w:hAnsi="仿宋" w:eastAsia="仿宋" w:cs="仿宋"/>
          <w:color w:val="auto"/>
          <w:sz w:val="28"/>
          <w:highlight w:val="none"/>
          <w:u w:val="none"/>
          <w:lang w:val="en-US" w:eastAsia="zh-CN"/>
        </w:rPr>
      </w:pPr>
      <w:bookmarkStart w:id="70" w:name="_Toc24828"/>
      <w:r>
        <w:rPr>
          <w:rFonts w:hint="eastAsia" w:ascii="仿宋" w:hAnsi="仿宋" w:eastAsia="仿宋" w:cs="仿宋"/>
          <w:color w:val="auto"/>
          <w:sz w:val="28"/>
          <w:highlight w:val="none"/>
          <w:u w:val="none"/>
          <w:lang w:val="en-US" w:eastAsia="zh-CN"/>
        </w:rPr>
        <w:t>2.1当批次产品到齐甲方指定交货地点经甲方形式验收合格并移交甲方后，</w:t>
      </w:r>
      <w:r>
        <w:rPr>
          <w:rFonts w:hint="eastAsia" w:ascii="仿宋" w:hAnsi="仿宋" w:eastAsia="仿宋" w:cs="仿宋"/>
          <w:color w:val="auto"/>
          <w:sz w:val="28"/>
          <w:highlight w:val="none"/>
          <w:u w:val="none"/>
          <w:shd w:val="clear" w:color="auto" w:fill="auto"/>
          <w:lang w:val="en-US" w:eastAsia="zh-CN"/>
        </w:rPr>
        <w:t>乙方</w:t>
      </w:r>
      <w:r>
        <w:rPr>
          <w:rFonts w:hint="eastAsia" w:ascii="仿宋" w:hAnsi="仿宋" w:eastAsia="仿宋" w:cs="仿宋"/>
          <w:color w:val="auto"/>
          <w:sz w:val="28"/>
          <w:highlight w:val="none"/>
          <w:u w:val="none"/>
          <w:lang w:val="en-US" w:eastAsia="zh-CN"/>
        </w:rPr>
        <w:t>须将送货单、签收单、对账单等甲方要求的相关对账资料原件交齐给甲方材料员。甲方收齐金额等于结算款全额的发票等相关资料后付至合同结算总价的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w:t>
      </w:r>
      <w:bookmarkEnd w:id="70"/>
    </w:p>
    <w:p w14:paraId="4ABEF3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1"/>
        <w:rPr>
          <w:rFonts w:hint="eastAsia" w:ascii="仿宋" w:hAnsi="仿宋" w:eastAsia="仿宋" w:cs="仿宋"/>
          <w:color w:val="auto"/>
          <w:sz w:val="28"/>
          <w:highlight w:val="none"/>
          <w:u w:val="none"/>
          <w:lang w:val="en-US" w:eastAsia="zh-CN"/>
        </w:rPr>
      </w:pPr>
      <w:bookmarkStart w:id="71" w:name="_Toc4492"/>
      <w:r>
        <w:rPr>
          <w:rFonts w:hint="eastAsia" w:ascii="仿宋" w:hAnsi="仿宋" w:eastAsia="仿宋" w:cs="仿宋"/>
          <w:color w:val="auto"/>
          <w:sz w:val="28"/>
          <w:highlight w:val="none"/>
          <w:u w:val="none"/>
          <w:lang w:val="en-US" w:eastAsia="zh-CN"/>
        </w:rPr>
        <w:t>2.2合同结算总价的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%作为产品质量保证金，质量保证期满且乙方取得“保修合格证明”后，双方无息结清质量保证金。</w:t>
      </w:r>
      <w:bookmarkEnd w:id="71"/>
    </w:p>
    <w:p w14:paraId="787BD1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1"/>
        <w:rPr>
          <w:rFonts w:hint="eastAsia" w:ascii="仿宋" w:hAnsi="仿宋" w:eastAsia="仿宋" w:cs="仿宋"/>
          <w:color w:val="auto"/>
          <w:sz w:val="28"/>
          <w:highlight w:val="none"/>
          <w:u w:val="none"/>
          <w:lang w:val="en-US" w:eastAsia="zh-CN"/>
        </w:rPr>
      </w:pPr>
      <w:bookmarkStart w:id="72" w:name="_Toc30745"/>
      <w:bookmarkStart w:id="73" w:name="_Toc10448"/>
      <w:bookmarkStart w:id="74" w:name="_Toc22783"/>
      <w:bookmarkStart w:id="75" w:name="_Toc17257"/>
      <w:bookmarkStart w:id="76" w:name="_Toc32478"/>
      <w:bookmarkStart w:id="77" w:name="_Toc16258"/>
      <w:bookmarkStart w:id="78" w:name="_Toc22655"/>
      <w:bookmarkStart w:id="79" w:name="_Toc25667"/>
      <w:bookmarkStart w:id="80" w:name="_Toc31672"/>
      <w:bookmarkStart w:id="81" w:name="_Toc12593"/>
      <w:bookmarkStart w:id="82" w:name="_Toc26849"/>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方式</w:t>
      </w:r>
      <w:r>
        <w:rPr>
          <w:rFonts w:hint="eastAsia" w:ascii="仿宋" w:hAnsi="仿宋" w:eastAsia="仿宋" w:cs="仿宋"/>
          <w:color w:val="auto"/>
          <w:sz w:val="28"/>
          <w:highlight w:val="none"/>
          <w:u w:val="none"/>
          <w:lang w:val="en-US" w:eastAsia="zh-CN"/>
        </w:rPr>
        <w:t>二</w:t>
      </w:r>
      <w:bookmarkEnd w:id="72"/>
      <w:bookmarkEnd w:id="73"/>
      <w:bookmarkEnd w:id="74"/>
      <w:bookmarkEnd w:id="75"/>
      <w:bookmarkEnd w:id="76"/>
      <w:bookmarkEnd w:id="77"/>
      <w:bookmarkEnd w:id="78"/>
      <w:bookmarkEnd w:id="79"/>
      <w:bookmarkEnd w:id="80"/>
      <w:bookmarkEnd w:id="81"/>
      <w:bookmarkEnd w:id="82"/>
    </w:p>
    <w:p w14:paraId="7CC8D4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1"/>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乙方按合同约定的时间交齐上月产品给甲方，且通过甲方的表观验收后，该月货款的97%在下月支付，具体为：乙方按合同约定的时间交齐上月货款对账资料，与甲方完成对账且提供金额与对账金额一致的发票给甲方后，甲方支付上月货款的97%，上月货款的3%作为产品质量保证金，质量保证期满且乙方取得“保修合格证明”后，双方无息结清质量保证金。乙方逾期交齐对账资料或完成对账的，付款日期顺延至货款完成对账月份的下月底前。</w:t>
      </w:r>
    </w:p>
    <w:p w14:paraId="580CC4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1"/>
        <w:rPr>
          <w:rFonts w:hint="eastAsia" w:ascii="仿宋" w:hAnsi="仿宋" w:eastAsia="仿宋" w:cs="仿宋"/>
          <w:color w:val="auto"/>
          <w:sz w:val="28"/>
          <w:highlight w:val="none"/>
          <w:u w:val="none"/>
          <w:lang w:val="en-US" w:eastAsia="zh-CN"/>
        </w:rPr>
      </w:pPr>
      <w:bookmarkStart w:id="83" w:name="_Toc5731"/>
      <w:r>
        <w:rPr>
          <w:rFonts w:hint="eastAsia" w:ascii="仿宋" w:hAnsi="仿宋" w:eastAsia="仿宋" w:cs="仿宋"/>
          <w:color w:val="auto"/>
          <w:sz w:val="28"/>
          <w:highlight w:val="none"/>
          <w:u w:val="none"/>
          <w:lang w:val="en-US" w:eastAsia="zh-CN"/>
        </w:rPr>
        <w:t>2.2</w:t>
      </w:r>
      <w:bookmarkEnd w:id="83"/>
      <w:r>
        <w:rPr>
          <w:rFonts w:hint="eastAsia" w:ascii="仿宋" w:hAnsi="仿宋" w:eastAsia="仿宋" w:cs="仿宋"/>
          <w:color w:val="auto"/>
          <w:sz w:val="28"/>
          <w:highlight w:val="none"/>
          <w:u w:val="none"/>
          <w:lang w:val="en-US" w:eastAsia="zh-CN"/>
        </w:rPr>
        <w:t>对账日期为每月3日至每月8日。乙方在每月3日前一次性交齐上月供货产品的对账资料至甲方项目部，双方在每月8日前（遇节假日则顺延）完成对账，如乙方逾期交齐对账资料，则对账日期顺延至次月的3日至8日。次月乙方对账还须提供“延迟付款声明函”（格式详见附件）给甲方，以此类推。(例：乙方在6月3日前交齐5月份货款的对账资料给甲方项目部并在6月8日完成对账且提供金额与对账金额一致的发票给甲方的，则甲方在6月30日前支付5月份货款的97%，余款作为质量保证金；若乙方6月4日（或更迟）交齐5月份货款的对账资料给甲方，则5月份货款的对账时间顺延至7月3日至8日，付款时间顺延至7月31日前，以此类推。)</w:t>
      </w:r>
    </w:p>
    <w:p w14:paraId="4D233B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1"/>
        <w:rPr>
          <w:rFonts w:hint="eastAsia" w:ascii="仿宋" w:hAnsi="仿宋" w:eastAsia="仿宋" w:cs="仿宋"/>
          <w:color w:val="auto"/>
          <w:sz w:val="28"/>
          <w:highlight w:val="none"/>
          <w:u w:val="none"/>
          <w:lang w:val="en-US" w:eastAsia="zh-CN"/>
        </w:rPr>
      </w:pPr>
      <w:bookmarkStart w:id="84" w:name="_Toc928"/>
      <w:r>
        <w:rPr>
          <w:rFonts w:hint="eastAsia" w:ascii="仿宋" w:hAnsi="仿宋" w:eastAsia="仿宋" w:cs="仿宋"/>
          <w:color w:val="auto"/>
          <w:sz w:val="28"/>
          <w:highlight w:val="none"/>
          <w:u w:val="none"/>
          <w:lang w:val="en-US" w:eastAsia="zh-CN"/>
        </w:rPr>
        <w:t>2.3合同履约保证金及违约责任</w:t>
      </w:r>
    </w:p>
    <w:p w14:paraId="0A325A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1"/>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2.3.1本合同履约保证金为人民币</w:t>
      </w:r>
      <w:r>
        <w:rPr>
          <w:rFonts w:hint="eastAsia" w:ascii="仿宋" w:hAnsi="仿宋" w:eastAsia="仿宋" w:cs="仿宋"/>
          <w:b/>
          <w:bCs/>
          <w:color w:val="auto"/>
          <w:sz w:val="28"/>
          <w:highlight w:val="none"/>
          <w:u w:val="single"/>
          <w:lang w:val="en-US" w:eastAsia="zh-CN"/>
        </w:rPr>
        <w:t xml:space="preserve"> 伍仟 </w:t>
      </w:r>
      <w:r>
        <w:rPr>
          <w:rFonts w:hint="eastAsia" w:ascii="仿宋" w:hAnsi="仿宋" w:eastAsia="仿宋" w:cs="仿宋"/>
          <w:b/>
          <w:bCs/>
          <w:color w:val="auto"/>
          <w:sz w:val="28"/>
          <w:highlight w:val="none"/>
          <w:u w:val="none"/>
          <w:lang w:val="en-US" w:eastAsia="zh-CN"/>
        </w:rPr>
        <w:t>元整</w:t>
      </w:r>
      <w:r>
        <w:rPr>
          <w:rFonts w:hint="eastAsia" w:ascii="仿宋" w:hAnsi="仿宋" w:eastAsia="仿宋" w:cs="仿宋"/>
          <w:color w:val="auto"/>
          <w:sz w:val="28"/>
          <w:highlight w:val="none"/>
          <w:u w:val="none"/>
          <w:lang w:val="en-US" w:eastAsia="zh-CN"/>
        </w:rPr>
        <w:t>（由乙方的投标保证金无息转成），此履约保证金与甲乙双方签订的下述合同共用：</w:t>
      </w:r>
    </w:p>
    <w:p w14:paraId="05E6C0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1"/>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①玉林(福绵)节能环保产业园南部工业供水厂建设项目(二期5万吨/天)外墙砖购销合同；</w:t>
      </w:r>
    </w:p>
    <w:p w14:paraId="551C70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1"/>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②玉林（福绵）节能环保产业园南部污水处理厂及中水回用设施建设项目（一期二标段5万吨/天）外墙砖购销合同。</w:t>
      </w:r>
    </w:p>
    <w:p w14:paraId="07D2F7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1"/>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2.3.2乙方履行上述任一合同出现违约情形时，甲方有权从本合同履约保证金内提取相应款项作为违约金（若履约保证金不足，乙方须自甲方要求之日起十天内向甲方补足）。如乙方原因致使上述任一合同无法履行，本合同履约保证金全额不予返还，且甲方有权立即单方解除上述合同，乙方须承担因此产生的一切法律后果及赔偿甲方所有的经济损失。如乙方在合同履行期间无违约行为，则上述最晚进行首次交货的合同完成首批产品收货、验收合格后，甲方无息原路退回剩余的履约保证金。</w:t>
      </w:r>
    </w:p>
    <w:p w14:paraId="1F0D00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1"/>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lang w:val="en-US" w:eastAsia="zh-CN"/>
        </w:rPr>
        <w:t>2.3.3乙方履行上述任一合同出现违约情形时，甲方可从本合同的合同款中扣款作为被违约合同的违约金给甲方。当甲方单方终止上述任一合同时，甲方有权同时单方终止本合同，由此产生的所有损失和后果由乙方承担。</w:t>
      </w:r>
      <w:r>
        <w:rPr>
          <w:rFonts w:hint="eastAsia" w:ascii="仿宋" w:hAnsi="仿宋" w:eastAsia="仿宋" w:cs="仿宋"/>
          <w:color w:val="auto"/>
          <w:sz w:val="28"/>
          <w:szCs w:val="28"/>
          <w:highlight w:val="none"/>
          <w:u w:val="none"/>
          <w:lang w:val="en-US" w:eastAsia="zh-CN"/>
        </w:rPr>
        <w:t>。</w:t>
      </w:r>
      <w:bookmarkEnd w:id="84"/>
    </w:p>
    <w:p w14:paraId="0A293FF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outlineLvl w:val="1"/>
        <w:rPr>
          <w:rFonts w:hint="default" w:ascii="仿宋" w:hAnsi="仿宋" w:eastAsia="仿宋" w:cs="仿宋"/>
          <w:b/>
          <w:bCs/>
          <w:color w:val="auto"/>
          <w:sz w:val="28"/>
          <w:highlight w:val="none"/>
          <w:lang w:val="en-US" w:eastAsia="zh-CN"/>
        </w:rPr>
      </w:pPr>
      <w:bookmarkStart w:id="85" w:name="_Toc22715"/>
      <w:bookmarkStart w:id="86" w:name="_Toc11935"/>
      <w:r>
        <w:rPr>
          <w:rFonts w:hint="eastAsia" w:ascii="仿宋" w:hAnsi="仿宋" w:eastAsia="仿宋" w:cs="仿宋"/>
          <w:b/>
          <w:bCs/>
          <w:color w:val="auto"/>
          <w:sz w:val="28"/>
          <w:highlight w:val="none"/>
          <w:lang w:val="en-US" w:eastAsia="zh-CN"/>
        </w:rPr>
        <w:t>生产、交货</w:t>
      </w:r>
      <w:bookmarkEnd w:id="85"/>
      <w:bookmarkEnd w:id="86"/>
    </w:p>
    <w:p w14:paraId="07C213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singl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3.1交货地点：</w:t>
      </w:r>
      <w:r>
        <w:rPr>
          <w:rFonts w:hint="eastAsia" w:ascii="仿宋" w:hAnsi="仿宋" w:eastAsia="仿宋" w:cs="仿宋"/>
          <w:color w:val="auto"/>
          <w:sz w:val="28"/>
          <w:highlight w:val="none"/>
          <w:u w:val="single"/>
          <w:shd w:val="clear" w:color="auto" w:fill="auto"/>
          <w:lang w:val="en-US" w:eastAsia="zh-CN"/>
        </w:rPr>
        <w:t>广西玉林市福绵区玉林(福绵)节能环保产业园甲方指定地点。</w:t>
      </w:r>
    </w:p>
    <w:p w14:paraId="33563C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3.2生产期限：</w:t>
      </w:r>
      <w:r>
        <w:rPr>
          <w:rFonts w:hint="eastAsia" w:ascii="仿宋" w:hAnsi="仿宋" w:eastAsia="仿宋" w:cs="仿宋"/>
          <w:color w:val="auto"/>
          <w:sz w:val="28"/>
          <w:highlight w:val="none"/>
          <w:u w:val="none"/>
          <w:shd w:val="clear" w:color="auto" w:fill="auto"/>
        </w:rPr>
        <w:t>甲方根据工程进度以生产订单</w:t>
      </w:r>
      <w:r>
        <w:rPr>
          <w:rFonts w:hint="eastAsia" w:ascii="仿宋" w:hAnsi="仿宋" w:eastAsia="仿宋" w:cs="仿宋"/>
          <w:color w:val="auto"/>
          <w:sz w:val="28"/>
          <w:highlight w:val="none"/>
          <w:u w:val="none"/>
          <w:shd w:val="clear" w:color="auto" w:fill="auto"/>
          <w:lang w:val="en-US" w:eastAsia="zh-CN"/>
        </w:rPr>
        <w:t>的</w:t>
      </w:r>
      <w:r>
        <w:rPr>
          <w:rFonts w:hint="eastAsia" w:ascii="仿宋" w:hAnsi="仿宋" w:eastAsia="仿宋" w:cs="仿宋"/>
          <w:color w:val="auto"/>
          <w:sz w:val="28"/>
          <w:highlight w:val="none"/>
          <w:u w:val="none"/>
          <w:shd w:val="clear" w:color="auto" w:fill="auto"/>
        </w:rPr>
        <w:t>形式向乙方下达生产指令，乙方在甲方发出生产订单</w:t>
      </w:r>
      <w:r>
        <w:rPr>
          <w:rFonts w:hint="eastAsia" w:ascii="仿宋" w:hAnsi="仿宋" w:eastAsia="仿宋" w:cs="仿宋"/>
          <w:color w:val="auto"/>
          <w:sz w:val="28"/>
          <w:highlight w:val="none"/>
          <w:u w:val="none"/>
          <w:shd w:val="clear" w:color="auto" w:fill="auto"/>
          <w:lang w:val="en-US" w:eastAsia="zh-CN"/>
        </w:rPr>
        <w:t>之日起</w:t>
      </w:r>
      <w:r>
        <w:rPr>
          <w:rFonts w:hint="eastAsia" w:ascii="仿宋" w:hAnsi="仿宋" w:eastAsia="仿宋" w:cs="仿宋"/>
          <w:b/>
          <w:bCs/>
          <w:color w:val="FF0000"/>
          <w:sz w:val="28"/>
          <w:highlight w:val="none"/>
          <w:u w:val="single"/>
          <w:shd w:val="clear" w:color="auto" w:fill="auto"/>
          <w:lang w:val="en-US" w:eastAsia="zh-CN"/>
        </w:rPr>
        <w:t xml:space="preserve">（以定标结果为准） </w:t>
      </w:r>
      <w:r>
        <w:rPr>
          <w:rFonts w:hint="eastAsia" w:ascii="仿宋" w:hAnsi="仿宋" w:eastAsia="仿宋" w:cs="仿宋"/>
          <w:b/>
          <w:bCs/>
          <w:color w:val="FF0000"/>
          <w:sz w:val="28"/>
          <w:highlight w:val="none"/>
          <w:u w:val="none"/>
          <w:shd w:val="clear" w:color="auto" w:fill="auto"/>
          <w:lang w:val="en-US" w:eastAsia="zh-CN"/>
        </w:rPr>
        <w:t>个日历天内</w:t>
      </w:r>
      <w:r>
        <w:rPr>
          <w:rFonts w:hint="eastAsia" w:ascii="仿宋" w:hAnsi="仿宋" w:eastAsia="仿宋" w:cs="仿宋"/>
          <w:color w:val="auto"/>
          <w:sz w:val="28"/>
          <w:highlight w:val="none"/>
          <w:u w:val="none"/>
          <w:shd w:val="clear" w:color="auto" w:fill="auto"/>
          <w:lang w:val="en-US" w:eastAsia="zh-CN"/>
        </w:rPr>
        <w:t>完成该订单产品的生产。生产订单以符合甲方相关制度规定、经甲方相关人员签字的、完善的《物料申购单》</w:t>
      </w:r>
      <w:r>
        <w:rPr>
          <w:rFonts w:hint="eastAsia" w:ascii="仿宋" w:hAnsi="仿宋" w:eastAsia="仿宋" w:cs="仿宋"/>
          <w:b w:val="0"/>
          <w:bCs w:val="0"/>
          <w:color w:val="auto"/>
          <w:sz w:val="28"/>
          <w:highlight w:val="none"/>
          <w:u w:val="none"/>
          <w:shd w:val="clear" w:color="auto" w:fill="auto"/>
          <w:lang w:val="en-US" w:eastAsia="zh-CN"/>
        </w:rPr>
        <w:t>(格式详见附件）为准。</w:t>
      </w:r>
      <w:r>
        <w:rPr>
          <w:rFonts w:hint="eastAsia" w:ascii="仿宋" w:hAnsi="仿宋" w:eastAsia="仿宋" w:cs="仿宋"/>
          <w:color w:val="auto"/>
          <w:sz w:val="28"/>
          <w:highlight w:val="none"/>
          <w:u w:val="none"/>
          <w:shd w:val="clear" w:color="auto" w:fill="auto"/>
        </w:rPr>
        <w:t>乙方完成</w:t>
      </w:r>
      <w:r>
        <w:rPr>
          <w:rFonts w:hint="eastAsia" w:ascii="仿宋" w:hAnsi="仿宋" w:eastAsia="仿宋" w:cs="仿宋"/>
          <w:color w:val="auto"/>
          <w:sz w:val="28"/>
          <w:highlight w:val="none"/>
          <w:u w:val="none"/>
          <w:shd w:val="clear" w:color="auto" w:fill="auto"/>
          <w:lang w:val="en-US" w:eastAsia="zh-CN"/>
        </w:rPr>
        <w:t>任一</w:t>
      </w:r>
      <w:r>
        <w:rPr>
          <w:rFonts w:hint="eastAsia" w:ascii="仿宋" w:hAnsi="仿宋" w:eastAsia="仿宋" w:cs="仿宋"/>
          <w:color w:val="auto"/>
          <w:sz w:val="28"/>
          <w:highlight w:val="none"/>
          <w:u w:val="none"/>
          <w:shd w:val="clear" w:color="auto" w:fill="auto"/>
        </w:rPr>
        <w:t>订单</w:t>
      </w:r>
      <w:r>
        <w:rPr>
          <w:rFonts w:hint="eastAsia" w:ascii="仿宋" w:hAnsi="仿宋" w:eastAsia="仿宋" w:cs="仿宋"/>
          <w:color w:val="auto"/>
          <w:sz w:val="28"/>
          <w:highlight w:val="none"/>
          <w:u w:val="none"/>
          <w:shd w:val="clear" w:color="auto" w:fill="auto"/>
          <w:lang w:val="en-US" w:eastAsia="zh-CN"/>
        </w:rPr>
        <w:t>的产品</w:t>
      </w:r>
      <w:r>
        <w:rPr>
          <w:rFonts w:hint="eastAsia" w:ascii="仿宋" w:hAnsi="仿宋" w:eastAsia="仿宋" w:cs="仿宋"/>
          <w:color w:val="auto"/>
          <w:sz w:val="28"/>
          <w:highlight w:val="none"/>
          <w:u w:val="none"/>
          <w:shd w:val="clear" w:color="auto" w:fill="auto"/>
        </w:rPr>
        <w:t>生产后，立即书面通知甲方，但不得擅自送货</w:t>
      </w:r>
      <w:r>
        <w:rPr>
          <w:rFonts w:hint="eastAsia" w:ascii="仿宋" w:hAnsi="仿宋" w:eastAsia="仿宋" w:cs="仿宋"/>
          <w:color w:val="auto"/>
          <w:sz w:val="28"/>
          <w:highlight w:val="none"/>
          <w:u w:val="none"/>
          <w:shd w:val="clear" w:color="auto" w:fill="auto"/>
          <w:lang w:eastAsia="zh-CN"/>
        </w:rPr>
        <w:t>，</w:t>
      </w:r>
      <w:r>
        <w:rPr>
          <w:rFonts w:hint="eastAsia" w:ascii="仿宋" w:hAnsi="仿宋" w:eastAsia="仿宋" w:cs="仿宋"/>
          <w:color w:val="auto"/>
          <w:sz w:val="28"/>
          <w:highlight w:val="none"/>
          <w:u w:val="none"/>
          <w:shd w:val="clear" w:color="auto" w:fill="auto"/>
          <w:lang w:val="en-US" w:eastAsia="zh-CN"/>
        </w:rPr>
        <w:t>每一订单产品的分批送货次数、数量、时间等按</w:t>
      </w:r>
      <w:r>
        <w:rPr>
          <w:rFonts w:hint="eastAsia" w:ascii="仿宋" w:hAnsi="仿宋" w:eastAsia="仿宋" w:cs="仿宋"/>
          <w:color w:val="auto"/>
          <w:sz w:val="28"/>
          <w:highlight w:val="none"/>
          <w:u w:val="none"/>
          <w:shd w:val="clear" w:color="auto" w:fill="auto"/>
        </w:rPr>
        <w:t>甲方</w:t>
      </w:r>
      <w:r>
        <w:rPr>
          <w:rFonts w:hint="eastAsia" w:ascii="仿宋" w:hAnsi="仿宋" w:eastAsia="仿宋" w:cs="仿宋"/>
          <w:color w:val="auto"/>
          <w:sz w:val="28"/>
          <w:highlight w:val="none"/>
          <w:u w:val="none"/>
          <w:shd w:val="clear" w:color="auto" w:fill="auto"/>
          <w:lang w:val="en-US" w:eastAsia="zh-CN"/>
        </w:rPr>
        <w:t>发出的《送货通知单》（格式以甲方届时发出的为准）执行</w:t>
      </w:r>
      <w:r>
        <w:rPr>
          <w:rFonts w:hint="eastAsia" w:ascii="仿宋" w:hAnsi="仿宋" w:eastAsia="仿宋" w:cs="仿宋"/>
          <w:color w:val="auto"/>
          <w:sz w:val="28"/>
          <w:highlight w:val="none"/>
          <w:u w:val="none"/>
          <w:shd w:val="clear" w:color="auto" w:fill="auto"/>
          <w:lang w:eastAsia="zh-CN"/>
        </w:rPr>
        <w:t>。</w:t>
      </w:r>
    </w:p>
    <w:p w14:paraId="3DF1659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sz w:val="28"/>
          <w:highlight w:val="none"/>
          <w:u w:val="singl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3.3交货期限：自甲方发出符合甲方相关制度规定、经甲方相关人员签字的、完善的《送货通知单》</w:t>
      </w:r>
      <w:r>
        <w:rPr>
          <w:rFonts w:hint="eastAsia" w:ascii="仿宋" w:hAnsi="仿宋" w:eastAsia="仿宋" w:cs="仿宋"/>
          <w:b w:val="0"/>
          <w:bCs w:val="0"/>
          <w:color w:val="auto"/>
          <w:sz w:val="28"/>
          <w:highlight w:val="none"/>
          <w:u w:val="none"/>
          <w:shd w:val="clear" w:color="auto" w:fill="auto"/>
          <w:lang w:val="en-US" w:eastAsia="zh-CN"/>
        </w:rPr>
        <w:t>之日起，</w:t>
      </w:r>
      <w:r>
        <w:rPr>
          <w:rFonts w:hint="eastAsia" w:ascii="仿宋" w:hAnsi="仿宋" w:eastAsia="仿宋" w:cs="仿宋"/>
          <w:b/>
          <w:bCs/>
          <w:color w:val="FF0000"/>
          <w:sz w:val="28"/>
          <w:highlight w:val="none"/>
          <w:u w:val="single"/>
          <w:shd w:val="clear" w:color="auto" w:fill="auto"/>
          <w:lang w:val="en-US" w:eastAsia="zh-CN"/>
        </w:rPr>
        <w:t>乙方在（以定标结果为准）个日历天内</w:t>
      </w:r>
      <w:r>
        <w:rPr>
          <w:rFonts w:hint="eastAsia" w:ascii="仿宋" w:hAnsi="仿宋" w:eastAsia="仿宋" w:cs="仿宋"/>
          <w:b w:val="0"/>
          <w:bCs w:val="0"/>
          <w:color w:val="auto"/>
          <w:sz w:val="28"/>
          <w:highlight w:val="none"/>
          <w:u w:val="single"/>
          <w:shd w:val="clear" w:color="auto" w:fill="auto"/>
          <w:lang w:val="en-US" w:eastAsia="zh-CN"/>
        </w:rPr>
        <w:t>将该通知单所需产品送齐至甲方指定地点并移交给甲方，由甲方指定人员签名确认收货。不符合规定的签收单据不作为结算依据。</w:t>
      </w:r>
    </w:p>
    <w:p w14:paraId="2AF5E7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sz w:val="28"/>
          <w:highlight w:val="none"/>
          <w:u w:val="single"/>
          <w:shd w:val="clear" w:color="auto" w:fill="auto"/>
          <w:lang w:val="en-US" w:eastAsia="zh-CN"/>
        </w:rPr>
      </w:pPr>
      <w:r>
        <w:rPr>
          <w:rFonts w:hint="eastAsia" w:ascii="仿宋" w:hAnsi="仿宋" w:eastAsia="仿宋" w:cs="仿宋"/>
          <w:b w:val="0"/>
          <w:bCs w:val="0"/>
          <w:color w:val="auto"/>
          <w:sz w:val="28"/>
          <w:highlight w:val="none"/>
          <w:u w:val="single"/>
          <w:shd w:val="clear" w:color="auto" w:fill="auto"/>
          <w:lang w:val="en-US" w:eastAsia="zh-CN"/>
        </w:rPr>
        <w:t>3.4 生产数量控制与超量责任</w:t>
      </w:r>
    </w:p>
    <w:p w14:paraId="618F5C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sz w:val="28"/>
          <w:highlight w:val="none"/>
          <w:u w:val="single"/>
          <w:shd w:val="clear" w:color="auto" w:fill="auto"/>
          <w:lang w:val="en-US" w:eastAsia="zh-CN"/>
        </w:rPr>
      </w:pPr>
      <w:r>
        <w:rPr>
          <w:rFonts w:hint="eastAsia" w:ascii="仿宋" w:hAnsi="仿宋" w:eastAsia="仿宋" w:cs="仿宋"/>
          <w:b w:val="0"/>
          <w:bCs w:val="0"/>
          <w:color w:val="auto"/>
          <w:sz w:val="28"/>
          <w:highlight w:val="none"/>
          <w:u w:val="single"/>
          <w:shd w:val="clear" w:color="auto" w:fill="auto"/>
          <w:lang w:val="en-US" w:eastAsia="zh-CN"/>
        </w:rPr>
        <w:t>① 严格按单生产</w:t>
      </w:r>
    </w:p>
    <w:p w14:paraId="07E7B0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sz w:val="28"/>
          <w:highlight w:val="none"/>
          <w:u w:val="single"/>
          <w:shd w:val="clear" w:color="auto" w:fill="auto"/>
          <w:lang w:val="en-US" w:eastAsia="zh-CN"/>
        </w:rPr>
      </w:pPr>
      <w:r>
        <w:rPr>
          <w:rFonts w:hint="eastAsia" w:ascii="仿宋" w:hAnsi="仿宋" w:eastAsia="仿宋" w:cs="仿宋"/>
          <w:b w:val="0"/>
          <w:bCs w:val="0"/>
          <w:color w:val="auto"/>
          <w:sz w:val="28"/>
          <w:highlight w:val="none"/>
          <w:u w:val="single"/>
          <w:shd w:val="clear" w:color="auto" w:fill="auto"/>
          <w:lang w:val="en-US" w:eastAsia="zh-CN"/>
        </w:rPr>
        <w:t>乙方必须严格按照甲方书面《生产订单》中明确约定的产品规格、数量及交货时间进行生产，未经甲方书面同意，不得擅自超量生产。</w:t>
      </w:r>
    </w:p>
    <w:p w14:paraId="21F01C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sz w:val="28"/>
          <w:highlight w:val="none"/>
          <w:u w:val="single"/>
          <w:shd w:val="clear" w:color="auto" w:fill="auto"/>
          <w:lang w:val="en-US" w:eastAsia="zh-CN"/>
        </w:rPr>
      </w:pPr>
      <w:r>
        <w:rPr>
          <w:rFonts w:hint="eastAsia" w:ascii="仿宋" w:hAnsi="仿宋" w:eastAsia="仿宋" w:cs="仿宋"/>
          <w:b w:val="0"/>
          <w:bCs w:val="0"/>
          <w:color w:val="auto"/>
          <w:sz w:val="28"/>
          <w:highlight w:val="none"/>
          <w:u w:val="single"/>
          <w:shd w:val="clear" w:color="auto" w:fill="auto"/>
          <w:lang w:val="en-US" w:eastAsia="zh-CN"/>
        </w:rPr>
        <w:t>② 超量生产处理</w:t>
      </w:r>
    </w:p>
    <w:p w14:paraId="2FFD4F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sz w:val="28"/>
          <w:highlight w:val="none"/>
          <w:u w:val="single"/>
          <w:shd w:val="clear" w:color="auto" w:fill="auto"/>
          <w:lang w:val="en-US" w:eastAsia="zh-CN"/>
        </w:rPr>
      </w:pPr>
      <w:r>
        <w:rPr>
          <w:rFonts w:hint="eastAsia" w:ascii="仿宋" w:hAnsi="仿宋" w:eastAsia="仿宋" w:cs="仿宋"/>
          <w:b w:val="0"/>
          <w:bCs w:val="0"/>
          <w:color w:val="auto"/>
          <w:sz w:val="28"/>
          <w:highlight w:val="none"/>
          <w:u w:val="single"/>
          <w:shd w:val="clear" w:color="auto" w:fill="auto"/>
          <w:lang w:val="en-US" w:eastAsia="zh-CN"/>
        </w:rPr>
        <w:t>若乙方实际生产量超过订单约定数量（以下简称“超量部分”），甲方有权拒绝接收超量部分产品，且不承担任何采购、仓储或处置费用。</w:t>
      </w:r>
    </w:p>
    <w:p w14:paraId="6AC5353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highlight w:val="none"/>
          <w:lang w:val="en-US" w:eastAsia="zh-CN"/>
        </w:rPr>
      </w:pPr>
      <w:bookmarkStart w:id="87" w:name="_Toc15060"/>
      <w:bookmarkStart w:id="88" w:name="_Toc26173"/>
      <w:bookmarkStart w:id="89" w:name="_Toc23842"/>
      <w:bookmarkStart w:id="90" w:name="_Toc30654"/>
      <w:bookmarkStart w:id="91" w:name="_Toc2163"/>
      <w:bookmarkStart w:id="92" w:name="_Toc24489"/>
      <w:r>
        <w:rPr>
          <w:rFonts w:hint="eastAsia" w:ascii="仿宋" w:hAnsi="仿宋" w:eastAsia="仿宋" w:cs="仿宋"/>
          <w:b/>
          <w:bCs/>
          <w:color w:val="auto"/>
          <w:sz w:val="28"/>
          <w:highlight w:val="none"/>
          <w:lang w:val="en-US" w:eastAsia="zh-CN"/>
        </w:rPr>
        <w:t>甲乙双方联系人</w:t>
      </w:r>
      <w:bookmarkEnd w:id="87"/>
      <w:bookmarkEnd w:id="88"/>
      <w:bookmarkEnd w:id="89"/>
      <w:bookmarkEnd w:id="90"/>
      <w:bookmarkEnd w:id="91"/>
      <w:bookmarkEnd w:id="92"/>
    </w:p>
    <w:p w14:paraId="0808F9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color w:val="auto"/>
          <w:sz w:val="28"/>
          <w:szCs w:val="28"/>
          <w:highlight w:val="none"/>
          <w:vertAlign w:val="baseline"/>
          <w:lang w:val="en-US" w:eastAsia="zh-CN"/>
        </w:rPr>
        <w:t>4.1</w:t>
      </w:r>
      <w:r>
        <w:rPr>
          <w:rFonts w:hint="eastAsia" w:ascii="仿宋" w:hAnsi="仿宋" w:eastAsia="仿宋" w:cs="仿宋"/>
          <w:b w:val="0"/>
          <w:bCs w:val="0"/>
          <w:color w:val="auto"/>
          <w:sz w:val="28"/>
          <w:highlight w:val="none"/>
          <w:lang w:val="en-US" w:eastAsia="zh-CN"/>
        </w:rPr>
        <w:t>甲方指定</w:t>
      </w:r>
      <w:r>
        <w:rPr>
          <w:rFonts w:hint="eastAsia" w:ascii="仿宋" w:hAnsi="仿宋" w:eastAsia="仿宋" w:cs="仿宋"/>
          <w:b w:val="0"/>
          <w:bCs w:val="0"/>
          <w:color w:val="auto"/>
          <w:sz w:val="28"/>
          <w:highlight w:val="none"/>
          <w:u w:val="single"/>
          <w:lang w:val="en-US" w:eastAsia="zh-CN"/>
        </w:rPr>
        <w:t xml:space="preserve"> 莫龙（手机号码：</w:t>
      </w:r>
      <w:r>
        <w:rPr>
          <w:rFonts w:hint="eastAsia" w:ascii="仿宋" w:hAnsi="仿宋" w:eastAsia="仿宋" w:cs="仿宋"/>
          <w:color w:val="auto"/>
          <w:sz w:val="28"/>
          <w:szCs w:val="28"/>
          <w:highlight w:val="none"/>
          <w:u w:val="single"/>
          <w:lang w:val="en-US" w:eastAsia="zh-CN"/>
        </w:rPr>
        <w:t>13751400863</w:t>
      </w:r>
      <w:r>
        <w:rPr>
          <w:rFonts w:hint="eastAsia" w:ascii="仿宋" w:hAnsi="仿宋" w:eastAsia="仿宋" w:cs="仿宋"/>
          <w:b w:val="0"/>
          <w:bCs w:val="0"/>
          <w:color w:val="auto"/>
          <w:sz w:val="28"/>
          <w:highlight w:val="none"/>
          <w:u w:val="single"/>
          <w:lang w:val="en-US" w:eastAsia="zh-CN"/>
        </w:rPr>
        <w:t>）</w:t>
      </w:r>
      <w:r>
        <w:rPr>
          <w:rFonts w:hint="eastAsia" w:ascii="仿宋" w:hAnsi="仿宋" w:eastAsia="仿宋" w:cs="仿宋"/>
          <w:b w:val="0"/>
          <w:bCs w:val="0"/>
          <w:color w:val="auto"/>
          <w:sz w:val="28"/>
          <w:highlight w:val="none"/>
          <w:lang w:val="en-US" w:eastAsia="zh-CN"/>
        </w:rPr>
        <w:t>为甲方项目负责人及本合同甲方执行联系人；指定</w:t>
      </w:r>
      <w:r>
        <w:rPr>
          <w:rFonts w:hint="eastAsia" w:ascii="仿宋" w:hAnsi="仿宋" w:eastAsia="仿宋" w:cs="仿宋"/>
          <w:b w:val="0"/>
          <w:bCs w:val="0"/>
          <w:color w:val="auto"/>
          <w:sz w:val="28"/>
          <w:highlight w:val="none"/>
          <w:u w:val="single"/>
          <w:lang w:val="en-US" w:eastAsia="zh-CN"/>
        </w:rPr>
        <w:t>林智超</w:t>
      </w:r>
      <w:r>
        <w:rPr>
          <w:rFonts w:hint="eastAsia" w:ascii="仿宋" w:hAnsi="仿宋" w:eastAsia="仿宋" w:cs="仿宋"/>
          <w:b w:val="0"/>
          <w:bCs w:val="0"/>
          <w:color w:val="auto"/>
          <w:sz w:val="28"/>
          <w:highlight w:val="none"/>
          <w:lang w:val="en-US" w:eastAsia="zh-CN"/>
        </w:rPr>
        <w:t>为产品签收人，联系电话</w:t>
      </w:r>
      <w:r>
        <w:rPr>
          <w:rFonts w:hint="eastAsia" w:ascii="仿宋" w:hAnsi="仿宋" w:eastAsia="仿宋" w:cs="仿宋"/>
          <w:b w:val="0"/>
          <w:bCs w:val="0"/>
          <w:color w:val="auto"/>
          <w:sz w:val="28"/>
          <w:highlight w:val="none"/>
          <w:u w:val="single"/>
          <w:lang w:val="en-US" w:eastAsia="zh-CN"/>
        </w:rPr>
        <w:t>13286027799</w:t>
      </w:r>
      <w:r>
        <w:rPr>
          <w:rFonts w:hint="eastAsia" w:ascii="仿宋" w:hAnsi="仿宋" w:eastAsia="仿宋" w:cs="仿宋"/>
          <w:b w:val="0"/>
          <w:bCs w:val="0"/>
          <w:color w:val="auto"/>
          <w:sz w:val="28"/>
          <w:highlight w:val="none"/>
          <w:lang w:val="en-US" w:eastAsia="zh-CN"/>
        </w:rPr>
        <w:t>。</w:t>
      </w:r>
      <w:r>
        <w:rPr>
          <w:rFonts w:hint="eastAsia" w:ascii="仿宋" w:hAnsi="仿宋" w:eastAsia="仿宋" w:cs="仿宋"/>
          <w:color w:val="auto"/>
          <w:sz w:val="28"/>
          <w:highlight w:val="none"/>
          <w:shd w:val="clear" w:color="auto" w:fill="auto"/>
          <w:lang w:eastAsia="zh-CN"/>
        </w:rPr>
        <w:t>未经甲方加盖公章确认，甲方项目负责人及合同执行联系人、签约代表及其他职员均无权代表甲方做出减损、放弃甲方权利、乙方义务、乙方责任的行为，也无权做出增加甲方义务的行为。甲方对乙方发出的业务通知、单据、函件等文件、资料(包括但不限于收货单、确认单、联系函等)，须经甲方项目负责人及合同执行联系人签名并加盖甲方项目章(样式详见附件)方为有效，否则为无效文件，仅盖章或者仅签名的文件亦无效。甲方项目负责人及合同执行联系人系唯一有权对乙方该等文件、资料进行签名的主体，该权限具有人身专属性，不得转授权或委托第三方行使。非经甲方项目负责人及执行联系人本人签字确认并加盖甲方项目章的文件、资料，甲方均不予认可，对甲方不产生约束力。甲方变更项目负责人、合同执行联系人的，甲方以书面形式通知乙方。</w:t>
      </w:r>
    </w:p>
    <w:p w14:paraId="4219CE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4.2乙方联系人</w:t>
      </w:r>
    </w:p>
    <w:p w14:paraId="349613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color w:val="auto"/>
          <w:sz w:val="28"/>
          <w:highlight w:val="none"/>
          <w:lang w:eastAsia="zh-CN"/>
        </w:rPr>
        <w:t>乙方指定</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（身份证</w:t>
      </w:r>
      <w:r>
        <w:rPr>
          <w:rFonts w:hint="eastAsia" w:ascii="仿宋" w:hAnsi="仿宋" w:eastAsia="仿宋" w:cs="仿宋"/>
          <w:color w:val="auto"/>
          <w:sz w:val="28"/>
          <w:highlight w:val="none"/>
          <w:u w:val="single"/>
          <w:lang w:val="en-US" w:eastAsia="zh-CN"/>
        </w:rPr>
        <w:t>号</w:t>
      </w:r>
      <w:r>
        <w:rPr>
          <w:rFonts w:hint="eastAsia" w:ascii="仿宋" w:hAnsi="仿宋" w:eastAsia="仿宋" w:cs="仿宋"/>
          <w:color w:val="auto"/>
          <w:sz w:val="28"/>
          <w:highlight w:val="none"/>
          <w:u w:val="single"/>
          <w:lang w:eastAsia="zh-CN"/>
        </w:rPr>
        <w:t>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；手机号码：</w:t>
      </w:r>
      <w:r>
        <w:rPr>
          <w:rFonts w:hint="eastAsia" w:ascii="仿宋" w:hAnsi="仿宋" w:eastAsia="仿宋" w:cs="仿宋"/>
          <w:color w:val="auto"/>
          <w:sz w:val="28"/>
          <w:highlight w:val="none"/>
          <w:u w:val="single"/>
          <w:lang w:val="en-US" w:eastAsia="zh-CN"/>
        </w:rPr>
        <w:t xml:space="preserve">  ；电子邮箱：   ；微信号：        </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shd w:val="clear" w:color="auto" w:fill="auto"/>
          <w:lang w:eastAsia="zh-CN"/>
        </w:rPr>
        <w:t>作为其授权代表，</w:t>
      </w:r>
      <w:r>
        <w:rPr>
          <w:rFonts w:hint="eastAsia" w:ascii="仿宋" w:hAnsi="仿宋" w:eastAsia="仿宋" w:cs="仿宋"/>
          <w:b w:val="0"/>
          <w:bCs w:val="0"/>
          <w:i w:val="0"/>
          <w:iCs w:val="0"/>
          <w:color w:val="auto"/>
          <w:sz w:val="28"/>
          <w:szCs w:val="28"/>
          <w:highlight w:val="none"/>
          <w:shd w:val="clear" w:color="auto" w:fill="auto"/>
          <w:lang w:val="en-US" w:eastAsia="zh-CN"/>
        </w:rPr>
        <w:t>在</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内其</w:t>
      </w:r>
      <w:r>
        <w:rPr>
          <w:rFonts w:hint="eastAsia" w:ascii="仿宋" w:hAnsi="仿宋" w:eastAsia="仿宋" w:cs="仿宋"/>
          <w:b w:val="0"/>
          <w:bCs w:val="0"/>
          <w:i w:val="0"/>
          <w:iCs w:val="0"/>
          <w:color w:val="auto"/>
          <w:sz w:val="28"/>
          <w:szCs w:val="28"/>
          <w:highlight w:val="none"/>
          <w:shd w:val="clear" w:color="auto" w:fill="auto"/>
          <w:lang w:eastAsia="zh-CN"/>
        </w:rPr>
        <w:t>为乙方</w:t>
      </w:r>
      <w:r>
        <w:rPr>
          <w:rFonts w:hint="eastAsia" w:ascii="仿宋" w:hAnsi="仿宋" w:eastAsia="仿宋" w:cs="仿宋"/>
          <w:b w:val="0"/>
          <w:bCs w:val="0"/>
          <w:i w:val="0"/>
          <w:iCs w:val="0"/>
          <w:color w:val="auto"/>
          <w:sz w:val="28"/>
          <w:szCs w:val="28"/>
          <w:highlight w:val="none"/>
          <w:shd w:val="clear" w:color="auto" w:fill="auto"/>
          <w:lang w:val="en-US" w:eastAsia="zh-CN"/>
        </w:rPr>
        <w:t>授权</w:t>
      </w:r>
      <w:r>
        <w:rPr>
          <w:rFonts w:hint="eastAsia" w:ascii="仿宋" w:hAnsi="仿宋" w:eastAsia="仿宋" w:cs="仿宋"/>
          <w:b w:val="0"/>
          <w:bCs w:val="0"/>
          <w:i w:val="0"/>
          <w:iCs w:val="0"/>
          <w:color w:val="auto"/>
          <w:sz w:val="28"/>
          <w:szCs w:val="28"/>
          <w:highlight w:val="none"/>
          <w:shd w:val="clear" w:color="auto" w:fill="auto"/>
          <w:lang w:eastAsia="zh-CN"/>
        </w:rPr>
        <w:t>处理与本合同</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lang w:eastAsia="zh-CN"/>
        </w:rPr>
        <w:t>事项（</w:t>
      </w:r>
      <w:r>
        <w:rPr>
          <w:rFonts w:hint="eastAsia" w:ascii="仿宋" w:hAnsi="仿宋" w:eastAsia="仿宋" w:cs="仿宋"/>
          <w:b w:val="0"/>
          <w:bCs w:val="0"/>
          <w:i w:val="0"/>
          <w:iCs w:val="0"/>
          <w:color w:val="auto"/>
          <w:sz w:val="28"/>
          <w:szCs w:val="28"/>
          <w:highlight w:val="none"/>
          <w:shd w:val="clear" w:color="auto" w:fill="auto"/>
          <w:lang w:val="en-US" w:eastAsia="zh-CN"/>
        </w:rPr>
        <w:t>如签约等</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的合同执行代表</w:t>
      </w:r>
      <w:r>
        <w:rPr>
          <w:rFonts w:hint="eastAsia" w:ascii="仿宋" w:hAnsi="仿宋" w:eastAsia="仿宋" w:cs="仿宋"/>
          <w:color w:val="auto"/>
          <w:sz w:val="28"/>
          <w:highlight w:val="none"/>
          <w:shd w:val="clear" w:color="auto" w:fill="auto"/>
          <w:lang w:eastAsia="zh-CN"/>
        </w:rPr>
        <w:t>。</w:t>
      </w:r>
    </w:p>
    <w:p w14:paraId="2D0C42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eastAsia="zh-CN"/>
        </w:rPr>
        <w:t>乙方指定</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（身份证</w:t>
      </w:r>
      <w:r>
        <w:rPr>
          <w:rFonts w:hint="eastAsia" w:ascii="仿宋" w:hAnsi="仿宋" w:eastAsia="仿宋" w:cs="仿宋"/>
          <w:color w:val="auto"/>
          <w:sz w:val="28"/>
          <w:highlight w:val="none"/>
          <w:u w:val="single"/>
          <w:lang w:val="en-US" w:eastAsia="zh-CN"/>
        </w:rPr>
        <w:t>号</w:t>
      </w:r>
      <w:r>
        <w:rPr>
          <w:rFonts w:hint="eastAsia" w:ascii="仿宋" w:hAnsi="仿宋" w:eastAsia="仿宋" w:cs="仿宋"/>
          <w:color w:val="auto"/>
          <w:sz w:val="28"/>
          <w:highlight w:val="none"/>
          <w:u w:val="single"/>
          <w:lang w:eastAsia="zh-CN"/>
        </w:rPr>
        <w:t>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；手机号码：</w:t>
      </w:r>
      <w:r>
        <w:rPr>
          <w:rFonts w:hint="eastAsia" w:ascii="仿宋" w:hAnsi="仿宋" w:eastAsia="仿宋" w:cs="仿宋"/>
          <w:color w:val="auto"/>
          <w:sz w:val="28"/>
          <w:highlight w:val="none"/>
          <w:u w:val="single"/>
          <w:lang w:val="en-US" w:eastAsia="zh-CN"/>
        </w:rPr>
        <w:t xml:space="preserve">  ；电子邮箱：   ；微信号：        </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shd w:val="clear" w:color="auto" w:fill="auto"/>
          <w:lang w:val="en-US" w:eastAsia="zh-CN"/>
        </w:rPr>
        <w:t>为本合同的乙方现场负责人，</w:t>
      </w:r>
      <w:r>
        <w:rPr>
          <w:rFonts w:hint="eastAsia" w:ascii="仿宋" w:hAnsi="仿宋" w:eastAsia="仿宋" w:cs="仿宋"/>
          <w:b w:val="0"/>
          <w:bCs w:val="0"/>
          <w:i w:val="0"/>
          <w:iCs w:val="0"/>
          <w:color w:val="auto"/>
          <w:sz w:val="28"/>
          <w:szCs w:val="28"/>
          <w:highlight w:val="none"/>
          <w:shd w:val="clear" w:color="auto" w:fill="auto"/>
          <w:lang w:val="en-US" w:eastAsia="zh-CN"/>
        </w:rPr>
        <w:t>在</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内其</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乙方授权处理具体交易事宜的合同执行代表，</w:t>
      </w:r>
      <w:r>
        <w:rPr>
          <w:rFonts w:hint="eastAsia" w:ascii="仿宋" w:hAnsi="仿宋" w:eastAsia="仿宋" w:cs="仿宋"/>
          <w:color w:val="auto"/>
          <w:sz w:val="28"/>
          <w:highlight w:val="none"/>
          <w:shd w:val="clear" w:color="auto" w:fill="auto"/>
          <w:lang w:val="en-US" w:eastAsia="zh-CN"/>
        </w:rPr>
        <w:t>负责与甲方在产品交货现场进行工作对接、单据签认等全部事务，</w:t>
      </w:r>
      <w:r>
        <w:rPr>
          <w:rFonts w:hint="eastAsia" w:ascii="仿宋" w:hAnsi="仿宋" w:eastAsia="仿宋" w:cs="仿宋"/>
          <w:b w:val="0"/>
          <w:bCs w:val="0"/>
          <w:i w:val="0"/>
          <w:iCs w:val="0"/>
          <w:color w:val="auto"/>
          <w:sz w:val="28"/>
          <w:szCs w:val="28"/>
          <w:highlight w:val="none"/>
          <w:shd w:val="clear" w:color="auto" w:fill="auto"/>
          <w:lang w:val="en-US" w:eastAsia="zh-CN"/>
        </w:rPr>
        <w:t>包括但不限于对</w:t>
      </w:r>
      <w:r>
        <w:rPr>
          <w:rFonts w:hint="eastAsia" w:ascii="仿宋" w:hAnsi="仿宋" w:eastAsia="仿宋" w:cs="仿宋"/>
          <w:color w:val="auto"/>
          <w:sz w:val="28"/>
          <w:highlight w:val="none"/>
          <w:lang w:val="en-US" w:eastAsia="zh-CN"/>
        </w:rPr>
        <w:t>如下单据进行签认且承担责任及经济损失：送货单、签收单、过磅单、退货单、对账单、违约处理文件、本合同提及的各类单据等。</w:t>
      </w:r>
    </w:p>
    <w:p w14:paraId="58DEBB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lang w:val="en-US" w:eastAsia="zh-CN"/>
        </w:rPr>
      </w:pPr>
    </w:p>
    <w:p w14:paraId="79FB4E0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乙方(盖章):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52F67282">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签约代表: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签约代表:</w:t>
      </w:r>
    </w:p>
    <w:p w14:paraId="41B95325">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shd w:val="clear" w:color="auto" w:fill="auto"/>
        </w:rPr>
        <w:t>91441900732168546R</w:t>
      </w:r>
      <w:r>
        <w:rPr>
          <w:rFonts w:hint="eastAsia" w:ascii="仿宋" w:hAnsi="仿宋" w:eastAsia="仿宋" w:cs="仿宋"/>
          <w:b/>
          <w:bCs/>
          <w:color w:val="auto"/>
          <w:sz w:val="24"/>
          <w:szCs w:val="24"/>
          <w:highlight w:val="none"/>
          <w:shd w:val="clear" w:color="auto" w:fill="auto"/>
        </w:rPr>
        <w:tab/>
      </w:r>
      <w:r>
        <w:rPr>
          <w:rFonts w:hint="eastAsia" w:ascii="仿宋" w:hAnsi="仿宋" w:eastAsia="仿宋" w:cs="仿宋"/>
          <w:b/>
          <w:bCs/>
          <w:color w:val="auto"/>
          <w:sz w:val="24"/>
          <w:szCs w:val="24"/>
          <w:highlight w:val="none"/>
          <w:shd w:val="clear" w:color="auto" w:fill="auto"/>
        </w:rPr>
        <w:tab/>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p>
    <w:p w14:paraId="310AD3E8">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 xml:space="preserve">账  号：548000013639239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r>
        <w:rPr>
          <w:rFonts w:hint="eastAsia" w:ascii="仿宋" w:hAnsi="仿宋" w:eastAsia="仿宋" w:cs="仿宋"/>
          <w:b/>
          <w:bCs/>
          <w:color w:val="auto"/>
          <w:sz w:val="24"/>
          <w:szCs w:val="24"/>
          <w:highlight w:val="none"/>
          <w:lang w:val="en-US" w:eastAsia="zh-CN"/>
        </w:rPr>
        <w:t xml:space="preserve"> </w:t>
      </w:r>
    </w:p>
    <w:p w14:paraId="694A1783">
      <w:pPr>
        <w:keepNext w:val="0"/>
        <w:keepLines w:val="0"/>
        <w:pageBreakBefore w:val="0"/>
        <w:widowControl w:val="0"/>
        <w:kinsoku/>
        <w:wordWrap/>
        <w:overflowPunct/>
        <w:topLinePunct w:val="0"/>
        <w:autoSpaceDE/>
        <w:autoSpaceDN/>
        <w:bidi w:val="0"/>
        <w:adjustRightInd w:val="0"/>
        <w:snapToGrid w:val="0"/>
        <w:spacing w:line="360" w:lineRule="auto"/>
        <w:ind w:left="6023" w:right="0" w:rightChars="0" w:hanging="6023" w:hangingChars="25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开户行：</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02D3C6DB">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 xml:space="preserve">地 址：广东省东莞市南城街道鸿福路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地  址：</w:t>
      </w:r>
      <w:r>
        <w:rPr>
          <w:rFonts w:hint="eastAsia" w:ascii="仿宋" w:hAnsi="仿宋" w:eastAsia="仿宋" w:cs="仿宋"/>
          <w:b/>
          <w:bCs/>
          <w:color w:val="auto"/>
          <w:sz w:val="24"/>
          <w:szCs w:val="24"/>
          <w:highlight w:val="none"/>
          <w:lang w:val="en-US" w:eastAsia="zh-CN"/>
        </w:rPr>
        <w:t xml:space="preserve"> </w:t>
      </w:r>
    </w:p>
    <w:p w14:paraId="641FC38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964" w:firstLineChars="4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1AEE63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 xml:space="preserve"> </w:t>
      </w:r>
    </w:p>
    <w:p w14:paraId="26E3749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【甲方人员如有营私舞弊、吃拿卡要等损害乙方合法权益的行为，乙方可拨打投诉专线 4000968086或发邮件至投诉邮箱:zhglzx@nanfeng.cn，也可至广东省东莞市南城街道鸿福路 106 号南峰中心 12楼内控中心办公室面诉。】</w:t>
      </w:r>
      <w:bookmarkStart w:id="93" w:name="_Toc17025"/>
      <w:bookmarkStart w:id="94" w:name="_Toc12797"/>
      <w:bookmarkStart w:id="95" w:name="_Toc29345"/>
    </w:p>
    <w:p w14:paraId="5F9167E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0C392E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6E6DA42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05BCF27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6116AC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5D1F47E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630934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35AC66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7EAD687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4051E3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18AEA4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0502EB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29C94FA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11EB666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124A955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678C3F3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1C112A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41585E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3853D59C">
      <w:pPr>
        <w:keepNext w:val="0"/>
        <w:keepLines w:val="0"/>
        <w:pageBreakBefore w:val="0"/>
        <w:widowControl w:val="0"/>
        <w:numPr>
          <w:ilvl w:val="0"/>
          <w:numId w:val="3"/>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pPr>
      <w:bookmarkStart w:id="96" w:name="_Toc6793"/>
      <w:bookmarkStart w:id="97" w:name="_Toc16771"/>
      <w:bookmarkStart w:id="98" w:name="_Toc26696"/>
      <w:bookmarkStart w:id="99" w:name="_Toc27362"/>
      <w:r>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t>合同专用条款</w:t>
      </w:r>
      <w:bookmarkEnd w:id="93"/>
      <w:bookmarkEnd w:id="94"/>
      <w:bookmarkEnd w:id="95"/>
      <w:bookmarkEnd w:id="96"/>
      <w:bookmarkEnd w:id="97"/>
      <w:bookmarkEnd w:id="98"/>
      <w:bookmarkEnd w:id="99"/>
    </w:p>
    <w:p w14:paraId="531544A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highlight w:val="none"/>
          <w:lang w:val="en-US" w:eastAsia="zh-CN"/>
        </w:rPr>
      </w:pPr>
      <w:bookmarkStart w:id="100" w:name="_Toc24735"/>
      <w:bookmarkStart w:id="101" w:name="_Toc17629"/>
      <w:bookmarkStart w:id="102" w:name="_Toc8611"/>
      <w:bookmarkStart w:id="103" w:name="_Toc16313"/>
      <w:bookmarkStart w:id="104" w:name="_Toc10454"/>
      <w:bookmarkStart w:id="105" w:name="_Toc25983"/>
      <w:r>
        <w:rPr>
          <w:rFonts w:hint="eastAsia" w:ascii="仿宋" w:hAnsi="仿宋" w:eastAsia="仿宋" w:cs="仿宋"/>
          <w:b/>
          <w:bCs/>
          <w:color w:val="auto"/>
          <w:sz w:val="28"/>
          <w:highlight w:val="none"/>
          <w:lang w:val="en-US" w:eastAsia="zh-CN"/>
        </w:rPr>
        <w:t>产品质量及包装要求</w:t>
      </w:r>
      <w:bookmarkEnd w:id="54"/>
      <w:bookmarkEnd w:id="100"/>
      <w:bookmarkEnd w:id="101"/>
      <w:bookmarkEnd w:id="102"/>
      <w:bookmarkEnd w:id="103"/>
      <w:bookmarkEnd w:id="104"/>
      <w:bookmarkEnd w:id="105"/>
    </w:p>
    <w:p w14:paraId="77B537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0"/>
        <w:rPr>
          <w:rFonts w:hint="eastAsia" w:ascii="仿宋" w:hAnsi="仿宋" w:eastAsia="仿宋" w:cs="仿宋"/>
          <w:b w:val="0"/>
          <w:bCs w:val="0"/>
          <w:color w:val="auto"/>
          <w:sz w:val="28"/>
          <w:highlight w:val="none"/>
          <w:shd w:val="clear" w:color="auto" w:fill="auto"/>
          <w:lang w:val="en-US" w:eastAsia="zh-CN"/>
        </w:rPr>
      </w:pPr>
      <w:bookmarkStart w:id="106" w:name="_Toc25495"/>
      <w:r>
        <w:rPr>
          <w:rFonts w:hint="eastAsia" w:ascii="仿宋" w:hAnsi="仿宋" w:eastAsia="仿宋" w:cs="仿宋"/>
          <w:b w:val="0"/>
          <w:bCs w:val="0"/>
          <w:color w:val="auto"/>
          <w:sz w:val="28"/>
          <w:highlight w:val="none"/>
          <w:shd w:val="clear" w:color="auto" w:fill="auto"/>
          <w:lang w:val="en-US" w:eastAsia="zh-CN"/>
        </w:rPr>
        <w:t>1.1质量要求</w:t>
      </w:r>
      <w:bookmarkEnd w:id="106"/>
    </w:p>
    <w:p w14:paraId="78A1DA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0"/>
        <w:rPr>
          <w:rFonts w:hint="eastAsia" w:ascii="仿宋" w:hAnsi="仿宋" w:eastAsia="仿宋" w:cs="仿宋"/>
          <w:color w:val="auto"/>
          <w:sz w:val="28"/>
          <w:highlight w:val="none"/>
          <w:shd w:val="clear" w:color="auto" w:fill="auto"/>
        </w:rPr>
      </w:pPr>
      <w:bookmarkStart w:id="107" w:name="_Toc18651"/>
      <w:r>
        <w:rPr>
          <w:rFonts w:hint="eastAsia" w:ascii="仿宋" w:hAnsi="仿宋" w:eastAsia="仿宋" w:cs="仿宋"/>
          <w:b w:val="0"/>
          <w:bCs w:val="0"/>
          <w:color w:val="auto"/>
          <w:sz w:val="28"/>
          <w:highlight w:val="none"/>
          <w:shd w:val="clear" w:color="auto" w:fill="auto"/>
          <w:lang w:val="en-US" w:eastAsia="zh-CN"/>
        </w:rPr>
        <w:t>1.1.1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w:t>
      </w:r>
      <w:r>
        <w:rPr>
          <w:rFonts w:hint="eastAsia" w:ascii="仿宋" w:hAnsi="仿宋" w:eastAsia="仿宋" w:cs="仿宋"/>
          <w:color w:val="FF0000"/>
          <w:sz w:val="28"/>
          <w:highlight w:val="none"/>
        </w:rPr>
        <w:t>产品生产日期距到货（进场）日期不得超过3个月</w:t>
      </w:r>
      <w:r>
        <w:rPr>
          <w:rFonts w:hint="eastAsia" w:ascii="仿宋" w:hAnsi="仿宋" w:eastAsia="仿宋" w:cs="仿宋"/>
          <w:color w:val="auto"/>
          <w:sz w:val="28"/>
          <w:highlight w:val="none"/>
          <w:shd w:val="clear" w:color="auto" w:fill="auto"/>
        </w:rPr>
        <w:t>。</w:t>
      </w:r>
      <w:bookmarkEnd w:id="107"/>
    </w:p>
    <w:p w14:paraId="20B5EAA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0"/>
        <w:rPr>
          <w:rFonts w:hint="default" w:ascii="仿宋" w:hAnsi="仿宋" w:eastAsia="仿宋" w:cs="仿宋"/>
          <w:b w:val="0"/>
          <w:bCs w:val="0"/>
          <w:color w:val="auto"/>
          <w:sz w:val="28"/>
          <w:highlight w:val="yellow"/>
          <w:shd w:val="clear" w:color="auto" w:fill="auto"/>
          <w:lang w:val="en-US" w:eastAsia="zh-CN"/>
        </w:rPr>
      </w:pPr>
      <w:bookmarkStart w:id="108" w:name="_Toc24919"/>
      <w:r>
        <w:rPr>
          <w:rFonts w:hint="eastAsia" w:ascii="仿宋" w:hAnsi="仿宋" w:eastAsia="仿宋" w:cs="仿宋"/>
          <w:b w:val="0"/>
          <w:bCs w:val="0"/>
          <w:color w:val="auto"/>
          <w:sz w:val="28"/>
          <w:highlight w:val="none"/>
          <w:shd w:val="clear" w:color="auto" w:fill="auto"/>
          <w:lang w:val="en-US" w:eastAsia="zh-CN"/>
        </w:rPr>
        <w:t>1.1.2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bookmarkEnd w:id="108"/>
    </w:p>
    <w:p w14:paraId="3B64474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0"/>
        <w:rPr>
          <w:rFonts w:hint="default" w:ascii="仿宋" w:hAnsi="仿宋" w:eastAsia="仿宋" w:cs="仿宋"/>
          <w:b w:val="0"/>
          <w:bCs w:val="0"/>
          <w:color w:val="auto"/>
          <w:sz w:val="28"/>
          <w:highlight w:val="none"/>
          <w:shd w:val="clear" w:color="auto" w:fill="auto"/>
          <w:lang w:val="en-US" w:eastAsia="zh-CN"/>
        </w:rPr>
      </w:pPr>
      <w:bookmarkStart w:id="109" w:name="_Toc19001"/>
      <w:bookmarkStart w:id="110" w:name="_Toc25333"/>
      <w:bookmarkStart w:id="111" w:name="_Toc28133"/>
      <w:bookmarkStart w:id="112" w:name="_Toc23033"/>
      <w:r>
        <w:rPr>
          <w:rFonts w:hint="eastAsia" w:ascii="仿宋" w:hAnsi="仿宋" w:eastAsia="仿宋" w:cs="仿宋"/>
          <w:b w:val="0"/>
          <w:bCs w:val="0"/>
          <w:color w:val="auto"/>
          <w:sz w:val="28"/>
          <w:highlight w:val="none"/>
          <w:shd w:val="clear" w:color="auto" w:fill="auto"/>
          <w:lang w:val="en-US" w:eastAsia="zh-CN"/>
        </w:rPr>
        <w:t>1.1.3其他需要约定的与产品质量相关的事项：</w:t>
      </w:r>
      <w:r>
        <w:rPr>
          <w:rFonts w:hint="eastAsia" w:ascii="仿宋" w:hAnsi="仿宋" w:eastAsia="仿宋" w:cs="仿宋"/>
          <w:b w:val="0"/>
          <w:bCs w:val="0"/>
          <w:color w:val="auto"/>
          <w:sz w:val="28"/>
          <w:highlight w:val="none"/>
          <w:u w:val="single"/>
          <w:shd w:val="clear" w:color="auto" w:fill="auto"/>
          <w:lang w:val="en-US" w:eastAsia="zh-CN"/>
        </w:rPr>
        <w:t xml:space="preserve">  符合本项目设计要求  </w:t>
      </w:r>
      <w:r>
        <w:rPr>
          <w:rFonts w:hint="eastAsia" w:ascii="仿宋" w:hAnsi="仿宋" w:eastAsia="仿宋" w:cs="仿宋"/>
          <w:b w:val="0"/>
          <w:bCs w:val="0"/>
          <w:color w:val="auto"/>
          <w:sz w:val="28"/>
          <w:highlight w:val="none"/>
          <w:shd w:val="clear" w:color="auto" w:fill="auto"/>
          <w:lang w:val="en-US" w:eastAsia="zh-CN"/>
        </w:rPr>
        <w:t>。</w:t>
      </w:r>
      <w:bookmarkEnd w:id="109"/>
    </w:p>
    <w:p w14:paraId="6773F3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0"/>
        <w:rPr>
          <w:rFonts w:hint="eastAsia" w:ascii="仿宋" w:hAnsi="仿宋" w:eastAsia="仿宋" w:cs="仿宋"/>
          <w:b w:val="0"/>
          <w:bCs w:val="0"/>
          <w:color w:val="auto"/>
          <w:sz w:val="28"/>
          <w:highlight w:val="none"/>
          <w:shd w:val="clear" w:color="auto" w:fill="auto"/>
          <w:lang w:val="en-US" w:eastAsia="zh-CN"/>
        </w:rPr>
      </w:pPr>
      <w:bookmarkStart w:id="113" w:name="_Toc5891"/>
      <w:r>
        <w:rPr>
          <w:rFonts w:hint="eastAsia" w:ascii="仿宋" w:hAnsi="仿宋" w:eastAsia="仿宋" w:cs="仿宋"/>
          <w:b w:val="0"/>
          <w:bCs w:val="0"/>
          <w:color w:val="auto"/>
          <w:sz w:val="28"/>
          <w:highlight w:val="none"/>
          <w:shd w:val="clear" w:color="auto" w:fill="auto"/>
          <w:lang w:val="en-US" w:eastAsia="zh-CN"/>
        </w:rPr>
        <w:t>1.1.4产品包装要求：</w:t>
      </w:r>
      <w:r>
        <w:rPr>
          <w:rFonts w:hint="eastAsia" w:ascii="仿宋" w:hAnsi="仿宋" w:eastAsia="仿宋" w:cs="仿宋"/>
          <w:b w:val="0"/>
          <w:bCs w:val="0"/>
          <w:color w:val="auto"/>
          <w:sz w:val="28"/>
          <w:highlight w:val="none"/>
          <w:u w:val="single"/>
          <w:shd w:val="clear" w:color="auto" w:fill="auto"/>
          <w:lang w:val="en-US" w:eastAsia="zh-CN"/>
        </w:rPr>
        <w:t xml:space="preserve"> 纸贴，纸箱包装  </w:t>
      </w:r>
      <w:r>
        <w:rPr>
          <w:rFonts w:hint="eastAsia" w:ascii="仿宋" w:hAnsi="仿宋" w:eastAsia="仿宋" w:cs="仿宋"/>
          <w:b w:val="0"/>
          <w:bCs w:val="0"/>
          <w:color w:val="auto"/>
          <w:sz w:val="28"/>
          <w:highlight w:val="none"/>
          <w:shd w:val="clear" w:color="auto" w:fill="auto"/>
          <w:lang w:val="en-US" w:eastAsia="zh-CN"/>
        </w:rPr>
        <w:t>。</w:t>
      </w:r>
      <w:bookmarkEnd w:id="113"/>
    </w:p>
    <w:p w14:paraId="3829C5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textAlignment w:val="auto"/>
        <w:outlineLvl w:val="0"/>
        <w:rPr>
          <w:rFonts w:hint="default" w:ascii="仿宋" w:hAnsi="仿宋" w:eastAsia="仿宋" w:cs="仿宋"/>
          <w:b w:val="0"/>
          <w:bCs w:val="0"/>
          <w:color w:val="auto"/>
          <w:sz w:val="28"/>
          <w:highlight w:val="none"/>
          <w:shd w:val="clear" w:color="auto" w:fill="auto"/>
          <w:lang w:val="en-US" w:eastAsia="zh-CN"/>
        </w:rPr>
      </w:pPr>
      <w:bookmarkStart w:id="114" w:name="_Toc32513"/>
      <w:r>
        <w:rPr>
          <w:rFonts w:hint="eastAsia" w:ascii="仿宋" w:hAnsi="仿宋" w:eastAsia="仿宋" w:cs="仿宋"/>
          <w:b w:val="0"/>
          <w:bCs w:val="0"/>
          <w:color w:val="auto"/>
          <w:sz w:val="28"/>
          <w:highlight w:val="none"/>
          <w:shd w:val="clear" w:color="auto" w:fill="auto"/>
          <w:lang w:val="en-US" w:eastAsia="zh-CN"/>
        </w:rPr>
        <w:t>1.1.5产品包装物归属：</w:t>
      </w:r>
      <w:r>
        <w:rPr>
          <w:rFonts w:hint="eastAsia" w:ascii="仿宋" w:hAnsi="仿宋" w:eastAsia="仿宋" w:cs="仿宋"/>
          <w:b w:val="0"/>
          <w:bCs w:val="0"/>
          <w:color w:val="auto"/>
          <w:sz w:val="28"/>
          <w:highlight w:val="none"/>
          <w:shd w:val="clear" w:color="auto" w:fill="auto"/>
          <w:lang w:val="en-US" w:eastAsia="zh-CN"/>
        </w:rPr>
        <w:sym w:font="Wingdings" w:char="00A8"/>
      </w:r>
      <w:r>
        <w:rPr>
          <w:rFonts w:hint="eastAsia" w:ascii="仿宋" w:hAnsi="仿宋" w:eastAsia="仿宋" w:cs="仿宋"/>
          <w:b w:val="0"/>
          <w:bCs w:val="0"/>
          <w:color w:val="auto"/>
          <w:sz w:val="28"/>
          <w:highlight w:val="none"/>
          <w:shd w:val="clear" w:color="auto" w:fill="auto"/>
          <w:lang w:val="en-US" w:eastAsia="zh-CN"/>
        </w:rPr>
        <w:t>乙方自行清运拉走，费用已含于合同单价中。</w:t>
      </w:r>
      <w:r>
        <w:rPr>
          <w:rFonts w:hint="eastAsia" w:ascii="仿宋" w:hAnsi="仿宋" w:eastAsia="仿宋" w:cs="仿宋"/>
          <w:b w:val="0"/>
          <w:bCs w:val="0"/>
          <w:color w:val="auto"/>
          <w:sz w:val="28"/>
          <w:highlight w:val="none"/>
          <w:shd w:val="clear" w:color="auto" w:fill="auto"/>
          <w:lang w:val="en-US" w:eastAsia="zh-CN"/>
        </w:rPr>
        <w:sym w:font="Wingdings" w:char="00FE"/>
      </w:r>
      <w:r>
        <w:rPr>
          <w:rFonts w:hint="eastAsia" w:ascii="仿宋" w:hAnsi="仿宋" w:eastAsia="仿宋" w:cs="仿宋"/>
          <w:b w:val="0"/>
          <w:bCs w:val="0"/>
          <w:color w:val="auto"/>
          <w:sz w:val="28"/>
          <w:highlight w:val="none"/>
          <w:shd w:val="clear" w:color="auto" w:fill="auto"/>
          <w:lang w:val="en-US" w:eastAsia="zh-CN"/>
        </w:rPr>
        <w:t>包装物归甲方所有，费用已含于合同单价中。</w:t>
      </w:r>
      <w:bookmarkEnd w:id="114"/>
    </w:p>
    <w:p w14:paraId="425D9591">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textAlignment w:val="auto"/>
        <w:outlineLvl w:val="1"/>
        <w:rPr>
          <w:rFonts w:hint="default" w:ascii="仿宋" w:hAnsi="仿宋" w:eastAsia="仿宋" w:cs="仿宋"/>
          <w:b/>
          <w:bCs/>
          <w:color w:val="auto"/>
          <w:sz w:val="28"/>
          <w:highlight w:val="none"/>
          <w:lang w:val="en-US" w:eastAsia="zh-CN"/>
        </w:rPr>
      </w:pPr>
      <w:r>
        <w:rPr>
          <w:rFonts w:hint="eastAsia" w:ascii="仿宋" w:hAnsi="仿宋" w:eastAsia="仿宋" w:cs="仿宋"/>
          <w:b/>
          <w:bCs/>
          <w:color w:val="auto"/>
          <w:sz w:val="28"/>
          <w:highlight w:val="none"/>
          <w:lang w:val="en-US" w:eastAsia="zh-CN"/>
        </w:rPr>
        <w:t>交货、验收</w:t>
      </w:r>
      <w:bookmarkEnd w:id="110"/>
      <w:r>
        <w:rPr>
          <w:rFonts w:hint="eastAsia" w:ascii="仿宋" w:hAnsi="仿宋" w:eastAsia="仿宋" w:cs="仿宋"/>
          <w:b/>
          <w:bCs/>
          <w:color w:val="auto"/>
          <w:sz w:val="28"/>
          <w:highlight w:val="none"/>
          <w:lang w:val="en-US" w:eastAsia="zh-CN"/>
        </w:rPr>
        <w:t>及质量保证期</w:t>
      </w:r>
      <w:bookmarkEnd w:id="111"/>
    </w:p>
    <w:p w14:paraId="64A914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每批产品交货之日起，双方于2个日历天内完成送货对账单核对，对账单核对一致后，乙方提供已核对无误的产品专用发票给甲方，甲方财务部收到合格的发票后按本合同约定付款，如延迟完成对账或提供发票的，则甲方付款时间顺延。</w:t>
      </w:r>
      <w:bookmarkStart w:id="115" w:name="_Toc10040"/>
    </w:p>
    <w:p w14:paraId="4C1A01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single"/>
          <w:shd w:val="clear" w:color="auto" w:fill="auto"/>
          <w:lang w:val="en-US" w:eastAsia="zh-CN"/>
        </w:rPr>
      </w:pPr>
      <w:r>
        <w:rPr>
          <w:rFonts w:hint="eastAsia" w:ascii="仿宋" w:hAnsi="仿宋" w:eastAsia="仿宋" w:cs="仿宋"/>
          <w:color w:val="auto"/>
          <w:sz w:val="28"/>
          <w:highlight w:val="none"/>
          <w:lang w:val="en-US" w:eastAsia="zh-CN"/>
        </w:rPr>
        <w:t>2.2</w:t>
      </w:r>
      <w:r>
        <w:rPr>
          <w:rFonts w:hint="eastAsia" w:ascii="仿宋" w:hAnsi="仿宋" w:eastAsia="仿宋" w:cs="仿宋"/>
          <w:color w:val="auto"/>
          <w:sz w:val="28"/>
          <w:highlight w:val="none"/>
          <w:u w:val="none"/>
          <w:shd w:val="clear" w:color="auto" w:fill="auto"/>
          <w:lang w:val="en-US" w:eastAsia="zh-CN"/>
        </w:rPr>
        <w:t>订单确认方式：</w:t>
      </w:r>
      <w:r>
        <w:rPr>
          <w:rFonts w:hint="eastAsia" w:ascii="仿宋" w:hAnsi="仿宋" w:eastAsia="仿宋" w:cs="仿宋"/>
          <w:color w:val="auto"/>
          <w:sz w:val="28"/>
          <w:highlight w:val="none"/>
          <w:u w:val="single"/>
          <w:shd w:val="clear" w:color="auto" w:fill="auto"/>
          <w:lang w:val="en-US" w:eastAsia="zh-CN"/>
        </w:rPr>
        <w:t>以经甲方本合同执行联系人、材料员等相关岗位人员签名的材料申购单（格式详见附件）扫描件为准，详见本合同相关约定。</w:t>
      </w:r>
    </w:p>
    <w:p w14:paraId="150A68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shd w:val="clear" w:color="auto" w:fill="auto"/>
          <w:lang w:val="en-US" w:eastAsia="zh-CN"/>
        </w:rPr>
        <w:t>2.3</w:t>
      </w:r>
      <w:bookmarkEnd w:id="115"/>
      <w:bookmarkStart w:id="116" w:name="_Toc931"/>
      <w:bookmarkStart w:id="117" w:name="_Toc20045"/>
      <w:bookmarkStart w:id="118" w:name="_Toc13465"/>
      <w:bookmarkStart w:id="119" w:name="_Toc14543"/>
      <w:r>
        <w:rPr>
          <w:rFonts w:hint="eastAsia" w:ascii="仿宋" w:hAnsi="仿宋" w:eastAsia="仿宋" w:cs="仿宋"/>
          <w:color w:val="auto"/>
          <w:sz w:val="28"/>
          <w:highlight w:val="none"/>
        </w:rPr>
        <w:t>乙方所供产品的质量保证期自本项目工程竣工验收合格之日起算，不少于</w:t>
      </w:r>
      <w:r>
        <w:rPr>
          <w:rFonts w:hint="eastAsia" w:ascii="仿宋" w:hAnsi="仿宋" w:eastAsia="仿宋" w:cs="仿宋"/>
          <w:color w:val="auto"/>
          <w:sz w:val="28"/>
          <w:highlight w:val="none"/>
          <w:lang w:val="en-US" w:eastAsia="zh-CN"/>
        </w:rPr>
        <w:t>2</w:t>
      </w:r>
      <w:r>
        <w:rPr>
          <w:rFonts w:hint="eastAsia" w:ascii="仿宋" w:hAnsi="仿宋" w:eastAsia="仿宋" w:cs="仿宋"/>
          <w:color w:val="auto"/>
          <w:sz w:val="28"/>
          <w:highlight w:val="none"/>
        </w:rPr>
        <w:t>年。在质量保证期内，如出现釉面脱落、开裂、严重色变等非施工原因导致的质量问题，乙方须在接到甲方通知后24小时内响应，48小时内到场，并无偿更换、重新供货，</w:t>
      </w:r>
      <w:r>
        <w:rPr>
          <w:rFonts w:hint="eastAsia" w:ascii="仿宋" w:hAnsi="仿宋" w:eastAsia="仿宋" w:cs="仿宋"/>
          <w:color w:val="auto"/>
          <w:sz w:val="28"/>
          <w:highlight w:val="none"/>
          <w:lang w:val="en-US" w:eastAsia="zh-CN"/>
        </w:rPr>
        <w:t>同时</w:t>
      </w:r>
      <w:r>
        <w:rPr>
          <w:rFonts w:hint="eastAsia" w:ascii="仿宋" w:hAnsi="仿宋" w:eastAsia="仿宋" w:cs="仿宋"/>
          <w:color w:val="auto"/>
          <w:sz w:val="28"/>
          <w:highlight w:val="none"/>
        </w:rPr>
        <w:t>承担由此产生的一切费用（包括但不限于拆除、安装、运输费及甲方因此向</w:t>
      </w:r>
      <w:r>
        <w:rPr>
          <w:rFonts w:hint="eastAsia" w:ascii="仿宋" w:hAnsi="仿宋" w:eastAsia="仿宋" w:cs="仿宋"/>
          <w:color w:val="auto"/>
          <w:sz w:val="28"/>
          <w:highlight w:val="none"/>
          <w:lang w:val="en-US" w:eastAsia="zh-CN"/>
        </w:rPr>
        <w:t>建设单位</w:t>
      </w:r>
      <w:r>
        <w:rPr>
          <w:rFonts w:hint="eastAsia" w:ascii="仿宋" w:hAnsi="仿宋" w:eastAsia="仿宋" w:cs="仿宋"/>
          <w:color w:val="auto"/>
          <w:sz w:val="28"/>
          <w:highlight w:val="none"/>
        </w:rPr>
        <w:t>支付的违约金、赔偿金</w:t>
      </w:r>
      <w:r>
        <w:rPr>
          <w:rFonts w:hint="eastAsia" w:ascii="仿宋" w:hAnsi="仿宋" w:eastAsia="仿宋" w:cs="仿宋"/>
          <w:color w:val="auto"/>
          <w:sz w:val="28"/>
          <w:highlight w:val="none"/>
          <w:lang w:val="en-US" w:eastAsia="zh-CN"/>
        </w:rPr>
        <w:t>等）</w:t>
      </w:r>
      <w:r>
        <w:rPr>
          <w:rFonts w:hint="eastAsia" w:ascii="仿宋" w:hAnsi="仿宋" w:eastAsia="仿宋" w:cs="仿宋"/>
          <w:color w:val="auto"/>
          <w:sz w:val="28"/>
          <w:highlight w:val="none"/>
        </w:rPr>
        <w:t>。</w:t>
      </w:r>
    </w:p>
    <w:p w14:paraId="1DD49B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22D9D7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7A4459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2114D3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77835B5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35DF12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0C6DDA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7D5EC3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38B56C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722F8D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40D391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1D96DC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22A57E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400BA9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12E902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51A56F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71E214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3B760E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3CB64A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2EBF0C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7938ED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255552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686222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219963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rPr>
      </w:pPr>
    </w:p>
    <w:p w14:paraId="470FC87F">
      <w:pPr>
        <w:keepNext w:val="0"/>
        <w:keepLines w:val="0"/>
        <w:pageBreakBefore w:val="0"/>
        <w:widowControl w:val="0"/>
        <w:numPr>
          <w:ilvl w:val="0"/>
          <w:numId w:val="5"/>
        </w:numPr>
        <w:tabs>
          <w:tab w:val="left" w:pos="6272"/>
        </w:tabs>
        <w:kinsoku/>
        <w:wordWrap/>
        <w:overflowPunct/>
        <w:topLinePunct w:val="0"/>
        <w:autoSpaceDE/>
        <w:autoSpaceDN/>
        <w:bidi w:val="0"/>
        <w:adjustRightInd w:val="0"/>
        <w:snapToGrid w:val="0"/>
        <w:spacing w:line="360" w:lineRule="auto"/>
        <w:ind w:right="-578" w:rightChars="-275"/>
        <w:jc w:val="center"/>
        <w:textAlignment w:val="auto"/>
        <w:outlineLvl w:val="0"/>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pPr>
      <w:bookmarkStart w:id="120" w:name="_Toc30593"/>
      <w:bookmarkStart w:id="121" w:name="_Toc14034"/>
      <w:r>
        <w:rPr>
          <w:rFonts w:hint="eastAsia" w:ascii="仿宋_GB2312" w:hAnsi="仿宋_GB2312" w:eastAsia="仿宋_GB2312" w:cs="仿宋_GB2312"/>
          <w:b/>
          <w:bCs/>
          <w:i w:val="0"/>
          <w:iCs w:val="0"/>
          <w:color w:val="auto"/>
          <w:kern w:val="0"/>
          <w:sz w:val="32"/>
          <w:szCs w:val="32"/>
          <w:highlight w:val="none"/>
          <w:u w:val="none"/>
          <w:shd w:val="clear" w:color="auto" w:fill="auto"/>
          <w:lang w:val="en-US" w:eastAsia="zh-CN"/>
        </w:rPr>
        <w:t>合同通用条款</w:t>
      </w:r>
      <w:bookmarkEnd w:id="116"/>
      <w:bookmarkEnd w:id="117"/>
      <w:bookmarkEnd w:id="118"/>
      <w:bookmarkEnd w:id="119"/>
      <w:bookmarkEnd w:id="120"/>
      <w:bookmarkEnd w:id="121"/>
    </w:p>
    <w:p w14:paraId="7CB4FE65">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b/>
          <w:bCs/>
          <w:color w:val="auto"/>
          <w:sz w:val="28"/>
          <w:highlight w:val="none"/>
          <w:lang w:val="en-US" w:eastAsia="zh-CN"/>
        </w:rPr>
      </w:pPr>
      <w:bookmarkStart w:id="122" w:name="_Toc15533"/>
      <w:bookmarkStart w:id="123" w:name="_Toc30394"/>
      <w:r>
        <w:rPr>
          <w:rFonts w:hint="eastAsia" w:ascii="仿宋" w:hAnsi="仿宋" w:eastAsia="仿宋" w:cs="仿宋"/>
          <w:b/>
          <w:bCs/>
          <w:color w:val="auto"/>
          <w:sz w:val="28"/>
          <w:highlight w:val="none"/>
          <w:lang w:val="en-US" w:eastAsia="zh-CN"/>
        </w:rPr>
        <w:t>对账及发票要求</w:t>
      </w:r>
      <w:bookmarkEnd w:id="122"/>
      <w:bookmarkEnd w:id="123"/>
    </w:p>
    <w:p w14:paraId="2626E6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乙方对账及请款资料：甲方下料订单(即甲方发出的《物料申购单》,格式详见附件)、乙方对账单原件(结算单)、本合同复印件(含调价函)、材料签收单原件（绿联，格式详见附件）、乙方送货单原件(发货单)、材料收货水印照片、材料款申报确认表原件、付款台账汇总表原件、供应商月度对账单原件(格式详见附件)、结清承诺书原件、发票（双方对账一致后2个日历天内，乙方交齐给甲方项目部对账人员）。</w:t>
      </w:r>
    </w:p>
    <w:p w14:paraId="5380B8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1.1.1对账资料具体要求：</w:t>
      </w:r>
    </w:p>
    <w:p w14:paraId="44F778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①乙方对账单（结算单）：该单据须乙方盖章及乙方人员签名和日期，经甲方人员（甲方合同执行联系人、甲方材料员）核对无误后签名和日期，原则上款项内容处填写的对账日期应与签注的日期一致。</w:t>
      </w:r>
    </w:p>
    <w:p w14:paraId="76B0F1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color w:val="auto"/>
          <w:sz w:val="28"/>
          <w:highlight w:val="none"/>
          <w:lang w:val="en-US" w:eastAsia="zh-CN"/>
        </w:rPr>
        <w:t>②本合同复印件（含调价函）：合同复印件以双方签章完毕的为准，包括本合同及附属补充协议；调价函及调税率函以适用的为</w:t>
      </w:r>
      <w:r>
        <w:rPr>
          <w:rFonts w:hint="eastAsia" w:ascii="仿宋" w:hAnsi="仿宋" w:eastAsia="仿宋" w:cs="仿宋"/>
          <w:b w:val="0"/>
          <w:bCs w:val="0"/>
          <w:color w:val="auto"/>
          <w:sz w:val="28"/>
          <w:szCs w:val="28"/>
          <w:highlight w:val="none"/>
          <w:u w:val="none"/>
          <w:lang w:val="en-US" w:eastAsia="zh-CN"/>
        </w:rPr>
        <w:t>准，过期或者不适用的不附，以加盖甲乙双方公章的为准，不调价/不调税则不提供。</w:t>
      </w:r>
    </w:p>
    <w:p w14:paraId="524700D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材料签收单：须注明产品所用项目、地块、第几期，并如实正确填写日期、乙方全称、材料名称、品牌、规格、型号、数量及金额等信息，此单据必须有本合同约定的甲方合同执行联系人、甲方产品签收人、乙方送货员、乙方合同授权代表共同亲笔签名确认，否则无效且甲方有权不付款。此单据内容不得随意修改、涂划，若确需修改、涂划，则被修正、涂画的内容旁须有甲方合同执行联系人、甲方材料员共同签名确认，否则无效。关于甲乙双方人员（甲方合同执行联系人、甲方产品签收人、乙方送货员、乙方合同授权代表）的签名确认，甲方如有规定则按相关规定办理。甲方付款的前提条件之一是收齐了符合本合同约定的材料签收单原件（即一式三联均由甲方收齐），否则甲方有权不付款。</w:t>
      </w:r>
    </w:p>
    <w:p w14:paraId="43BC98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④乙方送货单（发货单）：此单据须盖乙方成品出货专用章及甲乙双方人员（甲方合同执行联系人、甲方材料员、乙方送货员、乙方合同授权代表）签字。</w:t>
      </w:r>
    </w:p>
    <w:p w14:paraId="105E0E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产品收货水印照片：含甲乙双方参加产品签收人员留影，产品卸货前后对比照，产品实物规格、产品全景、品牌等参数照，车辆、车牌信息照，卸货现场工程背景照，所有照片均须有水印备注，水印须有项目地址定位和拍照时间、日期。</w:t>
      </w:r>
    </w:p>
    <w:p w14:paraId="09C33B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⑥材料款申报审批表：格式详见附件。</w:t>
      </w:r>
    </w:p>
    <w:p w14:paraId="1F15AE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⑦款项支付台账：格式详见附件。</w:t>
      </w:r>
    </w:p>
    <w:p w14:paraId="734CD2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⑧结清承诺书：格式详见附件。</w:t>
      </w:r>
    </w:p>
    <w:p w14:paraId="5B0308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⑨供应商月度对账单：格式详见附件。</w:t>
      </w:r>
    </w:p>
    <w:p w14:paraId="2AC109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⑩物料申购单、送货通知单：格式详见附件。</w:t>
      </w:r>
    </w:p>
    <w:p w14:paraId="51EFAA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1.2发票要求：甲乙双方对账完成后2个日历天内，乙方开票并提交至甲方项目部，否则甲方不付款且不违约，乙方开具的发票内容须与合同约定内容一致。乙方每次开票金额必须与当次对账金额一致而非与当次请款金额一致，并按甲方要求分项目、分地块、分楼栋分别开具发票，否则视为乙方逾期提供发票给甲方，属乙方违约，甲方有权不付款。乙方逾期提供合格发票的，在提供合格发票时须同时提供“延迟付款声明函”（格式详见附件），同时甲方按签收合格发票之日起顺延相应日历天付款，不属甲方违约。甲方付款顺延相应日历天数=甲方实际签收合格发票日-甲方约定签收合格发票日。如甲方因特殊原因未收发票却已付款，但乙方逾期提供发票的，每逾期1个日历天按合同暂定总价的5%向甲方支付违约金；如乙方经甲方书面催告后、超过5个日历天仍不提供，乙方另按合同暂定总价的30%向甲方支付违约金。</w:t>
      </w:r>
      <w:r>
        <w:rPr>
          <w:rFonts w:hint="eastAsia" w:ascii="仿宋" w:hAnsi="仿宋" w:eastAsia="仿宋" w:cs="仿宋"/>
          <w:color w:val="auto"/>
          <w:sz w:val="28"/>
          <w:highlight w:val="none"/>
          <w:lang w:val="en-US" w:eastAsia="zh-CN"/>
        </w:rPr>
        <w:tab/>
      </w:r>
      <w:r>
        <w:rPr>
          <w:rFonts w:hint="eastAsia" w:ascii="仿宋" w:hAnsi="仿宋" w:eastAsia="仿宋" w:cs="仿宋"/>
          <w:color w:val="auto"/>
          <w:sz w:val="28"/>
          <w:highlight w:val="none"/>
          <w:lang w:val="en-US" w:eastAsia="zh-CN"/>
        </w:rPr>
        <w:t>1.3乙方收款账户的开户名称须与本合同乙方名称、收款发票开具单位名称一致，否则甲方有权不付款且不违约，直到乙方提供甲方认可的发票再计付款周期。如甲方发现乙方开具假发</w:t>
      </w:r>
      <w:r>
        <w:rPr>
          <w:rFonts w:hint="eastAsia" w:ascii="仿宋" w:hAnsi="仿宋" w:eastAsia="仿宋" w:cs="仿宋"/>
          <w:color w:val="auto"/>
          <w:sz w:val="28"/>
          <w:highlight w:val="none"/>
          <w:u w:val="none"/>
          <w:lang w:eastAsia="zh-CN"/>
        </w:rPr>
        <w:t>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本合同通用条款第1.2条</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014703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1.4乙方必须按税法规定的四流合一执行合同，即合同流、货物流、发票流、资金流一致，否则视为乙方违约，且由乙方承担所有责任及损失，直至满足四流合一，甲方方才付款。</w:t>
      </w:r>
    </w:p>
    <w:p w14:paraId="5FF88C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1.5乙方每次向甲方请款时，应按甲方要求注明该次请款所含的每个组团、每个地块、每栋楼具体金额，否则甲方有权不付款且不违约。</w:t>
      </w:r>
    </w:p>
    <w:p w14:paraId="2B058A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1.6乙方报送甲方的送货单、对账单等单据中，表述的各种违背本合同约定的内容均无效，乙方承诺均按本合同执行。</w:t>
      </w:r>
    </w:p>
    <w:p w14:paraId="6D3A11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1.7如甲乙双方对付款金额/结算金额产生争议，甲方有权暂缓付款且不违约，甲方无需向乙方支付违约金或利息，直至双方达成一致意见，方可按甲方相应流程办理付款手续。</w:t>
      </w:r>
    </w:p>
    <w:p w14:paraId="2C2C1C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1.8甲方支付完任一批次货款或双方完成本项目货款结算或合同款支付完毕后，视为乙方关于除质量保证金外的</w:t>
      </w:r>
      <w:r>
        <w:rPr>
          <w:rFonts w:hint="eastAsia" w:ascii="仿宋" w:hAnsi="仿宋" w:eastAsia="仿宋" w:cs="仿宋"/>
          <w:b w:val="0"/>
          <w:bCs w:val="0"/>
          <w:color w:val="auto"/>
          <w:sz w:val="28"/>
          <w:szCs w:val="28"/>
          <w:highlight w:val="none"/>
          <w:u w:val="none"/>
          <w:lang w:val="en-US" w:eastAsia="zh-CN"/>
        </w:rPr>
        <w:t>合同款收付事宜的全部权利全部消灭，乙方不得基于合同款收付事宜向甲方提出任何权利主张或追索其他任何费用。</w:t>
      </w:r>
    </w:p>
    <w:p w14:paraId="250341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1.9合同有效期内，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项目负责人、合同执行联系人、合同签约代表等），甲方财务部为办理收款的唯一部门，任何个人均无权代为收取任何款项。</w:t>
      </w:r>
    </w:p>
    <w:p w14:paraId="7A49A1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1.10乙方每次收取合同款时，当期乙方如有未付清给甲方的款项（如：罚款、违约金、代支付款、赔偿、押金等），乙方须一次性付清后，甲方方才支付当期合同款，如乙方未付清所有当期应向甲方支付的款额，则甲方付款周期顺延且属乙方违约，直至乙方付清为止。</w:t>
      </w:r>
      <w:bookmarkStart w:id="124" w:name="_Toc4846"/>
    </w:p>
    <w:p w14:paraId="098762F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bCs/>
          <w:color w:val="auto"/>
          <w:sz w:val="28"/>
          <w:highlight w:val="none"/>
          <w:lang w:val="en-US" w:eastAsia="zh-CN"/>
        </w:rPr>
        <w:t>第二章</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bCs/>
          <w:color w:val="auto"/>
          <w:sz w:val="28"/>
          <w:highlight w:val="none"/>
          <w:lang w:val="en-US" w:eastAsia="zh-CN"/>
        </w:rPr>
        <w:t>收货、验收流程及标准</w:t>
      </w:r>
      <w:bookmarkEnd w:id="124"/>
      <w:r>
        <w:rPr>
          <w:rFonts w:hint="eastAsia" w:ascii="仿宋" w:hAnsi="仿宋" w:eastAsia="仿宋" w:cs="仿宋"/>
          <w:b w:val="0"/>
          <w:bCs w:val="0"/>
          <w:color w:val="auto"/>
          <w:sz w:val="28"/>
          <w:szCs w:val="28"/>
          <w:highlight w:val="none"/>
          <w:u w:val="none"/>
          <w:lang w:val="en-US" w:eastAsia="zh-CN"/>
        </w:rPr>
        <w:t xml:space="preserve"> </w:t>
      </w:r>
    </w:p>
    <w:p w14:paraId="243579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本合同签订之日起5日内，乙方须将所有计划进入本项目施工现场的产品、材料、机械、仪表、设备等编制“订货进场计划申报清单”，并将明细报交甲方项目部核实并存档，清单须包含产品的名称、规格、型号、数量、订货时间（附合同或订货依据）、抵达乙方时间、抵达施工现场时间等内容，各方签字确认并留存，以作为各阶段进度计划的附页及退场时的核查依据。</w:t>
      </w:r>
    </w:p>
    <w:p w14:paraId="3833B0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2.2乙方选择运输产品的车辆时，须提前向甲方项目部安全员报备，选择适合的路线准时抵达，避免现场拥堵，运输车辆加产品总重不得超过现场道路限载，并须服从甲方项目人员指挥，装卸时做到安全作业。</w:t>
      </w:r>
    </w:p>
    <w:p w14:paraId="752882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2.3产品如与合同约定不符或验收不合格（遇有破损的，甲方拒收），乙方自甲方要求之日起</w:t>
      </w:r>
      <w:r>
        <w:rPr>
          <w:rFonts w:hint="eastAsia" w:ascii="仿宋" w:hAnsi="仿宋" w:eastAsia="仿宋" w:cs="仿宋"/>
          <w:color w:val="FF0000"/>
          <w:sz w:val="28"/>
          <w:highlight w:val="none"/>
          <w:lang w:val="en-US" w:eastAsia="zh-CN"/>
        </w:rPr>
        <w:t>15个日历天</w:t>
      </w:r>
      <w:r>
        <w:rPr>
          <w:rFonts w:hint="eastAsia" w:ascii="仿宋" w:hAnsi="仿宋" w:eastAsia="仿宋" w:cs="仿宋"/>
          <w:color w:val="auto"/>
          <w:sz w:val="28"/>
          <w:highlight w:val="none"/>
          <w:lang w:val="en-US" w:eastAsia="zh-CN"/>
        </w:rPr>
        <w:t>内无条件更换为符合合同要求的产品，乙方承担由此产生的费用及逾期责任；乙方不更换或更换一次仍不合格的，甲方有权单方终止合同，乙方自甲方要求之日起三个日历天内返还已收款并按当批送货金额（以乙方送货单金额为准）的200%支付违约金并赔偿甲方损失。</w:t>
      </w:r>
    </w:p>
    <w:p w14:paraId="6C3BD6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2.4乙方送货前须提前向甲方项目部告知送货司机的姓名、联系电话、车辆规格、车牌号，乙方送货单须盖乙方成品出货专用章。</w:t>
      </w:r>
    </w:p>
    <w:p w14:paraId="75FD4B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2.5每批产品进场时，乙方提供该批产品的《产品出厂合格证》《原材料检验报告》《出厂质量证明书》及政府主管部门要求的检验检测证明等相关资料给甲方，经甲方验收组工作人员核对该批产品的品牌、规格等各项参数合格后方可收货。</w:t>
      </w:r>
    </w:p>
    <w:p w14:paraId="73E28F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2.6甲方项目材料员在产品进场时，有权对产品的品牌、规格、型号、质量、数量等进行全检并拍照留存。</w:t>
      </w:r>
    </w:p>
    <w:p w14:paraId="51CD85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2.7产品如与合同约定不符（如产品的规格、型号、质量、颜色等），甲方按合同要求直接拒收、退场并做好记录备查，甲方不折价签收不符合合同要求的产品，乙方无条件更换至符合合同要求为止且货期不顺延，乙方并向甲方承担所有补救费用及支付一万元/次的违约金，甲方有权在任意一笔应付乙方的合同款中自行扣取违约金。乙方不更换或更换三次仍不合格的，甲方有权单方终止合同，乙方自甲方要求之日起三个日历天内退还全部已收款给甲方，同时按合同暂定总价的20%支付违约金并赔偿甲方损失。</w:t>
      </w:r>
    </w:p>
    <w:p w14:paraId="6BBE20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2.8乙方提供的产品必须符合现行国家及项目当地的相关规定，同时按甲方《分包单位材料管理制度》执行。 </w:t>
      </w:r>
    </w:p>
    <w:p w14:paraId="370E76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2.9乙方必须以甲方验收合格为标准，无条件接受退货、换货、重新送货，货期不得顺延。 </w:t>
      </w:r>
    </w:p>
    <w:p w14:paraId="3C4CF9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2.10乙方每批送货数量少于送货单所写数量或有破损的，甲方按缺少或破损数量的三倍扣减乙方费用，甲方的损失由乙方全部承担。</w:t>
      </w:r>
    </w:p>
    <w:p w14:paraId="571AB8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2.11产品在交货地点交接产生的过程单据，乙方的合同现场负责人须当场签名确认，否则甲方不予支付相关费用。</w:t>
      </w:r>
    </w:p>
    <w:p w14:paraId="6BDA28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2.12产品送至交货地点后，现场的外观签收结果合格为形式检验，产品质量以当地住建局认可的有资质相关检测中心检测结果为准。甲方有权要求对产品送至第三方单位（须具备相应专业资质）鉴定、检测。如鉴定结果不合格，乙方除承担鉴定、检测费用外，同时承担因不合格导致的其它一切损失及费用；鉴定结果合格的，则由甲方承担鉴定、检测费。</w:t>
      </w:r>
    </w:p>
    <w:p w14:paraId="207D86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2.13甲方收货后，若甲方对产品数量、质量等再次复查的，乙方须无条件配合，且复查结果可作为结算依据，复查程序等按甲方要求执行。乙方须派指定人员参与甲方对产品验收。</w:t>
      </w:r>
    </w:p>
    <w:p w14:paraId="22C474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2.14产品数量结算依据为甲方指定的本合同甲方执行联系人和验收组人员共同签名的签收单及甲方认可的相关资料。</w:t>
      </w:r>
    </w:p>
    <w:p w14:paraId="389A5E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2.15乙方履约过程中，报送甲方项目部签名的台班记录单、送货单、对账单等单据中，各种违背本合同约定的文字表述内容均无效，乙方承诺仍按本合同执行，但如单据约定的乙方赔偿和违约责任高于本合同约定的，则适用更高的标准。</w:t>
      </w:r>
    </w:p>
    <w:p w14:paraId="1D614E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2.16由甲方项目技术负责人及甲方材料员对进场产品组织验收，如甲方栋号施工员不能第一时间进行验收，由甲方项目技术负责人及甲方材料员组织保安组长共同进行验收并签名，栋号施工员在产品进场12小时内进行复验，验收完成后在签收单据上签名。</w:t>
      </w:r>
    </w:p>
    <w:p w14:paraId="749FD0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2.17甲方材料员按甲方规定开具签收单，一式三联，白联由甲方项目部留底，红联交至甲方财务部，绿联交乙方用于请款。</w:t>
      </w:r>
    </w:p>
    <w:p w14:paraId="0CA453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2.18所有票据、资料必须经办人亲自签名，严禁他人代签名，一旦发现则乙方向甲方支付违约金（违约金额等于代签票据所列材料金额的三倍但最少不低于伍千元/次），甲方有权在任意应付给乙方的合同款中自行扣取违约金。</w:t>
      </w:r>
    </w:p>
    <w:p w14:paraId="526C57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outlineLvl w:val="1"/>
        <w:rPr>
          <w:rFonts w:hint="eastAsia" w:ascii="仿宋" w:hAnsi="仿宋" w:eastAsia="仿宋" w:cs="仿宋"/>
          <w:b w:val="0"/>
          <w:bCs w:val="0"/>
          <w:color w:val="auto"/>
          <w:sz w:val="28"/>
          <w:highlight w:val="none"/>
          <w:u w:val="none"/>
          <w:lang w:eastAsia="zh-CN"/>
        </w:rPr>
      </w:pPr>
      <w:bookmarkStart w:id="125" w:name="_Toc27264"/>
      <w:bookmarkStart w:id="126" w:name="_Toc13131"/>
      <w:bookmarkStart w:id="127" w:name="_Toc23463"/>
      <w:bookmarkStart w:id="128" w:name="_Toc25828"/>
      <w:r>
        <w:rPr>
          <w:rFonts w:hint="eastAsia" w:ascii="仿宋" w:hAnsi="仿宋" w:eastAsia="仿宋" w:cs="仿宋"/>
          <w:b/>
          <w:bCs/>
          <w:color w:val="auto"/>
          <w:sz w:val="28"/>
          <w:highlight w:val="none"/>
          <w:u w:val="none"/>
          <w:lang w:val="en-US" w:eastAsia="zh-CN"/>
        </w:rPr>
        <w:t>第三章、保</w:t>
      </w:r>
      <w:r>
        <w:rPr>
          <w:rFonts w:hint="eastAsia" w:ascii="仿宋" w:hAnsi="仿宋" w:eastAsia="仿宋" w:cs="仿宋"/>
          <w:b/>
          <w:bCs w:val="0"/>
          <w:color w:val="auto"/>
          <w:sz w:val="28"/>
          <w:szCs w:val="28"/>
          <w:highlight w:val="none"/>
          <w:lang w:val="en-US" w:eastAsia="zh-CN"/>
        </w:rPr>
        <w:t>修</w:t>
      </w:r>
      <w:bookmarkEnd w:id="125"/>
      <w:bookmarkEnd w:id="126"/>
      <w:bookmarkEnd w:id="127"/>
      <w:bookmarkEnd w:id="128"/>
    </w:p>
    <w:p w14:paraId="04B772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3.1甲方形式验收仅查验合格证、数量、外观等，本</w:t>
      </w:r>
      <w:r>
        <w:rPr>
          <w:rFonts w:hint="eastAsia" w:ascii="仿宋" w:hAnsi="仿宋" w:eastAsia="仿宋" w:cs="仿宋"/>
          <w:color w:val="auto"/>
          <w:sz w:val="28"/>
          <w:highlight w:val="none"/>
          <w:u w:val="none"/>
          <w:lang w:val="en-US" w:eastAsia="zh-CN"/>
        </w:rPr>
        <w:t>项目经建设单位竣工验收合格后才为乙方产品验收合格</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w:t>
      </w:r>
      <w:r>
        <w:rPr>
          <w:rFonts w:hint="eastAsia" w:ascii="仿宋" w:hAnsi="仿宋" w:eastAsia="仿宋" w:cs="仿宋"/>
          <w:color w:val="auto"/>
          <w:sz w:val="28"/>
          <w:highlight w:val="none"/>
          <w:lang w:val="en-US" w:eastAsia="zh-CN"/>
        </w:rPr>
        <w:t>质量保证</w:t>
      </w:r>
      <w:r>
        <w:rPr>
          <w:rFonts w:hint="eastAsia" w:ascii="仿宋" w:hAnsi="仿宋" w:eastAsia="仿宋" w:cs="仿宋"/>
          <w:color w:val="auto"/>
          <w:sz w:val="28"/>
          <w:highlight w:val="none"/>
          <w:lang w:eastAsia="zh-CN"/>
        </w:rPr>
        <w:t>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验收合格后，质量保证期自</w:t>
      </w:r>
      <w:r>
        <w:rPr>
          <w:rFonts w:hint="eastAsia" w:ascii="仿宋" w:hAnsi="仿宋" w:eastAsia="仿宋" w:cs="仿宋"/>
          <w:color w:val="auto"/>
          <w:sz w:val="28"/>
          <w:highlight w:val="none"/>
          <w:lang w:val="en-US" w:eastAsia="zh-CN"/>
        </w:rPr>
        <w:t>甲方对质保工作验收合格之日起重新计算</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在质量保证期内，乙方对产品承担</w:t>
      </w:r>
      <w:r>
        <w:rPr>
          <w:rFonts w:hint="eastAsia" w:ascii="仿宋" w:hAnsi="仿宋" w:eastAsia="仿宋" w:cs="仿宋"/>
          <w:color w:val="auto"/>
          <w:kern w:val="2"/>
          <w:sz w:val="28"/>
          <w:szCs w:val="24"/>
          <w:highlight w:val="none"/>
          <w:lang w:val="en-US" w:eastAsia="zh-CN" w:bidi="ar"/>
        </w:rPr>
        <w:t>免费的修理、更换、退货等质量保证责任。无论合同款是否完成支付，均不影响乙方承担本合同质量保证责任及义务</w:t>
      </w:r>
      <w:r>
        <w:rPr>
          <w:rFonts w:hint="eastAsia" w:ascii="仿宋" w:hAnsi="仿宋" w:eastAsia="仿宋" w:cs="仿宋"/>
          <w:color w:val="auto"/>
          <w:sz w:val="28"/>
          <w:highlight w:val="none"/>
          <w:lang w:val="en-US" w:eastAsia="zh-CN"/>
        </w:rPr>
        <w:t>。</w:t>
      </w:r>
    </w:p>
    <w:p w14:paraId="12508B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3.2乙方按法律、法规和国家有关规定对产品在质量保证期内承担质量保证责任，本合同有更长期限约定或更高保证要求的，按本合同执行。质量保证期内，如产品或部件不能使用需维修或更换，则该产品或部件质量保证期自修复或更换之日起重新计算。 </w:t>
      </w:r>
    </w:p>
    <w:p w14:paraId="1844D2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3.3质量保证期内，若产品出现质量问题，乙方在收到甲方或使用单位通知后24小时内必须到达现场进行处理或更换。如甲乙双方共同确认非乙方原因导致问题发生，乙方仍应提供售后服务，相关费用经双方商定后由甲方承担。如乙方未准时到达现场，甲方可自行处理，乙方同时承担违约责任。甲方自行处理所耗费用另加50%由乙方收到甲方通知之日起10个日历天内支付，因此造成的损失由乙方负责全额赔偿。乙方未在24小时内到达现场的，出现的质量问题一律视为乙方原因导致。质量保证期内，由乙方原因造成的缺陷、问题和事故，乙方须负责维修、更换并承担所产生的全部费用，如乙方不维修、更换也不承担费用，甲方有权追索乙方承担违约责任及赔偿所有损失的责任，乙方维修、更换并承担相应费用后，不免除乙方对甲方/第三方的损失赔偿责任。</w:t>
      </w:r>
    </w:p>
    <w:p w14:paraId="317E1B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47C55B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3.5质量保证期届满后，甲乙双方对产品进行全面检查。乙方自费负责对检查中发现的问题予以及时处理和解决后，甲方出具质量保证合格证明文件。</w:t>
      </w:r>
    </w:p>
    <w:p w14:paraId="6B7EA2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3.6如产品在质量保证期满后发现乙方原因导致的质量问题或缺陷，乙方仍须承担修复、更换责任，必须按甲方要求无偿修复、更换并赔偿甲方因此遭受的损失，否则甲方有权另行安排第三方修复、更换，同时乙方同意甲方从与乙方签订的其他合同中直接扣款用于抵扣上述修复、更换费用和损失。甲乙双方特别约定本条款不因本合同的终止而失效。</w:t>
      </w:r>
    </w:p>
    <w:p w14:paraId="6B93CC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3.7甲方或使用单位在产品使用过程中遇到的问题，乙方须随时提供电话答疑（答疑负责人及其电话在质量保修书里注明）。凡与产品相关联的一切问题（如操作、产品的保养及维护等）都属于答疑范围，所需费用已包含在合同单价中，不另计费。</w:t>
      </w:r>
    </w:p>
    <w:p w14:paraId="08C30B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3.8乙方根据甲方需要提供现场临时指导和培训，费用已包含在合同单价中，不另计费。</w:t>
      </w:r>
    </w:p>
    <w:bookmarkEnd w:id="112"/>
    <w:p w14:paraId="72799E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1"/>
        <w:rPr>
          <w:rFonts w:hint="eastAsia" w:ascii="仿宋" w:hAnsi="仿宋" w:eastAsia="仿宋" w:cs="仿宋"/>
          <w:color w:val="auto"/>
          <w:sz w:val="28"/>
          <w:highlight w:val="none"/>
          <w:u w:val="none"/>
          <w:lang w:val="en-US" w:eastAsia="zh-CN"/>
        </w:rPr>
      </w:pPr>
      <w:bookmarkStart w:id="129" w:name="_Toc10411"/>
      <w:bookmarkStart w:id="130" w:name="_Toc27611"/>
      <w:bookmarkStart w:id="131" w:name="_Toc19479"/>
      <w:bookmarkStart w:id="132" w:name="_Toc31382"/>
      <w:r>
        <w:rPr>
          <w:rFonts w:hint="eastAsia" w:ascii="仿宋" w:hAnsi="仿宋" w:eastAsia="仿宋" w:cs="仿宋"/>
          <w:b/>
          <w:bCs/>
          <w:color w:val="auto"/>
          <w:sz w:val="28"/>
          <w:highlight w:val="none"/>
          <w:lang w:val="en-US" w:eastAsia="zh-CN"/>
        </w:rPr>
        <w:t>第四章、</w:t>
      </w:r>
      <w:r>
        <w:rPr>
          <w:rFonts w:hint="eastAsia" w:ascii="仿宋" w:hAnsi="仿宋" w:eastAsia="仿宋" w:cs="仿宋"/>
          <w:b/>
          <w:bCs/>
          <w:color w:val="auto"/>
          <w:sz w:val="28"/>
          <w:highlight w:val="none"/>
        </w:rPr>
        <w:t>违约责任</w:t>
      </w:r>
      <w:bookmarkEnd w:id="129"/>
      <w:bookmarkEnd w:id="130"/>
      <w:bookmarkEnd w:id="131"/>
      <w:bookmarkEnd w:id="132"/>
    </w:p>
    <w:p w14:paraId="68EF8B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133" w:name="_Toc6142"/>
      <w:bookmarkStart w:id="134" w:name="_Toc3719"/>
      <w:bookmarkStart w:id="135" w:name="_Toc6525"/>
      <w:bookmarkStart w:id="136" w:name="_Toc12372"/>
      <w:bookmarkStart w:id="137" w:name="_Toc4433"/>
      <w:bookmarkStart w:id="138" w:name="_Toc23129"/>
      <w:bookmarkStart w:id="139" w:name="_Toc29740"/>
      <w:bookmarkStart w:id="140" w:name="_Toc18737"/>
      <w:r>
        <w:rPr>
          <w:rFonts w:hint="eastAsia" w:ascii="仿宋" w:hAnsi="仿宋" w:eastAsia="仿宋" w:cs="仿宋"/>
          <w:color w:val="auto"/>
          <w:sz w:val="28"/>
          <w:highlight w:val="none"/>
          <w:lang w:val="en-US" w:eastAsia="zh-CN"/>
        </w:rPr>
        <w:t>4.1乙方逾期交齐任意一批合格产品（含随品、配件、产品说明书、操作手册、质量证明资料等）给甲方的，每逾期一个日历天（不可抗力因素除外），属乙方违约，乙方向甲方支付5000元违约金；逾期两个日历天及以上的，属乙方严重违约，甲方有权不通知乙方即另行向他人采购产品，同时甲方有权单方解除合同，乙方还应赔偿甲方的损失。</w:t>
      </w:r>
    </w:p>
    <w:p w14:paraId="13F20A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4.2</w:t>
      </w:r>
      <w:r>
        <w:rPr>
          <w:rFonts w:hint="eastAsia" w:ascii="仿宋" w:hAnsi="仿宋" w:eastAsia="仿宋" w:cs="仿宋"/>
          <w:color w:val="auto"/>
          <w:sz w:val="28"/>
          <w:highlight w:val="none"/>
          <w:u w:val="none"/>
          <w:lang w:val="en-US" w:eastAsia="zh-CN"/>
        </w:rPr>
        <w:t>乙方产品出现质量问题或缺陷或不符合合同约定的，除按本合同约定进行更换、维修外，每出现一次，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w:t>
      </w:r>
      <w:r>
        <w:rPr>
          <w:rFonts w:hint="eastAsia" w:ascii="仿宋" w:hAnsi="仿宋" w:eastAsia="仿宋" w:cs="仿宋"/>
          <w:color w:val="auto"/>
          <w:sz w:val="28"/>
          <w:highlight w:val="none"/>
          <w:u w:val="none" w:color="auto"/>
          <w:lang w:val="en-US" w:eastAsia="zh-CN"/>
        </w:rPr>
        <w:t>等于该批产品总价10%的违约金</w:t>
      </w:r>
      <w:r>
        <w:rPr>
          <w:rFonts w:hint="eastAsia" w:ascii="仿宋" w:hAnsi="仿宋" w:eastAsia="仿宋" w:cs="仿宋"/>
          <w:color w:val="auto"/>
          <w:sz w:val="28"/>
          <w:highlight w:val="none"/>
          <w:u w:val="none"/>
          <w:lang w:val="en-US" w:eastAsia="zh-CN"/>
        </w:rPr>
        <w:t>，且甲方有权退货、单方解除合同，产生的全部责任和经济损失由乙方承担；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112DC3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4.3若乙方所交产品品种、品牌、规格、型号、质量、材质等不符合合同要求，属乙方违约，由乙方负责无偿更换或退货，并承担退货更换所涉及的一切费用和损失。</w:t>
      </w:r>
    </w:p>
    <w:p w14:paraId="4D4697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4.4乙方履约过程中如有弄虚作假等欺骗行为，属乙方违约，每次向甲方另行支付至少金额等于合同暂定总价30%的违约金。</w:t>
      </w:r>
      <w:r>
        <w:rPr>
          <w:rFonts w:hint="eastAsia" w:ascii="仿宋" w:hAnsi="仿宋" w:eastAsia="仿宋" w:cs="仿宋"/>
          <w:color w:val="auto"/>
          <w:sz w:val="28"/>
          <w:highlight w:val="none"/>
          <w:lang w:val="en-US" w:eastAsia="zh-CN"/>
        </w:rPr>
        <w:tab/>
      </w:r>
    </w:p>
    <w:p w14:paraId="14AD15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4.5合同履行期间，乙方必须服从甲方的安排，否则属乙方违约，甲方有权对乙方收取违约金。</w:t>
      </w:r>
      <w:r>
        <w:rPr>
          <w:rFonts w:hint="eastAsia" w:ascii="仿宋" w:hAnsi="仿宋" w:eastAsia="仿宋" w:cs="仿宋"/>
          <w:color w:val="auto"/>
          <w:sz w:val="28"/>
          <w:highlight w:val="none"/>
          <w:lang w:val="en-US" w:eastAsia="zh-CN"/>
        </w:rPr>
        <w:tab/>
      </w:r>
      <w:r>
        <w:rPr>
          <w:rFonts w:hint="eastAsia" w:ascii="仿宋" w:hAnsi="仿宋" w:eastAsia="仿宋" w:cs="仿宋"/>
          <w:color w:val="auto"/>
          <w:sz w:val="28"/>
          <w:highlight w:val="none"/>
          <w:lang w:val="en-US" w:eastAsia="zh-CN"/>
        </w:rPr>
        <w:tab/>
      </w:r>
    </w:p>
    <w:p w14:paraId="1F8648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4.6乙方违反本合同</w:t>
      </w:r>
      <w:r>
        <w:rPr>
          <w:rFonts w:hint="eastAsia" w:ascii="仿宋" w:hAnsi="仿宋" w:eastAsia="仿宋" w:cs="仿宋"/>
          <w:color w:val="auto"/>
          <w:sz w:val="28"/>
          <w:highlight w:val="none"/>
          <w:u w:val="none"/>
          <w:lang w:val="en-US" w:eastAsia="zh-CN"/>
        </w:rPr>
        <w:t>任何约定均属违约，乙方除按相应条款承担包括但不</w:t>
      </w:r>
      <w:r>
        <w:rPr>
          <w:rFonts w:hint="eastAsia" w:ascii="仿宋" w:hAnsi="仿宋" w:eastAsia="仿宋" w:cs="仿宋"/>
          <w:color w:val="auto"/>
          <w:sz w:val="28"/>
          <w:highlight w:val="none"/>
          <w:lang w:val="en-US" w:eastAsia="zh-CN"/>
        </w:rPr>
        <w:t>限于以上所述的违约责任外，甲方可随时单方解除合同，同时乙方赔偿甲方因此遭受的直接损失。</w:t>
      </w:r>
    </w:p>
    <w:p w14:paraId="77D74A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4.7乙方违反本合同约定给甲方造成损失的，除按本合同约定承担违约责任外，甲方有权直接从任意与乙方相关的合同中直接扣除乙方应承担的违约金、罚款等费用，如所扣款项不足补偿甲方损失，乙方在甲方通知之日起七个日历天内补齐给甲方，且甲方向乙方追偿责任所产生的律师费、诉讼费、鉴定费、财产保全及相关担保费由乙方全额承担。</w:t>
      </w:r>
    </w:p>
    <w:p w14:paraId="480D03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w:t>
      </w:r>
      <w:r>
        <w:rPr>
          <w:rFonts w:hint="default" w:ascii="仿宋" w:hAnsi="仿宋" w:eastAsia="仿宋" w:cs="仿宋"/>
          <w:color w:val="auto"/>
          <w:sz w:val="28"/>
          <w:highlight w:val="none"/>
          <w:lang w:val="en-US" w:eastAsia="zh-CN"/>
        </w:rPr>
        <w:t>.</w:t>
      </w:r>
      <w:r>
        <w:rPr>
          <w:rFonts w:hint="eastAsia" w:ascii="仿宋" w:hAnsi="仿宋" w:eastAsia="仿宋" w:cs="仿宋"/>
          <w:color w:val="auto"/>
          <w:sz w:val="28"/>
          <w:highlight w:val="none"/>
          <w:lang w:val="en-US" w:eastAsia="zh-CN"/>
        </w:rPr>
        <w:t>8基于本项目的特殊性，乙方已充分了解其供货责任并自愿承担相应风险，合同所约定的违约金标准经双方友好协商确定，乙方同意不对违约金标准提出任何主张或抗辩。</w:t>
      </w:r>
    </w:p>
    <w:p w14:paraId="48B46D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4.9本合同履行过程中涉及的送货单、提货单、出入库单等类似单据、小票仅作为确认双方产品数量的依据</w:t>
      </w:r>
      <w:r>
        <w:rPr>
          <w:rFonts w:hint="eastAsia" w:ascii="仿宋" w:hAnsi="仿宋" w:eastAsia="仿宋" w:cs="仿宋"/>
          <w:color w:val="auto"/>
          <w:sz w:val="28"/>
          <w:highlight w:val="none"/>
          <w:u w:val="none"/>
          <w:lang w:eastAsia="zh-CN"/>
        </w:rPr>
        <w:t>。单据、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w:t>
      </w:r>
      <w:r>
        <w:rPr>
          <w:rFonts w:hint="eastAsia" w:ascii="仿宋" w:hAnsi="仿宋" w:eastAsia="仿宋" w:cs="仿宋"/>
          <w:color w:val="auto"/>
          <w:sz w:val="28"/>
          <w:highlight w:val="none"/>
          <w:lang w:val="en-US" w:eastAsia="zh-CN"/>
        </w:rPr>
        <w:t>责任等事项与本合同约定不一致的，乙方确认以本合同条款为准，但如约定的乙方赔偿和违约责任标准高于本合同约定，则适用更高标准。</w:t>
      </w:r>
    </w:p>
    <w:p w14:paraId="1D3B57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4.10本合同有效期内，因乙方原因造成产品质量、安全文明措施等无法满足甲方及规范要求的，乙方须提供不属于其责任的证明并得到甲方的书面认可，否则乙方违约并承担5000元以上/次的违约金，全部责任、费用和损失由乙方承担。如果乙方因此导致对本项目停止供货的，属乙方违约，乙方将对甲方以不低于伍万元/次的违约金支付给甲方，甲方可以从乙方相关的任意款项中扣款，同时，甲方有权解除合同，产生的全部损失由乙方承担。</w:t>
      </w:r>
    </w:p>
    <w:p w14:paraId="31FE661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4.11乙方原因导致甲方或本项目被相关部门处罚、停工、扣分的，甲方有权就：被停工的计收乙方违约金伍万元/次、被扣分的计收违约金壹万元/分及贰万元/次，因此产生的全部损失及费用由乙方赔偿甲方。</w:t>
      </w:r>
    </w:p>
    <w:p w14:paraId="23C3C8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4.12</w:t>
      </w:r>
      <w:r>
        <w:rPr>
          <w:rFonts w:hint="default" w:ascii="仿宋" w:hAnsi="仿宋" w:eastAsia="仿宋" w:cs="仿宋"/>
          <w:color w:val="auto"/>
          <w:sz w:val="28"/>
          <w:highlight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color w:val="auto"/>
          <w:sz w:val="28"/>
          <w:highlight w:val="none"/>
          <w:lang w:val="en-US" w:eastAsia="zh-CN"/>
        </w:rPr>
        <w:t>；</w:t>
      </w:r>
      <w:r>
        <w:rPr>
          <w:rFonts w:hint="default" w:ascii="仿宋" w:hAnsi="仿宋" w:eastAsia="仿宋" w:cs="仿宋"/>
          <w:color w:val="auto"/>
          <w:sz w:val="28"/>
          <w:highlight w:val="none"/>
          <w:lang w:val="en-US" w:eastAsia="zh-CN"/>
        </w:rPr>
        <w:t>若因乙方拖欠工人工资或货款，导致媒体曝光或政府部门介入的，乙方另向甲方支付违约金不少于100000元/次。</w:t>
      </w:r>
    </w:p>
    <w:p w14:paraId="21054A4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4.13</w:t>
      </w:r>
      <w:r>
        <w:rPr>
          <w:rFonts w:hint="default" w:ascii="仿宋" w:hAnsi="仿宋" w:eastAsia="仿宋" w:cs="仿宋"/>
          <w:color w:val="auto"/>
          <w:sz w:val="28"/>
          <w:highlight w:val="none"/>
          <w:lang w:val="en-US" w:eastAsia="zh-CN"/>
        </w:rPr>
        <w:t>因乙方原因导致甲方被起诉的，乙方除赔偿甲方损失外，甲方每被起诉一次，乙方向甲方支付五万元的违约金。若</w:t>
      </w:r>
      <w:r>
        <w:rPr>
          <w:rFonts w:hint="eastAsia" w:ascii="仿宋" w:hAnsi="仿宋" w:eastAsia="仿宋" w:cs="仿宋"/>
          <w:color w:val="auto"/>
          <w:sz w:val="28"/>
          <w:highlight w:val="none"/>
          <w:lang w:val="en-US" w:eastAsia="zh-CN"/>
        </w:rPr>
        <w:t>乙方</w:t>
      </w:r>
      <w:r>
        <w:rPr>
          <w:rFonts w:hint="default" w:ascii="仿宋" w:hAnsi="仿宋" w:eastAsia="仿宋" w:cs="仿宋"/>
          <w:color w:val="auto"/>
          <w:sz w:val="28"/>
          <w:highlight w:val="none"/>
          <w:lang w:val="en-US" w:eastAsia="zh-CN"/>
        </w:rPr>
        <w:t>导致甲方</w:t>
      </w:r>
      <w:r>
        <w:rPr>
          <w:rFonts w:hint="eastAsia" w:ascii="仿宋" w:hAnsi="仿宋" w:eastAsia="仿宋" w:cs="仿宋"/>
          <w:color w:val="auto"/>
          <w:sz w:val="28"/>
          <w:highlight w:val="none"/>
          <w:lang w:val="en-US" w:eastAsia="zh-CN"/>
        </w:rPr>
        <w:t>资金</w:t>
      </w:r>
      <w:r>
        <w:rPr>
          <w:rFonts w:hint="default" w:ascii="仿宋" w:hAnsi="仿宋" w:eastAsia="仿宋" w:cs="仿宋"/>
          <w:color w:val="auto"/>
          <w:sz w:val="28"/>
          <w:highlight w:val="none"/>
          <w:lang w:val="en-US" w:eastAsia="zh-CN"/>
        </w:rPr>
        <w:t>账</w:t>
      </w:r>
      <w:r>
        <w:rPr>
          <w:rFonts w:hint="eastAsia" w:ascii="仿宋" w:hAnsi="仿宋" w:eastAsia="仿宋" w:cs="仿宋"/>
          <w:color w:val="auto"/>
          <w:sz w:val="28"/>
          <w:highlight w:val="none"/>
          <w:lang w:val="en-US" w:eastAsia="zh-CN"/>
        </w:rPr>
        <w:t>户</w:t>
      </w:r>
      <w:r>
        <w:rPr>
          <w:rFonts w:hint="default" w:ascii="仿宋" w:hAnsi="仿宋" w:eastAsia="仿宋" w:cs="仿宋"/>
          <w:color w:val="auto"/>
          <w:sz w:val="28"/>
          <w:highlight w:val="none"/>
          <w:lang w:val="en-US" w:eastAsia="zh-CN"/>
        </w:rPr>
        <w:t>被冻结，乙方还</w:t>
      </w:r>
      <w:r>
        <w:rPr>
          <w:rFonts w:hint="eastAsia" w:ascii="仿宋" w:hAnsi="仿宋" w:eastAsia="仿宋" w:cs="仿宋"/>
          <w:color w:val="auto"/>
          <w:sz w:val="28"/>
          <w:highlight w:val="none"/>
          <w:lang w:val="en-US" w:eastAsia="zh-CN"/>
        </w:rPr>
        <w:t>须</w:t>
      </w:r>
      <w:r>
        <w:rPr>
          <w:rFonts w:hint="default" w:ascii="仿宋" w:hAnsi="仿宋" w:eastAsia="仿宋" w:cs="仿宋"/>
          <w:color w:val="auto"/>
          <w:sz w:val="28"/>
          <w:highlight w:val="none"/>
          <w:lang w:val="en-US" w:eastAsia="zh-CN"/>
        </w:rPr>
        <w:t>按冻结资金总额的日千分之一向甲方支付利息</w:t>
      </w:r>
      <w:r>
        <w:rPr>
          <w:rFonts w:hint="eastAsia" w:ascii="仿宋" w:hAnsi="仿宋" w:eastAsia="仿宋" w:cs="仿宋"/>
          <w:color w:val="auto"/>
          <w:sz w:val="28"/>
          <w:highlight w:val="none"/>
          <w:lang w:val="en-US" w:eastAsia="zh-CN"/>
        </w:rPr>
        <w:t>，</w:t>
      </w:r>
      <w:r>
        <w:rPr>
          <w:rFonts w:hint="default" w:ascii="仿宋" w:hAnsi="仿宋" w:eastAsia="仿宋" w:cs="仿宋"/>
          <w:color w:val="auto"/>
          <w:sz w:val="28"/>
          <w:highlight w:val="none"/>
          <w:lang w:val="en-US" w:eastAsia="zh-CN"/>
        </w:rPr>
        <w:t>乙方</w:t>
      </w:r>
      <w:r>
        <w:rPr>
          <w:rFonts w:hint="eastAsia" w:ascii="仿宋" w:hAnsi="仿宋" w:eastAsia="仿宋" w:cs="仿宋"/>
          <w:color w:val="auto"/>
          <w:sz w:val="28"/>
          <w:highlight w:val="none"/>
          <w:lang w:val="en-US" w:eastAsia="zh-CN"/>
        </w:rPr>
        <w:t>同时赔偿</w:t>
      </w:r>
      <w:r>
        <w:rPr>
          <w:rFonts w:hint="default" w:ascii="仿宋" w:hAnsi="仿宋" w:eastAsia="仿宋" w:cs="仿宋"/>
          <w:color w:val="auto"/>
          <w:sz w:val="28"/>
          <w:highlight w:val="none"/>
          <w:lang w:val="en-US" w:eastAsia="zh-CN"/>
        </w:rPr>
        <w:t>甲方遭受的所有损失，并</w:t>
      </w:r>
      <w:r>
        <w:rPr>
          <w:rFonts w:hint="eastAsia" w:ascii="仿宋" w:hAnsi="仿宋" w:eastAsia="仿宋" w:cs="仿宋"/>
          <w:color w:val="auto"/>
          <w:sz w:val="28"/>
          <w:highlight w:val="none"/>
          <w:lang w:val="en-US" w:eastAsia="zh-CN"/>
        </w:rPr>
        <w:t>按</w:t>
      </w:r>
      <w:r>
        <w:rPr>
          <w:rFonts w:hint="default" w:ascii="仿宋" w:hAnsi="仿宋" w:eastAsia="仿宋" w:cs="仿宋"/>
          <w:color w:val="auto"/>
          <w:sz w:val="28"/>
          <w:highlight w:val="none"/>
          <w:lang w:val="en-US" w:eastAsia="zh-CN"/>
        </w:rPr>
        <w:t>账</w:t>
      </w:r>
      <w:r>
        <w:rPr>
          <w:rFonts w:hint="eastAsia" w:ascii="仿宋" w:hAnsi="仿宋" w:eastAsia="仿宋" w:cs="仿宋"/>
          <w:color w:val="auto"/>
          <w:sz w:val="28"/>
          <w:highlight w:val="none"/>
          <w:lang w:val="en-US" w:eastAsia="zh-CN"/>
        </w:rPr>
        <w:t>户</w:t>
      </w:r>
      <w:r>
        <w:rPr>
          <w:rFonts w:hint="default" w:ascii="仿宋" w:hAnsi="仿宋" w:eastAsia="仿宋" w:cs="仿宋"/>
          <w:color w:val="auto"/>
          <w:sz w:val="28"/>
          <w:highlight w:val="none"/>
          <w:lang w:val="en-US" w:eastAsia="zh-CN"/>
        </w:rPr>
        <w:t>被冻结次数每次额外向甲方</w:t>
      </w:r>
      <w:r>
        <w:rPr>
          <w:rFonts w:hint="eastAsia" w:ascii="仿宋" w:hAnsi="仿宋" w:eastAsia="仿宋" w:cs="仿宋"/>
          <w:color w:val="auto"/>
          <w:sz w:val="28"/>
          <w:highlight w:val="none"/>
          <w:lang w:val="en-US" w:eastAsia="zh-CN"/>
        </w:rPr>
        <w:t>支付</w:t>
      </w:r>
      <w:r>
        <w:rPr>
          <w:rFonts w:hint="default" w:ascii="仿宋" w:hAnsi="仿宋" w:eastAsia="仿宋" w:cs="仿宋"/>
          <w:color w:val="auto"/>
          <w:sz w:val="28"/>
          <w:highlight w:val="none"/>
          <w:lang w:val="en-US" w:eastAsia="zh-CN"/>
        </w:rPr>
        <w:t>50000元违约金。</w:t>
      </w:r>
    </w:p>
    <w:p w14:paraId="21BE26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乙方原因造成本项目工程质量达不到本合同约定的质量标准或出现影响使用功能和工程结构安全，即使通过技术整改措施仍然无法达到设计要求等永久质量问题的，无论是否在质量保证期内，乙方须无条件返工/供货至合格为止，并赔偿甲方因此遭受的一切损失。若该永久质量问题无法满足设计及合同约定质量标准，但甲方和本项目建设单位接受现状质量的，乙方仍须承担违约责任，自愿支付不合格部位造价20%以上的违约金，同时另向甲方支付5000元以上/次的违约金。</w:t>
      </w:r>
    </w:p>
    <w:p w14:paraId="1E2095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4.15对乙方不按合同约定时间向甲方申报其工人工资资料等行为，甲方有权对乙方收取违约金，每逾期一天的违约金不少于伍佰元/人(按乙方在本项目现场工作人员数量计)。</w:t>
      </w:r>
    </w:p>
    <w:p w14:paraId="67C1B2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4.16</w:t>
      </w:r>
      <w:r>
        <w:rPr>
          <w:rFonts w:hint="default" w:ascii="仿宋" w:hAnsi="仿宋" w:eastAsia="仿宋" w:cs="仿宋"/>
          <w:color w:val="auto"/>
          <w:sz w:val="28"/>
          <w:highlight w:val="none"/>
          <w:lang w:val="en-US" w:eastAsia="zh-CN"/>
        </w:rPr>
        <w:t>乙方人员须接受甲方及工地管理人员的合理指挥，主动与施工单位做好配合。乙方须严格遵守甲方项目规章制度及工地安全生产要求，按照本项目安全施工规范进行作业，否则由此引发的一切安全事故及全部费用均由乙方负责。</w:t>
      </w:r>
    </w:p>
    <w:p w14:paraId="7A28B6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4.17乙方须有本项目所在地政府主管部门认可的相应专业资质和承担本合同义务、责任所需的经济实力并须提供相关资质资料给甲方。如因乙方资质等问题导致甲方被相关部门处罚，因此产生的全部损失及费用由乙方承担。合同有效期内，乙方须确保自身持续具备履行合同义务的合法资质资格（尤其须符合政府主管部门的要求），否则甲方有权：①自乙方不具备合法资质、资格之日起，乙方向甲方支付违约金人民币伍佰元/天，直至乙方恢复相关资质、资格；②甲方单方解除合同并收回所有已付款项。</w:t>
      </w:r>
    </w:p>
    <w:p w14:paraId="2BE774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4.18合同有效期内，乙方必须服从甲方正常工作安排，否则属乙方违约，甲方有权对乙方收取违约金。乙方承诺，确保按合同约定供货，乙方不以任何理由停止供货，如停止供货属乙方违约，乙方自愿支付不少于伍万元/次违约金给甲方。</w:t>
      </w:r>
    </w:p>
    <w:p w14:paraId="2298B5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4.19</w:t>
      </w:r>
      <w:r>
        <w:rPr>
          <w:rFonts w:hint="default" w:ascii="仿宋" w:hAnsi="仿宋" w:eastAsia="仿宋" w:cs="仿宋"/>
          <w:color w:val="auto"/>
          <w:sz w:val="28"/>
          <w:highlight w:val="none"/>
          <w:lang w:val="en-US" w:eastAsia="zh-CN"/>
        </w:rPr>
        <w:t>本合同</w:t>
      </w:r>
      <w:r>
        <w:rPr>
          <w:rFonts w:hint="eastAsia" w:ascii="仿宋" w:hAnsi="仿宋" w:eastAsia="仿宋" w:cs="仿宋"/>
          <w:color w:val="auto"/>
          <w:sz w:val="28"/>
          <w:highlight w:val="none"/>
          <w:lang w:val="en-US" w:eastAsia="zh-CN"/>
        </w:rPr>
        <w:t>有效</w:t>
      </w:r>
      <w:r>
        <w:rPr>
          <w:rFonts w:hint="default" w:ascii="仿宋" w:hAnsi="仿宋" w:eastAsia="仿宋" w:cs="仿宋"/>
          <w:color w:val="auto"/>
          <w:sz w:val="28"/>
          <w:highlight w:val="none"/>
          <w:lang w:val="en-US" w:eastAsia="zh-CN"/>
        </w:rPr>
        <w:t>期内，若乙方发生2次不能及时提供</w:t>
      </w:r>
      <w:r>
        <w:rPr>
          <w:rFonts w:hint="eastAsia" w:ascii="仿宋" w:hAnsi="仿宋" w:eastAsia="仿宋" w:cs="仿宋"/>
          <w:color w:val="auto"/>
          <w:sz w:val="28"/>
          <w:highlight w:val="none"/>
          <w:lang w:val="en-US" w:eastAsia="zh-CN"/>
        </w:rPr>
        <w:t>产品</w:t>
      </w:r>
      <w:r>
        <w:rPr>
          <w:rFonts w:hint="default" w:ascii="仿宋" w:hAnsi="仿宋" w:eastAsia="仿宋" w:cs="仿宋"/>
          <w:color w:val="auto"/>
          <w:sz w:val="28"/>
          <w:highlight w:val="none"/>
          <w:lang w:val="en-US" w:eastAsia="zh-CN"/>
        </w:rPr>
        <w:t>的情况，则甲方有权单方解除合同，一切损失由乙方自行承担。</w:t>
      </w:r>
    </w:p>
    <w:p w14:paraId="158093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4.20</w:t>
      </w:r>
      <w:r>
        <w:rPr>
          <w:rFonts w:hint="default" w:ascii="仿宋" w:hAnsi="仿宋" w:eastAsia="仿宋" w:cs="仿宋"/>
          <w:color w:val="auto"/>
          <w:sz w:val="28"/>
          <w:highlight w:val="none"/>
          <w:lang w:val="en-US" w:eastAsia="zh-CN"/>
        </w:rPr>
        <w:t>乙方必须为其设备及人员购买社会保险及人身意外伤害保险，有关费用已包含在本合同价格中，甲方无需另行支付费用给乙方。因各种原因导致乙方需要延长保险期所需增加的保险费由乙方自行承担，其费用已包含在本合同约定价格内，凡在合同履行期间由乙方原因导致的一切安全及质量事故，属乙方责任，所有损失及费用由乙方承担。</w:t>
      </w:r>
    </w:p>
    <w:p w14:paraId="5E616E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4.21</w:t>
      </w:r>
      <w:r>
        <w:rPr>
          <w:rFonts w:hint="default" w:ascii="仿宋" w:hAnsi="仿宋" w:eastAsia="仿宋" w:cs="仿宋"/>
          <w:color w:val="auto"/>
          <w:sz w:val="28"/>
          <w:highlight w:val="none"/>
          <w:lang w:val="en-US" w:eastAsia="zh-CN"/>
        </w:rPr>
        <w:t>无论乙方有无按照本合同约定办理相关保险事宜，乙方人员或因乙方原因导致在本项目范围内发生的伤亡事故，均由乙方承担责任和费用。</w:t>
      </w:r>
    </w:p>
    <w:p w14:paraId="5F8E1D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4.23</w:t>
      </w:r>
      <w:r>
        <w:rPr>
          <w:rFonts w:hint="eastAsia" w:ascii="仿宋" w:hAnsi="仿宋" w:eastAsia="仿宋" w:cs="仿宋"/>
          <w:color w:val="auto"/>
          <w:sz w:val="28"/>
          <w:highlight w:val="none"/>
        </w:rPr>
        <w:t>合同</w:t>
      </w:r>
      <w:r>
        <w:rPr>
          <w:rFonts w:hint="eastAsia" w:ascii="仿宋" w:hAnsi="仿宋" w:eastAsia="仿宋" w:cs="仿宋"/>
          <w:color w:val="auto"/>
          <w:sz w:val="28"/>
          <w:highlight w:val="none"/>
          <w:lang w:val="en-US" w:eastAsia="zh-CN"/>
        </w:rPr>
        <w:t>有效期内</w:t>
      </w:r>
      <w:r>
        <w:rPr>
          <w:rFonts w:hint="eastAsia" w:ascii="仿宋" w:hAnsi="仿宋" w:eastAsia="仿宋" w:cs="仿宋"/>
          <w:color w:val="auto"/>
          <w:sz w:val="28"/>
          <w:highlight w:val="none"/>
        </w:rPr>
        <w:t>，因乙方原因导致建设单位或其他部门对甲方进行处罚扣款的，乙方按该处罚金额的2倍</w:t>
      </w:r>
      <w:r>
        <w:rPr>
          <w:rFonts w:hint="eastAsia" w:ascii="仿宋" w:hAnsi="仿宋" w:eastAsia="仿宋" w:cs="仿宋"/>
          <w:color w:val="auto"/>
          <w:sz w:val="28"/>
          <w:highlight w:val="none"/>
          <w:lang w:eastAsia="zh-CN"/>
        </w:rPr>
        <w:t>向甲方支付违约金。</w:t>
      </w:r>
    </w:p>
    <w:p w14:paraId="4EC383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color w:val="auto"/>
          <w:sz w:val="28"/>
          <w:highlight w:val="none"/>
          <w:u w:val="none"/>
        </w:rPr>
      </w:pPr>
      <w:r>
        <w:rPr>
          <w:rFonts w:hint="eastAsia" w:ascii="仿宋" w:hAnsi="仿宋" w:eastAsia="仿宋" w:cs="仿宋"/>
          <w:b/>
          <w:bCs/>
          <w:color w:val="auto"/>
          <w:sz w:val="28"/>
          <w:highlight w:val="none"/>
          <w:lang w:val="en-US" w:eastAsia="zh-CN"/>
        </w:rPr>
        <w:t>第五章、</w:t>
      </w:r>
      <w:r>
        <w:rPr>
          <w:rFonts w:hint="eastAsia" w:ascii="仿宋" w:hAnsi="仿宋" w:eastAsia="仿宋" w:cs="仿宋"/>
          <w:b/>
          <w:bCs/>
          <w:color w:val="auto"/>
          <w:sz w:val="28"/>
          <w:highlight w:val="none"/>
          <w:u w:val="none"/>
        </w:rPr>
        <w:t>廉洁条款</w:t>
      </w:r>
      <w:bookmarkEnd w:id="133"/>
      <w:bookmarkEnd w:id="134"/>
      <w:bookmarkEnd w:id="135"/>
      <w:bookmarkEnd w:id="136"/>
      <w:bookmarkEnd w:id="137"/>
      <w:bookmarkEnd w:id="138"/>
      <w:bookmarkEnd w:id="139"/>
      <w:bookmarkEnd w:id="140"/>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176AEB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141" w:name="_Toc25006"/>
      <w:bookmarkStart w:id="142" w:name="_Toc100"/>
      <w:bookmarkStart w:id="143" w:name="_Toc16121"/>
      <w:bookmarkStart w:id="144" w:name="_Toc27905"/>
      <w:bookmarkStart w:id="145" w:name="_Toc14237"/>
      <w:bookmarkStart w:id="146" w:name="_Toc28398"/>
      <w:bookmarkStart w:id="147" w:name="_Toc1615"/>
      <w:r>
        <w:rPr>
          <w:rFonts w:hint="eastAsia" w:ascii="仿宋" w:hAnsi="仿宋" w:eastAsia="仿宋" w:cs="仿宋"/>
          <w:color w:val="auto"/>
          <w:sz w:val="28"/>
          <w:highlight w:val="none"/>
          <w:lang w:val="en-US" w:eastAsia="zh-CN"/>
        </w:rPr>
        <w:t>5.1乙方在与甲方合作期间（包括本合同招采、签约、履约期间），不得向甲方职员提供请吃、送礼、旅游、色情服务、行贿、回扣或其他不正当利益，如有违反，乙方每次向甲方支付人民币十万元作为违约金（甲方可从任意一笔合同款中扣款），造成甲方经济或其他损失的，乙方全额赔偿，且甲方有权单方解除本合同。</w:t>
      </w:r>
    </w:p>
    <w:p w14:paraId="3ACF70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5.2甲乙双方管理人员有权拒绝执行合同以外的违法要求。甲方发现乙方向甲方人员或甲方委托的其他人员行贿或输送不正当利益的，甲方有权对乙方进行处罚并单方解除合同，对所发生的工程量/工作量/产品数量不予结算及不支付费用。</w:t>
      </w:r>
    </w:p>
    <w:p w14:paraId="0E73CA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5.3如甲方发现乙方可能存在违反廉洁条款的行为时，甲方有权暂扣违约金/争议材料款/处罚款等对应等额的合同款，直至调查完毕后根据调查结果再作处理，甲方暂不付款的行为不违约。</w:t>
      </w:r>
    </w:p>
    <w:bookmarkEnd w:id="141"/>
    <w:p w14:paraId="08F5DDD6">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第六章、甲乙双方联系人权限</w:t>
      </w:r>
      <w:bookmarkEnd w:id="142"/>
      <w:bookmarkEnd w:id="143"/>
      <w:bookmarkEnd w:id="144"/>
      <w:bookmarkEnd w:id="145"/>
      <w:bookmarkEnd w:id="146"/>
      <w:bookmarkEnd w:id="147"/>
    </w:p>
    <w:p w14:paraId="60FCDA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bookmarkStart w:id="148" w:name="_Toc23058"/>
      <w:bookmarkStart w:id="149" w:name="_Toc32691"/>
      <w:bookmarkStart w:id="150" w:name="_Toc20238"/>
      <w:bookmarkStart w:id="151" w:name="_Toc8151"/>
      <w:bookmarkStart w:id="152" w:name="_Toc2216"/>
      <w:bookmarkStart w:id="153" w:name="_Toc31201"/>
      <w:bookmarkStart w:id="154" w:name="_Toc15406"/>
      <w:bookmarkStart w:id="155" w:name="_Toc28082"/>
      <w:bookmarkStart w:id="156" w:name="_Toc14570"/>
      <w:r>
        <w:rPr>
          <w:rFonts w:hint="eastAsia" w:ascii="仿宋" w:hAnsi="仿宋" w:eastAsia="仿宋" w:cs="仿宋"/>
          <w:color w:val="auto"/>
          <w:sz w:val="28"/>
          <w:highlight w:val="none"/>
          <w:lang w:val="en-US" w:eastAsia="zh-CN"/>
        </w:rPr>
        <w:t>6.1甲方对乙方发出的业务通知等文件，须经甲方项目负责人及合同执行联系人签名并加盖甲方项目章（样式详见附件）方为有效，否则为无效文件，仅盖章或者仅签名的文件亦无效。甲方变更项目负责人、合同执行联系人的，甲方将以书面形式通知乙方。</w:t>
      </w:r>
    </w:p>
    <w:p w14:paraId="1E2E34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甲方用于本项目的项目章，仅供甲方项目部与乙方联系工作和确认施工技术、资料之用。该项目章用于以下情形时无效：</w:t>
      </w:r>
    </w:p>
    <w:p w14:paraId="65D0EF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①签订合同；</w:t>
      </w:r>
    </w:p>
    <w:p w14:paraId="12B22D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②任何类型的欠条或收据；</w:t>
      </w:r>
    </w:p>
    <w:p w14:paraId="406F90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③任何形式的经济结算凭证；</w:t>
      </w:r>
    </w:p>
    <w:p w14:paraId="696117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④为他人或他单位提供任何形式的担保；</w:t>
      </w:r>
    </w:p>
    <w:p w14:paraId="2F0679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⑤确认任何形式的包含权利义务及责任承担的文件。</w:t>
      </w:r>
    </w:p>
    <w:p w14:paraId="3C417F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6.2乙方授权代表以乙方的名义处理与本合同相关的一切事务，乙方对其行为均认可并承担一切责任。乙方如需更换授权代表，应提前3个日历天以书面形式通知甲方。</w:t>
      </w:r>
    </w:p>
    <w:p w14:paraId="7FA5F6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6.3乙方每批产品安排指定的业务员跟单，对接验收、核量及售后等相关问题。</w:t>
      </w:r>
    </w:p>
    <w:p w14:paraId="3B967B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6.4除甲方项目部负责人外，甲方项目部其他任何人对涉及费用的所有文件、资料无权进行确定、批准。甲方的项目部负责人在履行本合同过程中，对涉及费用的所有文件、资料审批权限为不超过三千元/次（含税）。三千元/次以该负责人负责管理的项目为最小单位，不得分地块、分期、分楼栋、分部位拆分使用权限。涉及费用超过三千元的文件、资料，无论甲方的项目部负责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59C4922D">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第七章、其他</w:t>
      </w:r>
      <w:bookmarkEnd w:id="148"/>
      <w:bookmarkEnd w:id="149"/>
      <w:bookmarkEnd w:id="150"/>
      <w:bookmarkEnd w:id="151"/>
      <w:bookmarkEnd w:id="152"/>
      <w:bookmarkEnd w:id="153"/>
      <w:bookmarkEnd w:id="154"/>
      <w:bookmarkEnd w:id="155"/>
      <w:bookmarkEnd w:id="156"/>
    </w:p>
    <w:p w14:paraId="51ED56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7.1合同单价及合同条款已考虑突发疫情等流行疾病影响因素，乙方不以疫情防控为由要求甲方对合同单价、合同结算办法及工期等合同条款进行调整，防疫措施的一切费用已包含在合同单价内，不另计费。</w:t>
      </w:r>
    </w:p>
    <w:p w14:paraId="507EB6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7.2乙方人员在合同有效期内发生的安全事故，均由乙方承担费用及损失，对甲方造成损失的则由乙方赔偿甲方。</w:t>
      </w:r>
    </w:p>
    <w:p w14:paraId="6040E5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7.3甲、乙双方对产品质量有争议的，由产品使用地点的、国家规定的质量检测机构鉴定，所需费用及因此造成的损失由责任方承担，如双方均有</w:t>
      </w:r>
      <w:r>
        <w:rPr>
          <w:rFonts w:hint="eastAsia" w:ascii="仿宋" w:hAnsi="仿宋" w:eastAsia="仿宋" w:cs="仿宋"/>
          <w:color w:val="auto"/>
          <w:sz w:val="28"/>
          <w:szCs w:val="28"/>
          <w:highlight w:val="none"/>
          <w:lang w:val="en-US" w:eastAsia="zh-CN"/>
        </w:rPr>
        <w:t>责</w:t>
      </w:r>
      <w:r>
        <w:rPr>
          <w:rFonts w:hint="eastAsia" w:ascii="仿宋" w:hAnsi="仿宋" w:eastAsia="仿宋" w:cs="仿宋"/>
          <w:color w:val="auto"/>
          <w:sz w:val="28"/>
          <w:highlight w:val="none"/>
          <w:lang w:val="en-US" w:eastAsia="zh-CN"/>
        </w:rPr>
        <w:t>任，由双方根据各自责任分别承担。不可抗力的情形按国家相应规定执行。</w:t>
      </w:r>
    </w:p>
    <w:p w14:paraId="4D1844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7.4甲方因参与本合同履行而发出、或与乙方达成合意所形成的一切相关文件，均须同时具备甲方公章及法定代表人（或授权代表人）签名，否则均不对甲方产生约束力，除非事后获得甲方另行追认。</w:t>
      </w:r>
    </w:p>
    <w:p w14:paraId="20580B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7.5本合同各条款相互矛盾、表达含糊的，按最有利于甲方的条款执行。</w:t>
      </w:r>
    </w:p>
    <w:p w14:paraId="0467D4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7.6专利技术及特殊工艺 </w:t>
      </w:r>
    </w:p>
    <w:p w14:paraId="7A04CD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7.6.1乙方须保障甲方在使用其提供的产品、服务不受到第三方关于侵权的指控。如果出现此类情况，由乙方与第三方交涉并承担一切费用和责任，如造成甲方损失的，乙方向甲方赔偿。 </w:t>
      </w:r>
    </w:p>
    <w:p w14:paraId="04703C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7.6.2乙方擅自使用他人专利技术，侵犯他人专利权的，乙方依法承担相应责任。</w:t>
      </w:r>
    </w:p>
    <w:p w14:paraId="2D8360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7.7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如乙方自身主体被工商登记主管部门注销，甲方有权不履行合同付款义务且属乙方责任，一切损失由乙方承担，甲方无须承担任何违约责任和费用。</w:t>
      </w:r>
    </w:p>
    <w:p w14:paraId="72AD78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7.8签订本合同后，乙方只是取得产品供应资格且向甲方确定了可接受的交易条件，并不意味着双方的成交，能否向甲方销售产品以甲方发出的书面通知为准。甲方随时有权另向第三方交易。在甲方未向乙方发出具体的订货通知之前，乙方无权以本合同为由要求甲方进行交易。</w:t>
      </w:r>
    </w:p>
    <w:p w14:paraId="5DC989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7.9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49F087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7.10乙方与第三方发生的任何经济往来、债务纠纷均与甲方无关。乙方须保证所供应产品无权属上的瑕疵和知识产权的争议，若因此对甲方造成损失，则由乙方全责赔偿。</w:t>
      </w:r>
    </w:p>
    <w:p w14:paraId="36353E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7.11乙方与第三人签订的劳动、租赁、买卖等一切合同，与甲方无关。乙方在履行本合同期间发生的与第三方一切合同债务，由乙方负全责处理并承担责任。</w:t>
      </w:r>
    </w:p>
    <w:p w14:paraId="610614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7.12合同有效期内，甲方制度文件如有更新，按甲方最新版要求执行，最终解释权归甲方所有。</w:t>
      </w:r>
    </w:p>
    <w:p w14:paraId="112104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7.13以下文件均为合同有效组成部分，各文件互相解释，互为说明。当前后合同文件、资料等出现不一致或矛盾时，以下排列顺序为合同文件的优先解释顺序，同一类文件以最新（近）时间为优先：</w:t>
      </w:r>
    </w:p>
    <w:p w14:paraId="4B8BFA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①合同履行过程中，双方法人代表或授权人签字并加盖公章的补充协议；</w:t>
      </w:r>
    </w:p>
    <w:p w14:paraId="1C9BDD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②本合同第一部分协议书；</w:t>
      </w:r>
    </w:p>
    <w:p w14:paraId="3447AE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③本合同第二部分合同专用条款；</w:t>
      </w:r>
    </w:p>
    <w:p w14:paraId="2401457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④本合同第三部分合同通用条款；</w:t>
      </w:r>
    </w:p>
    <w:p w14:paraId="68F630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⑤经甲方权限领导审批的方案及相关设计变更；</w:t>
      </w:r>
    </w:p>
    <w:p w14:paraId="17E49D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⑥本合同对应的招标文件（含相关答疑、补充通知等）；</w:t>
      </w:r>
    </w:p>
    <w:p w14:paraId="73FA53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⑦乙方发出的、经甲方确认的本合同对应投标文件及相关澄清文件；</w:t>
      </w:r>
    </w:p>
    <w:p w14:paraId="6DDE99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⑧本项目所在地现行的法律、法规、标准、规范。</w:t>
      </w:r>
    </w:p>
    <w:p w14:paraId="14A3E8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7.14本合同正文为清洁打印文本，如双方对此合同有任何修改及补充均应另行签订补充协议。合同正文中任何非打印的文字或者图形，除非经双方确认同意，否则不产生约束力。</w:t>
      </w:r>
    </w:p>
    <w:p w14:paraId="4D4D86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7.15甲乙双方均确认已经审阅并理解本合同全部条款，且已经就条款相关的任何疑问得到满意的解释，并确认本合同的条款为双方本着诚信互利的原则友好协商一致的结果，不属于任何一方的格式条款。</w:t>
      </w:r>
    </w:p>
    <w:p w14:paraId="28C3A7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7.16本合同一式三份，甲方执二份，乙方执一份，均具同等效力。</w:t>
      </w:r>
    </w:p>
    <w:p w14:paraId="6C6EF5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7.17</w:t>
      </w:r>
      <w:r>
        <w:rPr>
          <w:rFonts w:hint="eastAsia" w:ascii="仿宋" w:hAnsi="仿宋" w:eastAsia="仿宋" w:cs="仿宋"/>
          <w:b w:val="0"/>
          <w:bCs w:val="0"/>
          <w:i w:val="0"/>
          <w:iCs w:val="0"/>
          <w:color w:val="auto"/>
          <w:sz w:val="28"/>
          <w:szCs w:val="28"/>
          <w:highlight w:val="none"/>
          <w:shd w:val="clear" w:color="auto" w:fill="auto"/>
          <w:lang w:val="en-US" w:eastAsia="zh-CN"/>
        </w:rPr>
        <w:t>本合同自甲乙双方法定代表人或其书面授权的代理人签字并加盖公司公章(或合同专用章)之日起生效</w:t>
      </w:r>
      <w:r>
        <w:rPr>
          <w:rFonts w:hint="eastAsia" w:ascii="仿宋" w:hAnsi="仿宋" w:eastAsia="仿宋" w:cs="仿宋"/>
          <w:color w:val="auto"/>
          <w:sz w:val="28"/>
          <w:highlight w:val="none"/>
          <w:lang w:val="en-US" w:eastAsia="zh-CN"/>
        </w:rPr>
        <w:t>，双方履行完合同义务、责任之日终止。</w:t>
      </w:r>
    </w:p>
    <w:p w14:paraId="5A81EB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15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（以下无正文）</w:t>
      </w:r>
    </w:p>
    <w:p w14:paraId="1CD87B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合同附件</w:t>
      </w:r>
    </w:p>
    <w:p w14:paraId="466ADF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14:paraId="3E85C5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附件二：《延迟付款声明函》格式</w:t>
      </w:r>
    </w:p>
    <w:p w14:paraId="66567E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附件三：《材料款申报审批表》格式</w:t>
      </w:r>
    </w:p>
    <w:p w14:paraId="24C6D5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274AEE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附件五：《材料签收单》格式</w:t>
      </w:r>
    </w:p>
    <w:p w14:paraId="384D86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附件六：《供应商月度对账单》格式</w:t>
      </w:r>
    </w:p>
    <w:p w14:paraId="2F585C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附件七：</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甲方项目章</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 xml:space="preserve">样式 </w:t>
      </w:r>
    </w:p>
    <w:p w14:paraId="36F661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附件八：《物料申购单》格式</w:t>
      </w:r>
    </w:p>
    <w:p w14:paraId="59CCBC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附件九：《报价清单》</w:t>
      </w:r>
    </w:p>
    <w:p w14:paraId="5D77CD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附件十：《乙方资质文件》 </w:t>
      </w:r>
    </w:p>
    <w:p w14:paraId="2F5FF6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0" w:firstLineChars="15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附件十一：《外墙砖相关参数》</w:t>
      </w:r>
    </w:p>
    <w:p w14:paraId="7FBA1D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50"/>
        <w:textAlignment w:val="auto"/>
        <w:rPr>
          <w:rFonts w:hint="default" w:ascii="仿宋" w:hAnsi="仿宋" w:eastAsia="仿宋" w:cs="仿宋"/>
          <w:color w:val="auto"/>
          <w:sz w:val="28"/>
          <w:highlight w:val="none"/>
          <w:u w:val="none"/>
          <w:lang w:val="en-US" w:eastAsia="zh-CN"/>
        </w:rPr>
      </w:pPr>
    </w:p>
    <w:p w14:paraId="55F401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8"/>
          <w:szCs w:val="44"/>
          <w:highlight w:val="none"/>
          <w:lang w:val="en-US" w:eastAsia="zh-CN"/>
        </w:rPr>
      </w:pPr>
    </w:p>
    <w:p w14:paraId="1C433E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8"/>
          <w:szCs w:val="44"/>
          <w:highlight w:val="none"/>
          <w:lang w:val="en-US" w:eastAsia="zh-CN"/>
        </w:rPr>
      </w:pPr>
    </w:p>
    <w:p w14:paraId="2F24C7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8"/>
          <w:szCs w:val="44"/>
          <w:highlight w:val="none"/>
          <w:lang w:val="en-US" w:eastAsia="zh-CN"/>
        </w:rPr>
      </w:pPr>
    </w:p>
    <w:p w14:paraId="1C4335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8"/>
          <w:szCs w:val="44"/>
          <w:highlight w:val="none"/>
          <w:lang w:val="en-US" w:eastAsia="zh-CN"/>
        </w:rPr>
      </w:pPr>
    </w:p>
    <w:p w14:paraId="191FEF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8"/>
          <w:szCs w:val="44"/>
          <w:highlight w:val="none"/>
          <w:lang w:val="en-US" w:eastAsia="zh-CN"/>
        </w:rPr>
      </w:pPr>
    </w:p>
    <w:p w14:paraId="599A79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8"/>
          <w:szCs w:val="44"/>
          <w:highlight w:val="none"/>
          <w:lang w:val="en-US" w:eastAsia="zh-CN"/>
        </w:rPr>
      </w:pPr>
    </w:p>
    <w:p w14:paraId="59EDBC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sectPr>
          <w:footerReference r:id="rId6" w:type="default"/>
          <w:pgSz w:w="11906" w:h="16838"/>
          <w:pgMar w:top="1247" w:right="1304" w:bottom="1304" w:left="130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1E872F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仿宋" w:hAnsi="仿宋" w:eastAsia="仿宋" w:cs="仿宋"/>
          <w:b/>
          <w:bCs/>
          <w:color w:val="auto"/>
          <w:sz w:val="48"/>
          <w:szCs w:val="44"/>
          <w:highlight w:val="none"/>
          <w:lang w:val="en-US" w:eastAsia="zh-CN"/>
        </w:rPr>
      </w:pPr>
      <w:r>
        <w:rPr>
          <w:rFonts w:hint="eastAsia" w:ascii="仿宋" w:hAnsi="仿宋" w:eastAsia="仿宋" w:cs="仿宋"/>
          <w:b/>
          <w:bCs/>
          <w:color w:val="auto"/>
          <w:sz w:val="48"/>
          <w:szCs w:val="44"/>
          <w:highlight w:val="none"/>
          <w:lang w:val="en-US" w:eastAsia="zh-CN"/>
        </w:rPr>
        <w:t>附件一</w:t>
      </w:r>
    </w:p>
    <w:p w14:paraId="71E54FCF">
      <w:pPr>
        <w:jc w:val="right"/>
        <w:rPr>
          <w:rFonts w:hint="default" w:ascii="仿宋" w:hAnsi="仿宋" w:eastAsia="仿宋" w:cs="仿宋"/>
          <w:b/>
          <w:bCs/>
          <w:color w:val="auto"/>
          <w:sz w:val="44"/>
          <w:szCs w:val="44"/>
          <w:highlight w:val="none"/>
          <w:lang w:val="en-US" w:eastAsia="zh-CN"/>
        </w:rPr>
      </w:pPr>
    </w:p>
    <w:p w14:paraId="27A7A9DC">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5013C929">
      <w:pPr>
        <w:pStyle w:val="4"/>
        <w:spacing w:before="97" w:line="222" w:lineRule="auto"/>
        <w:ind w:left="23"/>
        <w:rPr>
          <w:color w:val="auto"/>
          <w:sz w:val="28"/>
          <w:szCs w:val="28"/>
          <w:highlight w:val="none"/>
        </w:rPr>
      </w:pPr>
      <w:r>
        <w:rPr>
          <w:color w:val="auto"/>
          <w:spacing w:val="-2"/>
          <w:sz w:val="28"/>
          <w:szCs w:val="28"/>
          <w:highlight w:val="none"/>
        </w:rPr>
        <w:t>致：东莞市中泰建安工程有限公司</w:t>
      </w:r>
    </w:p>
    <w:p w14:paraId="45D7049F">
      <w:pPr>
        <w:pStyle w:val="4"/>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供应商，履约期间的</w:t>
      </w:r>
      <w:r>
        <w:rPr>
          <w:rFonts w:hint="eastAsia" w:cs="仿宋"/>
          <w:color w:val="auto"/>
          <w:kern w:val="2"/>
          <w:sz w:val="30"/>
          <w:szCs w:val="30"/>
          <w:highlight w:val="none"/>
          <w:lang w:val="en-US" w:eastAsia="zh-CN" w:bidi="ar-SA"/>
        </w:rPr>
        <w:t>合同款</w:t>
      </w:r>
      <w:r>
        <w:rPr>
          <w:rFonts w:hint="eastAsia" w:ascii="仿宋" w:hAnsi="仿宋" w:eastAsia="仿宋" w:cs="仿宋"/>
          <w:color w:val="auto"/>
          <w:kern w:val="2"/>
          <w:sz w:val="30"/>
          <w:szCs w:val="30"/>
          <w:highlight w:val="none"/>
          <w:lang w:val="en-US" w:eastAsia="zh-CN" w:bidi="ar-SA"/>
        </w:rPr>
        <w:t>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 待收款项</w:t>
      </w:r>
      <w:r>
        <w:rPr>
          <w:rFonts w:hint="eastAsia"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lang w:val="en-US" w:eastAsia="zh-CN" w:bidi="ar-SA"/>
        </w:rPr>
        <w:t>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2DBBE23D">
      <w:pPr>
        <w:pStyle w:val="4"/>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w:t>
      </w:r>
      <w:r>
        <w:rPr>
          <w:rFonts w:hint="eastAsia" w:cs="仿宋"/>
          <w:color w:val="auto"/>
          <w:kern w:val="2"/>
          <w:sz w:val="30"/>
          <w:szCs w:val="30"/>
          <w:highlight w:val="none"/>
          <w:lang w:val="en-US" w:eastAsia="zh-CN" w:bidi="ar-SA"/>
        </w:rPr>
        <w:t>上述</w:t>
      </w:r>
      <w:r>
        <w:rPr>
          <w:rFonts w:hint="eastAsia" w:ascii="仿宋" w:hAnsi="仿宋" w:eastAsia="仿宋"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r>
        <w:rPr>
          <w:rFonts w:hint="eastAsia" w:cs="仿宋"/>
          <w:color w:val="auto"/>
          <w:kern w:val="2"/>
          <w:sz w:val="30"/>
          <w:szCs w:val="30"/>
          <w:highlight w:val="none"/>
          <w:lang w:val="en-US" w:eastAsia="zh-CN" w:bidi="ar-SA"/>
        </w:rPr>
        <w:t>后</w:t>
      </w:r>
      <w:r>
        <w:rPr>
          <w:rFonts w:hint="eastAsia" w:ascii="仿宋" w:hAnsi="仿宋" w:eastAsia="仿宋" w:cs="仿宋"/>
          <w:color w:val="auto"/>
          <w:kern w:val="2"/>
          <w:sz w:val="30"/>
          <w:szCs w:val="30"/>
          <w:highlight w:val="none"/>
          <w:lang w:val="en-US" w:eastAsia="zh-CN" w:bidi="ar-SA"/>
        </w:rPr>
        <w:t>，该项目</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w:t>
      </w:r>
      <w:r>
        <w:rPr>
          <w:rFonts w:hint="eastAsia" w:cs="仿宋"/>
          <w:color w:val="auto"/>
          <w:kern w:val="2"/>
          <w:sz w:val="30"/>
          <w:szCs w:val="30"/>
          <w:highlight w:val="none"/>
          <w:lang w:val="en-US" w:eastAsia="zh-CN" w:bidi="ar-SA"/>
        </w:rPr>
        <w:t>材料费用等合同款</w:t>
      </w:r>
      <w:r>
        <w:rPr>
          <w:rFonts w:hint="eastAsia" w:ascii="仿宋" w:hAnsi="仿宋" w:eastAsia="仿宋" w:cs="仿宋"/>
          <w:color w:val="auto"/>
          <w:kern w:val="2"/>
          <w:sz w:val="30"/>
          <w:szCs w:val="30"/>
          <w:highlight w:val="none"/>
          <w:lang w:val="en-US" w:eastAsia="zh-CN" w:bidi="ar-SA"/>
        </w:rPr>
        <w:t>全部结清，我司合同中的所有权利全部消灭，我司将不以任何理由、任何方式就该项目的合作向贵司提出任何权利主张或追索其他任何费用，同时我司相应的义务和责任</w:t>
      </w:r>
      <w:r>
        <w:rPr>
          <w:rFonts w:hint="eastAsia" w:cs="仿宋"/>
          <w:color w:val="auto"/>
          <w:kern w:val="2"/>
          <w:sz w:val="30"/>
          <w:szCs w:val="30"/>
          <w:highlight w:val="none"/>
          <w:lang w:val="en-US" w:eastAsia="zh-CN" w:bidi="ar-SA"/>
        </w:rPr>
        <w:t>仍</w:t>
      </w:r>
      <w:r>
        <w:rPr>
          <w:rFonts w:hint="eastAsia" w:ascii="仿宋" w:hAnsi="仿宋" w:eastAsia="仿宋" w:cs="仿宋"/>
          <w:color w:val="auto"/>
          <w:kern w:val="2"/>
          <w:sz w:val="30"/>
          <w:szCs w:val="30"/>
          <w:highlight w:val="none"/>
          <w:lang w:val="en-US" w:eastAsia="zh-CN" w:bidi="ar-SA"/>
        </w:rPr>
        <w:t>按照合同执行。</w:t>
      </w:r>
    </w:p>
    <w:p w14:paraId="5611C6DB">
      <w:pPr>
        <w:pStyle w:val="4"/>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auto"/>
          <w:kern w:val="2"/>
          <w:sz w:val="30"/>
          <w:szCs w:val="30"/>
          <w:highlight w:val="none"/>
          <w:lang w:val="en-US" w:eastAsia="zh-CN" w:bidi="ar-SA"/>
        </w:rPr>
        <w:t>承诺</w:t>
      </w:r>
      <w:r>
        <w:rPr>
          <w:rFonts w:hint="eastAsia" w:ascii="仿宋" w:hAnsi="仿宋" w:eastAsia="仿宋" w:cs="仿宋"/>
          <w:color w:val="auto"/>
          <w:kern w:val="2"/>
          <w:sz w:val="30"/>
          <w:szCs w:val="30"/>
          <w:highlight w:val="none"/>
          <w:lang w:val="en-US" w:eastAsia="zh-CN" w:bidi="ar-SA"/>
        </w:rPr>
        <w:t>！</w:t>
      </w:r>
    </w:p>
    <w:p w14:paraId="1E45FF64">
      <w:pPr>
        <w:spacing w:line="261" w:lineRule="auto"/>
        <w:rPr>
          <w:rFonts w:ascii="Arial"/>
          <w:color w:val="auto"/>
          <w:sz w:val="20"/>
          <w:szCs w:val="22"/>
          <w:highlight w:val="none"/>
        </w:rPr>
      </w:pPr>
    </w:p>
    <w:p w14:paraId="12C8CC0B">
      <w:pPr>
        <w:spacing w:line="261" w:lineRule="auto"/>
        <w:rPr>
          <w:rFonts w:ascii="Arial"/>
          <w:color w:val="auto"/>
          <w:sz w:val="20"/>
          <w:szCs w:val="22"/>
          <w:highlight w:val="none"/>
        </w:rPr>
      </w:pPr>
    </w:p>
    <w:p w14:paraId="15E55E7D">
      <w:pPr>
        <w:pStyle w:val="4"/>
        <w:spacing w:before="98" w:line="221" w:lineRule="auto"/>
        <w:ind w:firstLine="4658" w:firstLineChars="1700"/>
        <w:rPr>
          <w:color w:val="auto"/>
          <w:sz w:val="28"/>
          <w:szCs w:val="28"/>
          <w:highlight w:val="none"/>
        </w:rPr>
      </w:pPr>
      <w:r>
        <w:rPr>
          <w:color w:val="auto"/>
          <w:spacing w:val="-3"/>
          <w:sz w:val="28"/>
          <w:szCs w:val="28"/>
          <w:highlight w:val="none"/>
        </w:rPr>
        <w:t>承诺单位（盖章</w:t>
      </w:r>
      <w:r>
        <w:rPr>
          <w:color w:val="auto"/>
          <w:sz w:val="28"/>
          <w:szCs w:val="28"/>
          <w:highlight w:val="none"/>
        </w:rPr>
        <w:t>）：</w:t>
      </w:r>
    </w:p>
    <w:p w14:paraId="291BB995">
      <w:pPr>
        <w:pStyle w:val="4"/>
        <w:spacing w:before="265" w:line="222" w:lineRule="auto"/>
        <w:jc w:val="center"/>
        <w:rPr>
          <w:color w:val="auto"/>
          <w:sz w:val="28"/>
          <w:szCs w:val="28"/>
          <w:highlight w:val="none"/>
        </w:rPr>
      </w:pPr>
      <w:r>
        <w:rPr>
          <w:rFonts w:hint="eastAsia"/>
          <w:color w:val="auto"/>
          <w:spacing w:val="-35"/>
          <w:sz w:val="28"/>
          <w:szCs w:val="28"/>
          <w:highlight w:val="none"/>
          <w:lang w:val="en-US" w:eastAsia="zh-CN"/>
        </w:rPr>
        <w:t xml:space="preserve">                                               </w:t>
      </w:r>
      <w:r>
        <w:rPr>
          <w:color w:val="auto"/>
          <w:spacing w:val="-35"/>
          <w:sz w:val="28"/>
          <w:szCs w:val="28"/>
          <w:highlight w:val="none"/>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06BA250E">
      <w:pPr>
        <w:spacing w:line="281" w:lineRule="auto"/>
        <w:rPr>
          <w:rFonts w:ascii="Arial"/>
          <w:color w:val="auto"/>
          <w:sz w:val="20"/>
          <w:szCs w:val="22"/>
          <w:highlight w:val="none"/>
        </w:rPr>
      </w:pPr>
    </w:p>
    <w:p w14:paraId="4690C419">
      <w:pPr>
        <w:spacing w:line="281" w:lineRule="auto"/>
        <w:rPr>
          <w:rFonts w:ascii="Arial"/>
          <w:color w:val="auto"/>
          <w:sz w:val="20"/>
          <w:szCs w:val="22"/>
          <w:highlight w:val="none"/>
        </w:rPr>
      </w:pPr>
    </w:p>
    <w:p w14:paraId="6D87BA42">
      <w:pPr>
        <w:spacing w:line="281" w:lineRule="auto"/>
        <w:rPr>
          <w:rFonts w:ascii="Arial"/>
          <w:color w:val="auto"/>
          <w:sz w:val="20"/>
          <w:szCs w:val="22"/>
          <w:highlight w:val="none"/>
        </w:rPr>
      </w:pPr>
      <w:r>
        <w:rPr>
          <w:color w:val="auto"/>
          <w:sz w:val="20"/>
          <w:szCs w:val="22"/>
          <w:highlight w:val="none"/>
        </w:rP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2336;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D1boBk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359DC274">
      <w:pPr>
        <w:pStyle w:val="4"/>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5C82ACBB">
      <w:pPr>
        <w:pStyle w:val="4"/>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1、本费用结清声明仅适用于“材料类”的购销合同。</w:t>
      </w:r>
    </w:p>
    <w:p w14:paraId="21B83172">
      <w:pPr>
        <w:pStyle w:val="4"/>
        <w:spacing w:before="266" w:line="302" w:lineRule="auto"/>
        <w:ind w:left="25" w:right="14" w:hanging="11"/>
        <w:rPr>
          <w:rFonts w:hint="default" w:ascii="仿宋" w:hAnsi="仿宋" w:eastAsia="仿宋" w:cs="仿宋"/>
          <w:b/>
          <w:bCs/>
          <w:color w:val="auto"/>
          <w:sz w:val="44"/>
          <w:szCs w:val="40"/>
          <w:highlight w:val="none"/>
          <w:lang w:val="en-US" w:eastAsia="zh-CN"/>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2E69DC47">
      <w:pPr>
        <w:jc w:val="both"/>
        <w:rPr>
          <w:rFonts w:hint="eastAsia" w:ascii="仿宋" w:hAnsi="仿宋" w:eastAsia="仿宋" w:cs="仿宋"/>
          <w:b/>
          <w:bCs/>
          <w:color w:val="auto"/>
          <w:sz w:val="44"/>
          <w:szCs w:val="44"/>
          <w:highlight w:val="none"/>
          <w:lang w:val="en-US" w:eastAsia="zh-CN"/>
        </w:rPr>
        <w:sectPr>
          <w:footerReference r:id="rId7" w:type="default"/>
          <w:pgSz w:w="11906" w:h="16838"/>
          <w:pgMar w:top="1247" w:right="1304" w:bottom="1304" w:left="1304"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548DDAE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30"/>
          <w:highlight w:val="none"/>
          <w:lang w:val="en-US" w:eastAsia="zh-CN"/>
        </w:rPr>
      </w:pPr>
      <w:r>
        <w:rPr>
          <w:rFonts w:hint="eastAsia" w:ascii="仿宋" w:hAnsi="仿宋" w:eastAsia="仿宋" w:cs="仿宋"/>
          <w:b/>
          <w:bCs/>
          <w:color w:val="auto"/>
          <w:sz w:val="44"/>
          <w:szCs w:val="40"/>
          <w:highlight w:val="none"/>
          <w:lang w:val="en-US" w:eastAsia="zh-CN"/>
        </w:rPr>
        <w:t>附件二</w:t>
      </w:r>
    </w:p>
    <w:p w14:paraId="32536F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lang w:val="en-US" w:eastAsia="zh-CN"/>
        </w:rPr>
      </w:pPr>
    </w:p>
    <w:p w14:paraId="04B8BF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lang w:val="en-US" w:eastAsia="zh-CN"/>
        </w:rPr>
      </w:pPr>
    </w:p>
    <w:p w14:paraId="27231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延 迟 付 款 声 明 函</w:t>
      </w:r>
    </w:p>
    <w:p w14:paraId="76904D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79FADA95">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5620FFD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按照贵我双方合同约定的时限与贵司完成对账并确定相应金额,属我司责任，与贵司无关。我司自愿接受按照合同约定延期收取该款项（即贵司有权延期付款），我司承担因此导致的所有责任和损失。</w:t>
      </w:r>
    </w:p>
    <w:p w14:paraId="38C72B5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1F3DC5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color w:val="auto"/>
          <w:highlight w:val="none"/>
          <w:lang w:val="en-US" w:eastAsia="zh-CN"/>
        </w:rPr>
      </w:pPr>
    </w:p>
    <w:p w14:paraId="4DE5358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46355A5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2F8A73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highlight w:val="none"/>
          <w:lang w:val="en-US" w:eastAsia="zh-CN"/>
        </w:rPr>
      </w:pPr>
    </w:p>
    <w:p w14:paraId="1BDC33C1">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15DA9B3A">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6735A65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（加盖公章及法定代表人或授权代表签名）     </w:t>
      </w:r>
    </w:p>
    <w:p w14:paraId="1B7192C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31D6F10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5EEF64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8F1C3A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F27292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A6B77D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21B6667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CE0B413">
      <w:pPr>
        <w:keepNext/>
        <w:keepLines/>
        <w:widowControl w:val="0"/>
        <w:spacing w:before="120"/>
        <w:jc w:val="right"/>
        <w:outlineLvl w:val="0"/>
        <w:rPr>
          <w:rFonts w:hint="eastAsia" w:ascii="仿宋" w:hAnsi="仿宋" w:eastAsia="仿宋" w:cs="仿宋"/>
          <w:color w:val="auto"/>
          <w:highlight w:val="none"/>
        </w:rPr>
      </w:pPr>
      <w:bookmarkStart w:id="157" w:name="_Toc24436"/>
      <w:r>
        <w:rPr>
          <w:rFonts w:hint="eastAsia" w:ascii="仿宋" w:hAnsi="仿宋" w:eastAsia="仿宋" w:cs="仿宋"/>
          <w:b/>
          <w:bCs/>
          <w:color w:val="auto"/>
          <w:kern w:val="2"/>
          <w:sz w:val="44"/>
          <w:szCs w:val="48"/>
          <w:highlight w:val="none"/>
          <w:lang w:val="en-US" w:eastAsia="zh-CN" w:bidi="ar-SA"/>
        </w:rPr>
        <w:t>附件三</w:t>
      </w:r>
      <w:bookmarkEnd w:id="157"/>
    </w:p>
    <w:p w14:paraId="193A4393">
      <w:pPr>
        <w:tabs>
          <w:tab w:val="left" w:pos="720"/>
        </w:tabs>
        <w:adjustRightInd w:val="0"/>
        <w:snapToGrid w:val="0"/>
        <w:spacing w:line="360" w:lineRule="auto"/>
        <w:ind w:left="482" w:hanging="663" w:hangingChars="150"/>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sz w:val="44"/>
          <w:szCs w:val="44"/>
          <w:highlight w:val="none"/>
        </w:rPr>
        <w:t>材料款申报</w:t>
      </w:r>
      <w:r>
        <w:rPr>
          <w:rFonts w:hint="eastAsia" w:ascii="仿宋" w:hAnsi="仿宋" w:eastAsia="仿宋" w:cs="仿宋"/>
          <w:b/>
          <w:bCs w:val="0"/>
          <w:color w:val="auto"/>
          <w:sz w:val="44"/>
          <w:szCs w:val="44"/>
          <w:highlight w:val="none"/>
          <w:lang w:val="en-US" w:eastAsia="zh-CN"/>
        </w:rPr>
        <w:t>审批</w:t>
      </w:r>
      <w:r>
        <w:rPr>
          <w:rFonts w:hint="eastAsia" w:ascii="仿宋" w:hAnsi="仿宋" w:eastAsia="仿宋" w:cs="仿宋"/>
          <w:b/>
          <w:bCs w:val="0"/>
          <w:color w:val="auto"/>
          <w:sz w:val="44"/>
          <w:szCs w:val="44"/>
          <w:highlight w:val="none"/>
        </w:rPr>
        <w:t>表</w:t>
      </w:r>
    </w:p>
    <w:tbl>
      <w:tblPr>
        <w:tblStyle w:val="12"/>
        <w:tblW w:w="0" w:type="auto"/>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3423"/>
      </w:tblGrid>
      <w:tr w14:paraId="798B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F6A3A9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工程名称</w:t>
            </w:r>
          </w:p>
        </w:tc>
        <w:tc>
          <w:tcPr>
            <w:tcW w:w="3402" w:type="dxa"/>
            <w:noWrap w:val="0"/>
            <w:vAlign w:val="top"/>
          </w:tcPr>
          <w:p w14:paraId="4DC8A8E8">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168DB8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合同名称</w:t>
            </w:r>
          </w:p>
        </w:tc>
        <w:tc>
          <w:tcPr>
            <w:tcW w:w="3423" w:type="dxa"/>
            <w:noWrap w:val="0"/>
            <w:vAlign w:val="top"/>
          </w:tcPr>
          <w:p w14:paraId="745E1E1E">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086A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22EB10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供货单位</w:t>
            </w:r>
          </w:p>
        </w:tc>
        <w:tc>
          <w:tcPr>
            <w:tcW w:w="3402" w:type="dxa"/>
            <w:noWrap w:val="0"/>
            <w:vAlign w:val="top"/>
          </w:tcPr>
          <w:p w14:paraId="225279E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3EA429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合同编号</w:t>
            </w:r>
          </w:p>
        </w:tc>
        <w:tc>
          <w:tcPr>
            <w:tcW w:w="3423" w:type="dxa"/>
            <w:noWrap w:val="0"/>
            <w:vAlign w:val="top"/>
          </w:tcPr>
          <w:p w14:paraId="4DC5441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7181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377" w:type="dxa"/>
            <w:gridSpan w:val="4"/>
            <w:noWrap w:val="0"/>
            <w:vAlign w:val="top"/>
          </w:tcPr>
          <w:p w14:paraId="7A1C2734">
            <w:pPr>
              <w:tabs>
                <w:tab w:val="left" w:pos="720"/>
              </w:tabs>
              <w:adjustRightInd w:val="0"/>
              <w:snapToGrid w:val="0"/>
              <w:spacing w:line="360" w:lineRule="auto"/>
              <w:ind w:firstLine="120" w:firstLineChars="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材料申报内容：</w:t>
            </w:r>
          </w:p>
          <w:p w14:paraId="4A76575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1375864A">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637CFA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BF1BCA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供货单位（章）：</w:t>
            </w:r>
          </w:p>
          <w:p w14:paraId="690836A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供货单位负责人：</w:t>
            </w:r>
          </w:p>
        </w:tc>
      </w:tr>
      <w:tr w14:paraId="49D2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9377" w:type="dxa"/>
            <w:gridSpan w:val="4"/>
            <w:noWrap w:val="0"/>
            <w:vAlign w:val="top"/>
          </w:tcPr>
          <w:p w14:paraId="28D13CC4">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材料员</w:t>
            </w:r>
            <w:r>
              <w:rPr>
                <w:rFonts w:hint="eastAsia" w:ascii="仿宋" w:hAnsi="仿宋" w:eastAsia="仿宋" w:cs="仿宋"/>
                <w:b w:val="0"/>
                <w:bCs/>
                <w:color w:val="auto"/>
                <w:sz w:val="24"/>
                <w:highlight w:val="none"/>
              </w:rPr>
              <w:t>①/经办人审核意见：</w:t>
            </w:r>
          </w:p>
          <w:p w14:paraId="3386D221">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p>
          <w:p w14:paraId="007F044E">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472D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377" w:type="dxa"/>
            <w:gridSpan w:val="4"/>
            <w:noWrap w:val="0"/>
            <w:vAlign w:val="top"/>
          </w:tcPr>
          <w:p w14:paraId="241CD40F">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材料员</w:t>
            </w:r>
            <w:r>
              <w:rPr>
                <w:rFonts w:hint="eastAsia" w:ascii="仿宋" w:hAnsi="仿宋" w:eastAsia="仿宋" w:cs="仿宋"/>
                <w:b w:val="0"/>
                <w:bCs/>
                <w:color w:val="auto"/>
                <w:sz w:val="24"/>
                <w:highlight w:val="none"/>
              </w:rPr>
              <w:t>②审核意见：</w:t>
            </w:r>
          </w:p>
          <w:p w14:paraId="33524E2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20B7CE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 </w:t>
            </w:r>
          </w:p>
        </w:tc>
      </w:tr>
      <w:tr w14:paraId="20A5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9377" w:type="dxa"/>
            <w:gridSpan w:val="4"/>
            <w:noWrap w:val="0"/>
            <w:vAlign w:val="top"/>
          </w:tcPr>
          <w:p w14:paraId="6963B06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项目成本管理员审核意见：</w:t>
            </w:r>
          </w:p>
          <w:p w14:paraId="12B81FA2">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52A02D80">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46A2A3A">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1B73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9377" w:type="dxa"/>
            <w:gridSpan w:val="4"/>
            <w:noWrap w:val="0"/>
            <w:vAlign w:val="top"/>
          </w:tcPr>
          <w:p w14:paraId="08ECB61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项目经理审核意见：</w:t>
            </w:r>
          </w:p>
          <w:p w14:paraId="652723E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E5A5FD6">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4FECF33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bl>
    <w:p w14:paraId="309D2216">
      <w:pPr>
        <w:tabs>
          <w:tab w:val="left" w:pos="720"/>
        </w:tabs>
        <w:adjustRightInd w:val="0"/>
        <w:snapToGrid w:val="0"/>
        <w:spacing w:line="360" w:lineRule="auto"/>
        <w:ind w:left="-630" w:leftChars="-300" w:right="-630" w:rightChars="-300" w:firstLine="1049" w:firstLineChars="583"/>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填表要求：1、此表由</w:t>
      </w:r>
      <w:r>
        <w:rPr>
          <w:rFonts w:hint="eastAsia" w:ascii="仿宋" w:hAnsi="仿宋" w:eastAsia="仿宋" w:cs="仿宋"/>
          <w:b w:val="0"/>
          <w:bCs/>
          <w:color w:val="auto"/>
          <w:sz w:val="18"/>
          <w:szCs w:val="18"/>
          <w:highlight w:val="none"/>
          <w:lang w:val="en-US" w:eastAsia="zh-CN"/>
        </w:rPr>
        <w:t>乙方</w:t>
      </w:r>
      <w:r>
        <w:rPr>
          <w:rFonts w:hint="eastAsia" w:ascii="仿宋" w:hAnsi="仿宋" w:eastAsia="仿宋" w:cs="仿宋"/>
          <w:b w:val="0"/>
          <w:bCs/>
          <w:color w:val="auto"/>
          <w:sz w:val="18"/>
          <w:szCs w:val="18"/>
          <w:highlight w:val="none"/>
        </w:rPr>
        <w:t>发起，如实填写，不允许涂改，如有涂改或虚报，此表无效。</w:t>
      </w:r>
    </w:p>
    <w:p w14:paraId="3BAEBD22">
      <w:pPr>
        <w:numPr>
          <w:ilvl w:val="0"/>
          <w:numId w:val="7"/>
        </w:numPr>
        <w:tabs>
          <w:tab w:val="left" w:pos="720"/>
        </w:tabs>
        <w:adjustRightInd w:val="0"/>
        <w:snapToGrid w:val="0"/>
        <w:spacing w:line="360" w:lineRule="auto"/>
        <w:ind w:left="-315" w:leftChars="-150" w:right="-630" w:rightChars="-300" w:firstLine="1575" w:firstLineChars="875"/>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此确认表作为向</w:t>
      </w:r>
      <w:r>
        <w:rPr>
          <w:rFonts w:hint="eastAsia" w:ascii="仿宋" w:hAnsi="仿宋" w:eastAsia="仿宋" w:cs="仿宋"/>
          <w:b w:val="0"/>
          <w:bCs/>
          <w:color w:val="auto"/>
          <w:sz w:val="18"/>
          <w:szCs w:val="18"/>
          <w:highlight w:val="none"/>
          <w:lang w:val="en-US" w:eastAsia="zh-CN"/>
        </w:rPr>
        <w:t>中泰建安</w:t>
      </w:r>
      <w:r>
        <w:rPr>
          <w:rFonts w:hint="eastAsia" w:ascii="仿宋" w:hAnsi="仿宋" w:eastAsia="仿宋" w:cs="仿宋"/>
          <w:b w:val="0"/>
          <w:bCs/>
          <w:color w:val="auto"/>
          <w:sz w:val="18"/>
          <w:szCs w:val="18"/>
          <w:highlight w:val="none"/>
        </w:rPr>
        <w:t>公司申报款项支付审批单的附件。</w:t>
      </w:r>
    </w:p>
    <w:p w14:paraId="1D5B21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267CA21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eastAsia" w:ascii="仿宋" w:hAnsi="仿宋" w:eastAsia="仿宋" w:cs="仿宋"/>
          <w:b/>
          <w:bCs/>
          <w:color w:val="auto"/>
          <w:sz w:val="30"/>
          <w:highlight w:val="none"/>
          <w:lang w:val="en-US" w:eastAsia="zh-CN"/>
        </w:rPr>
      </w:pPr>
    </w:p>
    <w:p w14:paraId="6243213F">
      <w:pPr>
        <w:jc w:val="right"/>
        <w:rPr>
          <w:rFonts w:hint="eastAsia" w:ascii="仿宋" w:hAnsi="仿宋" w:eastAsia="仿宋" w:cs="仿宋"/>
          <w:b/>
          <w:bCs/>
          <w:color w:val="auto"/>
          <w:sz w:val="44"/>
          <w:szCs w:val="44"/>
          <w:highlight w:val="none"/>
          <w:lang w:val="en-US" w:eastAsia="zh-CN"/>
        </w:rPr>
      </w:pPr>
    </w:p>
    <w:p w14:paraId="57473033">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6"/>
        <w:gridCol w:w="1483"/>
        <w:gridCol w:w="1116"/>
        <w:gridCol w:w="1116"/>
        <w:gridCol w:w="1569"/>
        <w:gridCol w:w="2017"/>
        <w:gridCol w:w="1116"/>
        <w:gridCol w:w="1148"/>
      </w:tblGrid>
      <w:tr w14:paraId="46EF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31ABCD3A">
            <w:pPr>
              <w:keepNext w:val="0"/>
              <w:keepLines w:val="0"/>
              <w:widowControl/>
              <w:suppressLineNumbers w:val="0"/>
              <w:jc w:val="right"/>
              <w:textAlignment w:val="center"/>
              <w:rPr>
                <w:rFonts w:hint="eastAsia"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14:paraId="7325ADA1">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29F1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FB45F5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7E8C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05B009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4BA9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ACBB4F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176D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4D6AA2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4D710FB6">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收/付款日期</w:t>
            </w:r>
          </w:p>
          <w:p w14:paraId="015417D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15BF17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92AF9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BD6D4C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C34037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14B659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955D4C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付款内容</w:t>
            </w:r>
          </w:p>
        </w:tc>
      </w:tr>
      <w:tr w14:paraId="6616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9AD976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21E29EC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9A9D21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6DAD310">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B63CF2F">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7DA84BF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DF1EE09">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014998C">
            <w:pPr>
              <w:jc w:val="center"/>
              <w:rPr>
                <w:rFonts w:hint="eastAsia" w:ascii="仿宋" w:hAnsi="仿宋" w:eastAsia="仿宋" w:cs="仿宋"/>
                <w:i w:val="0"/>
                <w:iCs w:val="0"/>
                <w:color w:val="auto"/>
                <w:sz w:val="22"/>
                <w:szCs w:val="22"/>
                <w:highlight w:val="none"/>
                <w:u w:val="none"/>
              </w:rPr>
            </w:pPr>
          </w:p>
        </w:tc>
      </w:tr>
      <w:tr w14:paraId="0854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8FEE43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0E3B6C5">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F6F9B7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1202A8A">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EB5BB64">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09CF0B2">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59B0186">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4055561">
            <w:pPr>
              <w:jc w:val="center"/>
              <w:rPr>
                <w:rFonts w:hint="eastAsia" w:ascii="仿宋" w:hAnsi="仿宋" w:eastAsia="仿宋" w:cs="仿宋"/>
                <w:i w:val="0"/>
                <w:iCs w:val="0"/>
                <w:color w:val="auto"/>
                <w:sz w:val="22"/>
                <w:szCs w:val="22"/>
                <w:highlight w:val="none"/>
                <w:u w:val="none"/>
              </w:rPr>
            </w:pPr>
          </w:p>
        </w:tc>
      </w:tr>
      <w:tr w14:paraId="6F72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75DD6C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19E0DA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CEE13B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1C5D1C6">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3F78229">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41E48F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75A0E4C">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322F4A4">
            <w:pPr>
              <w:jc w:val="center"/>
              <w:rPr>
                <w:rFonts w:hint="eastAsia" w:ascii="仿宋" w:hAnsi="仿宋" w:eastAsia="仿宋" w:cs="仿宋"/>
                <w:i w:val="0"/>
                <w:iCs w:val="0"/>
                <w:color w:val="auto"/>
                <w:sz w:val="22"/>
                <w:szCs w:val="22"/>
                <w:highlight w:val="none"/>
                <w:u w:val="none"/>
              </w:rPr>
            </w:pPr>
          </w:p>
        </w:tc>
      </w:tr>
      <w:tr w14:paraId="2BB04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40A6D8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1BE616C">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632967">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B39056">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1210EE1">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9CFE28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90DA95D">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15E4F8E">
            <w:pPr>
              <w:jc w:val="center"/>
              <w:rPr>
                <w:rFonts w:hint="eastAsia" w:ascii="仿宋" w:hAnsi="仿宋" w:eastAsia="仿宋" w:cs="仿宋"/>
                <w:i w:val="0"/>
                <w:iCs w:val="0"/>
                <w:color w:val="auto"/>
                <w:sz w:val="22"/>
                <w:szCs w:val="22"/>
                <w:highlight w:val="none"/>
                <w:u w:val="none"/>
              </w:rPr>
            </w:pPr>
          </w:p>
        </w:tc>
      </w:tr>
      <w:tr w14:paraId="6531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68B517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7BCC39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64DDF3E">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536E6C2">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E0A2CEA">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9637C8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2214AF1">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B5D4FF7">
            <w:pPr>
              <w:jc w:val="center"/>
              <w:rPr>
                <w:rFonts w:hint="eastAsia" w:ascii="仿宋" w:hAnsi="仿宋" w:eastAsia="仿宋" w:cs="仿宋"/>
                <w:i w:val="0"/>
                <w:iCs w:val="0"/>
                <w:color w:val="auto"/>
                <w:sz w:val="22"/>
                <w:szCs w:val="22"/>
                <w:highlight w:val="none"/>
                <w:u w:val="none"/>
              </w:rPr>
            </w:pPr>
          </w:p>
        </w:tc>
      </w:tr>
      <w:tr w14:paraId="60F1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35A6FC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EA8C204">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F0D43F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75068CE">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235F19EA">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F259DF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45A2AA1">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2E64F6E">
            <w:pPr>
              <w:jc w:val="center"/>
              <w:rPr>
                <w:rFonts w:hint="eastAsia" w:ascii="仿宋" w:hAnsi="仿宋" w:eastAsia="仿宋" w:cs="仿宋"/>
                <w:i w:val="0"/>
                <w:iCs w:val="0"/>
                <w:color w:val="auto"/>
                <w:sz w:val="22"/>
                <w:szCs w:val="22"/>
                <w:highlight w:val="none"/>
                <w:u w:val="none"/>
              </w:rPr>
            </w:pPr>
          </w:p>
        </w:tc>
      </w:tr>
      <w:tr w14:paraId="4690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684FE76F">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4A2D0C26">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4DFADE2">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6447588">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7DFC641">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0B76479A">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2CD73262">
            <w:pPr>
              <w:jc w:val="center"/>
              <w:rPr>
                <w:rFonts w:hint="eastAsia" w:ascii="仿宋" w:hAnsi="仿宋" w:eastAsia="仿宋" w:cs="仿宋"/>
                <w:i w:val="0"/>
                <w:iCs w:val="0"/>
                <w:color w:val="auto"/>
                <w:sz w:val="22"/>
                <w:szCs w:val="22"/>
                <w:highlight w:val="none"/>
                <w:u w:val="none"/>
              </w:rPr>
            </w:pPr>
          </w:p>
        </w:tc>
      </w:tr>
      <w:tr w14:paraId="30931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037A409B">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8118F5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41EFC5E">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EE6BCAE">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FB1952B">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18A9A6C">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B2A1BBA">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383BC52A">
            <w:pPr>
              <w:jc w:val="center"/>
              <w:rPr>
                <w:rFonts w:hint="eastAsia" w:ascii="仿宋" w:hAnsi="仿宋" w:eastAsia="仿宋" w:cs="仿宋"/>
                <w:i w:val="0"/>
                <w:iCs w:val="0"/>
                <w:color w:val="auto"/>
                <w:sz w:val="22"/>
                <w:szCs w:val="22"/>
                <w:highlight w:val="none"/>
                <w:u w:val="none"/>
              </w:rPr>
            </w:pPr>
          </w:p>
        </w:tc>
      </w:tr>
      <w:tr w14:paraId="5F6E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7F97F686">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A4D2C99">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3AE0BEC">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6EF3F98">
            <w:pP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462F545">
            <w:pP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D4F6889">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3A059DC9">
            <w:pP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1DC7394">
            <w:pPr>
              <w:rPr>
                <w:rFonts w:hint="eastAsia" w:ascii="仿宋" w:hAnsi="仿宋" w:eastAsia="仿宋" w:cs="仿宋"/>
                <w:i w:val="0"/>
                <w:iCs w:val="0"/>
                <w:color w:val="auto"/>
                <w:sz w:val="22"/>
                <w:szCs w:val="22"/>
                <w:highlight w:val="none"/>
                <w:u w:val="none"/>
              </w:rPr>
            </w:pPr>
          </w:p>
        </w:tc>
      </w:tr>
      <w:tr w14:paraId="186E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3A295437">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811B1B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63A0E59">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DF19B9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22375500">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034B1AD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3926A3C6">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481DADE1">
            <w:pPr>
              <w:rPr>
                <w:rFonts w:hint="eastAsia" w:ascii="仿宋" w:hAnsi="仿宋" w:eastAsia="仿宋" w:cs="仿宋"/>
                <w:i w:val="0"/>
                <w:iCs w:val="0"/>
                <w:color w:val="auto"/>
                <w:sz w:val="22"/>
                <w:szCs w:val="22"/>
                <w:highlight w:val="none"/>
                <w:u w:val="none"/>
              </w:rPr>
            </w:pPr>
          </w:p>
        </w:tc>
      </w:tr>
      <w:tr w14:paraId="6E8B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6B713172">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6552A03A">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964E66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154D5F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FEB91D9">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AD287E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4C581337">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551F869A">
            <w:pPr>
              <w:rPr>
                <w:rFonts w:hint="eastAsia" w:ascii="仿宋" w:hAnsi="仿宋" w:eastAsia="仿宋" w:cs="仿宋"/>
                <w:i w:val="0"/>
                <w:iCs w:val="0"/>
                <w:color w:val="auto"/>
                <w:sz w:val="22"/>
                <w:szCs w:val="22"/>
                <w:highlight w:val="none"/>
                <w:u w:val="none"/>
              </w:rPr>
            </w:pPr>
          </w:p>
        </w:tc>
      </w:tr>
      <w:tr w14:paraId="1265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46342130">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5DC27F0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90EFC84">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1555221">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0A909B9">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B731B5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6E3177D8">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5B3A0E7">
            <w:pPr>
              <w:rPr>
                <w:rFonts w:hint="eastAsia" w:ascii="仿宋" w:hAnsi="仿宋" w:eastAsia="仿宋" w:cs="仿宋"/>
                <w:i w:val="0"/>
                <w:iCs w:val="0"/>
                <w:color w:val="auto"/>
                <w:sz w:val="22"/>
                <w:szCs w:val="22"/>
                <w:highlight w:val="none"/>
                <w:u w:val="none"/>
              </w:rPr>
            </w:pPr>
          </w:p>
        </w:tc>
      </w:tr>
    </w:tbl>
    <w:p w14:paraId="5359D812">
      <w:pPr>
        <w:pStyle w:val="11"/>
        <w:tabs>
          <w:tab w:val="clear" w:pos="-116"/>
          <w:tab w:val="clear" w:pos="420"/>
        </w:tabs>
        <w:rPr>
          <w:rFonts w:hint="eastAsia" w:ascii="仿宋" w:hAnsi="仿宋" w:eastAsia="仿宋" w:cs="仿宋"/>
          <w:bCs/>
          <w:color w:val="auto"/>
          <w:kern w:val="0"/>
          <w:sz w:val="24"/>
          <w:szCs w:val="24"/>
          <w:highlight w:val="none"/>
          <w:lang w:val="en-US" w:eastAsia="zh-CN"/>
        </w:rPr>
      </w:pPr>
    </w:p>
    <w:p w14:paraId="68BC8E88">
      <w:pPr>
        <w:jc w:val="right"/>
        <w:rPr>
          <w:rFonts w:hint="eastAsia" w:ascii="仿宋" w:hAnsi="仿宋" w:eastAsia="仿宋" w:cs="仿宋"/>
          <w:b/>
          <w:bCs/>
          <w:color w:val="auto"/>
          <w:sz w:val="44"/>
          <w:szCs w:val="44"/>
          <w:highlight w:val="none"/>
          <w:lang w:val="en-US" w:eastAsia="zh-CN"/>
        </w:rPr>
      </w:pPr>
    </w:p>
    <w:p w14:paraId="278A7835">
      <w:pPr>
        <w:jc w:val="right"/>
        <w:rPr>
          <w:rFonts w:hint="eastAsia" w:ascii="仿宋" w:hAnsi="仿宋" w:eastAsia="仿宋" w:cs="仿宋"/>
          <w:b/>
          <w:bCs/>
          <w:color w:val="auto"/>
          <w:sz w:val="44"/>
          <w:szCs w:val="44"/>
          <w:highlight w:val="none"/>
          <w:lang w:val="en-US" w:eastAsia="zh-CN"/>
        </w:rPr>
      </w:pPr>
    </w:p>
    <w:p w14:paraId="46C6569E">
      <w:pPr>
        <w:jc w:val="right"/>
        <w:rPr>
          <w:rFonts w:hint="eastAsia" w:ascii="仿宋" w:hAnsi="仿宋" w:eastAsia="仿宋" w:cs="仿宋"/>
          <w:b/>
          <w:bCs/>
          <w:color w:val="auto"/>
          <w:sz w:val="44"/>
          <w:szCs w:val="44"/>
          <w:highlight w:val="none"/>
          <w:lang w:val="en-US" w:eastAsia="zh-CN"/>
        </w:rPr>
      </w:pPr>
    </w:p>
    <w:p w14:paraId="69663C29">
      <w:pPr>
        <w:jc w:val="right"/>
        <w:rPr>
          <w:rFonts w:hint="eastAsia" w:ascii="仿宋" w:hAnsi="仿宋" w:eastAsia="仿宋" w:cs="仿宋"/>
          <w:b/>
          <w:bCs/>
          <w:color w:val="auto"/>
          <w:sz w:val="44"/>
          <w:szCs w:val="44"/>
          <w:highlight w:val="none"/>
          <w:lang w:val="en-US" w:eastAsia="zh-CN"/>
        </w:rPr>
      </w:pPr>
    </w:p>
    <w:p w14:paraId="198CE7CE">
      <w:pPr>
        <w:jc w:val="right"/>
        <w:rPr>
          <w:rFonts w:hint="eastAsia" w:ascii="仿宋" w:hAnsi="仿宋" w:eastAsia="仿宋" w:cs="仿宋"/>
          <w:b/>
          <w:bCs/>
          <w:color w:val="auto"/>
          <w:sz w:val="44"/>
          <w:szCs w:val="44"/>
          <w:highlight w:val="none"/>
          <w:lang w:val="en-US" w:eastAsia="zh-CN"/>
        </w:rPr>
      </w:pPr>
    </w:p>
    <w:p w14:paraId="2333D64C">
      <w:pPr>
        <w:jc w:val="right"/>
        <w:rPr>
          <w:rFonts w:hint="eastAsia" w:ascii="仿宋" w:hAnsi="仿宋" w:eastAsia="仿宋" w:cs="仿宋"/>
          <w:b/>
          <w:bCs/>
          <w:color w:val="auto"/>
          <w:sz w:val="44"/>
          <w:szCs w:val="44"/>
          <w:highlight w:val="none"/>
          <w:lang w:val="en-US" w:eastAsia="zh-CN"/>
        </w:rPr>
      </w:pPr>
    </w:p>
    <w:p w14:paraId="13181FE4">
      <w:pPr>
        <w:jc w:val="right"/>
        <w:rPr>
          <w:rFonts w:hint="eastAsia" w:ascii="仿宋" w:hAnsi="仿宋" w:eastAsia="仿宋" w:cs="仿宋"/>
          <w:b/>
          <w:bCs/>
          <w:color w:val="auto"/>
          <w:sz w:val="44"/>
          <w:szCs w:val="44"/>
          <w:highlight w:val="none"/>
          <w:lang w:val="en-US" w:eastAsia="zh-CN"/>
        </w:rPr>
      </w:pPr>
    </w:p>
    <w:p w14:paraId="608A8D1E">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footerReference r:id="rId8" w:type="default"/>
          <w:pgSz w:w="11906" w:h="16838"/>
          <w:pgMar w:top="1134" w:right="850" w:bottom="567" w:left="850" w:header="737" w:footer="624" w:gutter="0"/>
          <w:pgBorders>
            <w:top w:val="none" w:sz="0" w:space="0"/>
            <w:left w:val="none" w:sz="0" w:space="0"/>
            <w:bottom w:val="none" w:sz="0" w:space="0"/>
            <w:right w:val="none" w:sz="0" w:space="0"/>
          </w:pgBorders>
          <w:pgNumType w:fmt="decimal" w:start="22"/>
          <w:cols w:space="720" w:num="1"/>
          <w:rtlGutter w:val="0"/>
          <w:docGrid w:type="lines" w:linePitch="312" w:charSpace="0"/>
        </w:sectPr>
      </w:pPr>
    </w:p>
    <w:p w14:paraId="14D75F7D">
      <w:pPr>
        <w:spacing w:before="63" w:line="219" w:lineRule="auto"/>
        <w:jc w:val="right"/>
        <w:rPr>
          <w:rFonts w:ascii="宋体" w:hAnsi="宋体" w:eastAsia="宋体" w:cs="宋体"/>
          <w:color w:val="auto"/>
          <w:spacing w:val="-13"/>
          <w:sz w:val="40"/>
          <w:szCs w:val="40"/>
          <w:highlight w:val="none"/>
          <w14:textOutline w14:w="5803" w14:cap="flat" w14:cmpd="sng">
            <w14:solidFill>
              <w14:srgbClr w14:val="000000"/>
            </w14:solidFill>
            <w14:prstDash w14:val="solid"/>
            <w14:miter w14:val="0"/>
          </w14:textOutline>
        </w:rPr>
      </w:pPr>
      <w:r>
        <w:rPr>
          <w:rFonts w:hint="eastAsia" w:ascii="仿宋" w:hAnsi="仿宋" w:eastAsia="仿宋" w:cs="仿宋"/>
          <w:b/>
          <w:bCs/>
          <w:i w:val="0"/>
          <w:iCs w:val="0"/>
          <w:color w:val="auto"/>
          <w:kern w:val="0"/>
          <w:sz w:val="44"/>
          <w:szCs w:val="44"/>
          <w:highlight w:val="none"/>
          <w:u w:val="none"/>
          <w:lang w:val="en-US" w:eastAsia="zh-CN" w:bidi="ar"/>
        </w:rPr>
        <w:t>附件五</w:t>
      </w:r>
    </w:p>
    <w:p w14:paraId="039890A9">
      <w:pPr>
        <w:widowControl/>
        <w:kinsoku w:val="0"/>
        <w:autoSpaceDE w:val="0"/>
        <w:autoSpaceDN w:val="0"/>
        <w:adjustRightInd w:val="0"/>
        <w:snapToGrid w:val="0"/>
        <w:spacing w:before="26" w:line="240" w:lineRule="auto"/>
        <w:jc w:val="left"/>
        <w:textAlignment w:val="baseline"/>
        <w:rPr>
          <w:rFonts w:ascii="Arial" w:hAnsi="Arial" w:eastAsia="Arial" w:cs="Arial"/>
          <w:snapToGrid w:val="0"/>
          <w:color w:val="auto"/>
          <w:kern w:val="0"/>
          <w:szCs w:val="21"/>
          <w:lang w:eastAsia="en-US"/>
        </w:rPr>
      </w:pPr>
    </w:p>
    <w:p w14:paraId="21B4A114">
      <w:pPr>
        <w:widowControl/>
        <w:kinsoku w:val="0"/>
        <w:autoSpaceDE w:val="0"/>
        <w:autoSpaceDN w:val="0"/>
        <w:adjustRightInd w:val="0"/>
        <w:snapToGrid w:val="0"/>
        <w:spacing w:before="25" w:line="240" w:lineRule="auto"/>
        <w:jc w:val="center"/>
        <w:textAlignment w:val="baseline"/>
        <w:rPr>
          <w:rFonts w:hint="eastAsia" w:ascii="Arial" w:hAnsi="Arial" w:eastAsia="宋体" w:cs="Arial"/>
          <w:snapToGrid w:val="0"/>
          <w:color w:val="auto"/>
          <w:kern w:val="0"/>
          <w:szCs w:val="21"/>
          <w:lang w:val="en-US" w:eastAsia="zh-CN"/>
        </w:rPr>
      </w:pPr>
      <w:r>
        <w:rPr>
          <w:rFonts w:hint="eastAsia" w:ascii="Arial" w:hAnsi="Arial" w:eastAsia="宋体" w:cs="Arial"/>
          <w:snapToGrid w:val="0"/>
          <w:color w:val="auto"/>
          <w:kern w:val="0"/>
          <w:sz w:val="48"/>
          <w:szCs w:val="48"/>
          <w:lang w:val="en-US" w:eastAsia="zh-CN"/>
        </w:rPr>
        <w:t>东莞市中泰建安工程有限公司</w:t>
      </w:r>
    </w:p>
    <w:p w14:paraId="4EB52C62">
      <w:pPr>
        <w:keepNext w:val="0"/>
        <w:keepLines w:val="0"/>
        <w:pageBreakBefore w:val="0"/>
        <w:widowControl/>
        <w:kinsoku w:val="0"/>
        <w:wordWrap/>
        <w:overflowPunct/>
        <w:topLinePunct w:val="0"/>
        <w:autoSpaceDE w:val="0"/>
        <w:autoSpaceDN w:val="0"/>
        <w:bidi w:val="0"/>
        <w:adjustRightInd w:val="0"/>
        <w:snapToGrid w:val="0"/>
        <w:spacing w:line="240" w:lineRule="auto"/>
        <w:ind w:firstLine="2924"/>
        <w:jc w:val="right"/>
        <w:textAlignment w:val="baseline"/>
        <w:rPr>
          <w:rFonts w:hint="eastAsia" w:ascii="宋体" w:hAnsi="宋体" w:eastAsia="宋体" w:cs="宋体"/>
          <w:snapToGrid w:val="0"/>
          <w:color w:val="auto"/>
          <w:spacing w:val="-7"/>
          <w:kern w:val="0"/>
          <w:sz w:val="36"/>
          <w:szCs w:val="36"/>
          <w:lang w:val="en-US" w:eastAsia="zh-CN"/>
        </w:rPr>
      </w:pPr>
      <w:r>
        <w:rPr>
          <w:rFonts w:hint="eastAsia" w:ascii="Arial" w:hAnsi="Arial" w:eastAsia="宋体" w:cs="Arial"/>
          <w:snapToGrid w:val="0"/>
          <w:color w:val="auto"/>
          <w:kern w:val="0"/>
          <w:position w:val="-21"/>
          <w:szCs w:val="21"/>
          <w:lang w:val="en-US" w:eastAsia="zh-CN"/>
        </w:rPr>
        <w:t xml:space="preserve">                </w:t>
      </w:r>
      <w:r>
        <w:rPr>
          <w:rFonts w:hint="eastAsia" w:ascii="Arial" w:hAnsi="Arial" w:eastAsia="宋体" w:cs="Arial"/>
          <w:snapToGrid w:val="0"/>
          <w:color w:val="auto"/>
          <w:kern w:val="0"/>
          <w:position w:val="-21"/>
          <w:sz w:val="32"/>
          <w:szCs w:val="32"/>
          <w:lang w:val="en-US" w:eastAsia="zh-CN"/>
        </w:rPr>
        <w:t xml:space="preserve">                                                 受控                                       </w:t>
      </w:r>
    </w:p>
    <w:p w14:paraId="378E44B2">
      <w:pPr>
        <w:keepNext w:val="0"/>
        <w:keepLines w:val="0"/>
        <w:pageBreakBefore w:val="0"/>
        <w:widowControl/>
        <w:kinsoku w:val="0"/>
        <w:wordWrap/>
        <w:overflowPunct/>
        <w:topLinePunct w:val="0"/>
        <w:autoSpaceDE w:val="0"/>
        <w:autoSpaceDN w:val="0"/>
        <w:bidi w:val="0"/>
        <w:adjustRightInd w:val="0"/>
        <w:snapToGrid w:val="0"/>
        <w:spacing w:before="194" w:line="240" w:lineRule="auto"/>
        <w:ind w:left="6612"/>
        <w:jc w:val="left"/>
        <w:textAlignment w:val="baseline"/>
        <w:outlineLvl w:val="0"/>
        <w:rPr>
          <w:rFonts w:hint="eastAsia" w:ascii="宋体" w:hAnsi="宋体" w:eastAsia="宋体" w:cs="宋体"/>
          <w:snapToGrid w:val="0"/>
          <w:color w:val="auto"/>
          <w:spacing w:val="-7"/>
          <w:kern w:val="0"/>
          <w:sz w:val="36"/>
          <w:szCs w:val="36"/>
          <w:lang w:val="en-US" w:eastAsia="zh-CN" w:bidi="ar-SA"/>
        </w:rPr>
      </w:pPr>
      <w:r>
        <w:rPr>
          <w:rFonts w:hint="eastAsia" w:ascii="宋体" w:hAnsi="宋体" w:eastAsia="宋体" w:cs="宋体"/>
          <w:snapToGrid w:val="0"/>
          <w:color w:val="auto"/>
          <w:spacing w:val="-7"/>
          <w:kern w:val="0"/>
          <w:sz w:val="36"/>
          <w:szCs w:val="36"/>
          <w:lang w:val="en-US" w:eastAsia="zh-CN" w:bidi="ar-SA"/>
        </w:rPr>
        <w:t xml:space="preserve">                                    </w:t>
      </w:r>
      <w:bookmarkStart w:id="158" w:name="_Toc1556"/>
      <w:r>
        <w:rPr>
          <w:rFonts w:hint="eastAsia" w:ascii="宋体" w:hAnsi="宋体" w:eastAsia="宋体" w:cs="宋体"/>
          <w:snapToGrid w:val="0"/>
          <w:color w:val="auto"/>
          <w:spacing w:val="-7"/>
          <w:kern w:val="0"/>
          <w:sz w:val="36"/>
          <w:szCs w:val="36"/>
          <w:lang w:val="en-US" w:eastAsia="zh-CN" w:bidi="ar-SA"/>
        </w:rPr>
        <w:t>No.</w:t>
      </w:r>
      <w:bookmarkEnd w:id="158"/>
      <w:r>
        <w:rPr>
          <w:rFonts w:hint="eastAsia" w:ascii="宋体" w:hAnsi="宋体" w:eastAsia="宋体" w:cs="宋体"/>
          <w:snapToGrid w:val="0"/>
          <w:color w:val="auto"/>
          <w:spacing w:val="-7"/>
          <w:kern w:val="0"/>
          <w:sz w:val="36"/>
          <w:szCs w:val="36"/>
          <w:lang w:val="en-US" w:eastAsia="zh-CN" w:bidi="ar-SA"/>
        </w:rPr>
        <w:t xml:space="preserve"> </w:t>
      </w:r>
    </w:p>
    <w:p w14:paraId="02CE7DD8">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0"/>
        <w:rPr>
          <w:rFonts w:hint="eastAsia" w:ascii="宋体" w:hAnsi="宋体" w:eastAsia="宋体" w:cs="宋体"/>
          <w:snapToGrid w:val="0"/>
          <w:color w:val="auto"/>
          <w:kern w:val="0"/>
          <w:sz w:val="36"/>
          <w:szCs w:val="36"/>
          <w:lang w:val="en-US" w:eastAsia="en-US" w:bidi="ar-SA"/>
        </w:rPr>
      </w:pPr>
      <w:bookmarkStart w:id="159" w:name="_Toc926"/>
      <w:r>
        <w:rPr>
          <w:rFonts w:hint="eastAsia" w:ascii="宋体" w:hAnsi="宋体" w:eastAsia="宋体" w:cs="宋体"/>
          <w:snapToGrid w:val="0"/>
          <w:color w:val="auto"/>
          <w:spacing w:val="-7"/>
          <w:kern w:val="0"/>
          <w:sz w:val="36"/>
          <w:szCs w:val="36"/>
          <w:lang w:val="en-US" w:eastAsia="zh-CN" w:bidi="ar-SA"/>
        </w:rPr>
        <w:t xml:space="preserve">材  料  </w:t>
      </w:r>
      <w:r>
        <w:rPr>
          <w:rFonts w:hint="eastAsia" w:ascii="宋体" w:hAnsi="宋体" w:eastAsia="宋体" w:cs="宋体"/>
          <w:snapToGrid w:val="0"/>
          <w:color w:val="auto"/>
          <w:spacing w:val="-7"/>
          <w:kern w:val="0"/>
          <w:sz w:val="36"/>
          <w:szCs w:val="36"/>
          <w:lang w:val="en-US" w:eastAsia="en-US" w:bidi="ar-SA"/>
        </w:rPr>
        <w:t>签</w:t>
      </w:r>
      <w:r>
        <w:rPr>
          <w:rFonts w:hint="eastAsia" w:ascii="宋体" w:hAnsi="宋体" w:eastAsia="宋体" w:cs="宋体"/>
          <w:snapToGrid w:val="0"/>
          <w:color w:val="auto"/>
          <w:spacing w:val="82"/>
          <w:kern w:val="0"/>
          <w:sz w:val="36"/>
          <w:szCs w:val="36"/>
          <w:lang w:val="en-US" w:eastAsia="en-US" w:bidi="ar-SA"/>
        </w:rPr>
        <w:t xml:space="preserve"> </w:t>
      </w:r>
      <w:r>
        <w:rPr>
          <w:rFonts w:hint="eastAsia" w:ascii="宋体" w:hAnsi="宋体" w:eastAsia="宋体" w:cs="宋体"/>
          <w:snapToGrid w:val="0"/>
          <w:color w:val="auto"/>
          <w:spacing w:val="-7"/>
          <w:kern w:val="0"/>
          <w:sz w:val="36"/>
          <w:szCs w:val="36"/>
          <w:lang w:val="en-US" w:eastAsia="en-US" w:bidi="ar-SA"/>
        </w:rPr>
        <w:t>收</w:t>
      </w:r>
      <w:r>
        <w:rPr>
          <w:rFonts w:hint="eastAsia" w:ascii="宋体" w:hAnsi="宋体" w:eastAsia="宋体" w:cs="宋体"/>
          <w:snapToGrid w:val="0"/>
          <w:color w:val="auto"/>
          <w:spacing w:val="53"/>
          <w:kern w:val="0"/>
          <w:sz w:val="36"/>
          <w:szCs w:val="36"/>
          <w:lang w:val="en-US" w:eastAsia="en-US" w:bidi="ar-SA"/>
        </w:rPr>
        <w:t xml:space="preserve"> </w:t>
      </w:r>
      <w:r>
        <w:rPr>
          <w:rFonts w:hint="eastAsia" w:ascii="宋体" w:hAnsi="宋体" w:eastAsia="宋体" w:cs="宋体"/>
          <w:snapToGrid w:val="0"/>
          <w:color w:val="auto"/>
          <w:spacing w:val="-7"/>
          <w:kern w:val="0"/>
          <w:sz w:val="36"/>
          <w:szCs w:val="36"/>
          <w:lang w:val="en-US" w:eastAsia="en-US" w:bidi="ar-SA"/>
        </w:rPr>
        <w:t>单</w:t>
      </w:r>
      <w:bookmarkEnd w:id="159"/>
    </w:p>
    <w:p w14:paraId="6FFC9908">
      <w:pPr>
        <w:keepNext w:val="0"/>
        <w:keepLines w:val="0"/>
        <w:pageBreakBefore w:val="0"/>
        <w:widowControl/>
        <w:kinsoku w:val="0"/>
        <w:wordWrap/>
        <w:overflowPunct/>
        <w:topLinePunct w:val="0"/>
        <w:autoSpaceDE w:val="0"/>
        <w:autoSpaceDN w:val="0"/>
        <w:bidi w:val="0"/>
        <w:adjustRightInd w:val="0"/>
        <w:snapToGrid w:val="0"/>
        <w:spacing w:before="7" w:line="360" w:lineRule="auto"/>
        <w:ind w:left="251"/>
        <w:jc w:val="left"/>
        <w:textAlignment w:val="baseline"/>
        <w:rPr>
          <w:rFonts w:hint="eastAsia" w:ascii="宋体" w:hAnsi="宋体" w:eastAsia="宋体" w:cs="宋体"/>
          <w:snapToGrid w:val="0"/>
          <w:color w:val="auto"/>
          <w:kern w:val="0"/>
          <w:sz w:val="24"/>
          <w:szCs w:val="24"/>
          <w:lang w:val="en-US" w:eastAsia="en-US" w:bidi="ar-SA"/>
        </w:rPr>
      </w:pPr>
      <w:r>
        <w:rPr>
          <w:color w:val="auto"/>
          <w:sz w:val="24"/>
        </w:rPr>
        <mc:AlternateContent>
          <mc:Choice Requires="wps">
            <w:drawing>
              <wp:anchor distT="0" distB="0" distL="114300" distR="114300" simplePos="0" relativeHeight="251663360" behindDoc="0" locked="0" layoutInCell="1" allowOverlap="1">
                <wp:simplePos x="0" y="0"/>
                <wp:positionH relativeFrom="column">
                  <wp:posOffset>9220835</wp:posOffset>
                </wp:positionH>
                <wp:positionV relativeFrom="paragraph">
                  <wp:posOffset>113665</wp:posOffset>
                </wp:positionV>
                <wp:extent cx="361950" cy="3598545"/>
                <wp:effectExtent l="0" t="0" r="0" b="1905"/>
                <wp:wrapNone/>
                <wp:docPr id="4" name="文本框 4"/>
                <wp:cNvGraphicFramePr/>
                <a:graphic xmlns:a="http://schemas.openxmlformats.org/drawingml/2006/main">
                  <a:graphicData uri="http://schemas.microsoft.com/office/word/2010/wordprocessingShape">
                    <wps:wsp>
                      <wps:cNvSpPr txBox="1"/>
                      <wps:spPr>
                        <a:xfrm>
                          <a:off x="9609455" y="3271520"/>
                          <a:ext cx="361950" cy="3598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14B7D">
                            <w:pPr>
                              <w:pStyle w:val="4"/>
                              <w:spacing w:before="20" w:line="209" w:lineRule="auto"/>
                              <w:ind w:left="20"/>
                              <w:rPr>
                                <w:color w:val="auto"/>
                                <w:sz w:val="21"/>
                                <w:szCs w:val="21"/>
                              </w:rPr>
                            </w:pPr>
                            <w:r>
                              <w:rPr>
                                <w:color w:val="auto"/>
                                <w:spacing w:val="35"/>
                                <w:sz w:val="21"/>
                                <w:szCs w:val="21"/>
                              </w:rPr>
                              <w:t>一存根（白）二</w:t>
                            </w:r>
                            <w:r>
                              <w:rPr>
                                <w:color w:val="auto"/>
                                <w:spacing w:val="63"/>
                                <w:sz w:val="21"/>
                                <w:szCs w:val="21"/>
                              </w:rPr>
                              <w:t xml:space="preserve"> </w:t>
                            </w:r>
                            <w:r>
                              <w:rPr>
                                <w:color w:val="auto"/>
                                <w:spacing w:val="35"/>
                                <w:sz w:val="21"/>
                                <w:szCs w:val="21"/>
                              </w:rPr>
                              <w:t>财务（红）三</w:t>
                            </w:r>
                            <w:r>
                              <w:rPr>
                                <w:color w:val="auto"/>
                                <w:spacing w:val="62"/>
                                <w:sz w:val="21"/>
                                <w:szCs w:val="21"/>
                              </w:rPr>
                              <w:t xml:space="preserve"> </w:t>
                            </w:r>
                            <w:r>
                              <w:rPr>
                                <w:color w:val="auto"/>
                                <w:spacing w:val="35"/>
                                <w:sz w:val="21"/>
                                <w:szCs w:val="21"/>
                              </w:rPr>
                              <w:t>顾客（绿）</w:t>
                            </w:r>
                          </w:p>
                          <w:p w14:paraId="03CC3555">
                            <w:pPr>
                              <w:rPr>
                                <w:color w:val="auto"/>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6.05pt;margin-top:8.95pt;height:283.35pt;width:28.5pt;z-index:251663360;mso-width-relative:page;mso-height-relative:page;" filled="f" stroked="f" coordsize="21600,21600" o:gfxdata="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V3MN2gAAAAwBAAAPAAAAAAAA&#10;AAEAIAAAACIAAABkcnMvZG93bnJldi54bWxQSwECFAAUAAAACACHTuJAAHYrakkCAAB0BAAADgAA&#10;AAAAAAABACAAAAApAQAAZHJzL2Uyb0RvYy54bWxQSwUGAAAAAAYABgBZAQAA5AUAAAAA&#10;">
                <v:fill on="f" focussize="0,0"/>
                <v:stroke on="f" weight="0.5pt"/>
                <v:imagedata o:title=""/>
                <o:lock v:ext="edit" aspectratio="f"/>
                <v:textbox style="layout-flow:vertical-ideographic;">
                  <w:txbxContent>
                    <w:p w14:paraId="5CE14B7D">
                      <w:pPr>
                        <w:pStyle w:val="4"/>
                        <w:spacing w:before="20" w:line="209" w:lineRule="auto"/>
                        <w:ind w:left="20"/>
                        <w:rPr>
                          <w:color w:val="auto"/>
                          <w:sz w:val="21"/>
                          <w:szCs w:val="21"/>
                        </w:rPr>
                      </w:pPr>
                      <w:r>
                        <w:rPr>
                          <w:color w:val="auto"/>
                          <w:spacing w:val="35"/>
                          <w:sz w:val="21"/>
                          <w:szCs w:val="21"/>
                        </w:rPr>
                        <w:t>一存根（白）二</w:t>
                      </w:r>
                      <w:r>
                        <w:rPr>
                          <w:color w:val="auto"/>
                          <w:spacing w:val="63"/>
                          <w:sz w:val="21"/>
                          <w:szCs w:val="21"/>
                        </w:rPr>
                        <w:t xml:space="preserve"> </w:t>
                      </w:r>
                      <w:r>
                        <w:rPr>
                          <w:color w:val="auto"/>
                          <w:spacing w:val="35"/>
                          <w:sz w:val="21"/>
                          <w:szCs w:val="21"/>
                        </w:rPr>
                        <w:t>财务（红）三</w:t>
                      </w:r>
                      <w:r>
                        <w:rPr>
                          <w:color w:val="auto"/>
                          <w:spacing w:val="62"/>
                          <w:sz w:val="21"/>
                          <w:szCs w:val="21"/>
                        </w:rPr>
                        <w:t xml:space="preserve"> </w:t>
                      </w:r>
                      <w:r>
                        <w:rPr>
                          <w:color w:val="auto"/>
                          <w:spacing w:val="35"/>
                          <w:sz w:val="21"/>
                          <w:szCs w:val="21"/>
                        </w:rPr>
                        <w:t>顾客（绿）</w:t>
                      </w:r>
                    </w:p>
                    <w:p w14:paraId="03CC3555">
                      <w:pPr>
                        <w:rPr>
                          <w:color w:val="auto"/>
                        </w:rPr>
                      </w:pPr>
                    </w:p>
                  </w:txbxContent>
                </v:textbox>
              </v:shape>
            </w:pict>
          </mc:Fallback>
        </mc:AlternateContent>
      </w:r>
      <w:r>
        <w:rPr>
          <w:rFonts w:hint="eastAsia" w:ascii="宋体" w:hAnsi="宋体" w:eastAsia="宋体" w:cs="宋体"/>
          <w:snapToGrid w:val="0"/>
          <w:color w:val="auto"/>
          <w:spacing w:val="1"/>
          <w:kern w:val="0"/>
          <w:sz w:val="24"/>
          <w:szCs w:val="24"/>
          <w:lang w:val="en-US" w:eastAsia="zh-CN" w:bidi="ar-SA"/>
        </w:rPr>
        <w:t>RM-17-A</w:t>
      </w:r>
      <w:r>
        <w:rPr>
          <w:rFonts w:hint="eastAsia" w:ascii="宋体" w:hAnsi="宋体" w:eastAsia="宋体" w:cs="宋体"/>
          <w:snapToGrid w:val="0"/>
          <w:color w:val="auto"/>
          <w:spacing w:val="1"/>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zh-CN" w:bidi="ar-SA"/>
        </w:rPr>
        <w:t xml:space="preserve">    20  年    月   日</w:t>
      </w:r>
      <w:r>
        <w:rPr>
          <w:rFonts w:hint="eastAsia" w:ascii="宋体" w:hAnsi="宋体" w:eastAsia="宋体" w:cs="宋体"/>
          <w:snapToGrid w:val="0"/>
          <w:color w:val="auto"/>
          <w:kern w:val="0"/>
          <w:sz w:val="24"/>
          <w:szCs w:val="24"/>
          <w:lang w:val="en-US" w:eastAsia="en-US" w:bidi="ar-SA"/>
        </w:rPr>
        <w:t xml:space="preserve">                              </w:t>
      </w:r>
    </w:p>
    <w:tbl>
      <w:tblPr>
        <w:tblStyle w:val="17"/>
        <w:tblW w:w="136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61"/>
        <w:gridCol w:w="2308"/>
        <w:gridCol w:w="1866"/>
        <w:gridCol w:w="1678"/>
        <w:gridCol w:w="1232"/>
        <w:gridCol w:w="2731"/>
      </w:tblGrid>
      <w:tr w14:paraId="4CE49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3861" w:type="dxa"/>
            <w:vAlign w:val="top"/>
          </w:tcPr>
          <w:p w14:paraId="0B3D3028">
            <w:pPr>
              <w:widowControl/>
              <w:kinsoku w:val="0"/>
              <w:autoSpaceDE w:val="0"/>
              <w:autoSpaceDN w:val="0"/>
              <w:adjustRightInd w:val="0"/>
              <w:snapToGrid w:val="0"/>
              <w:spacing w:before="263" w:line="220" w:lineRule="auto"/>
              <w:jc w:val="center"/>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7"/>
                <w:kern w:val="0"/>
                <w:sz w:val="24"/>
                <w:szCs w:val="24"/>
                <w:lang w:eastAsia="en-US"/>
              </w:rPr>
              <w:t>工</w:t>
            </w:r>
            <w:r>
              <w:rPr>
                <w:rFonts w:hint="eastAsia" w:ascii="宋体" w:hAnsi="宋体" w:eastAsia="宋体" w:cs="宋体"/>
                <w:snapToGrid w:val="0"/>
                <w:color w:val="auto"/>
                <w:spacing w:val="7"/>
                <w:kern w:val="0"/>
                <w:sz w:val="24"/>
                <w:szCs w:val="24"/>
                <w:lang w:val="en-US" w:eastAsia="zh-CN"/>
              </w:rPr>
              <w:t>地</w:t>
            </w:r>
            <w:r>
              <w:rPr>
                <w:rFonts w:hint="eastAsia" w:ascii="宋体" w:hAnsi="宋体" w:eastAsia="宋体" w:cs="宋体"/>
                <w:snapToGrid w:val="0"/>
                <w:color w:val="auto"/>
                <w:spacing w:val="7"/>
                <w:kern w:val="0"/>
                <w:sz w:val="24"/>
                <w:szCs w:val="24"/>
                <w:lang w:eastAsia="en-US"/>
              </w:rPr>
              <w:t>名称</w:t>
            </w:r>
          </w:p>
        </w:tc>
        <w:tc>
          <w:tcPr>
            <w:tcW w:w="2308" w:type="dxa"/>
            <w:vAlign w:val="top"/>
          </w:tcPr>
          <w:p w14:paraId="793A374E">
            <w:pPr>
              <w:widowControl/>
              <w:kinsoku w:val="0"/>
              <w:autoSpaceDE w:val="0"/>
              <w:autoSpaceDN w:val="0"/>
              <w:adjustRightInd w:val="0"/>
              <w:snapToGrid w:val="0"/>
              <w:spacing w:before="262" w:line="219" w:lineRule="auto"/>
              <w:jc w:val="center"/>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7"/>
                <w:kern w:val="0"/>
                <w:sz w:val="24"/>
                <w:szCs w:val="24"/>
                <w:lang w:eastAsia="en-US"/>
              </w:rPr>
              <w:t>材料名称</w:t>
            </w:r>
          </w:p>
        </w:tc>
        <w:tc>
          <w:tcPr>
            <w:tcW w:w="1866" w:type="dxa"/>
            <w:vAlign w:val="top"/>
          </w:tcPr>
          <w:p w14:paraId="31EA1343">
            <w:pPr>
              <w:widowControl/>
              <w:kinsoku w:val="0"/>
              <w:autoSpaceDE w:val="0"/>
              <w:autoSpaceDN w:val="0"/>
              <w:adjustRightInd w:val="0"/>
              <w:snapToGrid w:val="0"/>
              <w:spacing w:before="263" w:line="220" w:lineRule="auto"/>
              <w:jc w:val="center"/>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1"/>
                <w:kern w:val="0"/>
                <w:sz w:val="24"/>
                <w:szCs w:val="24"/>
                <w:lang w:eastAsia="en-US"/>
              </w:rPr>
              <w:t>单位</w:t>
            </w:r>
          </w:p>
        </w:tc>
        <w:tc>
          <w:tcPr>
            <w:tcW w:w="1678" w:type="dxa"/>
            <w:vAlign w:val="top"/>
          </w:tcPr>
          <w:p w14:paraId="72ABEA93">
            <w:pPr>
              <w:widowControl/>
              <w:kinsoku w:val="0"/>
              <w:autoSpaceDE w:val="0"/>
              <w:autoSpaceDN w:val="0"/>
              <w:adjustRightInd w:val="0"/>
              <w:snapToGrid w:val="0"/>
              <w:spacing w:before="263" w:line="219" w:lineRule="auto"/>
              <w:jc w:val="center"/>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1"/>
                <w:kern w:val="0"/>
                <w:sz w:val="24"/>
                <w:szCs w:val="24"/>
                <w:lang w:eastAsia="en-US"/>
              </w:rPr>
              <w:t>数量</w:t>
            </w:r>
          </w:p>
        </w:tc>
        <w:tc>
          <w:tcPr>
            <w:tcW w:w="1232" w:type="dxa"/>
            <w:vAlign w:val="top"/>
          </w:tcPr>
          <w:p w14:paraId="2697A372">
            <w:pPr>
              <w:widowControl/>
              <w:kinsoku w:val="0"/>
              <w:autoSpaceDE w:val="0"/>
              <w:autoSpaceDN w:val="0"/>
              <w:adjustRightInd w:val="0"/>
              <w:snapToGrid w:val="0"/>
              <w:spacing w:before="263" w:line="218" w:lineRule="auto"/>
              <w:ind w:left="413"/>
              <w:jc w:val="left"/>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1"/>
                <w:kern w:val="0"/>
                <w:sz w:val="24"/>
                <w:szCs w:val="24"/>
                <w:lang w:eastAsia="en-US"/>
              </w:rPr>
              <w:t>单价</w:t>
            </w:r>
          </w:p>
        </w:tc>
        <w:tc>
          <w:tcPr>
            <w:tcW w:w="2731" w:type="dxa"/>
            <w:vAlign w:val="top"/>
          </w:tcPr>
          <w:p w14:paraId="354A5B39">
            <w:pPr>
              <w:widowControl/>
              <w:kinsoku w:val="0"/>
              <w:autoSpaceDE w:val="0"/>
              <w:autoSpaceDN w:val="0"/>
              <w:adjustRightInd w:val="0"/>
              <w:snapToGrid w:val="0"/>
              <w:spacing w:before="262" w:line="221" w:lineRule="auto"/>
              <w:ind w:left="1209"/>
              <w:jc w:val="left"/>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1"/>
                <w:kern w:val="0"/>
                <w:sz w:val="24"/>
                <w:szCs w:val="24"/>
                <w:lang w:eastAsia="en-US"/>
              </w:rPr>
              <w:t>备注</w:t>
            </w:r>
          </w:p>
        </w:tc>
      </w:tr>
      <w:tr w14:paraId="20167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3861" w:type="dxa"/>
            <w:vAlign w:val="top"/>
          </w:tcPr>
          <w:p w14:paraId="576F088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08" w:type="dxa"/>
            <w:vAlign w:val="top"/>
          </w:tcPr>
          <w:p w14:paraId="5F2FF528">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866" w:type="dxa"/>
            <w:vAlign w:val="top"/>
          </w:tcPr>
          <w:p w14:paraId="3C760D6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678" w:type="dxa"/>
            <w:vAlign w:val="top"/>
          </w:tcPr>
          <w:p w14:paraId="44EB2D3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32" w:type="dxa"/>
            <w:vAlign w:val="top"/>
          </w:tcPr>
          <w:p w14:paraId="3574D57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731" w:type="dxa"/>
            <w:vAlign w:val="top"/>
          </w:tcPr>
          <w:p w14:paraId="3719248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r w14:paraId="231A3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3861" w:type="dxa"/>
            <w:vAlign w:val="top"/>
          </w:tcPr>
          <w:p w14:paraId="6995509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08" w:type="dxa"/>
            <w:vAlign w:val="top"/>
          </w:tcPr>
          <w:p w14:paraId="39DA565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866" w:type="dxa"/>
            <w:vAlign w:val="top"/>
          </w:tcPr>
          <w:p w14:paraId="739160E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678" w:type="dxa"/>
            <w:vAlign w:val="top"/>
          </w:tcPr>
          <w:p w14:paraId="3B02500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32" w:type="dxa"/>
            <w:vAlign w:val="top"/>
          </w:tcPr>
          <w:p w14:paraId="51217EB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731" w:type="dxa"/>
            <w:vAlign w:val="top"/>
          </w:tcPr>
          <w:p w14:paraId="322E56E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r w14:paraId="61899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3861" w:type="dxa"/>
            <w:vAlign w:val="top"/>
          </w:tcPr>
          <w:p w14:paraId="3650D5B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08" w:type="dxa"/>
            <w:vAlign w:val="top"/>
          </w:tcPr>
          <w:p w14:paraId="593CF85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866" w:type="dxa"/>
            <w:vAlign w:val="top"/>
          </w:tcPr>
          <w:p w14:paraId="1E98847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678" w:type="dxa"/>
            <w:vAlign w:val="top"/>
          </w:tcPr>
          <w:p w14:paraId="581D33F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32" w:type="dxa"/>
            <w:vAlign w:val="top"/>
          </w:tcPr>
          <w:p w14:paraId="31D2FC8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731" w:type="dxa"/>
            <w:vAlign w:val="top"/>
          </w:tcPr>
          <w:p w14:paraId="585A7F6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r w14:paraId="2C0AF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3861" w:type="dxa"/>
            <w:vAlign w:val="top"/>
          </w:tcPr>
          <w:p w14:paraId="70A184D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08" w:type="dxa"/>
            <w:vAlign w:val="top"/>
          </w:tcPr>
          <w:p w14:paraId="618C07D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866" w:type="dxa"/>
            <w:vAlign w:val="top"/>
          </w:tcPr>
          <w:p w14:paraId="28AB00A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678" w:type="dxa"/>
            <w:vAlign w:val="top"/>
          </w:tcPr>
          <w:p w14:paraId="61BE1D9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32" w:type="dxa"/>
            <w:vAlign w:val="top"/>
          </w:tcPr>
          <w:p w14:paraId="2404F04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731" w:type="dxa"/>
            <w:vAlign w:val="top"/>
          </w:tcPr>
          <w:p w14:paraId="68E8011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r w14:paraId="261DE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3861" w:type="dxa"/>
            <w:vAlign w:val="top"/>
          </w:tcPr>
          <w:p w14:paraId="3FEBF4D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08" w:type="dxa"/>
            <w:vAlign w:val="top"/>
          </w:tcPr>
          <w:p w14:paraId="2B2E753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866" w:type="dxa"/>
            <w:vAlign w:val="top"/>
          </w:tcPr>
          <w:p w14:paraId="3600695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678" w:type="dxa"/>
            <w:vAlign w:val="top"/>
          </w:tcPr>
          <w:p w14:paraId="7A1912F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32" w:type="dxa"/>
            <w:vAlign w:val="top"/>
          </w:tcPr>
          <w:p w14:paraId="617191AB">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731" w:type="dxa"/>
            <w:vAlign w:val="top"/>
          </w:tcPr>
          <w:p w14:paraId="3CBCD2E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bl>
    <w:p w14:paraId="6E5687FB">
      <w:pPr>
        <w:widowControl/>
        <w:kinsoku w:val="0"/>
        <w:autoSpaceDE w:val="0"/>
        <w:autoSpaceDN w:val="0"/>
        <w:adjustRightInd w:val="0"/>
        <w:snapToGrid w:val="0"/>
        <w:spacing w:line="371" w:lineRule="auto"/>
        <w:jc w:val="left"/>
        <w:textAlignment w:val="baseline"/>
        <w:rPr>
          <w:rFonts w:hint="eastAsia" w:ascii="宋体" w:hAnsi="宋体" w:eastAsia="宋体" w:cs="宋体"/>
          <w:snapToGrid w:val="0"/>
          <w:color w:val="auto"/>
          <w:kern w:val="0"/>
          <w:sz w:val="21"/>
          <w:szCs w:val="21"/>
          <w:lang w:eastAsia="en-US"/>
        </w:rPr>
      </w:pPr>
    </w:p>
    <w:p w14:paraId="7C2804C0">
      <w:pPr>
        <w:kinsoku w:val="0"/>
        <w:autoSpaceDE w:val="0"/>
        <w:autoSpaceDN w:val="0"/>
        <w:adjustRightInd w:val="0"/>
        <w:snapToGrid w:val="0"/>
        <w:spacing w:before="79" w:line="184" w:lineRule="auto"/>
        <w:ind w:left="87"/>
        <w:jc w:val="left"/>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spacing w:val="9"/>
          <w:kern w:val="0"/>
          <w:sz w:val="24"/>
          <w:szCs w:val="24"/>
          <w:lang w:val="en-US" w:eastAsia="en-US" w:bidi="ar-SA"/>
        </w:rPr>
        <w:t>工地负责人：</w:t>
      </w:r>
      <w:r>
        <w:rPr>
          <w:rFonts w:hint="eastAsia" w:ascii="宋体" w:hAnsi="宋体" w:eastAsia="宋体" w:cs="宋体"/>
          <w:snapToGrid w:val="0"/>
          <w:color w:val="auto"/>
          <w:kern w:val="0"/>
          <w:sz w:val="24"/>
          <w:szCs w:val="24"/>
          <w:lang w:val="en-US" w:eastAsia="en-US" w:bidi="ar-SA"/>
        </w:rPr>
        <w:t xml:space="preserve">                                 </w:t>
      </w:r>
      <w:r>
        <w:rPr>
          <w:rFonts w:hint="eastAsia" w:ascii="宋体" w:hAnsi="宋体" w:eastAsia="宋体" w:cs="宋体"/>
          <w:snapToGrid w:val="0"/>
          <w:color w:val="auto"/>
          <w:spacing w:val="9"/>
          <w:kern w:val="0"/>
          <w:sz w:val="24"/>
          <w:szCs w:val="24"/>
          <w:lang w:val="en-US" w:eastAsia="en-US" w:bidi="ar-SA"/>
        </w:rPr>
        <w:t>签收人：</w:t>
      </w:r>
      <w:r>
        <w:rPr>
          <w:rFonts w:hint="eastAsia" w:ascii="宋体" w:hAnsi="宋体" w:eastAsia="宋体" w:cs="宋体"/>
          <w:snapToGrid w:val="0"/>
          <w:color w:val="auto"/>
          <w:spacing w:val="2"/>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 xml:space="preserve">    </w:t>
      </w:r>
      <w:r>
        <w:rPr>
          <w:rFonts w:hint="eastAsia" w:ascii="宋体" w:hAnsi="宋体" w:eastAsia="宋体" w:cs="宋体"/>
          <w:snapToGrid w:val="0"/>
          <w:color w:val="auto"/>
          <w:spacing w:val="9"/>
          <w:kern w:val="0"/>
          <w:sz w:val="24"/>
          <w:szCs w:val="24"/>
          <w:lang w:val="en-US" w:eastAsia="en-US" w:bidi="ar-SA"/>
        </w:rPr>
        <w:t>送货单位及经</w:t>
      </w:r>
      <w:r>
        <w:rPr>
          <w:rFonts w:hint="eastAsia" w:ascii="宋体" w:hAnsi="宋体" w:eastAsia="宋体" w:cs="宋体"/>
          <w:snapToGrid w:val="0"/>
          <w:color w:val="auto"/>
          <w:spacing w:val="9"/>
          <w:kern w:val="0"/>
          <w:sz w:val="24"/>
          <w:szCs w:val="24"/>
          <w:lang w:val="en-US" w:eastAsia="zh-CN" w:bidi="ar-SA"/>
        </w:rPr>
        <w:t>手</w:t>
      </w:r>
      <w:r>
        <w:rPr>
          <w:rFonts w:hint="eastAsia" w:ascii="宋体" w:hAnsi="宋体" w:eastAsia="宋体" w:cs="宋体"/>
          <w:snapToGrid w:val="0"/>
          <w:color w:val="auto"/>
          <w:spacing w:val="9"/>
          <w:kern w:val="0"/>
          <w:sz w:val="24"/>
          <w:szCs w:val="24"/>
          <w:lang w:val="en-US" w:eastAsia="en-US" w:bidi="ar-SA"/>
        </w:rPr>
        <w:t>人</w:t>
      </w:r>
      <w:r>
        <w:rPr>
          <w:rFonts w:hint="eastAsia" w:ascii="宋体" w:hAnsi="宋体" w:eastAsia="宋体" w:cs="宋体"/>
          <w:snapToGrid w:val="0"/>
          <w:color w:val="auto"/>
          <w:spacing w:val="9"/>
          <w:kern w:val="0"/>
          <w:sz w:val="24"/>
          <w:szCs w:val="24"/>
          <w:lang w:val="en-US" w:eastAsia="zh-CN" w:bidi="ar-SA"/>
        </w:rPr>
        <w:t>：</w:t>
      </w:r>
    </w:p>
    <w:p w14:paraId="696EDEF8">
      <w:pPr>
        <w:spacing w:before="63" w:line="219" w:lineRule="auto"/>
        <w:jc w:val="right"/>
        <w:rPr>
          <w:rFonts w:hint="eastAsia" w:ascii="宋体" w:hAnsi="宋体" w:eastAsia="宋体" w:cs="宋体"/>
          <w:color w:val="auto"/>
          <w:spacing w:val="-13"/>
          <w:sz w:val="40"/>
          <w:szCs w:val="40"/>
          <w:highlight w:val="none"/>
          <w:lang w:val="en-US" w:eastAsia="zh-CN"/>
          <w14:textOutline w14:w="5803" w14:cap="flat" w14:cmpd="sng">
            <w14:solidFill>
              <w14:srgbClr w14:val="000000"/>
            </w14:solidFill>
            <w14:prstDash w14:val="solid"/>
            <w14:miter w14:val="0"/>
          </w14:textOutline>
        </w:rPr>
      </w:pPr>
      <w:r>
        <w:rPr>
          <w:rFonts w:hint="eastAsia" w:ascii="仿宋" w:hAnsi="仿宋" w:eastAsia="仿宋" w:cs="仿宋"/>
          <w:b/>
          <w:bCs/>
          <w:i w:val="0"/>
          <w:iCs w:val="0"/>
          <w:color w:val="auto"/>
          <w:kern w:val="0"/>
          <w:sz w:val="44"/>
          <w:szCs w:val="44"/>
          <w:highlight w:val="none"/>
          <w:u w:val="none"/>
          <w:lang w:val="en-US" w:eastAsia="zh-CN" w:bidi="ar"/>
        </w:rPr>
        <w:t>附件六</w:t>
      </w:r>
    </w:p>
    <w:p w14:paraId="2D5322AA">
      <w:pPr>
        <w:pStyle w:val="4"/>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bookmarkStart w:id="160" w:name="_Toc4207"/>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160"/>
    </w:p>
    <w:p w14:paraId="21393385">
      <w:pPr>
        <w:rPr>
          <w:rFonts w:hint="default"/>
          <w:color w:val="auto"/>
          <w:highlight w:val="none"/>
          <w:lang w:val="en-US" w:eastAsia="zh-CN"/>
        </w:rPr>
      </w:pPr>
    </w:p>
    <w:p w14:paraId="6F38D15A">
      <w:pPr>
        <w:pStyle w:val="4"/>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0035E82E">
      <w:pPr>
        <w:pStyle w:val="4"/>
        <w:spacing w:before="35" w:line="309" w:lineRule="exact"/>
        <w:ind w:left="67"/>
        <w:rPr>
          <w:rFonts w:hint="eastAsia" w:ascii="宋体" w:hAnsi="宋体" w:eastAsia="宋体" w:cs="宋体"/>
          <w:color w:val="auto"/>
          <w:spacing w:val="8"/>
          <w:position w:val="10"/>
          <w:sz w:val="20"/>
          <w:szCs w:val="20"/>
          <w:highlight w:val="none"/>
        </w:rPr>
      </w:pPr>
    </w:p>
    <w:p w14:paraId="7B3CD830">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7"/>
        <w:tblW w:w="14142"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72DC3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3B205852">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vAlign w:val="top"/>
          </w:tcPr>
          <w:p w14:paraId="31F71AED">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vAlign w:val="top"/>
          </w:tcPr>
          <w:p w14:paraId="6959D44A">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vAlign w:val="top"/>
          </w:tcPr>
          <w:p w14:paraId="7C1CD322">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vAlign w:val="top"/>
          </w:tcPr>
          <w:p w14:paraId="4F7126CC">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vAlign w:val="top"/>
          </w:tcPr>
          <w:p w14:paraId="64AAD8CB">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vAlign w:val="top"/>
          </w:tcPr>
          <w:p w14:paraId="217E8B44">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vAlign w:val="top"/>
          </w:tcPr>
          <w:p w14:paraId="6509D375">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vAlign w:val="top"/>
          </w:tcPr>
          <w:p w14:paraId="04F4F7D9">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vAlign w:val="top"/>
          </w:tcPr>
          <w:p w14:paraId="391205F8">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vAlign w:val="top"/>
          </w:tcPr>
          <w:p w14:paraId="711DE285">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vAlign w:val="top"/>
          </w:tcPr>
          <w:p w14:paraId="26AEB46D">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vAlign w:val="top"/>
          </w:tcPr>
          <w:p w14:paraId="6CE68D3E">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6C4C9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7A7CAAE5">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vAlign w:val="top"/>
          </w:tcPr>
          <w:p w14:paraId="0BB7B36D">
            <w:pPr>
              <w:pStyle w:val="18"/>
              <w:rPr>
                <w:color w:val="auto"/>
                <w:highlight w:val="none"/>
              </w:rPr>
            </w:pPr>
          </w:p>
        </w:tc>
        <w:tc>
          <w:tcPr>
            <w:tcW w:w="930" w:type="dxa"/>
            <w:vAlign w:val="top"/>
          </w:tcPr>
          <w:p w14:paraId="603D032C">
            <w:pPr>
              <w:pStyle w:val="18"/>
              <w:rPr>
                <w:color w:val="auto"/>
                <w:highlight w:val="none"/>
              </w:rPr>
            </w:pPr>
          </w:p>
        </w:tc>
        <w:tc>
          <w:tcPr>
            <w:tcW w:w="931" w:type="dxa"/>
            <w:vAlign w:val="top"/>
          </w:tcPr>
          <w:p w14:paraId="20470B34">
            <w:pPr>
              <w:pStyle w:val="18"/>
              <w:rPr>
                <w:color w:val="auto"/>
                <w:highlight w:val="none"/>
              </w:rPr>
            </w:pPr>
          </w:p>
        </w:tc>
        <w:tc>
          <w:tcPr>
            <w:tcW w:w="900" w:type="dxa"/>
            <w:vAlign w:val="top"/>
          </w:tcPr>
          <w:p w14:paraId="522D3062">
            <w:pPr>
              <w:pStyle w:val="18"/>
              <w:rPr>
                <w:color w:val="auto"/>
                <w:highlight w:val="none"/>
              </w:rPr>
            </w:pPr>
          </w:p>
        </w:tc>
        <w:tc>
          <w:tcPr>
            <w:tcW w:w="1065" w:type="dxa"/>
            <w:vAlign w:val="top"/>
          </w:tcPr>
          <w:p w14:paraId="339DC3D6">
            <w:pPr>
              <w:pStyle w:val="18"/>
              <w:rPr>
                <w:color w:val="auto"/>
                <w:highlight w:val="none"/>
              </w:rPr>
            </w:pPr>
          </w:p>
        </w:tc>
        <w:tc>
          <w:tcPr>
            <w:tcW w:w="854" w:type="dxa"/>
            <w:vAlign w:val="top"/>
          </w:tcPr>
          <w:p w14:paraId="4D117909">
            <w:pPr>
              <w:pStyle w:val="18"/>
              <w:rPr>
                <w:color w:val="auto"/>
                <w:highlight w:val="none"/>
              </w:rPr>
            </w:pPr>
          </w:p>
        </w:tc>
        <w:tc>
          <w:tcPr>
            <w:tcW w:w="1201" w:type="dxa"/>
            <w:vAlign w:val="top"/>
          </w:tcPr>
          <w:p w14:paraId="63BB0A58">
            <w:pPr>
              <w:pStyle w:val="18"/>
              <w:rPr>
                <w:color w:val="auto"/>
                <w:highlight w:val="none"/>
              </w:rPr>
            </w:pPr>
          </w:p>
        </w:tc>
        <w:tc>
          <w:tcPr>
            <w:tcW w:w="846" w:type="dxa"/>
            <w:vAlign w:val="top"/>
          </w:tcPr>
          <w:p w14:paraId="0481F1F6">
            <w:pPr>
              <w:pStyle w:val="18"/>
              <w:rPr>
                <w:color w:val="auto"/>
                <w:highlight w:val="none"/>
              </w:rPr>
            </w:pPr>
          </w:p>
        </w:tc>
        <w:tc>
          <w:tcPr>
            <w:tcW w:w="916" w:type="dxa"/>
            <w:vAlign w:val="top"/>
          </w:tcPr>
          <w:p w14:paraId="6DA6887A">
            <w:pPr>
              <w:pStyle w:val="18"/>
              <w:rPr>
                <w:color w:val="auto"/>
                <w:highlight w:val="none"/>
              </w:rPr>
            </w:pPr>
          </w:p>
        </w:tc>
        <w:tc>
          <w:tcPr>
            <w:tcW w:w="1142" w:type="dxa"/>
            <w:vAlign w:val="top"/>
          </w:tcPr>
          <w:p w14:paraId="782DD181">
            <w:pPr>
              <w:pStyle w:val="18"/>
              <w:rPr>
                <w:color w:val="auto"/>
                <w:highlight w:val="none"/>
              </w:rPr>
            </w:pPr>
          </w:p>
        </w:tc>
        <w:tc>
          <w:tcPr>
            <w:tcW w:w="1142" w:type="dxa"/>
            <w:vAlign w:val="top"/>
          </w:tcPr>
          <w:p w14:paraId="2D4EB6B8">
            <w:pPr>
              <w:pStyle w:val="18"/>
              <w:rPr>
                <w:color w:val="auto"/>
                <w:highlight w:val="none"/>
              </w:rPr>
            </w:pPr>
          </w:p>
        </w:tc>
        <w:tc>
          <w:tcPr>
            <w:tcW w:w="2777" w:type="dxa"/>
            <w:vAlign w:val="top"/>
          </w:tcPr>
          <w:p w14:paraId="50EA689F">
            <w:pPr>
              <w:pStyle w:val="18"/>
              <w:rPr>
                <w:color w:val="auto"/>
                <w:highlight w:val="none"/>
              </w:rPr>
            </w:pPr>
          </w:p>
        </w:tc>
      </w:tr>
      <w:tr w14:paraId="4057F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4DA12A7D">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vAlign w:val="top"/>
          </w:tcPr>
          <w:p w14:paraId="75FDF941">
            <w:pPr>
              <w:pStyle w:val="18"/>
              <w:rPr>
                <w:color w:val="auto"/>
                <w:highlight w:val="none"/>
              </w:rPr>
            </w:pPr>
          </w:p>
        </w:tc>
        <w:tc>
          <w:tcPr>
            <w:tcW w:w="930" w:type="dxa"/>
            <w:vAlign w:val="top"/>
          </w:tcPr>
          <w:p w14:paraId="53E4735A">
            <w:pPr>
              <w:pStyle w:val="18"/>
              <w:rPr>
                <w:color w:val="auto"/>
                <w:highlight w:val="none"/>
              </w:rPr>
            </w:pPr>
          </w:p>
        </w:tc>
        <w:tc>
          <w:tcPr>
            <w:tcW w:w="931" w:type="dxa"/>
            <w:vAlign w:val="top"/>
          </w:tcPr>
          <w:p w14:paraId="1DE7F7F7">
            <w:pPr>
              <w:pStyle w:val="18"/>
              <w:rPr>
                <w:color w:val="auto"/>
                <w:highlight w:val="none"/>
              </w:rPr>
            </w:pPr>
          </w:p>
        </w:tc>
        <w:tc>
          <w:tcPr>
            <w:tcW w:w="900" w:type="dxa"/>
            <w:vAlign w:val="top"/>
          </w:tcPr>
          <w:p w14:paraId="1743607C">
            <w:pPr>
              <w:pStyle w:val="18"/>
              <w:rPr>
                <w:color w:val="auto"/>
                <w:highlight w:val="none"/>
              </w:rPr>
            </w:pPr>
          </w:p>
        </w:tc>
        <w:tc>
          <w:tcPr>
            <w:tcW w:w="1065" w:type="dxa"/>
            <w:vAlign w:val="top"/>
          </w:tcPr>
          <w:p w14:paraId="6970864B">
            <w:pPr>
              <w:pStyle w:val="18"/>
              <w:rPr>
                <w:color w:val="auto"/>
                <w:highlight w:val="none"/>
              </w:rPr>
            </w:pPr>
          </w:p>
        </w:tc>
        <w:tc>
          <w:tcPr>
            <w:tcW w:w="854" w:type="dxa"/>
            <w:vAlign w:val="top"/>
          </w:tcPr>
          <w:p w14:paraId="38A1AA3F">
            <w:pPr>
              <w:pStyle w:val="18"/>
              <w:rPr>
                <w:color w:val="auto"/>
                <w:highlight w:val="none"/>
              </w:rPr>
            </w:pPr>
          </w:p>
        </w:tc>
        <w:tc>
          <w:tcPr>
            <w:tcW w:w="1201" w:type="dxa"/>
            <w:vAlign w:val="top"/>
          </w:tcPr>
          <w:p w14:paraId="334A6646">
            <w:pPr>
              <w:pStyle w:val="18"/>
              <w:rPr>
                <w:color w:val="auto"/>
                <w:highlight w:val="none"/>
              </w:rPr>
            </w:pPr>
          </w:p>
        </w:tc>
        <w:tc>
          <w:tcPr>
            <w:tcW w:w="846" w:type="dxa"/>
            <w:vAlign w:val="top"/>
          </w:tcPr>
          <w:p w14:paraId="382B4C85">
            <w:pPr>
              <w:pStyle w:val="18"/>
              <w:rPr>
                <w:color w:val="auto"/>
                <w:highlight w:val="none"/>
              </w:rPr>
            </w:pPr>
          </w:p>
        </w:tc>
        <w:tc>
          <w:tcPr>
            <w:tcW w:w="916" w:type="dxa"/>
            <w:vAlign w:val="top"/>
          </w:tcPr>
          <w:p w14:paraId="116B7568">
            <w:pPr>
              <w:pStyle w:val="18"/>
              <w:rPr>
                <w:color w:val="auto"/>
                <w:highlight w:val="none"/>
              </w:rPr>
            </w:pPr>
          </w:p>
        </w:tc>
        <w:tc>
          <w:tcPr>
            <w:tcW w:w="1142" w:type="dxa"/>
            <w:vAlign w:val="top"/>
          </w:tcPr>
          <w:p w14:paraId="1D0F30AD">
            <w:pPr>
              <w:pStyle w:val="18"/>
              <w:rPr>
                <w:color w:val="auto"/>
                <w:highlight w:val="none"/>
              </w:rPr>
            </w:pPr>
          </w:p>
        </w:tc>
        <w:tc>
          <w:tcPr>
            <w:tcW w:w="1142" w:type="dxa"/>
            <w:vAlign w:val="top"/>
          </w:tcPr>
          <w:p w14:paraId="0ECAD5DB">
            <w:pPr>
              <w:pStyle w:val="18"/>
              <w:rPr>
                <w:color w:val="auto"/>
                <w:highlight w:val="none"/>
              </w:rPr>
            </w:pPr>
          </w:p>
        </w:tc>
        <w:tc>
          <w:tcPr>
            <w:tcW w:w="2777" w:type="dxa"/>
            <w:vAlign w:val="top"/>
          </w:tcPr>
          <w:p w14:paraId="2A44380E">
            <w:pPr>
              <w:pStyle w:val="18"/>
              <w:rPr>
                <w:color w:val="auto"/>
                <w:highlight w:val="none"/>
              </w:rPr>
            </w:pPr>
          </w:p>
        </w:tc>
      </w:tr>
      <w:tr w14:paraId="78F24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134F2E8">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vAlign w:val="top"/>
          </w:tcPr>
          <w:p w14:paraId="4553363A">
            <w:pPr>
              <w:pStyle w:val="18"/>
              <w:rPr>
                <w:color w:val="auto"/>
                <w:highlight w:val="none"/>
              </w:rPr>
            </w:pPr>
          </w:p>
        </w:tc>
        <w:tc>
          <w:tcPr>
            <w:tcW w:w="930" w:type="dxa"/>
            <w:vAlign w:val="top"/>
          </w:tcPr>
          <w:p w14:paraId="13A92823">
            <w:pPr>
              <w:pStyle w:val="18"/>
              <w:rPr>
                <w:color w:val="auto"/>
                <w:highlight w:val="none"/>
              </w:rPr>
            </w:pPr>
          </w:p>
        </w:tc>
        <w:tc>
          <w:tcPr>
            <w:tcW w:w="931" w:type="dxa"/>
            <w:vAlign w:val="top"/>
          </w:tcPr>
          <w:p w14:paraId="5BA8F752">
            <w:pPr>
              <w:pStyle w:val="18"/>
              <w:rPr>
                <w:color w:val="auto"/>
                <w:highlight w:val="none"/>
              </w:rPr>
            </w:pPr>
          </w:p>
        </w:tc>
        <w:tc>
          <w:tcPr>
            <w:tcW w:w="900" w:type="dxa"/>
            <w:vAlign w:val="top"/>
          </w:tcPr>
          <w:p w14:paraId="70919771">
            <w:pPr>
              <w:pStyle w:val="18"/>
              <w:rPr>
                <w:color w:val="auto"/>
                <w:highlight w:val="none"/>
              </w:rPr>
            </w:pPr>
          </w:p>
        </w:tc>
        <w:tc>
          <w:tcPr>
            <w:tcW w:w="1065" w:type="dxa"/>
            <w:vAlign w:val="top"/>
          </w:tcPr>
          <w:p w14:paraId="336FA160">
            <w:pPr>
              <w:pStyle w:val="18"/>
              <w:rPr>
                <w:color w:val="auto"/>
                <w:highlight w:val="none"/>
              </w:rPr>
            </w:pPr>
          </w:p>
        </w:tc>
        <w:tc>
          <w:tcPr>
            <w:tcW w:w="854" w:type="dxa"/>
            <w:vAlign w:val="top"/>
          </w:tcPr>
          <w:p w14:paraId="48A16BE3">
            <w:pPr>
              <w:pStyle w:val="18"/>
              <w:rPr>
                <w:color w:val="auto"/>
                <w:highlight w:val="none"/>
              </w:rPr>
            </w:pPr>
          </w:p>
        </w:tc>
        <w:tc>
          <w:tcPr>
            <w:tcW w:w="1201" w:type="dxa"/>
            <w:vAlign w:val="top"/>
          </w:tcPr>
          <w:p w14:paraId="1BE417F4">
            <w:pPr>
              <w:pStyle w:val="18"/>
              <w:rPr>
                <w:color w:val="auto"/>
                <w:highlight w:val="none"/>
              </w:rPr>
            </w:pPr>
          </w:p>
        </w:tc>
        <w:tc>
          <w:tcPr>
            <w:tcW w:w="846" w:type="dxa"/>
            <w:vAlign w:val="top"/>
          </w:tcPr>
          <w:p w14:paraId="3F65B032">
            <w:pPr>
              <w:pStyle w:val="18"/>
              <w:rPr>
                <w:color w:val="auto"/>
                <w:highlight w:val="none"/>
              </w:rPr>
            </w:pPr>
          </w:p>
        </w:tc>
        <w:tc>
          <w:tcPr>
            <w:tcW w:w="916" w:type="dxa"/>
            <w:vAlign w:val="top"/>
          </w:tcPr>
          <w:p w14:paraId="014C3F19">
            <w:pPr>
              <w:pStyle w:val="18"/>
              <w:rPr>
                <w:color w:val="auto"/>
                <w:highlight w:val="none"/>
              </w:rPr>
            </w:pPr>
          </w:p>
        </w:tc>
        <w:tc>
          <w:tcPr>
            <w:tcW w:w="1142" w:type="dxa"/>
            <w:vAlign w:val="top"/>
          </w:tcPr>
          <w:p w14:paraId="320D1BA1">
            <w:pPr>
              <w:pStyle w:val="18"/>
              <w:rPr>
                <w:color w:val="auto"/>
                <w:highlight w:val="none"/>
              </w:rPr>
            </w:pPr>
          </w:p>
        </w:tc>
        <w:tc>
          <w:tcPr>
            <w:tcW w:w="1142" w:type="dxa"/>
            <w:vAlign w:val="top"/>
          </w:tcPr>
          <w:p w14:paraId="4FA03F28">
            <w:pPr>
              <w:pStyle w:val="18"/>
              <w:rPr>
                <w:color w:val="auto"/>
                <w:highlight w:val="none"/>
              </w:rPr>
            </w:pPr>
          </w:p>
        </w:tc>
        <w:tc>
          <w:tcPr>
            <w:tcW w:w="2777" w:type="dxa"/>
            <w:vAlign w:val="top"/>
          </w:tcPr>
          <w:p w14:paraId="04C4ABFC">
            <w:pPr>
              <w:pStyle w:val="18"/>
              <w:rPr>
                <w:color w:val="auto"/>
                <w:highlight w:val="none"/>
              </w:rPr>
            </w:pPr>
          </w:p>
        </w:tc>
      </w:tr>
      <w:tr w14:paraId="7C303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59FC208D">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vAlign w:val="top"/>
          </w:tcPr>
          <w:p w14:paraId="77A73FB2">
            <w:pPr>
              <w:pStyle w:val="18"/>
              <w:rPr>
                <w:color w:val="auto"/>
                <w:highlight w:val="none"/>
              </w:rPr>
            </w:pPr>
          </w:p>
        </w:tc>
        <w:tc>
          <w:tcPr>
            <w:tcW w:w="930" w:type="dxa"/>
            <w:vAlign w:val="top"/>
          </w:tcPr>
          <w:p w14:paraId="43B06DE4">
            <w:pPr>
              <w:pStyle w:val="18"/>
              <w:rPr>
                <w:color w:val="auto"/>
                <w:highlight w:val="none"/>
              </w:rPr>
            </w:pPr>
          </w:p>
        </w:tc>
        <w:tc>
          <w:tcPr>
            <w:tcW w:w="931" w:type="dxa"/>
            <w:vAlign w:val="top"/>
          </w:tcPr>
          <w:p w14:paraId="57CF7607">
            <w:pPr>
              <w:pStyle w:val="18"/>
              <w:rPr>
                <w:color w:val="auto"/>
                <w:highlight w:val="none"/>
              </w:rPr>
            </w:pPr>
          </w:p>
        </w:tc>
        <w:tc>
          <w:tcPr>
            <w:tcW w:w="900" w:type="dxa"/>
            <w:vAlign w:val="top"/>
          </w:tcPr>
          <w:p w14:paraId="3823B7C1">
            <w:pPr>
              <w:pStyle w:val="18"/>
              <w:rPr>
                <w:color w:val="auto"/>
                <w:highlight w:val="none"/>
              </w:rPr>
            </w:pPr>
          </w:p>
        </w:tc>
        <w:tc>
          <w:tcPr>
            <w:tcW w:w="1065" w:type="dxa"/>
            <w:vAlign w:val="top"/>
          </w:tcPr>
          <w:p w14:paraId="7397CB5C">
            <w:pPr>
              <w:pStyle w:val="18"/>
              <w:rPr>
                <w:color w:val="auto"/>
                <w:highlight w:val="none"/>
              </w:rPr>
            </w:pPr>
          </w:p>
        </w:tc>
        <w:tc>
          <w:tcPr>
            <w:tcW w:w="854" w:type="dxa"/>
            <w:vAlign w:val="top"/>
          </w:tcPr>
          <w:p w14:paraId="0E5E8BC2">
            <w:pPr>
              <w:pStyle w:val="18"/>
              <w:rPr>
                <w:color w:val="auto"/>
                <w:highlight w:val="none"/>
              </w:rPr>
            </w:pPr>
          </w:p>
        </w:tc>
        <w:tc>
          <w:tcPr>
            <w:tcW w:w="1201" w:type="dxa"/>
            <w:vAlign w:val="top"/>
          </w:tcPr>
          <w:p w14:paraId="2423B02F">
            <w:pPr>
              <w:pStyle w:val="18"/>
              <w:rPr>
                <w:color w:val="auto"/>
                <w:highlight w:val="none"/>
              </w:rPr>
            </w:pPr>
          </w:p>
        </w:tc>
        <w:tc>
          <w:tcPr>
            <w:tcW w:w="846" w:type="dxa"/>
            <w:vAlign w:val="top"/>
          </w:tcPr>
          <w:p w14:paraId="0444CECC">
            <w:pPr>
              <w:pStyle w:val="18"/>
              <w:rPr>
                <w:color w:val="auto"/>
                <w:highlight w:val="none"/>
              </w:rPr>
            </w:pPr>
          </w:p>
        </w:tc>
        <w:tc>
          <w:tcPr>
            <w:tcW w:w="916" w:type="dxa"/>
            <w:vAlign w:val="top"/>
          </w:tcPr>
          <w:p w14:paraId="1E359037">
            <w:pPr>
              <w:pStyle w:val="18"/>
              <w:rPr>
                <w:color w:val="auto"/>
                <w:highlight w:val="none"/>
              </w:rPr>
            </w:pPr>
          </w:p>
        </w:tc>
        <w:tc>
          <w:tcPr>
            <w:tcW w:w="1142" w:type="dxa"/>
            <w:vAlign w:val="top"/>
          </w:tcPr>
          <w:p w14:paraId="300828DA">
            <w:pPr>
              <w:pStyle w:val="18"/>
              <w:rPr>
                <w:color w:val="auto"/>
                <w:highlight w:val="none"/>
              </w:rPr>
            </w:pPr>
          </w:p>
        </w:tc>
        <w:tc>
          <w:tcPr>
            <w:tcW w:w="1142" w:type="dxa"/>
            <w:vAlign w:val="top"/>
          </w:tcPr>
          <w:p w14:paraId="16C1C87F">
            <w:pPr>
              <w:pStyle w:val="18"/>
              <w:rPr>
                <w:color w:val="auto"/>
                <w:highlight w:val="none"/>
              </w:rPr>
            </w:pPr>
          </w:p>
        </w:tc>
        <w:tc>
          <w:tcPr>
            <w:tcW w:w="2777" w:type="dxa"/>
            <w:vAlign w:val="top"/>
          </w:tcPr>
          <w:p w14:paraId="1F396A84">
            <w:pPr>
              <w:pStyle w:val="18"/>
              <w:rPr>
                <w:color w:val="auto"/>
                <w:highlight w:val="none"/>
              </w:rPr>
            </w:pPr>
          </w:p>
        </w:tc>
      </w:tr>
      <w:tr w14:paraId="3F3A1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6BF37A0F">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vAlign w:val="top"/>
          </w:tcPr>
          <w:p w14:paraId="69D9BE7B">
            <w:pPr>
              <w:pStyle w:val="18"/>
              <w:rPr>
                <w:color w:val="auto"/>
                <w:highlight w:val="none"/>
              </w:rPr>
            </w:pPr>
          </w:p>
        </w:tc>
        <w:tc>
          <w:tcPr>
            <w:tcW w:w="930" w:type="dxa"/>
            <w:vAlign w:val="top"/>
          </w:tcPr>
          <w:p w14:paraId="0F476BC9">
            <w:pPr>
              <w:pStyle w:val="18"/>
              <w:rPr>
                <w:color w:val="auto"/>
                <w:highlight w:val="none"/>
              </w:rPr>
            </w:pPr>
          </w:p>
        </w:tc>
        <w:tc>
          <w:tcPr>
            <w:tcW w:w="931" w:type="dxa"/>
            <w:vAlign w:val="top"/>
          </w:tcPr>
          <w:p w14:paraId="1F3E454A">
            <w:pPr>
              <w:pStyle w:val="18"/>
              <w:rPr>
                <w:color w:val="auto"/>
                <w:highlight w:val="none"/>
              </w:rPr>
            </w:pPr>
          </w:p>
        </w:tc>
        <w:tc>
          <w:tcPr>
            <w:tcW w:w="900" w:type="dxa"/>
            <w:vAlign w:val="top"/>
          </w:tcPr>
          <w:p w14:paraId="452EB026">
            <w:pPr>
              <w:pStyle w:val="18"/>
              <w:rPr>
                <w:color w:val="auto"/>
                <w:highlight w:val="none"/>
              </w:rPr>
            </w:pPr>
          </w:p>
        </w:tc>
        <w:tc>
          <w:tcPr>
            <w:tcW w:w="1065" w:type="dxa"/>
            <w:vAlign w:val="top"/>
          </w:tcPr>
          <w:p w14:paraId="3B6CA2CD">
            <w:pPr>
              <w:pStyle w:val="18"/>
              <w:rPr>
                <w:color w:val="auto"/>
                <w:highlight w:val="none"/>
              </w:rPr>
            </w:pPr>
          </w:p>
        </w:tc>
        <w:tc>
          <w:tcPr>
            <w:tcW w:w="854" w:type="dxa"/>
            <w:vAlign w:val="top"/>
          </w:tcPr>
          <w:p w14:paraId="7C2A1D15">
            <w:pPr>
              <w:pStyle w:val="18"/>
              <w:rPr>
                <w:color w:val="auto"/>
                <w:highlight w:val="none"/>
              </w:rPr>
            </w:pPr>
          </w:p>
        </w:tc>
        <w:tc>
          <w:tcPr>
            <w:tcW w:w="1201" w:type="dxa"/>
            <w:vAlign w:val="top"/>
          </w:tcPr>
          <w:p w14:paraId="76A498A3">
            <w:pPr>
              <w:pStyle w:val="18"/>
              <w:rPr>
                <w:color w:val="auto"/>
                <w:highlight w:val="none"/>
              </w:rPr>
            </w:pPr>
          </w:p>
        </w:tc>
        <w:tc>
          <w:tcPr>
            <w:tcW w:w="846" w:type="dxa"/>
            <w:vAlign w:val="top"/>
          </w:tcPr>
          <w:p w14:paraId="2BA22CFB">
            <w:pPr>
              <w:pStyle w:val="18"/>
              <w:rPr>
                <w:color w:val="auto"/>
                <w:highlight w:val="none"/>
              </w:rPr>
            </w:pPr>
          </w:p>
        </w:tc>
        <w:tc>
          <w:tcPr>
            <w:tcW w:w="916" w:type="dxa"/>
            <w:vAlign w:val="top"/>
          </w:tcPr>
          <w:p w14:paraId="6331C936">
            <w:pPr>
              <w:pStyle w:val="18"/>
              <w:rPr>
                <w:color w:val="auto"/>
                <w:highlight w:val="none"/>
              </w:rPr>
            </w:pPr>
          </w:p>
        </w:tc>
        <w:tc>
          <w:tcPr>
            <w:tcW w:w="1142" w:type="dxa"/>
            <w:vAlign w:val="top"/>
          </w:tcPr>
          <w:p w14:paraId="331CC394">
            <w:pPr>
              <w:pStyle w:val="18"/>
              <w:rPr>
                <w:color w:val="auto"/>
                <w:highlight w:val="none"/>
              </w:rPr>
            </w:pPr>
          </w:p>
        </w:tc>
        <w:tc>
          <w:tcPr>
            <w:tcW w:w="1142" w:type="dxa"/>
            <w:vAlign w:val="top"/>
          </w:tcPr>
          <w:p w14:paraId="64DF87B2">
            <w:pPr>
              <w:pStyle w:val="18"/>
              <w:rPr>
                <w:color w:val="auto"/>
                <w:highlight w:val="none"/>
              </w:rPr>
            </w:pPr>
          </w:p>
        </w:tc>
        <w:tc>
          <w:tcPr>
            <w:tcW w:w="2777" w:type="dxa"/>
            <w:vAlign w:val="top"/>
          </w:tcPr>
          <w:p w14:paraId="6414A6A3">
            <w:pPr>
              <w:pStyle w:val="18"/>
              <w:rPr>
                <w:color w:val="auto"/>
                <w:highlight w:val="none"/>
              </w:rPr>
            </w:pPr>
          </w:p>
        </w:tc>
      </w:tr>
      <w:tr w14:paraId="28ED3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6B461CC1">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vAlign w:val="top"/>
          </w:tcPr>
          <w:p w14:paraId="0EEA2870">
            <w:pPr>
              <w:pStyle w:val="18"/>
              <w:rPr>
                <w:color w:val="auto"/>
                <w:highlight w:val="none"/>
              </w:rPr>
            </w:pPr>
          </w:p>
        </w:tc>
        <w:tc>
          <w:tcPr>
            <w:tcW w:w="930" w:type="dxa"/>
            <w:vAlign w:val="top"/>
          </w:tcPr>
          <w:p w14:paraId="341C7A26">
            <w:pPr>
              <w:pStyle w:val="18"/>
              <w:rPr>
                <w:color w:val="auto"/>
                <w:highlight w:val="none"/>
              </w:rPr>
            </w:pPr>
          </w:p>
        </w:tc>
        <w:tc>
          <w:tcPr>
            <w:tcW w:w="931" w:type="dxa"/>
            <w:vAlign w:val="top"/>
          </w:tcPr>
          <w:p w14:paraId="1BE735C6">
            <w:pPr>
              <w:pStyle w:val="18"/>
              <w:rPr>
                <w:color w:val="auto"/>
                <w:highlight w:val="none"/>
              </w:rPr>
            </w:pPr>
          </w:p>
        </w:tc>
        <w:tc>
          <w:tcPr>
            <w:tcW w:w="900" w:type="dxa"/>
            <w:vAlign w:val="top"/>
          </w:tcPr>
          <w:p w14:paraId="0713DD5F">
            <w:pPr>
              <w:pStyle w:val="18"/>
              <w:rPr>
                <w:color w:val="auto"/>
                <w:highlight w:val="none"/>
              </w:rPr>
            </w:pPr>
          </w:p>
        </w:tc>
        <w:tc>
          <w:tcPr>
            <w:tcW w:w="1065" w:type="dxa"/>
            <w:vAlign w:val="top"/>
          </w:tcPr>
          <w:p w14:paraId="195A7037">
            <w:pPr>
              <w:pStyle w:val="18"/>
              <w:rPr>
                <w:color w:val="auto"/>
                <w:highlight w:val="none"/>
              </w:rPr>
            </w:pPr>
          </w:p>
        </w:tc>
        <w:tc>
          <w:tcPr>
            <w:tcW w:w="854" w:type="dxa"/>
            <w:vAlign w:val="top"/>
          </w:tcPr>
          <w:p w14:paraId="1E164385">
            <w:pPr>
              <w:pStyle w:val="18"/>
              <w:rPr>
                <w:color w:val="auto"/>
                <w:highlight w:val="none"/>
              </w:rPr>
            </w:pPr>
          </w:p>
        </w:tc>
        <w:tc>
          <w:tcPr>
            <w:tcW w:w="1201" w:type="dxa"/>
            <w:vAlign w:val="top"/>
          </w:tcPr>
          <w:p w14:paraId="4F8F284E">
            <w:pPr>
              <w:pStyle w:val="18"/>
              <w:rPr>
                <w:color w:val="auto"/>
                <w:highlight w:val="none"/>
              </w:rPr>
            </w:pPr>
          </w:p>
        </w:tc>
        <w:tc>
          <w:tcPr>
            <w:tcW w:w="846" w:type="dxa"/>
            <w:vAlign w:val="top"/>
          </w:tcPr>
          <w:p w14:paraId="7846C9AE">
            <w:pPr>
              <w:pStyle w:val="18"/>
              <w:rPr>
                <w:color w:val="auto"/>
                <w:highlight w:val="none"/>
              </w:rPr>
            </w:pPr>
          </w:p>
        </w:tc>
        <w:tc>
          <w:tcPr>
            <w:tcW w:w="916" w:type="dxa"/>
            <w:vAlign w:val="top"/>
          </w:tcPr>
          <w:p w14:paraId="1CE3A782">
            <w:pPr>
              <w:pStyle w:val="18"/>
              <w:rPr>
                <w:color w:val="auto"/>
                <w:highlight w:val="none"/>
              </w:rPr>
            </w:pPr>
          </w:p>
        </w:tc>
        <w:tc>
          <w:tcPr>
            <w:tcW w:w="1142" w:type="dxa"/>
            <w:vAlign w:val="top"/>
          </w:tcPr>
          <w:p w14:paraId="69F152E0">
            <w:pPr>
              <w:pStyle w:val="18"/>
              <w:rPr>
                <w:color w:val="auto"/>
                <w:highlight w:val="none"/>
              </w:rPr>
            </w:pPr>
          </w:p>
        </w:tc>
        <w:tc>
          <w:tcPr>
            <w:tcW w:w="1142" w:type="dxa"/>
            <w:vAlign w:val="top"/>
          </w:tcPr>
          <w:p w14:paraId="1773DC38">
            <w:pPr>
              <w:pStyle w:val="18"/>
              <w:rPr>
                <w:color w:val="auto"/>
                <w:highlight w:val="none"/>
              </w:rPr>
            </w:pPr>
          </w:p>
        </w:tc>
        <w:tc>
          <w:tcPr>
            <w:tcW w:w="2777" w:type="dxa"/>
            <w:vAlign w:val="top"/>
          </w:tcPr>
          <w:p w14:paraId="6F8DF750">
            <w:pPr>
              <w:pStyle w:val="18"/>
              <w:rPr>
                <w:color w:val="auto"/>
                <w:highlight w:val="none"/>
              </w:rPr>
            </w:pPr>
          </w:p>
        </w:tc>
      </w:tr>
      <w:tr w14:paraId="102FB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5B77B997">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vAlign w:val="top"/>
          </w:tcPr>
          <w:p w14:paraId="1DA074D3">
            <w:pPr>
              <w:pStyle w:val="18"/>
              <w:rPr>
                <w:color w:val="auto"/>
                <w:highlight w:val="none"/>
              </w:rPr>
            </w:pPr>
          </w:p>
        </w:tc>
        <w:tc>
          <w:tcPr>
            <w:tcW w:w="930" w:type="dxa"/>
            <w:vAlign w:val="top"/>
          </w:tcPr>
          <w:p w14:paraId="52184E29">
            <w:pPr>
              <w:pStyle w:val="18"/>
              <w:rPr>
                <w:color w:val="auto"/>
                <w:highlight w:val="none"/>
              </w:rPr>
            </w:pPr>
          </w:p>
        </w:tc>
        <w:tc>
          <w:tcPr>
            <w:tcW w:w="931" w:type="dxa"/>
            <w:vAlign w:val="top"/>
          </w:tcPr>
          <w:p w14:paraId="5DDB5A3A">
            <w:pPr>
              <w:pStyle w:val="18"/>
              <w:rPr>
                <w:color w:val="auto"/>
                <w:highlight w:val="none"/>
              </w:rPr>
            </w:pPr>
          </w:p>
        </w:tc>
        <w:tc>
          <w:tcPr>
            <w:tcW w:w="900" w:type="dxa"/>
            <w:vAlign w:val="top"/>
          </w:tcPr>
          <w:p w14:paraId="5459D4A2">
            <w:pPr>
              <w:pStyle w:val="18"/>
              <w:rPr>
                <w:color w:val="auto"/>
                <w:highlight w:val="none"/>
              </w:rPr>
            </w:pPr>
          </w:p>
        </w:tc>
        <w:tc>
          <w:tcPr>
            <w:tcW w:w="1065" w:type="dxa"/>
            <w:vAlign w:val="top"/>
          </w:tcPr>
          <w:p w14:paraId="268939E4">
            <w:pPr>
              <w:pStyle w:val="18"/>
              <w:rPr>
                <w:color w:val="auto"/>
                <w:highlight w:val="none"/>
              </w:rPr>
            </w:pPr>
          </w:p>
        </w:tc>
        <w:tc>
          <w:tcPr>
            <w:tcW w:w="854" w:type="dxa"/>
            <w:vAlign w:val="top"/>
          </w:tcPr>
          <w:p w14:paraId="3D78EB14">
            <w:pPr>
              <w:pStyle w:val="18"/>
              <w:rPr>
                <w:color w:val="auto"/>
                <w:highlight w:val="none"/>
              </w:rPr>
            </w:pPr>
          </w:p>
        </w:tc>
        <w:tc>
          <w:tcPr>
            <w:tcW w:w="1201" w:type="dxa"/>
            <w:vAlign w:val="top"/>
          </w:tcPr>
          <w:p w14:paraId="718579B9">
            <w:pPr>
              <w:pStyle w:val="18"/>
              <w:rPr>
                <w:color w:val="auto"/>
                <w:highlight w:val="none"/>
              </w:rPr>
            </w:pPr>
          </w:p>
        </w:tc>
        <w:tc>
          <w:tcPr>
            <w:tcW w:w="846" w:type="dxa"/>
            <w:vAlign w:val="top"/>
          </w:tcPr>
          <w:p w14:paraId="62F5519C">
            <w:pPr>
              <w:pStyle w:val="18"/>
              <w:rPr>
                <w:color w:val="auto"/>
                <w:highlight w:val="none"/>
              </w:rPr>
            </w:pPr>
          </w:p>
        </w:tc>
        <w:tc>
          <w:tcPr>
            <w:tcW w:w="916" w:type="dxa"/>
            <w:vAlign w:val="top"/>
          </w:tcPr>
          <w:p w14:paraId="09B7E6E1">
            <w:pPr>
              <w:pStyle w:val="18"/>
              <w:rPr>
                <w:color w:val="auto"/>
                <w:highlight w:val="none"/>
              </w:rPr>
            </w:pPr>
          </w:p>
        </w:tc>
        <w:tc>
          <w:tcPr>
            <w:tcW w:w="1142" w:type="dxa"/>
            <w:vAlign w:val="top"/>
          </w:tcPr>
          <w:p w14:paraId="02F65C74">
            <w:pPr>
              <w:pStyle w:val="18"/>
              <w:rPr>
                <w:color w:val="auto"/>
                <w:highlight w:val="none"/>
              </w:rPr>
            </w:pPr>
          </w:p>
        </w:tc>
        <w:tc>
          <w:tcPr>
            <w:tcW w:w="1142" w:type="dxa"/>
            <w:vAlign w:val="top"/>
          </w:tcPr>
          <w:p w14:paraId="032B5E96">
            <w:pPr>
              <w:pStyle w:val="18"/>
              <w:rPr>
                <w:color w:val="auto"/>
                <w:highlight w:val="none"/>
              </w:rPr>
            </w:pPr>
          </w:p>
        </w:tc>
        <w:tc>
          <w:tcPr>
            <w:tcW w:w="2777" w:type="dxa"/>
            <w:vAlign w:val="top"/>
          </w:tcPr>
          <w:p w14:paraId="281DF251">
            <w:pPr>
              <w:pStyle w:val="18"/>
              <w:rPr>
                <w:color w:val="auto"/>
                <w:highlight w:val="none"/>
              </w:rPr>
            </w:pPr>
          </w:p>
        </w:tc>
      </w:tr>
      <w:tr w14:paraId="7871B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573B4BD3">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vAlign w:val="top"/>
          </w:tcPr>
          <w:p w14:paraId="2D9F9578">
            <w:pPr>
              <w:pStyle w:val="18"/>
              <w:rPr>
                <w:color w:val="auto"/>
                <w:highlight w:val="none"/>
              </w:rPr>
            </w:pPr>
          </w:p>
        </w:tc>
        <w:tc>
          <w:tcPr>
            <w:tcW w:w="930" w:type="dxa"/>
            <w:vAlign w:val="top"/>
          </w:tcPr>
          <w:p w14:paraId="5F9C88D2">
            <w:pPr>
              <w:pStyle w:val="18"/>
              <w:rPr>
                <w:color w:val="auto"/>
                <w:highlight w:val="none"/>
              </w:rPr>
            </w:pPr>
          </w:p>
        </w:tc>
        <w:tc>
          <w:tcPr>
            <w:tcW w:w="931" w:type="dxa"/>
            <w:vAlign w:val="top"/>
          </w:tcPr>
          <w:p w14:paraId="1AC4482B">
            <w:pPr>
              <w:pStyle w:val="18"/>
              <w:rPr>
                <w:color w:val="auto"/>
                <w:highlight w:val="none"/>
              </w:rPr>
            </w:pPr>
          </w:p>
        </w:tc>
        <w:tc>
          <w:tcPr>
            <w:tcW w:w="900" w:type="dxa"/>
            <w:vAlign w:val="top"/>
          </w:tcPr>
          <w:p w14:paraId="7128A5A8">
            <w:pPr>
              <w:pStyle w:val="18"/>
              <w:rPr>
                <w:color w:val="auto"/>
                <w:highlight w:val="none"/>
              </w:rPr>
            </w:pPr>
          </w:p>
        </w:tc>
        <w:tc>
          <w:tcPr>
            <w:tcW w:w="1065" w:type="dxa"/>
            <w:vAlign w:val="top"/>
          </w:tcPr>
          <w:p w14:paraId="5BF75689">
            <w:pPr>
              <w:pStyle w:val="18"/>
              <w:rPr>
                <w:color w:val="auto"/>
                <w:highlight w:val="none"/>
              </w:rPr>
            </w:pPr>
          </w:p>
        </w:tc>
        <w:tc>
          <w:tcPr>
            <w:tcW w:w="854" w:type="dxa"/>
            <w:vAlign w:val="top"/>
          </w:tcPr>
          <w:p w14:paraId="012E89D3">
            <w:pPr>
              <w:pStyle w:val="18"/>
              <w:rPr>
                <w:color w:val="auto"/>
                <w:highlight w:val="none"/>
              </w:rPr>
            </w:pPr>
          </w:p>
        </w:tc>
        <w:tc>
          <w:tcPr>
            <w:tcW w:w="1201" w:type="dxa"/>
            <w:vAlign w:val="top"/>
          </w:tcPr>
          <w:p w14:paraId="3E56B68C">
            <w:pPr>
              <w:pStyle w:val="18"/>
              <w:rPr>
                <w:color w:val="auto"/>
                <w:highlight w:val="none"/>
              </w:rPr>
            </w:pPr>
          </w:p>
        </w:tc>
        <w:tc>
          <w:tcPr>
            <w:tcW w:w="846" w:type="dxa"/>
            <w:vAlign w:val="top"/>
          </w:tcPr>
          <w:p w14:paraId="257BBDC2">
            <w:pPr>
              <w:pStyle w:val="18"/>
              <w:rPr>
                <w:color w:val="auto"/>
                <w:highlight w:val="none"/>
              </w:rPr>
            </w:pPr>
          </w:p>
        </w:tc>
        <w:tc>
          <w:tcPr>
            <w:tcW w:w="916" w:type="dxa"/>
            <w:vAlign w:val="top"/>
          </w:tcPr>
          <w:p w14:paraId="0CA79186">
            <w:pPr>
              <w:pStyle w:val="18"/>
              <w:rPr>
                <w:color w:val="auto"/>
                <w:highlight w:val="none"/>
              </w:rPr>
            </w:pPr>
          </w:p>
        </w:tc>
        <w:tc>
          <w:tcPr>
            <w:tcW w:w="1142" w:type="dxa"/>
            <w:vAlign w:val="top"/>
          </w:tcPr>
          <w:p w14:paraId="28C5927F">
            <w:pPr>
              <w:pStyle w:val="18"/>
              <w:rPr>
                <w:color w:val="auto"/>
                <w:highlight w:val="none"/>
              </w:rPr>
            </w:pPr>
          </w:p>
        </w:tc>
        <w:tc>
          <w:tcPr>
            <w:tcW w:w="1142" w:type="dxa"/>
            <w:vAlign w:val="top"/>
          </w:tcPr>
          <w:p w14:paraId="44161428">
            <w:pPr>
              <w:pStyle w:val="18"/>
              <w:rPr>
                <w:color w:val="auto"/>
                <w:highlight w:val="none"/>
              </w:rPr>
            </w:pPr>
          </w:p>
        </w:tc>
        <w:tc>
          <w:tcPr>
            <w:tcW w:w="2777" w:type="dxa"/>
            <w:vAlign w:val="top"/>
          </w:tcPr>
          <w:p w14:paraId="2A616AE3">
            <w:pPr>
              <w:pStyle w:val="18"/>
              <w:rPr>
                <w:color w:val="auto"/>
                <w:highlight w:val="none"/>
              </w:rPr>
            </w:pPr>
          </w:p>
        </w:tc>
      </w:tr>
      <w:tr w14:paraId="4D08B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2A6C28E2">
            <w:pPr>
              <w:pStyle w:val="18"/>
              <w:rPr>
                <w:color w:val="auto"/>
                <w:highlight w:val="none"/>
              </w:rPr>
            </w:pPr>
          </w:p>
        </w:tc>
        <w:tc>
          <w:tcPr>
            <w:tcW w:w="831" w:type="dxa"/>
            <w:vAlign w:val="top"/>
          </w:tcPr>
          <w:p w14:paraId="199E04EC">
            <w:pPr>
              <w:pStyle w:val="18"/>
              <w:rPr>
                <w:color w:val="auto"/>
                <w:highlight w:val="none"/>
              </w:rPr>
            </w:pPr>
          </w:p>
        </w:tc>
        <w:tc>
          <w:tcPr>
            <w:tcW w:w="930" w:type="dxa"/>
            <w:vAlign w:val="top"/>
          </w:tcPr>
          <w:p w14:paraId="566F216F">
            <w:pPr>
              <w:pStyle w:val="18"/>
              <w:rPr>
                <w:color w:val="auto"/>
                <w:highlight w:val="none"/>
              </w:rPr>
            </w:pPr>
          </w:p>
        </w:tc>
        <w:tc>
          <w:tcPr>
            <w:tcW w:w="931" w:type="dxa"/>
            <w:vAlign w:val="top"/>
          </w:tcPr>
          <w:p w14:paraId="5E1E2121">
            <w:pPr>
              <w:pStyle w:val="18"/>
              <w:rPr>
                <w:color w:val="auto"/>
                <w:highlight w:val="none"/>
              </w:rPr>
            </w:pPr>
          </w:p>
        </w:tc>
        <w:tc>
          <w:tcPr>
            <w:tcW w:w="900" w:type="dxa"/>
            <w:vAlign w:val="top"/>
          </w:tcPr>
          <w:p w14:paraId="25213862">
            <w:pPr>
              <w:pStyle w:val="18"/>
              <w:rPr>
                <w:color w:val="auto"/>
                <w:highlight w:val="none"/>
              </w:rPr>
            </w:pPr>
          </w:p>
        </w:tc>
        <w:tc>
          <w:tcPr>
            <w:tcW w:w="1065" w:type="dxa"/>
            <w:vAlign w:val="top"/>
          </w:tcPr>
          <w:p w14:paraId="2446FD2F">
            <w:pPr>
              <w:pStyle w:val="18"/>
              <w:rPr>
                <w:color w:val="auto"/>
                <w:highlight w:val="none"/>
              </w:rPr>
            </w:pPr>
          </w:p>
        </w:tc>
        <w:tc>
          <w:tcPr>
            <w:tcW w:w="854" w:type="dxa"/>
            <w:vAlign w:val="top"/>
          </w:tcPr>
          <w:p w14:paraId="1F424619">
            <w:pPr>
              <w:pStyle w:val="18"/>
              <w:rPr>
                <w:color w:val="auto"/>
                <w:highlight w:val="none"/>
              </w:rPr>
            </w:pPr>
          </w:p>
        </w:tc>
        <w:tc>
          <w:tcPr>
            <w:tcW w:w="1201" w:type="dxa"/>
            <w:vAlign w:val="top"/>
          </w:tcPr>
          <w:p w14:paraId="3FB96205">
            <w:pPr>
              <w:pStyle w:val="18"/>
              <w:rPr>
                <w:color w:val="auto"/>
                <w:highlight w:val="none"/>
              </w:rPr>
            </w:pPr>
          </w:p>
        </w:tc>
        <w:tc>
          <w:tcPr>
            <w:tcW w:w="846" w:type="dxa"/>
            <w:vAlign w:val="top"/>
          </w:tcPr>
          <w:p w14:paraId="0BC5617E">
            <w:pPr>
              <w:pStyle w:val="18"/>
              <w:rPr>
                <w:color w:val="auto"/>
                <w:highlight w:val="none"/>
              </w:rPr>
            </w:pPr>
          </w:p>
        </w:tc>
        <w:tc>
          <w:tcPr>
            <w:tcW w:w="916" w:type="dxa"/>
            <w:vAlign w:val="top"/>
          </w:tcPr>
          <w:p w14:paraId="546FE5E8">
            <w:pPr>
              <w:pStyle w:val="18"/>
              <w:rPr>
                <w:color w:val="auto"/>
                <w:highlight w:val="none"/>
              </w:rPr>
            </w:pPr>
          </w:p>
        </w:tc>
        <w:tc>
          <w:tcPr>
            <w:tcW w:w="1142" w:type="dxa"/>
            <w:vAlign w:val="top"/>
          </w:tcPr>
          <w:p w14:paraId="1A77B061">
            <w:pPr>
              <w:pStyle w:val="18"/>
              <w:rPr>
                <w:color w:val="auto"/>
                <w:highlight w:val="none"/>
              </w:rPr>
            </w:pPr>
          </w:p>
        </w:tc>
        <w:tc>
          <w:tcPr>
            <w:tcW w:w="1142" w:type="dxa"/>
            <w:vAlign w:val="top"/>
          </w:tcPr>
          <w:p w14:paraId="019A7C07">
            <w:pPr>
              <w:pStyle w:val="18"/>
              <w:rPr>
                <w:color w:val="auto"/>
                <w:highlight w:val="none"/>
              </w:rPr>
            </w:pPr>
          </w:p>
        </w:tc>
        <w:tc>
          <w:tcPr>
            <w:tcW w:w="2777" w:type="dxa"/>
            <w:vAlign w:val="top"/>
          </w:tcPr>
          <w:p w14:paraId="3DDF1953">
            <w:pPr>
              <w:pStyle w:val="18"/>
              <w:rPr>
                <w:color w:val="auto"/>
                <w:highlight w:val="none"/>
              </w:rPr>
            </w:pPr>
          </w:p>
        </w:tc>
      </w:tr>
      <w:tr w14:paraId="01C0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27CBD1FF">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vAlign w:val="top"/>
          </w:tcPr>
          <w:p w14:paraId="1B607E13">
            <w:pPr>
              <w:pStyle w:val="18"/>
              <w:rPr>
                <w:color w:val="auto"/>
                <w:highlight w:val="none"/>
              </w:rPr>
            </w:pPr>
          </w:p>
        </w:tc>
        <w:tc>
          <w:tcPr>
            <w:tcW w:w="930" w:type="dxa"/>
            <w:vAlign w:val="top"/>
          </w:tcPr>
          <w:p w14:paraId="0321B4CA">
            <w:pPr>
              <w:pStyle w:val="18"/>
              <w:rPr>
                <w:color w:val="auto"/>
                <w:highlight w:val="none"/>
              </w:rPr>
            </w:pPr>
          </w:p>
        </w:tc>
        <w:tc>
          <w:tcPr>
            <w:tcW w:w="931" w:type="dxa"/>
            <w:vAlign w:val="top"/>
          </w:tcPr>
          <w:p w14:paraId="36CA6C1E">
            <w:pPr>
              <w:pStyle w:val="18"/>
              <w:rPr>
                <w:color w:val="auto"/>
                <w:highlight w:val="none"/>
              </w:rPr>
            </w:pPr>
          </w:p>
        </w:tc>
        <w:tc>
          <w:tcPr>
            <w:tcW w:w="900" w:type="dxa"/>
            <w:vAlign w:val="top"/>
          </w:tcPr>
          <w:p w14:paraId="74528BE2">
            <w:pPr>
              <w:pStyle w:val="18"/>
              <w:rPr>
                <w:color w:val="auto"/>
                <w:highlight w:val="none"/>
              </w:rPr>
            </w:pPr>
          </w:p>
        </w:tc>
        <w:tc>
          <w:tcPr>
            <w:tcW w:w="1065" w:type="dxa"/>
            <w:vAlign w:val="top"/>
          </w:tcPr>
          <w:p w14:paraId="13CB7637">
            <w:pPr>
              <w:pStyle w:val="18"/>
              <w:rPr>
                <w:color w:val="auto"/>
                <w:highlight w:val="none"/>
              </w:rPr>
            </w:pPr>
          </w:p>
        </w:tc>
        <w:tc>
          <w:tcPr>
            <w:tcW w:w="854" w:type="dxa"/>
            <w:vAlign w:val="top"/>
          </w:tcPr>
          <w:p w14:paraId="4DF2DF69">
            <w:pPr>
              <w:pStyle w:val="18"/>
              <w:rPr>
                <w:color w:val="auto"/>
                <w:highlight w:val="none"/>
              </w:rPr>
            </w:pPr>
          </w:p>
        </w:tc>
        <w:tc>
          <w:tcPr>
            <w:tcW w:w="1201" w:type="dxa"/>
            <w:vAlign w:val="top"/>
          </w:tcPr>
          <w:p w14:paraId="30378D8D">
            <w:pPr>
              <w:pStyle w:val="18"/>
              <w:rPr>
                <w:color w:val="auto"/>
                <w:highlight w:val="none"/>
              </w:rPr>
            </w:pPr>
          </w:p>
        </w:tc>
        <w:tc>
          <w:tcPr>
            <w:tcW w:w="846" w:type="dxa"/>
            <w:vAlign w:val="top"/>
          </w:tcPr>
          <w:p w14:paraId="253822EC">
            <w:pPr>
              <w:pStyle w:val="18"/>
              <w:rPr>
                <w:color w:val="auto"/>
                <w:highlight w:val="none"/>
              </w:rPr>
            </w:pPr>
          </w:p>
        </w:tc>
        <w:tc>
          <w:tcPr>
            <w:tcW w:w="916" w:type="dxa"/>
            <w:vAlign w:val="top"/>
          </w:tcPr>
          <w:p w14:paraId="1404CC93">
            <w:pPr>
              <w:pStyle w:val="18"/>
              <w:rPr>
                <w:color w:val="auto"/>
                <w:highlight w:val="none"/>
              </w:rPr>
            </w:pPr>
          </w:p>
        </w:tc>
        <w:tc>
          <w:tcPr>
            <w:tcW w:w="1142" w:type="dxa"/>
            <w:vAlign w:val="top"/>
          </w:tcPr>
          <w:p w14:paraId="673C54F9">
            <w:pPr>
              <w:pStyle w:val="18"/>
              <w:rPr>
                <w:color w:val="auto"/>
                <w:highlight w:val="none"/>
              </w:rPr>
            </w:pPr>
          </w:p>
        </w:tc>
        <w:tc>
          <w:tcPr>
            <w:tcW w:w="1142" w:type="dxa"/>
            <w:vAlign w:val="top"/>
          </w:tcPr>
          <w:p w14:paraId="3292927E">
            <w:pPr>
              <w:pStyle w:val="18"/>
              <w:rPr>
                <w:color w:val="auto"/>
                <w:highlight w:val="none"/>
              </w:rPr>
            </w:pPr>
          </w:p>
        </w:tc>
        <w:tc>
          <w:tcPr>
            <w:tcW w:w="2777" w:type="dxa"/>
            <w:vAlign w:val="top"/>
          </w:tcPr>
          <w:p w14:paraId="38A26358">
            <w:pPr>
              <w:pStyle w:val="18"/>
              <w:rPr>
                <w:color w:val="auto"/>
                <w:highlight w:val="none"/>
              </w:rPr>
            </w:pPr>
          </w:p>
        </w:tc>
      </w:tr>
    </w:tbl>
    <w:p w14:paraId="62410C44">
      <w:pPr>
        <w:pStyle w:val="4"/>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14:paraId="4D347FDA">
      <w:pPr>
        <w:spacing w:line="480" w:lineRule="auto"/>
        <w:jc w:val="both"/>
        <w:rPr>
          <w:rFonts w:hint="eastAsia"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ascii="宋体" w:hAnsi="宋体" w:cs="宋体"/>
          <w:color w:val="auto"/>
          <w:spacing w:val="8"/>
          <w:position w:val="-1"/>
          <w:sz w:val="24"/>
          <w:szCs w:val="24"/>
          <w:highlight w:val="none"/>
          <w:lang w:eastAsia="zh-CN"/>
        </w:rPr>
        <w:t>：</w:t>
      </w:r>
    </w:p>
    <w:p w14:paraId="6A1C7ED9">
      <w:pPr>
        <w:spacing w:line="480" w:lineRule="auto"/>
        <w:jc w:val="both"/>
        <w:rPr>
          <w:rFonts w:hint="eastAsia" w:ascii="仿宋" w:hAnsi="仿宋" w:eastAsia="仿宋" w:cs="仿宋"/>
          <w:b/>
          <w:bCs/>
          <w:color w:val="auto"/>
          <w:sz w:val="44"/>
          <w:szCs w:val="44"/>
          <w:highlight w:val="none"/>
          <w:lang w:val="en-US" w:eastAsia="zh-CN"/>
        </w:rPr>
      </w:pPr>
      <w:r>
        <w:rPr>
          <w:rFonts w:hint="eastAsia" w:ascii="宋体" w:hAnsi="宋体" w:eastAsia="宋体" w:cs="宋体"/>
          <w:color w:val="auto"/>
          <w:spacing w:val="-5"/>
          <w:position w:val="-1"/>
          <w:sz w:val="24"/>
          <w:szCs w:val="24"/>
          <w:highlight w:val="none"/>
          <w:lang w:val="en-US" w:eastAsia="zh-CN"/>
        </w:rPr>
        <w:t>日期:</w:t>
      </w:r>
      <w:r>
        <w:rPr>
          <w:rFonts w:hint="eastAsia" w:ascii="宋体" w:hAnsi="宋体" w:cs="宋体"/>
          <w:color w:val="auto"/>
          <w:spacing w:val="-5"/>
          <w:position w:val="-1"/>
          <w:sz w:val="24"/>
          <w:szCs w:val="24"/>
          <w:highlight w:val="none"/>
          <w:lang w:val="en-US" w:eastAsia="zh-CN"/>
        </w:rPr>
        <w:t xml:space="preserve">                                                                              日期：</w:t>
      </w:r>
    </w:p>
    <w:p w14:paraId="4C6BEED0">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04ED535E">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i w:val="0"/>
          <w:iCs w:val="0"/>
          <w:color w:val="auto"/>
          <w:kern w:val="0"/>
          <w:sz w:val="44"/>
          <w:szCs w:val="44"/>
          <w:highlight w:val="none"/>
          <w:u w:val="none"/>
          <w:lang w:val="en-US" w:eastAsia="zh-CN" w:bidi="ar"/>
        </w:rPr>
        <w:t>附件七</w:t>
      </w:r>
    </w:p>
    <w:p w14:paraId="5761AE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0"/>
          <w:szCs w:val="36"/>
          <w:highlight w:val="none"/>
          <w:lang w:val="en-US" w:eastAsia="zh-CN"/>
        </w:rPr>
      </w:pPr>
    </w:p>
    <w:p w14:paraId="121F3A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42934CD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064A9EC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30"/>
          <w:highlight w:val="none"/>
          <w:lang w:val="en-US" w:eastAsia="zh-CN"/>
        </w:rPr>
      </w:pPr>
      <w:r>
        <w:rPr>
          <w:rFonts w:hint="eastAsia" w:ascii="仿宋" w:hAnsi="仿宋" w:eastAsia="仿宋" w:cs="仿宋"/>
          <w:b/>
          <w:bCs w:val="0"/>
          <w:color w:val="auto"/>
          <w:sz w:val="40"/>
          <w:szCs w:val="40"/>
          <w:highlight w:val="none"/>
          <w:shd w:val="clear" w:color="auto" w:fill="auto"/>
          <w:lang w:val="en-US" w:eastAsia="zh-CN"/>
        </w:rPr>
        <w:drawing>
          <wp:inline distT="0" distB="0" distL="114300" distR="114300">
            <wp:extent cx="3090545" cy="2395220"/>
            <wp:effectExtent l="0" t="0" r="14605" b="5080"/>
            <wp:docPr id="2" name="图片 2" descr="e4bde7909474f57d42b6f14350460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4bde7909474f57d42b6f143504604e"/>
                    <pic:cNvPicPr>
                      <a:picLocks noChangeAspect="1"/>
                    </pic:cNvPicPr>
                  </pic:nvPicPr>
                  <pic:blipFill>
                    <a:blip r:embed="rId12"/>
                    <a:stretch>
                      <a:fillRect/>
                    </a:stretch>
                  </pic:blipFill>
                  <pic:spPr>
                    <a:xfrm>
                      <a:off x="0" y="0"/>
                      <a:ext cx="3090545" cy="2395220"/>
                    </a:xfrm>
                    <a:prstGeom prst="rect">
                      <a:avLst/>
                    </a:prstGeom>
                  </pic:spPr>
                </pic:pic>
              </a:graphicData>
            </a:graphic>
          </wp:inline>
        </w:drawing>
      </w:r>
      <w:r>
        <w:rPr>
          <w:color w:val="auto"/>
        </w:rPr>
        <w:drawing>
          <wp:inline distT="0" distB="0" distL="114300" distR="114300">
            <wp:extent cx="3802380" cy="2284730"/>
            <wp:effectExtent l="0" t="0" r="7620" b="12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3802380" cy="2284730"/>
                    </a:xfrm>
                    <a:prstGeom prst="rect">
                      <a:avLst/>
                    </a:prstGeom>
                    <a:noFill/>
                    <a:ln>
                      <a:noFill/>
                    </a:ln>
                  </pic:spPr>
                </pic:pic>
              </a:graphicData>
            </a:graphic>
          </wp:inline>
        </w:drawing>
      </w:r>
    </w:p>
    <w:p w14:paraId="1FBABE9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30"/>
          <w:highlight w:val="none"/>
          <w:lang w:val="en-US" w:eastAsia="zh-CN"/>
        </w:rPr>
      </w:pPr>
    </w:p>
    <w:p w14:paraId="5FC01EC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45BD5B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723" w:firstLineChars="150"/>
        <w:jc w:val="center"/>
        <w:textAlignment w:val="auto"/>
        <w:outlineLvl w:val="9"/>
        <w:rPr>
          <w:rFonts w:hint="eastAsia" w:ascii="仿宋" w:hAnsi="仿宋" w:eastAsia="仿宋" w:cs="仿宋"/>
          <w:b/>
          <w:bCs/>
          <w:color w:val="auto"/>
          <w:sz w:val="48"/>
          <w:szCs w:val="44"/>
          <w:highlight w:val="none"/>
          <w:lang w:val="en-US" w:eastAsia="zh-CN"/>
        </w:rPr>
      </w:pPr>
    </w:p>
    <w:p w14:paraId="3D9142E6">
      <w:pPr>
        <w:pageBreakBefore w:val="0"/>
        <w:tabs>
          <w:tab w:val="left" w:pos="4762"/>
        </w:tabs>
        <w:wordWrap/>
        <w:topLinePunct w:val="0"/>
        <w:bidi w:val="0"/>
        <w:spacing w:line="360" w:lineRule="auto"/>
        <w:ind w:firstLine="422" w:firstLineChars="150"/>
        <w:jc w:val="center"/>
        <w:rPr>
          <w:rFonts w:hint="default" w:ascii="仿宋" w:hAnsi="仿宋" w:eastAsia="仿宋" w:cs="仿宋"/>
          <w:b/>
          <w:bCs/>
          <w:color w:val="auto"/>
          <w:sz w:val="28"/>
          <w:szCs w:val="22"/>
          <w:highlight w:val="none"/>
          <w:shd w:val="clear" w:color="auto" w:fill="auto"/>
          <w:lang w:val="en-US" w:eastAsia="zh-CN"/>
        </w:rPr>
      </w:pPr>
    </w:p>
    <w:p w14:paraId="0D7872FC">
      <w:pPr>
        <w:pageBreakBefore w:val="0"/>
        <w:tabs>
          <w:tab w:val="left" w:pos="4762"/>
        </w:tabs>
        <w:wordWrap/>
        <w:topLinePunct w:val="0"/>
        <w:bidi w:val="0"/>
        <w:spacing w:line="360" w:lineRule="auto"/>
        <w:ind w:firstLine="422" w:firstLineChars="150"/>
        <w:jc w:val="center"/>
        <w:rPr>
          <w:rFonts w:hint="default" w:ascii="仿宋" w:hAnsi="仿宋" w:eastAsia="仿宋" w:cs="仿宋"/>
          <w:b/>
          <w:bCs/>
          <w:color w:val="auto"/>
          <w:sz w:val="28"/>
          <w:szCs w:val="22"/>
          <w:highlight w:val="none"/>
          <w:shd w:val="clear" w:color="auto" w:fill="auto"/>
          <w:lang w:val="en-US" w:eastAsia="zh-CN"/>
        </w:rPr>
      </w:pPr>
    </w:p>
    <w:p w14:paraId="604020A2">
      <w:pPr>
        <w:adjustRightInd w:val="0"/>
        <w:snapToGrid w:val="0"/>
        <w:spacing w:line="360" w:lineRule="auto"/>
        <w:jc w:val="right"/>
        <w:outlineLvl w:val="0"/>
        <w:rPr>
          <w:rFonts w:hint="default" w:ascii="仿宋" w:hAnsi="仿宋" w:eastAsia="仿宋" w:cs="仿宋"/>
          <w:color w:val="auto"/>
          <w:sz w:val="40"/>
          <w:szCs w:val="40"/>
          <w:highlight w:val="none"/>
          <w:lang w:val="en-US" w:eastAsia="zh-CN"/>
        </w:rPr>
      </w:pPr>
      <w:bookmarkStart w:id="161" w:name="_Toc22026"/>
      <w:r>
        <w:rPr>
          <w:rFonts w:hint="eastAsia" w:ascii="仿宋" w:hAnsi="仿宋" w:eastAsia="仿宋" w:cs="仿宋"/>
          <w:b/>
          <w:bCs/>
          <w:color w:val="auto"/>
          <w:sz w:val="36"/>
          <w:szCs w:val="36"/>
          <w:highlight w:val="none"/>
          <w:lang w:val="en-US" w:eastAsia="zh-CN"/>
        </w:rPr>
        <w:t>附件</w:t>
      </w:r>
      <w:bookmarkEnd w:id="161"/>
      <w:r>
        <w:rPr>
          <w:rFonts w:hint="eastAsia" w:ascii="仿宋" w:hAnsi="仿宋" w:eastAsia="仿宋" w:cs="仿宋"/>
          <w:b/>
          <w:bCs/>
          <w:color w:val="auto"/>
          <w:sz w:val="36"/>
          <w:szCs w:val="36"/>
          <w:highlight w:val="none"/>
          <w:lang w:val="en-US" w:eastAsia="zh-CN"/>
        </w:rPr>
        <w:t>八</w:t>
      </w:r>
    </w:p>
    <w:p w14:paraId="10C501B1">
      <w:pPr>
        <w:adjustRightInd w:val="0"/>
        <w:snapToGrid w:val="0"/>
        <w:spacing w:line="360" w:lineRule="auto"/>
        <w:jc w:val="center"/>
        <w:rPr>
          <w:rFonts w:hint="eastAsia" w:ascii="仿宋" w:hAnsi="仿宋" w:eastAsia="仿宋" w:cs="仿宋"/>
          <w:color w:val="auto"/>
        </w:rPr>
      </w:pPr>
      <w:r>
        <w:rPr>
          <w:rFonts w:hint="eastAsia" w:ascii="仿宋" w:hAnsi="仿宋" w:eastAsia="仿宋" w:cs="仿宋"/>
          <w:color w:val="auto"/>
          <w:sz w:val="44"/>
          <w:szCs w:val="44"/>
        </w:rPr>
        <w:drawing>
          <wp:inline distT="0" distB="0" distL="0" distR="0">
            <wp:extent cx="5547995" cy="692785"/>
            <wp:effectExtent l="0" t="0" r="14605" b="12065"/>
            <wp:docPr id="1029" name="图片 6" descr="LOGO-1"/>
            <wp:cNvGraphicFramePr/>
            <a:graphic xmlns:a="http://schemas.openxmlformats.org/drawingml/2006/main">
              <a:graphicData uri="http://schemas.openxmlformats.org/drawingml/2006/picture">
                <pic:pic xmlns:pic="http://schemas.openxmlformats.org/drawingml/2006/picture">
                  <pic:nvPicPr>
                    <pic:cNvPr id="1029" name="图片 6" descr="LOGO-1"/>
                    <pic:cNvPicPr/>
                  </pic:nvPicPr>
                  <pic:blipFill>
                    <a:blip r:embed="rId14" cstate="print">
                      <a:clrChange>
                        <a:clrFrom>
                          <a:srgbClr val="FFFFFF"/>
                        </a:clrFrom>
                        <a:clrTo>
                          <a:srgbClr val="FFFFFF">
                            <a:alpha val="0"/>
                          </a:srgbClr>
                        </a:clrTo>
                      </a:clrChange>
                    </a:blip>
                    <a:srcRect/>
                    <a:stretch>
                      <a:fillRect/>
                    </a:stretch>
                  </pic:blipFill>
                  <pic:spPr>
                    <a:xfrm>
                      <a:off x="0" y="0"/>
                      <a:ext cx="5547995" cy="692785"/>
                    </a:xfrm>
                    <a:prstGeom prst="rect">
                      <a:avLst/>
                    </a:prstGeom>
                  </pic:spPr>
                </pic:pic>
              </a:graphicData>
            </a:graphic>
          </wp:inline>
        </w:drawing>
      </w:r>
    </w:p>
    <w:p w14:paraId="7512341B">
      <w:pPr>
        <w:adjustRightInd w:val="0"/>
        <w:snapToGrid w:val="0"/>
        <w:spacing w:line="360" w:lineRule="auto"/>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物 料 申 购 单</w:t>
      </w:r>
    </w:p>
    <w:p w14:paraId="0053A4A4">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 xml:space="preserve">工程名称：     </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日 期 ：</w:t>
      </w:r>
      <w:r>
        <w:rPr>
          <w:rFonts w:hint="eastAsia" w:ascii="仿宋" w:hAnsi="仿宋" w:eastAsia="仿宋" w:cs="仿宋"/>
          <w:color w:val="auto"/>
          <w:lang w:val="en-US" w:eastAsia="zh-CN"/>
        </w:rPr>
        <w:t xml:space="preserve">202  </w:t>
      </w:r>
      <w:r>
        <w:rPr>
          <w:rFonts w:hint="eastAsia" w:ascii="仿宋" w:hAnsi="仿宋" w:eastAsia="仿宋" w:cs="仿宋"/>
          <w:color w:val="auto"/>
        </w:rPr>
        <w:t xml:space="preserve">年 </w:t>
      </w:r>
      <w:r>
        <w:rPr>
          <w:rFonts w:hint="eastAsia" w:ascii="仿宋" w:hAnsi="仿宋" w:eastAsia="仿宋" w:cs="仿宋"/>
          <w:color w:val="auto"/>
          <w:lang w:val="en-US" w:eastAsia="zh-CN"/>
        </w:rPr>
        <w:t xml:space="preserve"> </w:t>
      </w:r>
      <w:r>
        <w:rPr>
          <w:rFonts w:hint="eastAsia" w:ascii="仿宋" w:hAnsi="仿宋" w:eastAsia="仿宋" w:cs="仿宋"/>
          <w:color w:val="auto"/>
        </w:rPr>
        <w:t>月  日</w:t>
      </w:r>
      <w:r>
        <w:rPr>
          <w:rFonts w:hint="eastAsia" w:ascii="仿宋" w:hAnsi="仿宋" w:eastAsia="仿宋" w:cs="仿宋"/>
          <w:color w:val="auto"/>
          <w:lang w:val="en-US" w:eastAsia="zh-CN"/>
        </w:rPr>
        <w:t xml:space="preserve"> </w:t>
      </w:r>
      <w:r>
        <w:rPr>
          <w:rFonts w:hint="eastAsia" w:ascii="仿宋" w:hAnsi="仿宋" w:eastAsia="仿宋" w:cs="仿宋"/>
          <w:color w:val="auto"/>
        </w:rPr>
        <w:t>第</w:t>
      </w:r>
      <w:r>
        <w:rPr>
          <w:rFonts w:hint="eastAsia" w:ascii="仿宋" w:hAnsi="仿宋" w:eastAsia="仿宋" w:cs="仿宋"/>
          <w:color w:val="auto"/>
          <w:lang w:val="en-US" w:eastAsia="zh-CN"/>
        </w:rPr>
        <w:t xml:space="preserve">   </w:t>
      </w:r>
      <w:r>
        <w:rPr>
          <w:rFonts w:hint="eastAsia" w:ascii="仿宋" w:hAnsi="仿宋" w:eastAsia="仿宋" w:cs="仿宋"/>
          <w:color w:val="auto"/>
        </w:rPr>
        <w:t>页</w:t>
      </w:r>
    </w:p>
    <w:tbl>
      <w:tblPr>
        <w:tblStyle w:val="13"/>
        <w:tblpPr w:leftFromText="180" w:rightFromText="180" w:vertAnchor="text" w:horzAnchor="page" w:tblpXSpec="center" w:tblpY="296"/>
        <w:tblOverlap w:val="never"/>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544"/>
        <w:gridCol w:w="1524"/>
        <w:gridCol w:w="1303"/>
        <w:gridCol w:w="1479"/>
        <w:gridCol w:w="2124"/>
      </w:tblGrid>
      <w:tr w14:paraId="26BA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63" w:type="dxa"/>
            <w:vAlign w:val="center"/>
          </w:tcPr>
          <w:p w14:paraId="181E06BE">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序号</w:t>
            </w:r>
          </w:p>
        </w:tc>
        <w:tc>
          <w:tcPr>
            <w:tcW w:w="2544" w:type="dxa"/>
            <w:vAlign w:val="center"/>
          </w:tcPr>
          <w:p w14:paraId="6492ED38">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材料名称/规格</w:t>
            </w:r>
          </w:p>
        </w:tc>
        <w:tc>
          <w:tcPr>
            <w:tcW w:w="1524" w:type="dxa"/>
            <w:vAlign w:val="center"/>
          </w:tcPr>
          <w:p w14:paraId="56D303DE">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数量/单位</w:t>
            </w:r>
          </w:p>
        </w:tc>
        <w:tc>
          <w:tcPr>
            <w:tcW w:w="1303" w:type="dxa"/>
            <w:vAlign w:val="center"/>
          </w:tcPr>
          <w:p w14:paraId="5BAA4190">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到货日期</w:t>
            </w:r>
          </w:p>
        </w:tc>
        <w:tc>
          <w:tcPr>
            <w:tcW w:w="1479" w:type="dxa"/>
            <w:vAlign w:val="center"/>
          </w:tcPr>
          <w:p w14:paraId="34AAD742">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质量要求</w:t>
            </w:r>
          </w:p>
        </w:tc>
        <w:tc>
          <w:tcPr>
            <w:tcW w:w="2124" w:type="dxa"/>
            <w:vAlign w:val="center"/>
          </w:tcPr>
          <w:p w14:paraId="1DC7569F">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用途等备注</w:t>
            </w:r>
          </w:p>
        </w:tc>
      </w:tr>
      <w:tr w14:paraId="045D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63" w:type="dxa"/>
            <w:vAlign w:val="center"/>
          </w:tcPr>
          <w:p w14:paraId="146F706A">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w:t>
            </w:r>
          </w:p>
        </w:tc>
        <w:tc>
          <w:tcPr>
            <w:tcW w:w="2544" w:type="dxa"/>
            <w:vAlign w:val="center"/>
          </w:tcPr>
          <w:p w14:paraId="2FA8E1F5">
            <w:pPr>
              <w:tabs>
                <w:tab w:val="left" w:pos="910"/>
              </w:tabs>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24" w:type="dxa"/>
            <w:vAlign w:val="center"/>
          </w:tcPr>
          <w:p w14:paraId="78134B70">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40CFD591">
            <w:pPr>
              <w:adjustRightInd w:val="0"/>
              <w:snapToGrid w:val="0"/>
              <w:spacing w:line="360" w:lineRule="auto"/>
              <w:jc w:val="both"/>
              <w:rPr>
                <w:rFonts w:hint="eastAsia" w:ascii="仿宋" w:hAnsi="仿宋" w:eastAsia="仿宋" w:cs="仿宋"/>
                <w:color w:val="auto"/>
                <w:lang w:val="en-US" w:eastAsia="zh-CN"/>
              </w:rPr>
            </w:pPr>
          </w:p>
        </w:tc>
        <w:tc>
          <w:tcPr>
            <w:tcW w:w="1479" w:type="dxa"/>
            <w:vAlign w:val="center"/>
          </w:tcPr>
          <w:p w14:paraId="08F83A24">
            <w:pPr>
              <w:adjustRightInd w:val="0"/>
              <w:snapToGrid w:val="0"/>
              <w:spacing w:line="360" w:lineRule="auto"/>
              <w:jc w:val="both"/>
              <w:rPr>
                <w:rFonts w:hint="eastAsia" w:ascii="仿宋" w:hAnsi="仿宋" w:eastAsia="仿宋" w:cs="仿宋"/>
                <w:color w:val="auto"/>
                <w:lang w:val="en-US" w:eastAsia="zh-CN"/>
              </w:rPr>
            </w:pPr>
          </w:p>
        </w:tc>
        <w:tc>
          <w:tcPr>
            <w:tcW w:w="2124" w:type="dxa"/>
            <w:vMerge w:val="restart"/>
            <w:vAlign w:val="center"/>
          </w:tcPr>
          <w:p w14:paraId="7CD26629">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51A8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3" w:type="dxa"/>
            <w:vAlign w:val="center"/>
          </w:tcPr>
          <w:p w14:paraId="3B969AFC">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2544" w:type="dxa"/>
            <w:vAlign w:val="center"/>
          </w:tcPr>
          <w:p w14:paraId="5F9B979B">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24" w:type="dxa"/>
            <w:vAlign w:val="center"/>
          </w:tcPr>
          <w:p w14:paraId="6145B87A">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3B34108B">
            <w:pPr>
              <w:adjustRightInd w:val="0"/>
              <w:snapToGrid w:val="0"/>
              <w:spacing w:line="360" w:lineRule="auto"/>
              <w:jc w:val="both"/>
              <w:rPr>
                <w:rFonts w:hint="eastAsia" w:ascii="仿宋" w:hAnsi="仿宋" w:eastAsia="仿宋" w:cs="仿宋"/>
                <w:color w:val="auto"/>
                <w:lang w:val="en-US" w:eastAsia="zh-CN"/>
              </w:rPr>
            </w:pPr>
          </w:p>
        </w:tc>
        <w:tc>
          <w:tcPr>
            <w:tcW w:w="1479" w:type="dxa"/>
            <w:vAlign w:val="center"/>
          </w:tcPr>
          <w:p w14:paraId="18093BBD">
            <w:pPr>
              <w:adjustRightInd w:val="0"/>
              <w:snapToGrid w:val="0"/>
              <w:spacing w:line="360" w:lineRule="auto"/>
              <w:jc w:val="both"/>
              <w:rPr>
                <w:rFonts w:hint="eastAsia" w:ascii="仿宋" w:hAnsi="仿宋" w:eastAsia="仿宋" w:cs="仿宋"/>
                <w:color w:val="auto"/>
                <w:lang w:eastAsia="zh-CN"/>
              </w:rPr>
            </w:pPr>
          </w:p>
        </w:tc>
        <w:tc>
          <w:tcPr>
            <w:tcW w:w="2124" w:type="dxa"/>
            <w:vMerge w:val="continue"/>
            <w:vAlign w:val="center"/>
          </w:tcPr>
          <w:p w14:paraId="3A8005F9">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48DC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63" w:type="dxa"/>
            <w:vAlign w:val="center"/>
          </w:tcPr>
          <w:p w14:paraId="485F78F0">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2544" w:type="dxa"/>
            <w:vAlign w:val="center"/>
          </w:tcPr>
          <w:p w14:paraId="55FA11DD">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24" w:type="dxa"/>
            <w:vAlign w:val="center"/>
          </w:tcPr>
          <w:p w14:paraId="20D6824D">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7B643F64">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479" w:type="dxa"/>
            <w:vAlign w:val="center"/>
          </w:tcPr>
          <w:p w14:paraId="7B1D4473">
            <w:pPr>
              <w:adjustRightInd w:val="0"/>
              <w:snapToGrid w:val="0"/>
              <w:spacing w:line="360" w:lineRule="auto"/>
              <w:jc w:val="both"/>
              <w:rPr>
                <w:rFonts w:hint="eastAsia" w:ascii="仿宋" w:hAnsi="仿宋" w:eastAsia="仿宋" w:cs="仿宋"/>
                <w:color w:val="auto"/>
                <w:lang w:val="en-US" w:eastAsia="zh-CN"/>
              </w:rPr>
            </w:pPr>
          </w:p>
        </w:tc>
        <w:tc>
          <w:tcPr>
            <w:tcW w:w="2124" w:type="dxa"/>
            <w:vMerge w:val="continue"/>
            <w:vAlign w:val="center"/>
          </w:tcPr>
          <w:p w14:paraId="3A0E346D">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1824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63" w:type="dxa"/>
            <w:vAlign w:val="center"/>
          </w:tcPr>
          <w:p w14:paraId="6C083BAD">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2544" w:type="dxa"/>
            <w:vAlign w:val="center"/>
          </w:tcPr>
          <w:p w14:paraId="18EFCB94">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24" w:type="dxa"/>
            <w:vAlign w:val="center"/>
          </w:tcPr>
          <w:p w14:paraId="1A974884">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303" w:type="dxa"/>
            <w:vAlign w:val="center"/>
          </w:tcPr>
          <w:p w14:paraId="696D50FD">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479" w:type="dxa"/>
            <w:vAlign w:val="center"/>
          </w:tcPr>
          <w:p w14:paraId="31BFC6C9">
            <w:pPr>
              <w:adjustRightInd w:val="0"/>
              <w:snapToGrid w:val="0"/>
              <w:spacing w:line="360" w:lineRule="auto"/>
              <w:jc w:val="both"/>
              <w:rPr>
                <w:rFonts w:hint="eastAsia" w:ascii="仿宋" w:hAnsi="仿宋" w:eastAsia="仿宋" w:cs="仿宋"/>
                <w:color w:val="auto"/>
                <w:lang w:eastAsia="zh-CN"/>
              </w:rPr>
            </w:pPr>
          </w:p>
        </w:tc>
        <w:tc>
          <w:tcPr>
            <w:tcW w:w="2124" w:type="dxa"/>
            <w:vMerge w:val="continue"/>
            <w:vAlign w:val="center"/>
          </w:tcPr>
          <w:p w14:paraId="772B8D28">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362E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63" w:type="dxa"/>
            <w:vAlign w:val="center"/>
          </w:tcPr>
          <w:p w14:paraId="7429DF90">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2544" w:type="dxa"/>
            <w:vAlign w:val="center"/>
          </w:tcPr>
          <w:p w14:paraId="4F78AD2E">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24" w:type="dxa"/>
            <w:vAlign w:val="center"/>
          </w:tcPr>
          <w:p w14:paraId="382D2EBF">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303" w:type="dxa"/>
            <w:vAlign w:val="center"/>
          </w:tcPr>
          <w:p w14:paraId="2EDBCC39">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479" w:type="dxa"/>
            <w:vAlign w:val="center"/>
          </w:tcPr>
          <w:p w14:paraId="61B65FB5">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2124" w:type="dxa"/>
            <w:vMerge w:val="continue"/>
            <w:vAlign w:val="center"/>
          </w:tcPr>
          <w:p w14:paraId="6E0C3959">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3D38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63" w:type="dxa"/>
            <w:vAlign w:val="center"/>
          </w:tcPr>
          <w:p w14:paraId="1840D6EF">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2544" w:type="dxa"/>
            <w:vAlign w:val="center"/>
          </w:tcPr>
          <w:p w14:paraId="78B65449">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24" w:type="dxa"/>
            <w:vAlign w:val="center"/>
          </w:tcPr>
          <w:p w14:paraId="5BDC4BC5">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6CFAEB94">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479" w:type="dxa"/>
            <w:vAlign w:val="center"/>
          </w:tcPr>
          <w:p w14:paraId="6F55BE24">
            <w:pPr>
              <w:adjustRightInd w:val="0"/>
              <w:snapToGrid w:val="0"/>
              <w:spacing w:line="360" w:lineRule="auto"/>
              <w:jc w:val="both"/>
              <w:rPr>
                <w:rFonts w:hint="eastAsia" w:ascii="仿宋" w:hAnsi="仿宋" w:eastAsia="仿宋" w:cs="仿宋"/>
                <w:color w:val="auto"/>
                <w:lang w:eastAsia="zh-CN"/>
              </w:rPr>
            </w:pPr>
          </w:p>
        </w:tc>
        <w:tc>
          <w:tcPr>
            <w:tcW w:w="2124" w:type="dxa"/>
            <w:vMerge w:val="restart"/>
            <w:vAlign w:val="center"/>
          </w:tcPr>
          <w:p w14:paraId="0DA4EF48">
            <w:pPr>
              <w:adjustRightInd w:val="0"/>
              <w:snapToGrid w:val="0"/>
              <w:spacing w:line="360" w:lineRule="auto"/>
              <w:jc w:val="both"/>
              <w:rPr>
                <w:rFonts w:hint="eastAsia" w:ascii="仿宋" w:hAnsi="仿宋" w:eastAsia="仿宋" w:cs="仿宋"/>
                <w:color w:val="auto"/>
                <w:lang w:val="en-US" w:eastAsia="zh-CN"/>
              </w:rPr>
            </w:pPr>
          </w:p>
        </w:tc>
      </w:tr>
      <w:tr w14:paraId="2486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3" w:type="dxa"/>
            <w:vAlign w:val="center"/>
          </w:tcPr>
          <w:p w14:paraId="5570E492">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2544" w:type="dxa"/>
            <w:vAlign w:val="center"/>
          </w:tcPr>
          <w:p w14:paraId="4482F6DC">
            <w:pPr>
              <w:adjustRightInd w:val="0"/>
              <w:snapToGrid w:val="0"/>
              <w:spacing w:line="360" w:lineRule="auto"/>
              <w:jc w:val="both"/>
              <w:rPr>
                <w:rFonts w:hint="eastAsia" w:ascii="仿宋" w:hAnsi="仿宋" w:eastAsia="仿宋" w:cs="仿宋"/>
                <w:color w:val="auto"/>
                <w:lang w:val="en-US" w:eastAsia="zh-CN"/>
              </w:rPr>
            </w:pPr>
          </w:p>
        </w:tc>
        <w:tc>
          <w:tcPr>
            <w:tcW w:w="1524" w:type="dxa"/>
            <w:vAlign w:val="center"/>
          </w:tcPr>
          <w:p w14:paraId="29997967">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157E4A1B">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479" w:type="dxa"/>
            <w:vAlign w:val="center"/>
          </w:tcPr>
          <w:p w14:paraId="3FECF86F">
            <w:pPr>
              <w:adjustRightInd w:val="0"/>
              <w:snapToGrid w:val="0"/>
              <w:spacing w:line="360" w:lineRule="auto"/>
              <w:jc w:val="both"/>
              <w:rPr>
                <w:rFonts w:hint="eastAsia" w:ascii="仿宋" w:hAnsi="仿宋" w:eastAsia="仿宋" w:cs="仿宋"/>
                <w:color w:val="auto"/>
                <w:lang w:val="en-US" w:eastAsia="zh-CN"/>
              </w:rPr>
            </w:pPr>
          </w:p>
        </w:tc>
        <w:tc>
          <w:tcPr>
            <w:tcW w:w="2124" w:type="dxa"/>
            <w:vMerge w:val="continue"/>
            <w:vAlign w:val="center"/>
          </w:tcPr>
          <w:p w14:paraId="7F9AEAA8">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1AF9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63" w:type="dxa"/>
            <w:vAlign w:val="center"/>
          </w:tcPr>
          <w:p w14:paraId="4FF57EDA">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8</w:t>
            </w:r>
          </w:p>
        </w:tc>
        <w:tc>
          <w:tcPr>
            <w:tcW w:w="2544" w:type="dxa"/>
            <w:vAlign w:val="center"/>
          </w:tcPr>
          <w:p w14:paraId="5F742F5F">
            <w:pPr>
              <w:adjustRightInd w:val="0"/>
              <w:snapToGrid w:val="0"/>
              <w:spacing w:line="360" w:lineRule="auto"/>
              <w:jc w:val="both"/>
              <w:rPr>
                <w:rFonts w:hint="eastAsia" w:ascii="仿宋" w:hAnsi="仿宋" w:eastAsia="仿宋" w:cs="仿宋"/>
                <w:color w:val="auto"/>
                <w:lang w:val="en-US" w:eastAsia="zh-CN"/>
              </w:rPr>
            </w:pPr>
          </w:p>
        </w:tc>
        <w:tc>
          <w:tcPr>
            <w:tcW w:w="1524" w:type="dxa"/>
            <w:vAlign w:val="center"/>
          </w:tcPr>
          <w:p w14:paraId="1DA63CB1">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23CEDC6C">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479" w:type="dxa"/>
            <w:vAlign w:val="center"/>
          </w:tcPr>
          <w:p w14:paraId="59C2EC65">
            <w:pPr>
              <w:adjustRightInd w:val="0"/>
              <w:snapToGrid w:val="0"/>
              <w:spacing w:line="360" w:lineRule="auto"/>
              <w:jc w:val="both"/>
              <w:rPr>
                <w:rFonts w:hint="eastAsia" w:ascii="仿宋" w:hAnsi="仿宋" w:eastAsia="仿宋" w:cs="仿宋"/>
                <w:color w:val="auto"/>
                <w:lang w:val="en-US" w:eastAsia="zh-CN"/>
              </w:rPr>
            </w:pPr>
          </w:p>
        </w:tc>
        <w:tc>
          <w:tcPr>
            <w:tcW w:w="2124" w:type="dxa"/>
            <w:vMerge w:val="continue"/>
            <w:vAlign w:val="center"/>
          </w:tcPr>
          <w:p w14:paraId="2BCAFB13">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2497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63" w:type="dxa"/>
            <w:vAlign w:val="center"/>
          </w:tcPr>
          <w:p w14:paraId="5F68ED66">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9</w:t>
            </w:r>
          </w:p>
        </w:tc>
        <w:tc>
          <w:tcPr>
            <w:tcW w:w="2544" w:type="dxa"/>
            <w:vAlign w:val="center"/>
          </w:tcPr>
          <w:p w14:paraId="4C9E9362">
            <w:pPr>
              <w:adjustRightInd w:val="0"/>
              <w:snapToGrid w:val="0"/>
              <w:spacing w:line="360" w:lineRule="auto"/>
              <w:jc w:val="both"/>
              <w:rPr>
                <w:rFonts w:hint="eastAsia" w:ascii="仿宋" w:hAnsi="仿宋" w:eastAsia="仿宋" w:cs="仿宋"/>
                <w:color w:val="auto"/>
                <w:lang w:val="en-US" w:eastAsia="zh-CN"/>
              </w:rPr>
            </w:pPr>
          </w:p>
        </w:tc>
        <w:tc>
          <w:tcPr>
            <w:tcW w:w="1524" w:type="dxa"/>
            <w:vAlign w:val="center"/>
          </w:tcPr>
          <w:p w14:paraId="1489AAC7">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6C08C4BE">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479" w:type="dxa"/>
            <w:vAlign w:val="center"/>
          </w:tcPr>
          <w:p w14:paraId="3626C5D6">
            <w:pPr>
              <w:adjustRightInd w:val="0"/>
              <w:snapToGrid w:val="0"/>
              <w:spacing w:line="360" w:lineRule="auto"/>
              <w:jc w:val="both"/>
              <w:rPr>
                <w:rFonts w:hint="eastAsia" w:ascii="仿宋" w:hAnsi="仿宋" w:eastAsia="仿宋" w:cs="仿宋"/>
                <w:color w:val="auto"/>
                <w:lang w:val="en-US" w:eastAsia="zh-CN"/>
              </w:rPr>
            </w:pPr>
          </w:p>
        </w:tc>
        <w:tc>
          <w:tcPr>
            <w:tcW w:w="2124" w:type="dxa"/>
            <w:vMerge w:val="continue"/>
            <w:vAlign w:val="center"/>
          </w:tcPr>
          <w:p w14:paraId="5A04F703">
            <w:pPr>
              <w:adjustRightInd w:val="0"/>
              <w:snapToGrid w:val="0"/>
              <w:spacing w:line="360" w:lineRule="auto"/>
              <w:jc w:val="both"/>
              <w:rPr>
                <w:rFonts w:hint="eastAsia" w:ascii="仿宋" w:hAnsi="仿宋" w:eastAsia="仿宋" w:cs="仿宋"/>
                <w:color w:val="auto"/>
                <w:lang w:eastAsia="zh-CN"/>
              </w:rPr>
            </w:pPr>
          </w:p>
        </w:tc>
      </w:tr>
      <w:tr w14:paraId="19D4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63" w:type="dxa"/>
            <w:vAlign w:val="center"/>
          </w:tcPr>
          <w:p w14:paraId="1DB2C8DF">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10</w:t>
            </w:r>
          </w:p>
        </w:tc>
        <w:tc>
          <w:tcPr>
            <w:tcW w:w="2544" w:type="dxa"/>
            <w:vAlign w:val="center"/>
          </w:tcPr>
          <w:p w14:paraId="0AFB02C1">
            <w:pPr>
              <w:adjustRightInd w:val="0"/>
              <w:snapToGrid w:val="0"/>
              <w:spacing w:line="360" w:lineRule="auto"/>
              <w:jc w:val="both"/>
              <w:rPr>
                <w:rFonts w:hint="eastAsia" w:ascii="仿宋" w:hAnsi="仿宋" w:eastAsia="仿宋" w:cs="仿宋"/>
                <w:color w:val="auto"/>
                <w:lang w:val="en-US" w:eastAsia="zh-CN"/>
              </w:rPr>
            </w:pPr>
          </w:p>
        </w:tc>
        <w:tc>
          <w:tcPr>
            <w:tcW w:w="1524" w:type="dxa"/>
            <w:vAlign w:val="center"/>
          </w:tcPr>
          <w:p w14:paraId="44BB0939">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0B804237">
            <w:pPr>
              <w:adjustRightInd w:val="0"/>
              <w:snapToGrid w:val="0"/>
              <w:spacing w:line="360" w:lineRule="auto"/>
              <w:jc w:val="both"/>
              <w:rPr>
                <w:rFonts w:hint="eastAsia" w:ascii="仿宋" w:hAnsi="仿宋" w:eastAsia="仿宋" w:cs="仿宋"/>
                <w:color w:val="auto"/>
                <w:lang w:val="en-US" w:eastAsia="zh-CN"/>
              </w:rPr>
            </w:pPr>
          </w:p>
        </w:tc>
        <w:tc>
          <w:tcPr>
            <w:tcW w:w="1479" w:type="dxa"/>
            <w:vAlign w:val="center"/>
          </w:tcPr>
          <w:p w14:paraId="339C424B">
            <w:pPr>
              <w:adjustRightInd w:val="0"/>
              <w:snapToGrid w:val="0"/>
              <w:spacing w:line="360" w:lineRule="auto"/>
              <w:jc w:val="both"/>
              <w:rPr>
                <w:rFonts w:hint="eastAsia" w:ascii="仿宋" w:hAnsi="仿宋" w:eastAsia="仿宋" w:cs="仿宋"/>
                <w:color w:val="auto"/>
                <w:lang w:val="en-US" w:eastAsia="zh-CN"/>
              </w:rPr>
            </w:pPr>
          </w:p>
        </w:tc>
        <w:tc>
          <w:tcPr>
            <w:tcW w:w="2124" w:type="dxa"/>
            <w:vMerge w:val="continue"/>
            <w:vAlign w:val="center"/>
          </w:tcPr>
          <w:p w14:paraId="5ABD762E">
            <w:pPr>
              <w:adjustRightInd w:val="0"/>
              <w:snapToGrid w:val="0"/>
              <w:spacing w:line="360" w:lineRule="auto"/>
              <w:jc w:val="both"/>
              <w:rPr>
                <w:rFonts w:hint="eastAsia" w:ascii="仿宋" w:hAnsi="仿宋" w:eastAsia="仿宋" w:cs="仿宋"/>
                <w:color w:val="auto"/>
                <w:lang w:eastAsia="zh-CN"/>
              </w:rPr>
            </w:pPr>
          </w:p>
        </w:tc>
      </w:tr>
      <w:tr w14:paraId="00F0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3" w:type="dxa"/>
            <w:vAlign w:val="center"/>
          </w:tcPr>
          <w:p w14:paraId="1A0BFD38">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11</w:t>
            </w:r>
          </w:p>
        </w:tc>
        <w:tc>
          <w:tcPr>
            <w:tcW w:w="2544" w:type="dxa"/>
            <w:vAlign w:val="center"/>
          </w:tcPr>
          <w:p w14:paraId="1903B017">
            <w:pPr>
              <w:adjustRightInd w:val="0"/>
              <w:snapToGrid w:val="0"/>
              <w:spacing w:line="360" w:lineRule="auto"/>
              <w:jc w:val="both"/>
              <w:rPr>
                <w:rFonts w:hint="eastAsia" w:ascii="仿宋" w:hAnsi="仿宋" w:eastAsia="仿宋" w:cs="仿宋"/>
                <w:color w:val="auto"/>
                <w:lang w:val="en-US" w:eastAsia="zh-CN"/>
              </w:rPr>
            </w:pPr>
          </w:p>
        </w:tc>
        <w:tc>
          <w:tcPr>
            <w:tcW w:w="1524" w:type="dxa"/>
            <w:vAlign w:val="center"/>
          </w:tcPr>
          <w:p w14:paraId="5E1A5FD0">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63960981">
            <w:pPr>
              <w:adjustRightInd w:val="0"/>
              <w:snapToGrid w:val="0"/>
              <w:spacing w:line="360" w:lineRule="auto"/>
              <w:jc w:val="both"/>
              <w:rPr>
                <w:rFonts w:hint="eastAsia" w:ascii="仿宋" w:hAnsi="仿宋" w:eastAsia="仿宋" w:cs="仿宋"/>
                <w:color w:val="auto"/>
                <w:lang w:val="en-US" w:eastAsia="zh-CN"/>
              </w:rPr>
            </w:pPr>
          </w:p>
        </w:tc>
        <w:tc>
          <w:tcPr>
            <w:tcW w:w="1479" w:type="dxa"/>
            <w:vAlign w:val="center"/>
          </w:tcPr>
          <w:p w14:paraId="63ECE134">
            <w:pPr>
              <w:adjustRightInd w:val="0"/>
              <w:snapToGrid w:val="0"/>
              <w:spacing w:line="360" w:lineRule="auto"/>
              <w:jc w:val="both"/>
              <w:rPr>
                <w:rFonts w:hint="eastAsia" w:ascii="仿宋" w:hAnsi="仿宋" w:eastAsia="仿宋" w:cs="仿宋"/>
                <w:color w:val="auto"/>
                <w:lang w:val="en-US" w:eastAsia="zh-CN"/>
              </w:rPr>
            </w:pPr>
          </w:p>
        </w:tc>
        <w:tc>
          <w:tcPr>
            <w:tcW w:w="2124" w:type="dxa"/>
            <w:vMerge w:val="continue"/>
            <w:vAlign w:val="center"/>
          </w:tcPr>
          <w:p w14:paraId="6D09AC71">
            <w:pPr>
              <w:adjustRightInd w:val="0"/>
              <w:snapToGrid w:val="0"/>
              <w:spacing w:line="360" w:lineRule="auto"/>
              <w:jc w:val="both"/>
              <w:rPr>
                <w:rFonts w:hint="eastAsia" w:ascii="仿宋" w:hAnsi="仿宋" w:eastAsia="仿宋" w:cs="仿宋"/>
                <w:color w:val="auto"/>
                <w:lang w:eastAsia="zh-CN"/>
              </w:rPr>
            </w:pPr>
          </w:p>
        </w:tc>
      </w:tr>
      <w:tr w14:paraId="1FA3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3" w:type="dxa"/>
            <w:vAlign w:val="center"/>
          </w:tcPr>
          <w:p w14:paraId="18729752">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12</w:t>
            </w:r>
          </w:p>
        </w:tc>
        <w:tc>
          <w:tcPr>
            <w:tcW w:w="2544" w:type="dxa"/>
            <w:vAlign w:val="center"/>
          </w:tcPr>
          <w:p w14:paraId="0BB47E74">
            <w:pPr>
              <w:adjustRightInd w:val="0"/>
              <w:snapToGrid w:val="0"/>
              <w:spacing w:line="360" w:lineRule="auto"/>
              <w:jc w:val="both"/>
              <w:rPr>
                <w:rFonts w:hint="eastAsia" w:ascii="仿宋" w:hAnsi="仿宋" w:eastAsia="仿宋" w:cs="仿宋"/>
                <w:color w:val="auto"/>
                <w:lang w:val="en-US" w:eastAsia="zh-CN"/>
              </w:rPr>
            </w:pPr>
          </w:p>
        </w:tc>
        <w:tc>
          <w:tcPr>
            <w:tcW w:w="1524" w:type="dxa"/>
            <w:vAlign w:val="center"/>
          </w:tcPr>
          <w:p w14:paraId="6620AF9A">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3424126F">
            <w:pPr>
              <w:adjustRightInd w:val="0"/>
              <w:snapToGrid w:val="0"/>
              <w:spacing w:line="360" w:lineRule="auto"/>
              <w:jc w:val="both"/>
              <w:rPr>
                <w:rFonts w:hint="eastAsia" w:ascii="仿宋" w:hAnsi="仿宋" w:eastAsia="仿宋" w:cs="仿宋"/>
                <w:color w:val="auto"/>
                <w:lang w:val="en-US" w:eastAsia="zh-CN"/>
              </w:rPr>
            </w:pPr>
          </w:p>
        </w:tc>
        <w:tc>
          <w:tcPr>
            <w:tcW w:w="1479" w:type="dxa"/>
            <w:vAlign w:val="center"/>
          </w:tcPr>
          <w:p w14:paraId="17370423">
            <w:pPr>
              <w:adjustRightInd w:val="0"/>
              <w:snapToGrid w:val="0"/>
              <w:spacing w:line="360" w:lineRule="auto"/>
              <w:jc w:val="both"/>
              <w:rPr>
                <w:rFonts w:hint="eastAsia" w:ascii="仿宋" w:hAnsi="仿宋" w:eastAsia="仿宋" w:cs="仿宋"/>
                <w:color w:val="auto"/>
                <w:lang w:val="en-US" w:eastAsia="zh-CN"/>
              </w:rPr>
            </w:pPr>
          </w:p>
        </w:tc>
        <w:tc>
          <w:tcPr>
            <w:tcW w:w="2124" w:type="dxa"/>
            <w:vMerge w:val="continue"/>
            <w:vAlign w:val="center"/>
          </w:tcPr>
          <w:p w14:paraId="0C25403C">
            <w:pPr>
              <w:adjustRightInd w:val="0"/>
              <w:snapToGrid w:val="0"/>
              <w:spacing w:line="360" w:lineRule="auto"/>
              <w:jc w:val="both"/>
              <w:rPr>
                <w:rFonts w:hint="eastAsia" w:ascii="仿宋" w:hAnsi="仿宋" w:eastAsia="仿宋" w:cs="仿宋"/>
                <w:color w:val="auto"/>
                <w:lang w:eastAsia="zh-CN"/>
              </w:rPr>
            </w:pPr>
          </w:p>
        </w:tc>
      </w:tr>
      <w:tr w14:paraId="7231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63" w:type="dxa"/>
            <w:vAlign w:val="center"/>
          </w:tcPr>
          <w:p w14:paraId="30C5B72A">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13</w:t>
            </w:r>
          </w:p>
        </w:tc>
        <w:tc>
          <w:tcPr>
            <w:tcW w:w="2544" w:type="dxa"/>
            <w:vAlign w:val="center"/>
          </w:tcPr>
          <w:p w14:paraId="6D73C430">
            <w:pPr>
              <w:tabs>
                <w:tab w:val="left" w:pos="631"/>
              </w:tabs>
              <w:adjustRightInd w:val="0"/>
              <w:snapToGrid w:val="0"/>
              <w:spacing w:line="360" w:lineRule="auto"/>
              <w:jc w:val="both"/>
              <w:rPr>
                <w:rFonts w:hint="eastAsia" w:ascii="仿宋" w:hAnsi="仿宋" w:eastAsia="仿宋" w:cs="仿宋"/>
                <w:color w:val="auto"/>
                <w:lang w:val="en-US" w:eastAsia="zh-CN"/>
              </w:rPr>
            </w:pPr>
          </w:p>
        </w:tc>
        <w:tc>
          <w:tcPr>
            <w:tcW w:w="1524" w:type="dxa"/>
            <w:vAlign w:val="center"/>
          </w:tcPr>
          <w:p w14:paraId="1F7C3BB2">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087C956F">
            <w:pPr>
              <w:adjustRightInd w:val="0"/>
              <w:snapToGrid w:val="0"/>
              <w:spacing w:line="360" w:lineRule="auto"/>
              <w:jc w:val="both"/>
              <w:rPr>
                <w:rFonts w:hint="eastAsia" w:ascii="仿宋" w:hAnsi="仿宋" w:eastAsia="仿宋" w:cs="仿宋"/>
                <w:color w:val="auto"/>
                <w:lang w:val="en-US" w:eastAsia="zh-CN"/>
              </w:rPr>
            </w:pPr>
          </w:p>
        </w:tc>
        <w:tc>
          <w:tcPr>
            <w:tcW w:w="1479" w:type="dxa"/>
            <w:vAlign w:val="center"/>
          </w:tcPr>
          <w:p w14:paraId="7CE807CB">
            <w:pPr>
              <w:adjustRightInd w:val="0"/>
              <w:snapToGrid w:val="0"/>
              <w:spacing w:line="360" w:lineRule="auto"/>
              <w:jc w:val="both"/>
              <w:rPr>
                <w:rFonts w:hint="eastAsia" w:ascii="仿宋" w:hAnsi="仿宋" w:eastAsia="仿宋" w:cs="仿宋"/>
                <w:color w:val="auto"/>
                <w:lang w:val="en-US" w:eastAsia="zh-CN"/>
              </w:rPr>
            </w:pPr>
          </w:p>
        </w:tc>
        <w:tc>
          <w:tcPr>
            <w:tcW w:w="2124" w:type="dxa"/>
            <w:vMerge w:val="continue"/>
            <w:vAlign w:val="center"/>
          </w:tcPr>
          <w:p w14:paraId="5BB7CA1D">
            <w:pPr>
              <w:adjustRightInd w:val="0"/>
              <w:snapToGrid w:val="0"/>
              <w:spacing w:line="360" w:lineRule="auto"/>
              <w:jc w:val="both"/>
              <w:rPr>
                <w:rFonts w:hint="eastAsia" w:ascii="仿宋" w:hAnsi="仿宋" w:eastAsia="仿宋" w:cs="仿宋"/>
                <w:color w:val="auto"/>
                <w:lang w:eastAsia="zh-CN"/>
              </w:rPr>
            </w:pPr>
          </w:p>
        </w:tc>
      </w:tr>
      <w:tr w14:paraId="33E3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3" w:type="dxa"/>
            <w:vAlign w:val="center"/>
          </w:tcPr>
          <w:p w14:paraId="23B06983">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14</w:t>
            </w:r>
          </w:p>
        </w:tc>
        <w:tc>
          <w:tcPr>
            <w:tcW w:w="2544" w:type="dxa"/>
            <w:vAlign w:val="center"/>
          </w:tcPr>
          <w:p w14:paraId="30BE9F42">
            <w:pPr>
              <w:adjustRightInd w:val="0"/>
              <w:snapToGrid w:val="0"/>
              <w:spacing w:line="360" w:lineRule="auto"/>
              <w:jc w:val="both"/>
              <w:rPr>
                <w:rFonts w:hint="eastAsia" w:ascii="仿宋" w:hAnsi="仿宋" w:eastAsia="仿宋" w:cs="仿宋"/>
                <w:color w:val="auto"/>
                <w:lang w:val="en-US" w:eastAsia="zh-CN"/>
              </w:rPr>
            </w:pPr>
          </w:p>
        </w:tc>
        <w:tc>
          <w:tcPr>
            <w:tcW w:w="1524" w:type="dxa"/>
            <w:vAlign w:val="center"/>
          </w:tcPr>
          <w:p w14:paraId="2C65D809">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3749C1AD">
            <w:pPr>
              <w:adjustRightInd w:val="0"/>
              <w:snapToGrid w:val="0"/>
              <w:spacing w:line="360" w:lineRule="auto"/>
              <w:jc w:val="both"/>
              <w:rPr>
                <w:rFonts w:hint="eastAsia" w:ascii="仿宋" w:hAnsi="仿宋" w:eastAsia="仿宋" w:cs="仿宋"/>
                <w:color w:val="auto"/>
                <w:lang w:val="en-US" w:eastAsia="zh-CN"/>
              </w:rPr>
            </w:pPr>
          </w:p>
        </w:tc>
        <w:tc>
          <w:tcPr>
            <w:tcW w:w="1479" w:type="dxa"/>
            <w:vAlign w:val="center"/>
          </w:tcPr>
          <w:p w14:paraId="2390BA4D">
            <w:pPr>
              <w:adjustRightInd w:val="0"/>
              <w:snapToGrid w:val="0"/>
              <w:spacing w:line="360" w:lineRule="auto"/>
              <w:jc w:val="both"/>
              <w:rPr>
                <w:rFonts w:hint="eastAsia" w:ascii="仿宋" w:hAnsi="仿宋" w:eastAsia="仿宋" w:cs="仿宋"/>
                <w:color w:val="auto"/>
                <w:lang w:val="en-US" w:eastAsia="zh-CN"/>
              </w:rPr>
            </w:pPr>
          </w:p>
        </w:tc>
        <w:tc>
          <w:tcPr>
            <w:tcW w:w="2124" w:type="dxa"/>
            <w:vMerge w:val="continue"/>
            <w:vAlign w:val="center"/>
          </w:tcPr>
          <w:p w14:paraId="445B610D">
            <w:pPr>
              <w:adjustRightInd w:val="0"/>
              <w:snapToGrid w:val="0"/>
              <w:spacing w:line="360" w:lineRule="auto"/>
              <w:jc w:val="both"/>
              <w:rPr>
                <w:rFonts w:hint="eastAsia" w:ascii="仿宋" w:hAnsi="仿宋" w:eastAsia="仿宋" w:cs="仿宋"/>
                <w:color w:val="auto"/>
                <w:lang w:val="en-US" w:eastAsia="zh-CN"/>
              </w:rPr>
            </w:pPr>
          </w:p>
        </w:tc>
      </w:tr>
      <w:tr w14:paraId="7D47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63" w:type="dxa"/>
            <w:vAlign w:val="center"/>
          </w:tcPr>
          <w:p w14:paraId="62F0D3CD">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15</w:t>
            </w:r>
          </w:p>
        </w:tc>
        <w:tc>
          <w:tcPr>
            <w:tcW w:w="2544" w:type="dxa"/>
            <w:vAlign w:val="center"/>
          </w:tcPr>
          <w:p w14:paraId="2A80C39F">
            <w:pPr>
              <w:adjustRightInd w:val="0"/>
              <w:snapToGrid w:val="0"/>
              <w:spacing w:line="360" w:lineRule="auto"/>
              <w:jc w:val="both"/>
              <w:rPr>
                <w:rFonts w:hint="eastAsia" w:ascii="仿宋" w:hAnsi="仿宋" w:eastAsia="仿宋" w:cs="仿宋"/>
                <w:color w:val="auto"/>
                <w:lang w:val="en-US" w:eastAsia="zh-CN"/>
              </w:rPr>
            </w:pPr>
          </w:p>
        </w:tc>
        <w:tc>
          <w:tcPr>
            <w:tcW w:w="1524" w:type="dxa"/>
            <w:vAlign w:val="center"/>
          </w:tcPr>
          <w:p w14:paraId="04047331">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759A6EA6">
            <w:pPr>
              <w:adjustRightInd w:val="0"/>
              <w:snapToGrid w:val="0"/>
              <w:spacing w:line="360" w:lineRule="auto"/>
              <w:jc w:val="both"/>
              <w:rPr>
                <w:rFonts w:hint="eastAsia" w:ascii="仿宋" w:hAnsi="仿宋" w:eastAsia="仿宋" w:cs="仿宋"/>
                <w:color w:val="auto"/>
                <w:lang w:val="en-US" w:eastAsia="zh-CN"/>
              </w:rPr>
            </w:pPr>
          </w:p>
        </w:tc>
        <w:tc>
          <w:tcPr>
            <w:tcW w:w="1479" w:type="dxa"/>
            <w:vAlign w:val="center"/>
          </w:tcPr>
          <w:p w14:paraId="1607BC5B">
            <w:pPr>
              <w:adjustRightInd w:val="0"/>
              <w:snapToGrid w:val="0"/>
              <w:spacing w:line="360" w:lineRule="auto"/>
              <w:jc w:val="both"/>
              <w:rPr>
                <w:rFonts w:hint="eastAsia" w:ascii="仿宋" w:hAnsi="仿宋" w:eastAsia="仿宋" w:cs="仿宋"/>
                <w:color w:val="auto"/>
                <w:lang w:val="en-US" w:eastAsia="zh-CN"/>
              </w:rPr>
            </w:pPr>
          </w:p>
        </w:tc>
        <w:tc>
          <w:tcPr>
            <w:tcW w:w="2124" w:type="dxa"/>
            <w:vMerge w:val="continue"/>
            <w:vAlign w:val="center"/>
          </w:tcPr>
          <w:p w14:paraId="0CBCC135">
            <w:pPr>
              <w:adjustRightInd w:val="0"/>
              <w:snapToGrid w:val="0"/>
              <w:spacing w:line="360" w:lineRule="auto"/>
              <w:jc w:val="both"/>
              <w:rPr>
                <w:rFonts w:hint="eastAsia" w:ascii="仿宋" w:hAnsi="仿宋" w:eastAsia="仿宋" w:cs="仿宋"/>
                <w:color w:val="auto"/>
                <w:lang w:val="en-US" w:eastAsia="zh-CN"/>
              </w:rPr>
            </w:pPr>
          </w:p>
        </w:tc>
      </w:tr>
      <w:tr w14:paraId="6B64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63" w:type="dxa"/>
            <w:vAlign w:val="center"/>
          </w:tcPr>
          <w:p w14:paraId="620334B3">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16</w:t>
            </w:r>
          </w:p>
        </w:tc>
        <w:tc>
          <w:tcPr>
            <w:tcW w:w="2544" w:type="dxa"/>
            <w:vAlign w:val="center"/>
          </w:tcPr>
          <w:p w14:paraId="3498C2CB">
            <w:pPr>
              <w:adjustRightInd w:val="0"/>
              <w:snapToGrid w:val="0"/>
              <w:spacing w:line="360" w:lineRule="auto"/>
              <w:jc w:val="both"/>
              <w:rPr>
                <w:rFonts w:hint="eastAsia" w:ascii="仿宋" w:hAnsi="仿宋" w:eastAsia="仿宋" w:cs="仿宋"/>
                <w:color w:val="auto"/>
                <w:lang w:val="en-US" w:eastAsia="zh-CN"/>
              </w:rPr>
            </w:pPr>
          </w:p>
        </w:tc>
        <w:tc>
          <w:tcPr>
            <w:tcW w:w="1524" w:type="dxa"/>
            <w:vAlign w:val="center"/>
          </w:tcPr>
          <w:p w14:paraId="001E5AF1">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271CC7C8">
            <w:pPr>
              <w:adjustRightInd w:val="0"/>
              <w:snapToGrid w:val="0"/>
              <w:spacing w:line="360" w:lineRule="auto"/>
              <w:jc w:val="both"/>
              <w:rPr>
                <w:rFonts w:hint="eastAsia" w:ascii="仿宋" w:hAnsi="仿宋" w:eastAsia="仿宋" w:cs="仿宋"/>
                <w:color w:val="auto"/>
                <w:lang w:val="en-US" w:eastAsia="zh-CN"/>
              </w:rPr>
            </w:pPr>
          </w:p>
        </w:tc>
        <w:tc>
          <w:tcPr>
            <w:tcW w:w="1479" w:type="dxa"/>
            <w:vAlign w:val="center"/>
          </w:tcPr>
          <w:p w14:paraId="7DF1D94D">
            <w:pPr>
              <w:adjustRightInd w:val="0"/>
              <w:snapToGrid w:val="0"/>
              <w:spacing w:line="360" w:lineRule="auto"/>
              <w:jc w:val="both"/>
              <w:rPr>
                <w:rFonts w:hint="eastAsia" w:ascii="仿宋" w:hAnsi="仿宋" w:eastAsia="仿宋" w:cs="仿宋"/>
                <w:color w:val="auto"/>
                <w:lang w:val="en-US" w:eastAsia="zh-CN"/>
              </w:rPr>
            </w:pPr>
          </w:p>
        </w:tc>
        <w:tc>
          <w:tcPr>
            <w:tcW w:w="2124" w:type="dxa"/>
            <w:vMerge w:val="continue"/>
            <w:vAlign w:val="center"/>
          </w:tcPr>
          <w:p w14:paraId="3CB713C1">
            <w:pPr>
              <w:adjustRightInd w:val="0"/>
              <w:snapToGrid w:val="0"/>
              <w:spacing w:line="360" w:lineRule="auto"/>
              <w:jc w:val="both"/>
              <w:rPr>
                <w:rFonts w:hint="eastAsia" w:ascii="仿宋" w:hAnsi="仿宋" w:eastAsia="仿宋" w:cs="仿宋"/>
                <w:color w:val="auto"/>
                <w:lang w:eastAsia="zh-CN"/>
              </w:rPr>
            </w:pPr>
          </w:p>
        </w:tc>
      </w:tr>
      <w:tr w14:paraId="330D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63" w:type="dxa"/>
            <w:vAlign w:val="center"/>
          </w:tcPr>
          <w:p w14:paraId="69A4C707">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17</w:t>
            </w:r>
          </w:p>
        </w:tc>
        <w:tc>
          <w:tcPr>
            <w:tcW w:w="2544" w:type="dxa"/>
            <w:vAlign w:val="center"/>
          </w:tcPr>
          <w:p w14:paraId="0E17E546">
            <w:pPr>
              <w:adjustRightInd w:val="0"/>
              <w:snapToGrid w:val="0"/>
              <w:spacing w:line="360" w:lineRule="auto"/>
              <w:jc w:val="both"/>
              <w:rPr>
                <w:rFonts w:hint="eastAsia" w:ascii="仿宋" w:hAnsi="仿宋" w:eastAsia="仿宋" w:cs="仿宋"/>
                <w:color w:val="auto"/>
                <w:lang w:val="en-US" w:eastAsia="zh-CN"/>
              </w:rPr>
            </w:pPr>
          </w:p>
        </w:tc>
        <w:tc>
          <w:tcPr>
            <w:tcW w:w="1524" w:type="dxa"/>
            <w:vAlign w:val="center"/>
          </w:tcPr>
          <w:p w14:paraId="22D05E00">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19796DC0">
            <w:pPr>
              <w:adjustRightInd w:val="0"/>
              <w:snapToGrid w:val="0"/>
              <w:spacing w:line="360" w:lineRule="auto"/>
              <w:jc w:val="both"/>
              <w:rPr>
                <w:rFonts w:hint="eastAsia" w:ascii="仿宋" w:hAnsi="仿宋" w:eastAsia="仿宋" w:cs="仿宋"/>
                <w:color w:val="auto"/>
                <w:lang w:val="en-US" w:eastAsia="zh-CN"/>
              </w:rPr>
            </w:pPr>
          </w:p>
        </w:tc>
        <w:tc>
          <w:tcPr>
            <w:tcW w:w="1479" w:type="dxa"/>
            <w:vAlign w:val="center"/>
          </w:tcPr>
          <w:p w14:paraId="4DFEBD16">
            <w:pPr>
              <w:adjustRightInd w:val="0"/>
              <w:snapToGrid w:val="0"/>
              <w:spacing w:line="360" w:lineRule="auto"/>
              <w:jc w:val="both"/>
              <w:rPr>
                <w:rFonts w:hint="eastAsia" w:ascii="仿宋" w:hAnsi="仿宋" w:eastAsia="仿宋" w:cs="仿宋"/>
                <w:color w:val="auto"/>
                <w:lang w:val="en-US" w:eastAsia="zh-CN"/>
              </w:rPr>
            </w:pPr>
          </w:p>
        </w:tc>
        <w:tc>
          <w:tcPr>
            <w:tcW w:w="2124" w:type="dxa"/>
            <w:vMerge w:val="continue"/>
            <w:vAlign w:val="center"/>
          </w:tcPr>
          <w:p w14:paraId="43994EF9">
            <w:pPr>
              <w:adjustRightInd w:val="0"/>
              <w:snapToGrid w:val="0"/>
              <w:spacing w:line="360" w:lineRule="auto"/>
              <w:jc w:val="both"/>
              <w:rPr>
                <w:rFonts w:hint="eastAsia" w:ascii="仿宋" w:hAnsi="仿宋" w:eastAsia="仿宋" w:cs="仿宋"/>
                <w:color w:val="auto"/>
                <w:lang w:eastAsia="zh-CN"/>
              </w:rPr>
            </w:pPr>
          </w:p>
        </w:tc>
      </w:tr>
      <w:tr w14:paraId="5AF8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3" w:type="dxa"/>
            <w:vAlign w:val="center"/>
          </w:tcPr>
          <w:p w14:paraId="195C875F">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18</w:t>
            </w:r>
          </w:p>
        </w:tc>
        <w:tc>
          <w:tcPr>
            <w:tcW w:w="2544" w:type="dxa"/>
            <w:vAlign w:val="center"/>
          </w:tcPr>
          <w:p w14:paraId="1995F0D3">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24" w:type="dxa"/>
            <w:vAlign w:val="center"/>
          </w:tcPr>
          <w:p w14:paraId="216E74C7">
            <w:pPr>
              <w:adjustRightInd w:val="0"/>
              <w:snapToGrid w:val="0"/>
              <w:spacing w:line="360" w:lineRule="auto"/>
              <w:jc w:val="both"/>
              <w:rPr>
                <w:rFonts w:hint="eastAsia" w:ascii="仿宋" w:hAnsi="仿宋" w:eastAsia="仿宋" w:cs="仿宋"/>
                <w:color w:val="auto"/>
                <w:lang w:val="en-US" w:eastAsia="zh-CN"/>
              </w:rPr>
            </w:pPr>
          </w:p>
        </w:tc>
        <w:tc>
          <w:tcPr>
            <w:tcW w:w="1303" w:type="dxa"/>
            <w:vAlign w:val="center"/>
          </w:tcPr>
          <w:p w14:paraId="07867F8C">
            <w:pPr>
              <w:adjustRightInd w:val="0"/>
              <w:snapToGrid w:val="0"/>
              <w:spacing w:line="360" w:lineRule="auto"/>
              <w:jc w:val="both"/>
              <w:rPr>
                <w:rFonts w:hint="eastAsia" w:ascii="仿宋" w:hAnsi="仿宋" w:eastAsia="仿宋" w:cs="仿宋"/>
                <w:color w:val="auto"/>
                <w:lang w:val="en-US" w:eastAsia="zh-CN"/>
              </w:rPr>
            </w:pPr>
          </w:p>
        </w:tc>
        <w:tc>
          <w:tcPr>
            <w:tcW w:w="1479" w:type="dxa"/>
            <w:vAlign w:val="center"/>
          </w:tcPr>
          <w:p w14:paraId="0EA2CD5C">
            <w:pPr>
              <w:adjustRightInd w:val="0"/>
              <w:snapToGrid w:val="0"/>
              <w:spacing w:line="360" w:lineRule="auto"/>
              <w:jc w:val="both"/>
              <w:rPr>
                <w:rFonts w:hint="eastAsia" w:ascii="仿宋" w:hAnsi="仿宋" w:eastAsia="仿宋" w:cs="仿宋"/>
                <w:color w:val="auto"/>
                <w:lang w:val="en-US" w:eastAsia="zh-CN"/>
              </w:rPr>
            </w:pPr>
          </w:p>
        </w:tc>
        <w:tc>
          <w:tcPr>
            <w:tcW w:w="2124" w:type="dxa"/>
            <w:vMerge w:val="continue"/>
            <w:vAlign w:val="center"/>
          </w:tcPr>
          <w:p w14:paraId="488EE736">
            <w:pPr>
              <w:adjustRightInd w:val="0"/>
              <w:snapToGrid w:val="0"/>
              <w:spacing w:line="360" w:lineRule="auto"/>
              <w:jc w:val="both"/>
              <w:rPr>
                <w:rFonts w:hint="eastAsia" w:ascii="仿宋" w:hAnsi="仿宋" w:eastAsia="仿宋" w:cs="仿宋"/>
                <w:color w:val="auto"/>
                <w:lang w:eastAsia="zh-CN"/>
              </w:rPr>
            </w:pPr>
          </w:p>
        </w:tc>
      </w:tr>
    </w:tbl>
    <w:p w14:paraId="3F357ED3">
      <w:pPr>
        <w:adjustRightInd w:val="0"/>
        <w:snapToGrid w:val="0"/>
        <w:spacing w:line="360" w:lineRule="auto"/>
        <w:jc w:val="both"/>
        <w:rPr>
          <w:rFonts w:hint="eastAsia" w:ascii="仿宋" w:hAnsi="仿宋" w:eastAsia="仿宋" w:cs="仿宋"/>
          <w:color w:val="auto"/>
        </w:rPr>
      </w:pPr>
    </w:p>
    <w:p w14:paraId="2A174727">
      <w:pPr>
        <w:pageBreakBefore w:val="0"/>
        <w:tabs>
          <w:tab w:val="left" w:pos="4762"/>
        </w:tabs>
        <w:wordWrap/>
        <w:topLinePunct w:val="0"/>
        <w:bidi w:val="0"/>
        <w:spacing w:line="360" w:lineRule="auto"/>
        <w:ind w:left="0" w:leftChars="-95" w:hanging="199" w:hangingChars="111"/>
        <w:jc w:val="both"/>
        <w:rPr>
          <w:rFonts w:hint="default" w:ascii="仿宋" w:hAnsi="仿宋" w:eastAsia="仿宋" w:cs="仿宋"/>
          <w:b/>
          <w:bCs/>
          <w:color w:val="auto"/>
          <w:sz w:val="28"/>
          <w:szCs w:val="22"/>
          <w:highlight w:val="none"/>
          <w:shd w:val="clear" w:color="auto" w:fill="auto"/>
          <w:lang w:val="en-US" w:eastAsia="zh-CN"/>
        </w:rPr>
      </w:pPr>
      <w:r>
        <w:rPr>
          <w:rFonts w:hint="eastAsia" w:ascii="仿宋" w:hAnsi="仿宋" w:eastAsia="仿宋" w:cs="仿宋"/>
          <w:color w:val="auto"/>
          <w:sz w:val="18"/>
          <w:szCs w:val="18"/>
        </w:rPr>
        <w:t>审批人：（项目经理）           审核人：（项目副经理</w:t>
      </w:r>
      <w:r>
        <w:rPr>
          <w:rFonts w:hint="eastAsia" w:ascii="仿宋" w:hAnsi="仿宋" w:eastAsia="仿宋" w:cs="仿宋"/>
          <w:color w:val="auto"/>
          <w:sz w:val="18"/>
          <w:szCs w:val="18"/>
          <w:lang w:val="en-US" w:eastAsia="zh-CN"/>
        </w:rPr>
        <w:t>/技术负责人</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 xml:space="preserve">           </w:t>
      </w:r>
      <w:r>
        <w:rPr>
          <w:rFonts w:hint="eastAsia" w:ascii="仿宋" w:hAnsi="仿宋" w:eastAsia="仿宋" w:cs="仿宋"/>
          <w:color w:val="auto"/>
          <w:sz w:val="18"/>
          <w:szCs w:val="18"/>
        </w:rPr>
        <w:t>编制人：（栋号施工员</w:t>
      </w:r>
      <w:r>
        <w:rPr>
          <w:rFonts w:hint="eastAsia" w:ascii="仿宋" w:hAnsi="仿宋" w:eastAsia="仿宋" w:cs="仿宋"/>
          <w:color w:val="auto"/>
          <w:sz w:val="18"/>
          <w:szCs w:val="18"/>
          <w:lang w:val="en-US" w:eastAsia="zh-CN"/>
        </w:rPr>
        <w:t>/</w:t>
      </w:r>
      <w:r>
        <w:rPr>
          <w:rFonts w:hint="eastAsia" w:ascii="仿宋" w:hAnsi="仿宋" w:eastAsia="仿宋" w:cs="仿宋"/>
          <w:color w:val="auto"/>
          <w:sz w:val="18"/>
          <w:szCs w:val="18"/>
          <w:lang w:eastAsia="zh-CN"/>
        </w:rPr>
        <w:t>材料员</w:t>
      </w:r>
      <w:r>
        <w:rPr>
          <w:rFonts w:hint="eastAsia" w:ascii="仿宋" w:hAnsi="仿宋" w:eastAsia="仿宋" w:cs="仿宋"/>
          <w:color w:val="auto"/>
          <w:sz w:val="18"/>
          <w:szCs w:val="18"/>
          <w:lang w:val="en-US" w:eastAsia="zh-CN"/>
        </w:rPr>
        <w:t>/</w:t>
      </w:r>
      <w:r>
        <w:rPr>
          <w:rFonts w:hint="eastAsia" w:ascii="仿宋" w:hAnsi="仿宋" w:eastAsia="仿宋" w:cs="仿宋"/>
          <w:color w:val="auto"/>
          <w:sz w:val="18"/>
          <w:szCs w:val="18"/>
          <w:lang w:eastAsia="zh-CN"/>
        </w:rPr>
        <w:t>使用人</w:t>
      </w:r>
      <w:r>
        <w:rPr>
          <w:rFonts w:hint="eastAsia" w:ascii="仿宋" w:hAnsi="仿宋" w:eastAsia="仿宋" w:cs="仿宋"/>
          <w:color w:val="auto"/>
        </w:rPr>
        <w:t>）</w:t>
      </w:r>
    </w:p>
    <w:sectPr>
      <w:footerReference r:id="rId9" w:type="default"/>
      <w:pgSz w:w="11906" w:h="16838"/>
      <w:pgMar w:top="1134" w:right="829"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21C9">
    <w:pPr>
      <w:pStyle w:val="6"/>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0443">
    <w:pPr>
      <w:pStyle w:val="6"/>
      <w:jc w:val="center"/>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FFA9">
    <w:pPr>
      <w:pStyle w:val="6"/>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posOffset>2826385</wp:posOffset>
              </wp:positionH>
              <wp:positionV relativeFrom="paragraph">
                <wp:posOffset>-182245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28BDD3">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55pt;margin-top:-14.35pt;height:144pt;width:144pt;mso-position-horizontal-relative:margin;mso-wrap-style:none;z-index:251661312;mso-width-relative:page;mso-height-relative:page;" filled="f" stroked="f" coordsize="21600,21600" o:gfxdata="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2c8wd2QAAAAsBAAAPAAAAAAAAAAEAIAAAACIAAABkcnMvZG93&#10;bnJldi54bWxQSwECFAAUAAAACACHTuJAtVl6sjgCAABvBAAADgAAAAAAAAABACAAAAAoAQAAZHJz&#10;L2Uyb0RvYy54bWxQSwUGAAAAAAYABgBZAQAA0gUAAAAA&#10;">
              <v:fill on="f" focussize="0,0"/>
              <v:stroke on="f" weight="0.5pt"/>
              <v:imagedata o:title=""/>
              <o:lock v:ext="edit" aspectratio="f"/>
              <v:textbox inset="0mm,0mm,0mm,0mm" style="mso-fit-shape-to-text:t;">
                <w:txbxContent>
                  <w:p w14:paraId="2B28BDD3">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4EF1">
    <w:pPr>
      <w:pStyle w:val="6"/>
      <w:jc w:val="center"/>
      <w:rPr>
        <w:rFonts w:hint="default" w:eastAsia="宋体"/>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81D75">
    <w:pPr>
      <w:pStyle w:val="6"/>
      <w:jc w:val="center"/>
      <w:rPr>
        <w:rFonts w:hint="default" w:eastAsia="宋体"/>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FD6E1">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E46EA">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58E46EA">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3D62">
    <w:pPr>
      <w:pStyle w:val="7"/>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DFE4"/>
    <w:multiLevelType w:val="multilevel"/>
    <w:tmpl w:val="9004DFE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A5C9485E"/>
    <w:multiLevelType w:val="singleLevel"/>
    <w:tmpl w:val="A5C9485E"/>
    <w:lvl w:ilvl="0" w:tentative="0">
      <w:start w:val="3"/>
      <w:numFmt w:val="chineseCounting"/>
      <w:suff w:val="space"/>
      <w:lvlText w:val="第%1部分"/>
      <w:lvlJc w:val="left"/>
      <w:rPr>
        <w:rFonts w:hint="eastAsia"/>
      </w:rPr>
    </w:lvl>
  </w:abstractNum>
  <w:abstractNum w:abstractNumId="2">
    <w:nsid w:val="D1A8A8AA"/>
    <w:multiLevelType w:val="singleLevel"/>
    <w:tmpl w:val="D1A8A8AA"/>
    <w:lvl w:ilvl="0" w:tentative="0">
      <w:start w:val="2"/>
      <w:numFmt w:val="decimal"/>
      <w:suff w:val="nothing"/>
      <w:lvlText w:val="%1、"/>
      <w:lvlJc w:val="left"/>
    </w:lvl>
  </w:abstractNum>
  <w:abstractNum w:abstractNumId="3">
    <w:nsid w:val="D2AA4066"/>
    <w:multiLevelType w:val="singleLevel"/>
    <w:tmpl w:val="D2AA4066"/>
    <w:lvl w:ilvl="0" w:tentative="0">
      <w:start w:val="1"/>
      <w:numFmt w:val="chineseCounting"/>
      <w:suff w:val="nothing"/>
      <w:lvlText w:val="第%1章、"/>
      <w:lvlJc w:val="left"/>
      <w:rPr>
        <w:rFonts w:hint="eastAsia"/>
      </w:rPr>
    </w:lvl>
  </w:abstractNum>
  <w:abstractNum w:abstractNumId="4">
    <w:nsid w:val="F0FAB888"/>
    <w:multiLevelType w:val="singleLevel"/>
    <w:tmpl w:val="F0FAB888"/>
    <w:lvl w:ilvl="0" w:tentative="0">
      <w:start w:val="1"/>
      <w:numFmt w:val="chineseCounting"/>
      <w:suff w:val="nothing"/>
      <w:lvlText w:val="第%1章、"/>
      <w:lvlJc w:val="left"/>
      <w:rPr>
        <w:rFonts w:hint="eastAsia"/>
      </w:rPr>
    </w:lvl>
  </w:abstractNum>
  <w:abstractNum w:abstractNumId="5">
    <w:nsid w:val="0B83F29C"/>
    <w:multiLevelType w:val="singleLevel"/>
    <w:tmpl w:val="0B83F29C"/>
    <w:lvl w:ilvl="0" w:tentative="0">
      <w:start w:val="2"/>
      <w:numFmt w:val="chineseCounting"/>
      <w:suff w:val="space"/>
      <w:lvlText w:val="第%1部分"/>
      <w:lvlJc w:val="left"/>
      <w:rPr>
        <w:rFonts w:hint="eastAsia"/>
      </w:rPr>
    </w:lvl>
  </w:abstractNum>
  <w:abstractNum w:abstractNumId="6">
    <w:nsid w:val="3ECC8F30"/>
    <w:multiLevelType w:val="singleLevel"/>
    <w:tmpl w:val="3ECC8F30"/>
    <w:lvl w:ilvl="0" w:tentative="0">
      <w:start w:val="1"/>
      <w:numFmt w:val="chineseCounting"/>
      <w:suff w:val="nothing"/>
      <w:lvlText w:val="第%1章、"/>
      <w:lvlJc w:val="left"/>
      <w:rPr>
        <w:rFonts w:hint="eastAsia"/>
      </w:rPr>
    </w:lvl>
  </w:abstractNum>
  <w:num w:numId="1">
    <w:abstractNumId w:val="6"/>
  </w:num>
  <w:num w:numId="2">
    <w:abstractNumId w:val="0"/>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NTFiODhkYmZlNzk3ZjM0OThiZWE0NTIwOGJkZGM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9C767B"/>
    <w:rsid w:val="00A87DE8"/>
    <w:rsid w:val="00B0507A"/>
    <w:rsid w:val="00BC757B"/>
    <w:rsid w:val="00D72607"/>
    <w:rsid w:val="00DC2680"/>
    <w:rsid w:val="00FB057E"/>
    <w:rsid w:val="01037573"/>
    <w:rsid w:val="0123220E"/>
    <w:rsid w:val="01286562"/>
    <w:rsid w:val="012F2443"/>
    <w:rsid w:val="012F2B13"/>
    <w:rsid w:val="01305439"/>
    <w:rsid w:val="01325A8F"/>
    <w:rsid w:val="01326F3B"/>
    <w:rsid w:val="013352D8"/>
    <w:rsid w:val="01351803"/>
    <w:rsid w:val="0156177E"/>
    <w:rsid w:val="015D207C"/>
    <w:rsid w:val="01661800"/>
    <w:rsid w:val="016814B1"/>
    <w:rsid w:val="01791910"/>
    <w:rsid w:val="017B7436"/>
    <w:rsid w:val="019978BC"/>
    <w:rsid w:val="01A71FD9"/>
    <w:rsid w:val="01AD3795"/>
    <w:rsid w:val="01D86637"/>
    <w:rsid w:val="0210376E"/>
    <w:rsid w:val="02217FDE"/>
    <w:rsid w:val="02331BCC"/>
    <w:rsid w:val="02471A55"/>
    <w:rsid w:val="024E06A7"/>
    <w:rsid w:val="02895B83"/>
    <w:rsid w:val="0290648C"/>
    <w:rsid w:val="02A52D67"/>
    <w:rsid w:val="02B86235"/>
    <w:rsid w:val="03024286"/>
    <w:rsid w:val="03061542"/>
    <w:rsid w:val="031418F0"/>
    <w:rsid w:val="0317601D"/>
    <w:rsid w:val="03416159"/>
    <w:rsid w:val="03495361"/>
    <w:rsid w:val="03562E11"/>
    <w:rsid w:val="035F2640"/>
    <w:rsid w:val="036870FF"/>
    <w:rsid w:val="036C617D"/>
    <w:rsid w:val="038C76D9"/>
    <w:rsid w:val="03A323C4"/>
    <w:rsid w:val="03AF2714"/>
    <w:rsid w:val="03AF33C7"/>
    <w:rsid w:val="03C86237"/>
    <w:rsid w:val="03D130C9"/>
    <w:rsid w:val="03D23A10"/>
    <w:rsid w:val="03EF5DB2"/>
    <w:rsid w:val="03FD05D6"/>
    <w:rsid w:val="040C7AED"/>
    <w:rsid w:val="04194CE4"/>
    <w:rsid w:val="041C3581"/>
    <w:rsid w:val="04206073"/>
    <w:rsid w:val="042711AF"/>
    <w:rsid w:val="042A37DA"/>
    <w:rsid w:val="045301F6"/>
    <w:rsid w:val="045522A3"/>
    <w:rsid w:val="047F2F94"/>
    <w:rsid w:val="04C9670A"/>
    <w:rsid w:val="04D05CEB"/>
    <w:rsid w:val="04D8295D"/>
    <w:rsid w:val="0515604A"/>
    <w:rsid w:val="05235E1B"/>
    <w:rsid w:val="05241B93"/>
    <w:rsid w:val="05571F68"/>
    <w:rsid w:val="055E32F7"/>
    <w:rsid w:val="055E648D"/>
    <w:rsid w:val="0563090D"/>
    <w:rsid w:val="058F1702"/>
    <w:rsid w:val="05B00870"/>
    <w:rsid w:val="05B94582"/>
    <w:rsid w:val="05CF7D50"/>
    <w:rsid w:val="05D76C05"/>
    <w:rsid w:val="05DC29A4"/>
    <w:rsid w:val="05E7046B"/>
    <w:rsid w:val="062A142B"/>
    <w:rsid w:val="062A31D9"/>
    <w:rsid w:val="06456265"/>
    <w:rsid w:val="064C13A1"/>
    <w:rsid w:val="065F1493"/>
    <w:rsid w:val="066A43D4"/>
    <w:rsid w:val="06994288"/>
    <w:rsid w:val="069A3EBB"/>
    <w:rsid w:val="069D0714"/>
    <w:rsid w:val="06B3319E"/>
    <w:rsid w:val="06B524FE"/>
    <w:rsid w:val="06CB49BC"/>
    <w:rsid w:val="06DB3895"/>
    <w:rsid w:val="06DC0977"/>
    <w:rsid w:val="06E32984"/>
    <w:rsid w:val="06E46E07"/>
    <w:rsid w:val="070B4DB8"/>
    <w:rsid w:val="071E2D3E"/>
    <w:rsid w:val="071F6AB6"/>
    <w:rsid w:val="07222102"/>
    <w:rsid w:val="072916E2"/>
    <w:rsid w:val="07351E35"/>
    <w:rsid w:val="074D44A4"/>
    <w:rsid w:val="0751431A"/>
    <w:rsid w:val="076444C8"/>
    <w:rsid w:val="07687ACF"/>
    <w:rsid w:val="076E1AF0"/>
    <w:rsid w:val="078778B3"/>
    <w:rsid w:val="078F7797"/>
    <w:rsid w:val="079B2A89"/>
    <w:rsid w:val="079C1EB4"/>
    <w:rsid w:val="07E838FA"/>
    <w:rsid w:val="08005A40"/>
    <w:rsid w:val="084762C4"/>
    <w:rsid w:val="08564322"/>
    <w:rsid w:val="085D5AE7"/>
    <w:rsid w:val="08604357"/>
    <w:rsid w:val="0862454D"/>
    <w:rsid w:val="087A1BF2"/>
    <w:rsid w:val="088C6DAF"/>
    <w:rsid w:val="08932258"/>
    <w:rsid w:val="089A4EC8"/>
    <w:rsid w:val="08AC56C0"/>
    <w:rsid w:val="08DB17FA"/>
    <w:rsid w:val="08E04023"/>
    <w:rsid w:val="08EE7CFD"/>
    <w:rsid w:val="08EF01D5"/>
    <w:rsid w:val="08FD1E97"/>
    <w:rsid w:val="09141FAF"/>
    <w:rsid w:val="094B5940"/>
    <w:rsid w:val="0960032A"/>
    <w:rsid w:val="09615163"/>
    <w:rsid w:val="096D58B6"/>
    <w:rsid w:val="09714B00"/>
    <w:rsid w:val="097F1A8E"/>
    <w:rsid w:val="09886B94"/>
    <w:rsid w:val="09A56D66"/>
    <w:rsid w:val="09BA4874"/>
    <w:rsid w:val="09C5399F"/>
    <w:rsid w:val="09D230B8"/>
    <w:rsid w:val="09D73678"/>
    <w:rsid w:val="09DE698C"/>
    <w:rsid w:val="09DF42DA"/>
    <w:rsid w:val="09FA34EB"/>
    <w:rsid w:val="0A026946"/>
    <w:rsid w:val="0A200B7B"/>
    <w:rsid w:val="0A275932"/>
    <w:rsid w:val="0A624FB9"/>
    <w:rsid w:val="0A692F6B"/>
    <w:rsid w:val="0A6E0C5C"/>
    <w:rsid w:val="0A7635CA"/>
    <w:rsid w:val="0AA30A0F"/>
    <w:rsid w:val="0AA95014"/>
    <w:rsid w:val="0AB72067"/>
    <w:rsid w:val="0ABF20F1"/>
    <w:rsid w:val="0ACC485F"/>
    <w:rsid w:val="0AD11E75"/>
    <w:rsid w:val="0ADC3DC0"/>
    <w:rsid w:val="0AE127A9"/>
    <w:rsid w:val="0AFA761E"/>
    <w:rsid w:val="0B2E0F81"/>
    <w:rsid w:val="0B5949B9"/>
    <w:rsid w:val="0B5F7791"/>
    <w:rsid w:val="0B602DC9"/>
    <w:rsid w:val="0B61144B"/>
    <w:rsid w:val="0B6B24CE"/>
    <w:rsid w:val="0B732F2C"/>
    <w:rsid w:val="0B865355"/>
    <w:rsid w:val="0BC4514F"/>
    <w:rsid w:val="0BCA384C"/>
    <w:rsid w:val="0BCB2D68"/>
    <w:rsid w:val="0BDB744F"/>
    <w:rsid w:val="0BFF07E0"/>
    <w:rsid w:val="0C0128E1"/>
    <w:rsid w:val="0C14470F"/>
    <w:rsid w:val="0C1E558E"/>
    <w:rsid w:val="0C2010AC"/>
    <w:rsid w:val="0C62191E"/>
    <w:rsid w:val="0C786A02"/>
    <w:rsid w:val="0CB90E13"/>
    <w:rsid w:val="0CC25F19"/>
    <w:rsid w:val="0CD2303E"/>
    <w:rsid w:val="0CF2453E"/>
    <w:rsid w:val="0D042E1A"/>
    <w:rsid w:val="0D2839BE"/>
    <w:rsid w:val="0D4913C1"/>
    <w:rsid w:val="0D5C183A"/>
    <w:rsid w:val="0D660F9A"/>
    <w:rsid w:val="0D6945E7"/>
    <w:rsid w:val="0D7A2C98"/>
    <w:rsid w:val="0D962F4D"/>
    <w:rsid w:val="0DBC6E0C"/>
    <w:rsid w:val="0DCE6281"/>
    <w:rsid w:val="0DEC297A"/>
    <w:rsid w:val="0DF77E44"/>
    <w:rsid w:val="0E1518A1"/>
    <w:rsid w:val="0E2350DD"/>
    <w:rsid w:val="0E262ED1"/>
    <w:rsid w:val="0E2714DC"/>
    <w:rsid w:val="0E4928DC"/>
    <w:rsid w:val="0E562110"/>
    <w:rsid w:val="0E633DB7"/>
    <w:rsid w:val="0E754C08"/>
    <w:rsid w:val="0E84109E"/>
    <w:rsid w:val="0E8B4260"/>
    <w:rsid w:val="0EA855E3"/>
    <w:rsid w:val="0EBC4BEA"/>
    <w:rsid w:val="0EC85B22"/>
    <w:rsid w:val="0ECE2E6A"/>
    <w:rsid w:val="0ED85EC8"/>
    <w:rsid w:val="0EDA7072"/>
    <w:rsid w:val="0EDC11FC"/>
    <w:rsid w:val="0EE26D46"/>
    <w:rsid w:val="0EF12AE6"/>
    <w:rsid w:val="0F0C4A59"/>
    <w:rsid w:val="0F112C3E"/>
    <w:rsid w:val="0F1862C4"/>
    <w:rsid w:val="0F210701"/>
    <w:rsid w:val="0F213556"/>
    <w:rsid w:val="0F225395"/>
    <w:rsid w:val="0F24110D"/>
    <w:rsid w:val="0F2B249C"/>
    <w:rsid w:val="0F2C6214"/>
    <w:rsid w:val="0F2E5AE8"/>
    <w:rsid w:val="0F551C07"/>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29043F"/>
    <w:rsid w:val="10325FFC"/>
    <w:rsid w:val="10434BC7"/>
    <w:rsid w:val="1054157E"/>
    <w:rsid w:val="105651B6"/>
    <w:rsid w:val="10623003"/>
    <w:rsid w:val="106A6FF4"/>
    <w:rsid w:val="10836E18"/>
    <w:rsid w:val="109C2F25"/>
    <w:rsid w:val="10AB142F"/>
    <w:rsid w:val="10AB4F16"/>
    <w:rsid w:val="10AB724C"/>
    <w:rsid w:val="10C06C14"/>
    <w:rsid w:val="10C36704"/>
    <w:rsid w:val="10CB4AD3"/>
    <w:rsid w:val="10D774CE"/>
    <w:rsid w:val="10E613C1"/>
    <w:rsid w:val="10EE19D3"/>
    <w:rsid w:val="11041F12"/>
    <w:rsid w:val="11095C2A"/>
    <w:rsid w:val="112278CE"/>
    <w:rsid w:val="1154735C"/>
    <w:rsid w:val="1158509E"/>
    <w:rsid w:val="115A0AD0"/>
    <w:rsid w:val="11763776"/>
    <w:rsid w:val="117A14B8"/>
    <w:rsid w:val="11A007F3"/>
    <w:rsid w:val="11AE31E0"/>
    <w:rsid w:val="11AE5258"/>
    <w:rsid w:val="11B147AE"/>
    <w:rsid w:val="11C646FD"/>
    <w:rsid w:val="11C9487C"/>
    <w:rsid w:val="11F56D91"/>
    <w:rsid w:val="12191CC8"/>
    <w:rsid w:val="12266F4A"/>
    <w:rsid w:val="12340406"/>
    <w:rsid w:val="123A0C48"/>
    <w:rsid w:val="124341AB"/>
    <w:rsid w:val="12521AED"/>
    <w:rsid w:val="12633CFA"/>
    <w:rsid w:val="12692EF2"/>
    <w:rsid w:val="12786986"/>
    <w:rsid w:val="127F3EF9"/>
    <w:rsid w:val="12922832"/>
    <w:rsid w:val="129C2F36"/>
    <w:rsid w:val="129C7D0E"/>
    <w:rsid w:val="12A3059B"/>
    <w:rsid w:val="12BD293A"/>
    <w:rsid w:val="12EF37E0"/>
    <w:rsid w:val="12F17558"/>
    <w:rsid w:val="12F2507E"/>
    <w:rsid w:val="12F46273"/>
    <w:rsid w:val="1308124D"/>
    <w:rsid w:val="132C0590"/>
    <w:rsid w:val="133236CD"/>
    <w:rsid w:val="13370CE3"/>
    <w:rsid w:val="13386F35"/>
    <w:rsid w:val="13394A5B"/>
    <w:rsid w:val="13427DB4"/>
    <w:rsid w:val="134578A4"/>
    <w:rsid w:val="134A56E4"/>
    <w:rsid w:val="13651CF4"/>
    <w:rsid w:val="13A9398F"/>
    <w:rsid w:val="13B3480E"/>
    <w:rsid w:val="13BD568C"/>
    <w:rsid w:val="13E44DAF"/>
    <w:rsid w:val="13F91511"/>
    <w:rsid w:val="13FB325E"/>
    <w:rsid w:val="141823DD"/>
    <w:rsid w:val="141A488D"/>
    <w:rsid w:val="141D3725"/>
    <w:rsid w:val="1470712F"/>
    <w:rsid w:val="14AF76CB"/>
    <w:rsid w:val="14B22D17"/>
    <w:rsid w:val="14B7032D"/>
    <w:rsid w:val="14BC1DE8"/>
    <w:rsid w:val="14C10EE2"/>
    <w:rsid w:val="14C201BA"/>
    <w:rsid w:val="14D02CFC"/>
    <w:rsid w:val="14E31122"/>
    <w:rsid w:val="15211C4B"/>
    <w:rsid w:val="152621F6"/>
    <w:rsid w:val="1529148F"/>
    <w:rsid w:val="153E66BC"/>
    <w:rsid w:val="1542409B"/>
    <w:rsid w:val="155301D7"/>
    <w:rsid w:val="1557566D"/>
    <w:rsid w:val="15610299"/>
    <w:rsid w:val="15671D54"/>
    <w:rsid w:val="15724254"/>
    <w:rsid w:val="158C3568"/>
    <w:rsid w:val="158F270C"/>
    <w:rsid w:val="15B36931"/>
    <w:rsid w:val="15CF16A7"/>
    <w:rsid w:val="16017DF9"/>
    <w:rsid w:val="16197E6B"/>
    <w:rsid w:val="16281367"/>
    <w:rsid w:val="16281F12"/>
    <w:rsid w:val="16302145"/>
    <w:rsid w:val="16351E52"/>
    <w:rsid w:val="167043DB"/>
    <w:rsid w:val="16717081"/>
    <w:rsid w:val="167209B0"/>
    <w:rsid w:val="16750D36"/>
    <w:rsid w:val="16AA7E79"/>
    <w:rsid w:val="16B014D8"/>
    <w:rsid w:val="16C17241"/>
    <w:rsid w:val="170B3EB5"/>
    <w:rsid w:val="171952CF"/>
    <w:rsid w:val="1719707D"/>
    <w:rsid w:val="171D2EE0"/>
    <w:rsid w:val="1730504B"/>
    <w:rsid w:val="17323756"/>
    <w:rsid w:val="17361868"/>
    <w:rsid w:val="17377504"/>
    <w:rsid w:val="17515EC2"/>
    <w:rsid w:val="17596DAC"/>
    <w:rsid w:val="175C420C"/>
    <w:rsid w:val="17740758"/>
    <w:rsid w:val="17793FC0"/>
    <w:rsid w:val="179D2E56"/>
    <w:rsid w:val="17A6044E"/>
    <w:rsid w:val="17B251A8"/>
    <w:rsid w:val="17BA0860"/>
    <w:rsid w:val="17BD20FF"/>
    <w:rsid w:val="17E44BFC"/>
    <w:rsid w:val="17E53404"/>
    <w:rsid w:val="17EF06F4"/>
    <w:rsid w:val="180A4C18"/>
    <w:rsid w:val="180D50C3"/>
    <w:rsid w:val="180D79FC"/>
    <w:rsid w:val="181236CE"/>
    <w:rsid w:val="182615E2"/>
    <w:rsid w:val="182B2267"/>
    <w:rsid w:val="18310418"/>
    <w:rsid w:val="1853036D"/>
    <w:rsid w:val="1864558B"/>
    <w:rsid w:val="18702BAC"/>
    <w:rsid w:val="187B6274"/>
    <w:rsid w:val="189D783A"/>
    <w:rsid w:val="18B2778A"/>
    <w:rsid w:val="18B904BA"/>
    <w:rsid w:val="18C03544"/>
    <w:rsid w:val="18DD6A5B"/>
    <w:rsid w:val="18DE307B"/>
    <w:rsid w:val="18EB67F8"/>
    <w:rsid w:val="18F90F15"/>
    <w:rsid w:val="19046D46"/>
    <w:rsid w:val="19063790"/>
    <w:rsid w:val="19120228"/>
    <w:rsid w:val="192B006F"/>
    <w:rsid w:val="192D1706"/>
    <w:rsid w:val="193601B3"/>
    <w:rsid w:val="195720DF"/>
    <w:rsid w:val="19654B16"/>
    <w:rsid w:val="197E766C"/>
    <w:rsid w:val="1988190B"/>
    <w:rsid w:val="198A6011"/>
    <w:rsid w:val="198F1879"/>
    <w:rsid w:val="19A5109C"/>
    <w:rsid w:val="19A9418A"/>
    <w:rsid w:val="19B32869"/>
    <w:rsid w:val="19B74EE4"/>
    <w:rsid w:val="19BA1746"/>
    <w:rsid w:val="19C74A3D"/>
    <w:rsid w:val="19D11E91"/>
    <w:rsid w:val="19DF017E"/>
    <w:rsid w:val="19EC6CCB"/>
    <w:rsid w:val="19EE2A43"/>
    <w:rsid w:val="1A0C186A"/>
    <w:rsid w:val="1A165AF6"/>
    <w:rsid w:val="1A2A3350"/>
    <w:rsid w:val="1A2C356C"/>
    <w:rsid w:val="1A3348FA"/>
    <w:rsid w:val="1A34778E"/>
    <w:rsid w:val="1A3D3083"/>
    <w:rsid w:val="1A440C91"/>
    <w:rsid w:val="1A7775E1"/>
    <w:rsid w:val="1A9F4A18"/>
    <w:rsid w:val="1A9F78F8"/>
    <w:rsid w:val="1AA66E7A"/>
    <w:rsid w:val="1ABC48F0"/>
    <w:rsid w:val="1AC06FDE"/>
    <w:rsid w:val="1AC11F06"/>
    <w:rsid w:val="1AC61965"/>
    <w:rsid w:val="1AF65494"/>
    <w:rsid w:val="1AF75928"/>
    <w:rsid w:val="1AFC1190"/>
    <w:rsid w:val="1B101184"/>
    <w:rsid w:val="1B16525A"/>
    <w:rsid w:val="1B1A1616"/>
    <w:rsid w:val="1B1D74DF"/>
    <w:rsid w:val="1B1E69B9"/>
    <w:rsid w:val="1B210BF7"/>
    <w:rsid w:val="1B2B45EC"/>
    <w:rsid w:val="1B3D7186"/>
    <w:rsid w:val="1B512979"/>
    <w:rsid w:val="1B59213E"/>
    <w:rsid w:val="1B666609"/>
    <w:rsid w:val="1B724FAE"/>
    <w:rsid w:val="1B7A7441"/>
    <w:rsid w:val="1B83540D"/>
    <w:rsid w:val="1B8A78B2"/>
    <w:rsid w:val="1B9C202B"/>
    <w:rsid w:val="1BC42A7B"/>
    <w:rsid w:val="1BEA0FE8"/>
    <w:rsid w:val="1BEC2FB3"/>
    <w:rsid w:val="1C111C07"/>
    <w:rsid w:val="1C237506"/>
    <w:rsid w:val="1C2465A3"/>
    <w:rsid w:val="1C3B7A96"/>
    <w:rsid w:val="1C4F52EF"/>
    <w:rsid w:val="1C67088B"/>
    <w:rsid w:val="1C8B27CB"/>
    <w:rsid w:val="1C9571A6"/>
    <w:rsid w:val="1CD66BB0"/>
    <w:rsid w:val="1CF928A3"/>
    <w:rsid w:val="1D1C78C7"/>
    <w:rsid w:val="1D385E44"/>
    <w:rsid w:val="1D5A219E"/>
    <w:rsid w:val="1D6923E1"/>
    <w:rsid w:val="1D762D4C"/>
    <w:rsid w:val="1DB01F75"/>
    <w:rsid w:val="1DC92705"/>
    <w:rsid w:val="1DD51824"/>
    <w:rsid w:val="1DDA6E3B"/>
    <w:rsid w:val="1DDF12F2"/>
    <w:rsid w:val="1DE6772B"/>
    <w:rsid w:val="1E0A5972"/>
    <w:rsid w:val="1E0A7720"/>
    <w:rsid w:val="1E0F4D36"/>
    <w:rsid w:val="1E291486"/>
    <w:rsid w:val="1E3824DF"/>
    <w:rsid w:val="1E4744D0"/>
    <w:rsid w:val="1E4C5F8A"/>
    <w:rsid w:val="1E596F15"/>
    <w:rsid w:val="1E5D7DE9"/>
    <w:rsid w:val="1E6E5AF7"/>
    <w:rsid w:val="1E6E6048"/>
    <w:rsid w:val="1E733E15"/>
    <w:rsid w:val="1E8A260F"/>
    <w:rsid w:val="1E952C15"/>
    <w:rsid w:val="1E967206"/>
    <w:rsid w:val="1EAA33EB"/>
    <w:rsid w:val="1EAE6AE9"/>
    <w:rsid w:val="1EB55AAE"/>
    <w:rsid w:val="1ED02971"/>
    <w:rsid w:val="1EDE6925"/>
    <w:rsid w:val="1F066139"/>
    <w:rsid w:val="1F130856"/>
    <w:rsid w:val="1F2C36C6"/>
    <w:rsid w:val="1F2E743E"/>
    <w:rsid w:val="1F380A48"/>
    <w:rsid w:val="1F416D3C"/>
    <w:rsid w:val="1F4E71EE"/>
    <w:rsid w:val="1F576995"/>
    <w:rsid w:val="1F5F550C"/>
    <w:rsid w:val="1F63358C"/>
    <w:rsid w:val="1F6D61B8"/>
    <w:rsid w:val="1F871243"/>
    <w:rsid w:val="1F9F033C"/>
    <w:rsid w:val="1FBD2E59"/>
    <w:rsid w:val="1FBF278C"/>
    <w:rsid w:val="1FFE5062"/>
    <w:rsid w:val="2006231E"/>
    <w:rsid w:val="2007660D"/>
    <w:rsid w:val="200C6649"/>
    <w:rsid w:val="20124FB2"/>
    <w:rsid w:val="20191E9C"/>
    <w:rsid w:val="204A02A8"/>
    <w:rsid w:val="20547378"/>
    <w:rsid w:val="20692753"/>
    <w:rsid w:val="206C1BB2"/>
    <w:rsid w:val="20790B8D"/>
    <w:rsid w:val="20796DDF"/>
    <w:rsid w:val="2080016D"/>
    <w:rsid w:val="208E288A"/>
    <w:rsid w:val="20AA62CB"/>
    <w:rsid w:val="20D9162C"/>
    <w:rsid w:val="20E63F9F"/>
    <w:rsid w:val="21042B4C"/>
    <w:rsid w:val="21271BF9"/>
    <w:rsid w:val="212E1977"/>
    <w:rsid w:val="212E3725"/>
    <w:rsid w:val="21425423"/>
    <w:rsid w:val="21645399"/>
    <w:rsid w:val="21696E53"/>
    <w:rsid w:val="21920158"/>
    <w:rsid w:val="21927F47"/>
    <w:rsid w:val="219B4563"/>
    <w:rsid w:val="21A263B7"/>
    <w:rsid w:val="21AD23A2"/>
    <w:rsid w:val="21CF315A"/>
    <w:rsid w:val="21DE514B"/>
    <w:rsid w:val="21E07116"/>
    <w:rsid w:val="21EF55AB"/>
    <w:rsid w:val="21EF63FF"/>
    <w:rsid w:val="21F20BF7"/>
    <w:rsid w:val="21FC7514"/>
    <w:rsid w:val="2217065D"/>
    <w:rsid w:val="22293AE7"/>
    <w:rsid w:val="22317971"/>
    <w:rsid w:val="223615FD"/>
    <w:rsid w:val="22461903"/>
    <w:rsid w:val="224A3DEA"/>
    <w:rsid w:val="226E1396"/>
    <w:rsid w:val="22793056"/>
    <w:rsid w:val="227E692E"/>
    <w:rsid w:val="22832569"/>
    <w:rsid w:val="22835CF3"/>
    <w:rsid w:val="22971AE5"/>
    <w:rsid w:val="22A527FE"/>
    <w:rsid w:val="22DB6486"/>
    <w:rsid w:val="22DE026A"/>
    <w:rsid w:val="22E177D9"/>
    <w:rsid w:val="22E42C35"/>
    <w:rsid w:val="22EF3388"/>
    <w:rsid w:val="22F05754"/>
    <w:rsid w:val="22F46F43"/>
    <w:rsid w:val="23166844"/>
    <w:rsid w:val="232E1AC6"/>
    <w:rsid w:val="232F786B"/>
    <w:rsid w:val="23384D2F"/>
    <w:rsid w:val="234C768D"/>
    <w:rsid w:val="235C1A89"/>
    <w:rsid w:val="23671171"/>
    <w:rsid w:val="2369138D"/>
    <w:rsid w:val="236A568F"/>
    <w:rsid w:val="236D16F9"/>
    <w:rsid w:val="23812232"/>
    <w:rsid w:val="2387457D"/>
    <w:rsid w:val="23957A8C"/>
    <w:rsid w:val="23C46955"/>
    <w:rsid w:val="23CF3668"/>
    <w:rsid w:val="23D20CE0"/>
    <w:rsid w:val="23D507D0"/>
    <w:rsid w:val="23DC56BB"/>
    <w:rsid w:val="23E977E1"/>
    <w:rsid w:val="23F5677C"/>
    <w:rsid w:val="23F63C20"/>
    <w:rsid w:val="240115C5"/>
    <w:rsid w:val="24136C12"/>
    <w:rsid w:val="241C3BB9"/>
    <w:rsid w:val="241C63FF"/>
    <w:rsid w:val="24226F43"/>
    <w:rsid w:val="24247062"/>
    <w:rsid w:val="24287E4C"/>
    <w:rsid w:val="2435126F"/>
    <w:rsid w:val="243A6885"/>
    <w:rsid w:val="24412DD6"/>
    <w:rsid w:val="24600176"/>
    <w:rsid w:val="2479115B"/>
    <w:rsid w:val="247B4ED4"/>
    <w:rsid w:val="24853FA4"/>
    <w:rsid w:val="248E5058"/>
    <w:rsid w:val="24A2174F"/>
    <w:rsid w:val="24AA1A26"/>
    <w:rsid w:val="24C513B8"/>
    <w:rsid w:val="24F80254"/>
    <w:rsid w:val="24F84776"/>
    <w:rsid w:val="25070E5D"/>
    <w:rsid w:val="250A6257"/>
    <w:rsid w:val="250E5D48"/>
    <w:rsid w:val="25165925"/>
    <w:rsid w:val="25294857"/>
    <w:rsid w:val="252F3F10"/>
    <w:rsid w:val="25382DC5"/>
    <w:rsid w:val="255614AE"/>
    <w:rsid w:val="255676EF"/>
    <w:rsid w:val="255A71DF"/>
    <w:rsid w:val="255D0A7D"/>
    <w:rsid w:val="25735262"/>
    <w:rsid w:val="257F4DF4"/>
    <w:rsid w:val="258F5E86"/>
    <w:rsid w:val="259B2F08"/>
    <w:rsid w:val="25AB2680"/>
    <w:rsid w:val="25AC3A6A"/>
    <w:rsid w:val="25D074A1"/>
    <w:rsid w:val="25D96C39"/>
    <w:rsid w:val="25ED0053"/>
    <w:rsid w:val="25FA451E"/>
    <w:rsid w:val="262C38E5"/>
    <w:rsid w:val="263F14EC"/>
    <w:rsid w:val="264D0AF2"/>
    <w:rsid w:val="265C5712"/>
    <w:rsid w:val="265D05FD"/>
    <w:rsid w:val="26622EB6"/>
    <w:rsid w:val="268A3AF4"/>
    <w:rsid w:val="26A10E3D"/>
    <w:rsid w:val="26A30712"/>
    <w:rsid w:val="26A51FB7"/>
    <w:rsid w:val="26A56238"/>
    <w:rsid w:val="26BA675A"/>
    <w:rsid w:val="26C55046"/>
    <w:rsid w:val="26C62A86"/>
    <w:rsid w:val="26CE3129"/>
    <w:rsid w:val="26ED5E31"/>
    <w:rsid w:val="26F47B11"/>
    <w:rsid w:val="26F61189"/>
    <w:rsid w:val="26F70A5D"/>
    <w:rsid w:val="2700129D"/>
    <w:rsid w:val="270C62B7"/>
    <w:rsid w:val="27135897"/>
    <w:rsid w:val="2714160F"/>
    <w:rsid w:val="27174C5C"/>
    <w:rsid w:val="271B6D61"/>
    <w:rsid w:val="2728280B"/>
    <w:rsid w:val="272E26D1"/>
    <w:rsid w:val="27363334"/>
    <w:rsid w:val="27467B25"/>
    <w:rsid w:val="27475541"/>
    <w:rsid w:val="276C144B"/>
    <w:rsid w:val="27716A62"/>
    <w:rsid w:val="277976C4"/>
    <w:rsid w:val="277F098D"/>
    <w:rsid w:val="278170DB"/>
    <w:rsid w:val="27930786"/>
    <w:rsid w:val="279D4D50"/>
    <w:rsid w:val="27AB3D22"/>
    <w:rsid w:val="27B965B1"/>
    <w:rsid w:val="27D05536"/>
    <w:rsid w:val="27E40FE2"/>
    <w:rsid w:val="28292E99"/>
    <w:rsid w:val="283005FE"/>
    <w:rsid w:val="28327F9F"/>
    <w:rsid w:val="28331A56"/>
    <w:rsid w:val="28434849"/>
    <w:rsid w:val="28456613"/>
    <w:rsid w:val="286D202F"/>
    <w:rsid w:val="28770DCF"/>
    <w:rsid w:val="28956780"/>
    <w:rsid w:val="28C52BC1"/>
    <w:rsid w:val="28C606E7"/>
    <w:rsid w:val="28CC69C1"/>
    <w:rsid w:val="28D369C8"/>
    <w:rsid w:val="29085DCB"/>
    <w:rsid w:val="290D6316"/>
    <w:rsid w:val="291807B8"/>
    <w:rsid w:val="29352E3A"/>
    <w:rsid w:val="293F15D2"/>
    <w:rsid w:val="294A756A"/>
    <w:rsid w:val="295B01BA"/>
    <w:rsid w:val="295B1778"/>
    <w:rsid w:val="296E7D76"/>
    <w:rsid w:val="297B4032"/>
    <w:rsid w:val="298F31CF"/>
    <w:rsid w:val="29B260BA"/>
    <w:rsid w:val="29C6285B"/>
    <w:rsid w:val="29D37560"/>
    <w:rsid w:val="29DD3F3B"/>
    <w:rsid w:val="29E609B2"/>
    <w:rsid w:val="29EF6C8F"/>
    <w:rsid w:val="29F25B5F"/>
    <w:rsid w:val="29F51284"/>
    <w:rsid w:val="29F97E4E"/>
    <w:rsid w:val="2A04596B"/>
    <w:rsid w:val="2A261D85"/>
    <w:rsid w:val="2A2B739C"/>
    <w:rsid w:val="2A3505EE"/>
    <w:rsid w:val="2A383867"/>
    <w:rsid w:val="2A406E3B"/>
    <w:rsid w:val="2A467D32"/>
    <w:rsid w:val="2A4949BA"/>
    <w:rsid w:val="2A53244F"/>
    <w:rsid w:val="2A5744DB"/>
    <w:rsid w:val="2A5B72A5"/>
    <w:rsid w:val="2A5F7045"/>
    <w:rsid w:val="2A6E2802"/>
    <w:rsid w:val="2A76764D"/>
    <w:rsid w:val="2AA42CAA"/>
    <w:rsid w:val="2ABD3BC6"/>
    <w:rsid w:val="2ACC1E4B"/>
    <w:rsid w:val="2ACD2201"/>
    <w:rsid w:val="2AE337D3"/>
    <w:rsid w:val="2AE33E50"/>
    <w:rsid w:val="2AF7727E"/>
    <w:rsid w:val="2B04158B"/>
    <w:rsid w:val="2B150495"/>
    <w:rsid w:val="2B177920"/>
    <w:rsid w:val="2B312C19"/>
    <w:rsid w:val="2B5A1960"/>
    <w:rsid w:val="2B637489"/>
    <w:rsid w:val="2B6C01DB"/>
    <w:rsid w:val="2B726905"/>
    <w:rsid w:val="2B8209DE"/>
    <w:rsid w:val="2B8925CC"/>
    <w:rsid w:val="2B8D272F"/>
    <w:rsid w:val="2BA72A52"/>
    <w:rsid w:val="2BD27F42"/>
    <w:rsid w:val="2BE94E19"/>
    <w:rsid w:val="2BE96E2D"/>
    <w:rsid w:val="2C01229D"/>
    <w:rsid w:val="2C3A38C6"/>
    <w:rsid w:val="2C4C16FF"/>
    <w:rsid w:val="2C6721E1"/>
    <w:rsid w:val="2C8608B9"/>
    <w:rsid w:val="2C9850CD"/>
    <w:rsid w:val="2C9E20A7"/>
    <w:rsid w:val="2C9F63A9"/>
    <w:rsid w:val="2CA376BD"/>
    <w:rsid w:val="2CBD400F"/>
    <w:rsid w:val="2CBE62A5"/>
    <w:rsid w:val="2CBF6561"/>
    <w:rsid w:val="2CC80A91"/>
    <w:rsid w:val="2CCE2260"/>
    <w:rsid w:val="2CD55ED0"/>
    <w:rsid w:val="2CDE06F5"/>
    <w:rsid w:val="2CE45CBD"/>
    <w:rsid w:val="2CE81574"/>
    <w:rsid w:val="2CEB31DE"/>
    <w:rsid w:val="2CF37F79"/>
    <w:rsid w:val="2CF879E3"/>
    <w:rsid w:val="2D216834"/>
    <w:rsid w:val="2D3447C9"/>
    <w:rsid w:val="2D3C541C"/>
    <w:rsid w:val="2D3C7997"/>
    <w:rsid w:val="2D480265"/>
    <w:rsid w:val="2D617625"/>
    <w:rsid w:val="2D7D6B19"/>
    <w:rsid w:val="2D8017AD"/>
    <w:rsid w:val="2D9172A0"/>
    <w:rsid w:val="2DAA682A"/>
    <w:rsid w:val="2DAF2092"/>
    <w:rsid w:val="2DB5581A"/>
    <w:rsid w:val="2DB94CBF"/>
    <w:rsid w:val="2DC04136"/>
    <w:rsid w:val="2DC07527"/>
    <w:rsid w:val="2DD37B2E"/>
    <w:rsid w:val="2DE34362"/>
    <w:rsid w:val="2DE51610"/>
    <w:rsid w:val="2DEF20D7"/>
    <w:rsid w:val="2E2A1718"/>
    <w:rsid w:val="2E3422F8"/>
    <w:rsid w:val="2E382ECE"/>
    <w:rsid w:val="2E5A120D"/>
    <w:rsid w:val="2E5E7CC5"/>
    <w:rsid w:val="2E6609A2"/>
    <w:rsid w:val="2E89343E"/>
    <w:rsid w:val="2E9A4AF0"/>
    <w:rsid w:val="2EA109CD"/>
    <w:rsid w:val="2EA75C11"/>
    <w:rsid w:val="2EAE017D"/>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736DF1"/>
    <w:rsid w:val="2F8224C5"/>
    <w:rsid w:val="2FA06136"/>
    <w:rsid w:val="2FA32702"/>
    <w:rsid w:val="2FC8743B"/>
    <w:rsid w:val="2FCA31B3"/>
    <w:rsid w:val="2FD44032"/>
    <w:rsid w:val="30134B5A"/>
    <w:rsid w:val="302204C8"/>
    <w:rsid w:val="302567CF"/>
    <w:rsid w:val="302723B3"/>
    <w:rsid w:val="303C40BD"/>
    <w:rsid w:val="3045283A"/>
    <w:rsid w:val="30494ED5"/>
    <w:rsid w:val="304E5B92"/>
    <w:rsid w:val="30590093"/>
    <w:rsid w:val="305F7D9F"/>
    <w:rsid w:val="307B625B"/>
    <w:rsid w:val="307D6477"/>
    <w:rsid w:val="30951E25"/>
    <w:rsid w:val="309D08C8"/>
    <w:rsid w:val="30A13F14"/>
    <w:rsid w:val="30AC7B13"/>
    <w:rsid w:val="30AD28D7"/>
    <w:rsid w:val="30B30980"/>
    <w:rsid w:val="30E6401D"/>
    <w:rsid w:val="310C55BA"/>
    <w:rsid w:val="31224929"/>
    <w:rsid w:val="31376626"/>
    <w:rsid w:val="315224D4"/>
    <w:rsid w:val="31717D8A"/>
    <w:rsid w:val="3176279D"/>
    <w:rsid w:val="31797CF2"/>
    <w:rsid w:val="319770C5"/>
    <w:rsid w:val="31A11CF2"/>
    <w:rsid w:val="31B00187"/>
    <w:rsid w:val="31B55BDA"/>
    <w:rsid w:val="31C37EBA"/>
    <w:rsid w:val="31D2099C"/>
    <w:rsid w:val="31D245A1"/>
    <w:rsid w:val="31D9148B"/>
    <w:rsid w:val="31E47BCC"/>
    <w:rsid w:val="320766A4"/>
    <w:rsid w:val="320D6B1C"/>
    <w:rsid w:val="321109A1"/>
    <w:rsid w:val="32117189"/>
    <w:rsid w:val="321270E3"/>
    <w:rsid w:val="321E1594"/>
    <w:rsid w:val="322841C1"/>
    <w:rsid w:val="323668DE"/>
    <w:rsid w:val="323808A8"/>
    <w:rsid w:val="323B0093"/>
    <w:rsid w:val="323C7F64"/>
    <w:rsid w:val="323E39E4"/>
    <w:rsid w:val="32403E9F"/>
    <w:rsid w:val="32466E61"/>
    <w:rsid w:val="324A2760"/>
    <w:rsid w:val="32503556"/>
    <w:rsid w:val="325146CB"/>
    <w:rsid w:val="325A081E"/>
    <w:rsid w:val="326649B8"/>
    <w:rsid w:val="3278743C"/>
    <w:rsid w:val="32827D75"/>
    <w:rsid w:val="328E0C7D"/>
    <w:rsid w:val="32911D66"/>
    <w:rsid w:val="329C4F37"/>
    <w:rsid w:val="32AB02BD"/>
    <w:rsid w:val="32C83D55"/>
    <w:rsid w:val="32DA184C"/>
    <w:rsid w:val="32E26A66"/>
    <w:rsid w:val="32E620B2"/>
    <w:rsid w:val="32F53DBD"/>
    <w:rsid w:val="32F95CB7"/>
    <w:rsid w:val="33010C9A"/>
    <w:rsid w:val="33244988"/>
    <w:rsid w:val="334E5EA9"/>
    <w:rsid w:val="3357131F"/>
    <w:rsid w:val="33623BA2"/>
    <w:rsid w:val="337E18D4"/>
    <w:rsid w:val="33907F7A"/>
    <w:rsid w:val="33997124"/>
    <w:rsid w:val="33A65CE5"/>
    <w:rsid w:val="33AD7074"/>
    <w:rsid w:val="33B64277"/>
    <w:rsid w:val="33C76378"/>
    <w:rsid w:val="33D17B22"/>
    <w:rsid w:val="33D26ADA"/>
    <w:rsid w:val="33D62126"/>
    <w:rsid w:val="33DE722D"/>
    <w:rsid w:val="33E41C73"/>
    <w:rsid w:val="340C3D9A"/>
    <w:rsid w:val="34190265"/>
    <w:rsid w:val="342A6B27"/>
    <w:rsid w:val="342C2837"/>
    <w:rsid w:val="34360E17"/>
    <w:rsid w:val="344D7F0F"/>
    <w:rsid w:val="345A69A2"/>
    <w:rsid w:val="34666D8C"/>
    <w:rsid w:val="3469049A"/>
    <w:rsid w:val="346E6B7F"/>
    <w:rsid w:val="34766B9C"/>
    <w:rsid w:val="349F41F7"/>
    <w:rsid w:val="34CA09B8"/>
    <w:rsid w:val="34F267D6"/>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B75970"/>
    <w:rsid w:val="35BE4205"/>
    <w:rsid w:val="35C8513F"/>
    <w:rsid w:val="35D040D0"/>
    <w:rsid w:val="35D11499"/>
    <w:rsid w:val="35E03756"/>
    <w:rsid w:val="35E26CF6"/>
    <w:rsid w:val="35EE555B"/>
    <w:rsid w:val="3607320C"/>
    <w:rsid w:val="360E0992"/>
    <w:rsid w:val="361605E0"/>
    <w:rsid w:val="361707D4"/>
    <w:rsid w:val="361E1B63"/>
    <w:rsid w:val="361F5630"/>
    <w:rsid w:val="36271315"/>
    <w:rsid w:val="36296D8F"/>
    <w:rsid w:val="36321EE2"/>
    <w:rsid w:val="36394BEF"/>
    <w:rsid w:val="36454EF4"/>
    <w:rsid w:val="36480ED6"/>
    <w:rsid w:val="3667784E"/>
    <w:rsid w:val="366E687E"/>
    <w:rsid w:val="368049F0"/>
    <w:rsid w:val="36897924"/>
    <w:rsid w:val="368D0631"/>
    <w:rsid w:val="369B1405"/>
    <w:rsid w:val="36C46BAE"/>
    <w:rsid w:val="36C56482"/>
    <w:rsid w:val="36D55D6B"/>
    <w:rsid w:val="36F7705F"/>
    <w:rsid w:val="36F9612C"/>
    <w:rsid w:val="372C02AF"/>
    <w:rsid w:val="37427DCD"/>
    <w:rsid w:val="374D6BA3"/>
    <w:rsid w:val="376161AB"/>
    <w:rsid w:val="376E062B"/>
    <w:rsid w:val="37854AB8"/>
    <w:rsid w:val="378676FF"/>
    <w:rsid w:val="3793032E"/>
    <w:rsid w:val="37AB17B4"/>
    <w:rsid w:val="37C14E9C"/>
    <w:rsid w:val="38003C16"/>
    <w:rsid w:val="38037262"/>
    <w:rsid w:val="38211DDE"/>
    <w:rsid w:val="385B0E4C"/>
    <w:rsid w:val="386717C0"/>
    <w:rsid w:val="38723425"/>
    <w:rsid w:val="38954372"/>
    <w:rsid w:val="38974AF0"/>
    <w:rsid w:val="389D005F"/>
    <w:rsid w:val="38C34C43"/>
    <w:rsid w:val="38C95885"/>
    <w:rsid w:val="38E1410D"/>
    <w:rsid w:val="390019F4"/>
    <w:rsid w:val="391F631E"/>
    <w:rsid w:val="39202096"/>
    <w:rsid w:val="39422DEA"/>
    <w:rsid w:val="395D29A2"/>
    <w:rsid w:val="39CE1AF2"/>
    <w:rsid w:val="39D31AAB"/>
    <w:rsid w:val="39E676B1"/>
    <w:rsid w:val="39E859F0"/>
    <w:rsid w:val="39F257E0"/>
    <w:rsid w:val="39F96B6F"/>
    <w:rsid w:val="3A030AC5"/>
    <w:rsid w:val="3A031347"/>
    <w:rsid w:val="3A06128C"/>
    <w:rsid w:val="3A476A7B"/>
    <w:rsid w:val="3A542215"/>
    <w:rsid w:val="3A572548"/>
    <w:rsid w:val="3A5C5DF9"/>
    <w:rsid w:val="3AA82343"/>
    <w:rsid w:val="3AD924FC"/>
    <w:rsid w:val="3ADF1DF8"/>
    <w:rsid w:val="3AE315CD"/>
    <w:rsid w:val="3AEF1D20"/>
    <w:rsid w:val="3B0C5F1A"/>
    <w:rsid w:val="3B21511D"/>
    <w:rsid w:val="3B29323F"/>
    <w:rsid w:val="3B2C6AD0"/>
    <w:rsid w:val="3B443E1A"/>
    <w:rsid w:val="3B8033E1"/>
    <w:rsid w:val="3BA269FD"/>
    <w:rsid w:val="3BAB20EB"/>
    <w:rsid w:val="3BAE6E41"/>
    <w:rsid w:val="3BB379B1"/>
    <w:rsid w:val="3BBD3BCC"/>
    <w:rsid w:val="3BD11425"/>
    <w:rsid w:val="3BD6013A"/>
    <w:rsid w:val="3BF13876"/>
    <w:rsid w:val="3BFF2436"/>
    <w:rsid w:val="3C08753D"/>
    <w:rsid w:val="3C0A2F50"/>
    <w:rsid w:val="3C2C6246"/>
    <w:rsid w:val="3C4340D1"/>
    <w:rsid w:val="3C6A3D54"/>
    <w:rsid w:val="3C9E1C4F"/>
    <w:rsid w:val="3CCF40AD"/>
    <w:rsid w:val="3CE05AB2"/>
    <w:rsid w:val="3CF43CC6"/>
    <w:rsid w:val="3D1B504E"/>
    <w:rsid w:val="3D22018A"/>
    <w:rsid w:val="3D295E51"/>
    <w:rsid w:val="3D3B124C"/>
    <w:rsid w:val="3D3B2FFA"/>
    <w:rsid w:val="3D485717"/>
    <w:rsid w:val="3D657A24"/>
    <w:rsid w:val="3D672041"/>
    <w:rsid w:val="3D6B7484"/>
    <w:rsid w:val="3D791D75"/>
    <w:rsid w:val="3D7D76FE"/>
    <w:rsid w:val="3D967432"/>
    <w:rsid w:val="3D9D3CB5"/>
    <w:rsid w:val="3DA17C5A"/>
    <w:rsid w:val="3DA94408"/>
    <w:rsid w:val="3DB66B25"/>
    <w:rsid w:val="3DD82F3F"/>
    <w:rsid w:val="3DE6565C"/>
    <w:rsid w:val="3DE6740A"/>
    <w:rsid w:val="3DE93FE1"/>
    <w:rsid w:val="3DEB0EC4"/>
    <w:rsid w:val="3DEF2039"/>
    <w:rsid w:val="3E0D4ACF"/>
    <w:rsid w:val="3E38014F"/>
    <w:rsid w:val="3E483C21"/>
    <w:rsid w:val="3E5C147A"/>
    <w:rsid w:val="3E66477A"/>
    <w:rsid w:val="3E6B5B61"/>
    <w:rsid w:val="3E770626"/>
    <w:rsid w:val="3E7F160D"/>
    <w:rsid w:val="3EAA6689"/>
    <w:rsid w:val="3ECB63FB"/>
    <w:rsid w:val="3EE94778"/>
    <w:rsid w:val="3EEA77FA"/>
    <w:rsid w:val="3F0E2A92"/>
    <w:rsid w:val="3F0F2990"/>
    <w:rsid w:val="3F253F62"/>
    <w:rsid w:val="3F2921E6"/>
    <w:rsid w:val="3F5356B7"/>
    <w:rsid w:val="3F5F6009"/>
    <w:rsid w:val="3F7857D1"/>
    <w:rsid w:val="3F7D5A4F"/>
    <w:rsid w:val="3F9857F1"/>
    <w:rsid w:val="3F9A21C7"/>
    <w:rsid w:val="3FB13A48"/>
    <w:rsid w:val="3FBF43B6"/>
    <w:rsid w:val="3FCA68B7"/>
    <w:rsid w:val="3FD37E62"/>
    <w:rsid w:val="402D0145"/>
    <w:rsid w:val="403C77B5"/>
    <w:rsid w:val="40525952"/>
    <w:rsid w:val="40555E13"/>
    <w:rsid w:val="407D1B7C"/>
    <w:rsid w:val="40884444"/>
    <w:rsid w:val="40A3112D"/>
    <w:rsid w:val="40A35A86"/>
    <w:rsid w:val="40A73B61"/>
    <w:rsid w:val="40BF3F42"/>
    <w:rsid w:val="40D03769"/>
    <w:rsid w:val="40D53EF1"/>
    <w:rsid w:val="40FB141E"/>
    <w:rsid w:val="411B561D"/>
    <w:rsid w:val="411E0665"/>
    <w:rsid w:val="412B15D8"/>
    <w:rsid w:val="412E12E8"/>
    <w:rsid w:val="4153338C"/>
    <w:rsid w:val="41581D4D"/>
    <w:rsid w:val="41656898"/>
    <w:rsid w:val="418807D8"/>
    <w:rsid w:val="418D4040"/>
    <w:rsid w:val="419B050B"/>
    <w:rsid w:val="41A64EFE"/>
    <w:rsid w:val="41AB2E53"/>
    <w:rsid w:val="41D028AB"/>
    <w:rsid w:val="41E85D9F"/>
    <w:rsid w:val="41F95D14"/>
    <w:rsid w:val="42072045"/>
    <w:rsid w:val="42295B17"/>
    <w:rsid w:val="42336996"/>
    <w:rsid w:val="42447849"/>
    <w:rsid w:val="425F1D5E"/>
    <w:rsid w:val="426173EE"/>
    <w:rsid w:val="426217EC"/>
    <w:rsid w:val="42645957"/>
    <w:rsid w:val="429D6505"/>
    <w:rsid w:val="42CC4BAF"/>
    <w:rsid w:val="42CE4911"/>
    <w:rsid w:val="42DC527F"/>
    <w:rsid w:val="42E171C0"/>
    <w:rsid w:val="42E2739A"/>
    <w:rsid w:val="42ED4D97"/>
    <w:rsid w:val="42F97BDF"/>
    <w:rsid w:val="432A5FEB"/>
    <w:rsid w:val="43452E25"/>
    <w:rsid w:val="43613324"/>
    <w:rsid w:val="4364553F"/>
    <w:rsid w:val="4374370A"/>
    <w:rsid w:val="438307EA"/>
    <w:rsid w:val="438464EE"/>
    <w:rsid w:val="43853221"/>
    <w:rsid w:val="43946695"/>
    <w:rsid w:val="43AD0D2E"/>
    <w:rsid w:val="43BC116F"/>
    <w:rsid w:val="43C81360"/>
    <w:rsid w:val="43F07682"/>
    <w:rsid w:val="4416031D"/>
    <w:rsid w:val="44167F08"/>
    <w:rsid w:val="44175E76"/>
    <w:rsid w:val="44231A85"/>
    <w:rsid w:val="442A3DC9"/>
    <w:rsid w:val="443973A6"/>
    <w:rsid w:val="445E6A7B"/>
    <w:rsid w:val="44703ED1"/>
    <w:rsid w:val="447A4D50"/>
    <w:rsid w:val="448226F3"/>
    <w:rsid w:val="448230D6"/>
    <w:rsid w:val="449C4CC6"/>
    <w:rsid w:val="449F6565"/>
    <w:rsid w:val="44C304A5"/>
    <w:rsid w:val="44C85ABB"/>
    <w:rsid w:val="44CD1324"/>
    <w:rsid w:val="44DD0D17"/>
    <w:rsid w:val="4514674F"/>
    <w:rsid w:val="45187B20"/>
    <w:rsid w:val="451C5E07"/>
    <w:rsid w:val="45237196"/>
    <w:rsid w:val="45275A63"/>
    <w:rsid w:val="4538249B"/>
    <w:rsid w:val="453942C3"/>
    <w:rsid w:val="453C0257"/>
    <w:rsid w:val="453E3FCF"/>
    <w:rsid w:val="454139E1"/>
    <w:rsid w:val="45513D03"/>
    <w:rsid w:val="4565673D"/>
    <w:rsid w:val="45714467"/>
    <w:rsid w:val="4574077E"/>
    <w:rsid w:val="45765517"/>
    <w:rsid w:val="45795008"/>
    <w:rsid w:val="459C78D2"/>
    <w:rsid w:val="459E4A6E"/>
    <w:rsid w:val="45AA241A"/>
    <w:rsid w:val="45B349A0"/>
    <w:rsid w:val="45BE0C6C"/>
    <w:rsid w:val="45C30031"/>
    <w:rsid w:val="46192347"/>
    <w:rsid w:val="46480E8E"/>
    <w:rsid w:val="464F6181"/>
    <w:rsid w:val="465771CD"/>
    <w:rsid w:val="465F51AC"/>
    <w:rsid w:val="46671304"/>
    <w:rsid w:val="467342B8"/>
    <w:rsid w:val="467472D6"/>
    <w:rsid w:val="46963997"/>
    <w:rsid w:val="46B02CAB"/>
    <w:rsid w:val="46D36999"/>
    <w:rsid w:val="46DD3374"/>
    <w:rsid w:val="46E75FA1"/>
    <w:rsid w:val="46F652B0"/>
    <w:rsid w:val="46F9201B"/>
    <w:rsid w:val="47095F17"/>
    <w:rsid w:val="470C09AA"/>
    <w:rsid w:val="470D1EAB"/>
    <w:rsid w:val="473B735A"/>
    <w:rsid w:val="47484C91"/>
    <w:rsid w:val="4749496A"/>
    <w:rsid w:val="474D04FA"/>
    <w:rsid w:val="475950F1"/>
    <w:rsid w:val="47633879"/>
    <w:rsid w:val="4766336A"/>
    <w:rsid w:val="47677A6F"/>
    <w:rsid w:val="47737D22"/>
    <w:rsid w:val="47765D84"/>
    <w:rsid w:val="47942E2B"/>
    <w:rsid w:val="47967CC3"/>
    <w:rsid w:val="47BD582A"/>
    <w:rsid w:val="47C50090"/>
    <w:rsid w:val="47CB7671"/>
    <w:rsid w:val="47CD6F16"/>
    <w:rsid w:val="47D41743"/>
    <w:rsid w:val="47D77568"/>
    <w:rsid w:val="47E25E36"/>
    <w:rsid w:val="48172BDB"/>
    <w:rsid w:val="48223734"/>
    <w:rsid w:val="483B2A48"/>
    <w:rsid w:val="485960BF"/>
    <w:rsid w:val="486C71BD"/>
    <w:rsid w:val="4873378B"/>
    <w:rsid w:val="488A12DA"/>
    <w:rsid w:val="488E2B78"/>
    <w:rsid w:val="489A151D"/>
    <w:rsid w:val="48B40105"/>
    <w:rsid w:val="48B87BF5"/>
    <w:rsid w:val="48D72771"/>
    <w:rsid w:val="48E56510"/>
    <w:rsid w:val="48FD385A"/>
    <w:rsid w:val="493A4AAE"/>
    <w:rsid w:val="495C057F"/>
    <w:rsid w:val="497004D0"/>
    <w:rsid w:val="497E0E3E"/>
    <w:rsid w:val="49836455"/>
    <w:rsid w:val="498668DA"/>
    <w:rsid w:val="49956188"/>
    <w:rsid w:val="49A10689"/>
    <w:rsid w:val="49A85EBB"/>
    <w:rsid w:val="49AB1508"/>
    <w:rsid w:val="49C86FEA"/>
    <w:rsid w:val="49EA0597"/>
    <w:rsid w:val="49F033BE"/>
    <w:rsid w:val="49F41101"/>
    <w:rsid w:val="4A0961E3"/>
    <w:rsid w:val="4A103FFC"/>
    <w:rsid w:val="4A183041"/>
    <w:rsid w:val="4A205A52"/>
    <w:rsid w:val="4A36754D"/>
    <w:rsid w:val="4A4819F8"/>
    <w:rsid w:val="4A5B4CDC"/>
    <w:rsid w:val="4A5E3F5D"/>
    <w:rsid w:val="4A6A1427"/>
    <w:rsid w:val="4A730277"/>
    <w:rsid w:val="4A8C758B"/>
    <w:rsid w:val="4A965D14"/>
    <w:rsid w:val="4AD802FB"/>
    <w:rsid w:val="4AE42F23"/>
    <w:rsid w:val="4AE83C54"/>
    <w:rsid w:val="4AEB5E99"/>
    <w:rsid w:val="4AF0226F"/>
    <w:rsid w:val="4AF97A1B"/>
    <w:rsid w:val="4B06733D"/>
    <w:rsid w:val="4B0B6702"/>
    <w:rsid w:val="4B0C5FD6"/>
    <w:rsid w:val="4B1E0FA9"/>
    <w:rsid w:val="4B206D94"/>
    <w:rsid w:val="4B215F25"/>
    <w:rsid w:val="4B2C3CC2"/>
    <w:rsid w:val="4B321EE0"/>
    <w:rsid w:val="4B3841EE"/>
    <w:rsid w:val="4B49722A"/>
    <w:rsid w:val="4B4C6376"/>
    <w:rsid w:val="4B6127C6"/>
    <w:rsid w:val="4B6776C2"/>
    <w:rsid w:val="4B751DCD"/>
    <w:rsid w:val="4B75350F"/>
    <w:rsid w:val="4B814C16"/>
    <w:rsid w:val="4B893ACB"/>
    <w:rsid w:val="4B9F32EE"/>
    <w:rsid w:val="4BAB3530"/>
    <w:rsid w:val="4BB548C0"/>
    <w:rsid w:val="4BC36D42"/>
    <w:rsid w:val="4BE40D01"/>
    <w:rsid w:val="4BEB6533"/>
    <w:rsid w:val="4BEC408D"/>
    <w:rsid w:val="4BF076A6"/>
    <w:rsid w:val="4C0A1121"/>
    <w:rsid w:val="4C0C15B0"/>
    <w:rsid w:val="4C161AF1"/>
    <w:rsid w:val="4C222B32"/>
    <w:rsid w:val="4C285091"/>
    <w:rsid w:val="4C416153"/>
    <w:rsid w:val="4C417B78"/>
    <w:rsid w:val="4C5365B2"/>
    <w:rsid w:val="4C853291"/>
    <w:rsid w:val="4C8F07C2"/>
    <w:rsid w:val="4C924E2D"/>
    <w:rsid w:val="4C9D5A7F"/>
    <w:rsid w:val="4CAD6756"/>
    <w:rsid w:val="4CD910BC"/>
    <w:rsid w:val="4CDB6938"/>
    <w:rsid w:val="4CE74F4D"/>
    <w:rsid w:val="4D111FCA"/>
    <w:rsid w:val="4D1B2F53"/>
    <w:rsid w:val="4D221BC2"/>
    <w:rsid w:val="4D4B54DB"/>
    <w:rsid w:val="4D555D91"/>
    <w:rsid w:val="4D565C2E"/>
    <w:rsid w:val="4D61085B"/>
    <w:rsid w:val="4D624D8F"/>
    <w:rsid w:val="4D667004"/>
    <w:rsid w:val="4D6B0035"/>
    <w:rsid w:val="4D6D43F9"/>
    <w:rsid w:val="4D8436AA"/>
    <w:rsid w:val="4D866514"/>
    <w:rsid w:val="4D930C30"/>
    <w:rsid w:val="4D9C7AE5"/>
    <w:rsid w:val="4D9E6DD4"/>
    <w:rsid w:val="4DB210B7"/>
    <w:rsid w:val="4DC1754C"/>
    <w:rsid w:val="4DD54DA5"/>
    <w:rsid w:val="4DE33966"/>
    <w:rsid w:val="4DE44C41"/>
    <w:rsid w:val="4DE76FC7"/>
    <w:rsid w:val="4DEB6377"/>
    <w:rsid w:val="4DF06083"/>
    <w:rsid w:val="4DFA2A5E"/>
    <w:rsid w:val="4DFA66E6"/>
    <w:rsid w:val="4E065CB6"/>
    <w:rsid w:val="4E0E4BB5"/>
    <w:rsid w:val="4E200716"/>
    <w:rsid w:val="4E30022D"/>
    <w:rsid w:val="4E482208"/>
    <w:rsid w:val="4E4F2DA9"/>
    <w:rsid w:val="4E5401B4"/>
    <w:rsid w:val="4E5B57DC"/>
    <w:rsid w:val="4E6D5DEE"/>
    <w:rsid w:val="4E740A62"/>
    <w:rsid w:val="4E766588"/>
    <w:rsid w:val="4E86700B"/>
    <w:rsid w:val="4EA6788D"/>
    <w:rsid w:val="4EB470B0"/>
    <w:rsid w:val="4EC76DE4"/>
    <w:rsid w:val="4EFE6975"/>
    <w:rsid w:val="4F1815E2"/>
    <w:rsid w:val="4F183BE6"/>
    <w:rsid w:val="4F336227"/>
    <w:rsid w:val="4F4F73A1"/>
    <w:rsid w:val="4F8E7901"/>
    <w:rsid w:val="4F9249BF"/>
    <w:rsid w:val="4F9B059D"/>
    <w:rsid w:val="4FC55C25"/>
    <w:rsid w:val="4FCE41A2"/>
    <w:rsid w:val="4FD866CB"/>
    <w:rsid w:val="4FDC68BF"/>
    <w:rsid w:val="4FE94B38"/>
    <w:rsid w:val="4FEA5EB5"/>
    <w:rsid w:val="4FEB04D3"/>
    <w:rsid w:val="4FF9121F"/>
    <w:rsid w:val="501740DB"/>
    <w:rsid w:val="505B3C87"/>
    <w:rsid w:val="505D7058"/>
    <w:rsid w:val="507A1C34"/>
    <w:rsid w:val="509C7DFC"/>
    <w:rsid w:val="50B43398"/>
    <w:rsid w:val="50C00528"/>
    <w:rsid w:val="50C11611"/>
    <w:rsid w:val="50C25AB5"/>
    <w:rsid w:val="50C35389"/>
    <w:rsid w:val="50D137D5"/>
    <w:rsid w:val="50DA1F20"/>
    <w:rsid w:val="50EA7AC7"/>
    <w:rsid w:val="50F84F5E"/>
    <w:rsid w:val="51112598"/>
    <w:rsid w:val="51206ED5"/>
    <w:rsid w:val="51422684"/>
    <w:rsid w:val="514C35D0"/>
    <w:rsid w:val="51667392"/>
    <w:rsid w:val="51825244"/>
    <w:rsid w:val="51897AC8"/>
    <w:rsid w:val="51A822A4"/>
    <w:rsid w:val="51B01DB1"/>
    <w:rsid w:val="51BC4CC0"/>
    <w:rsid w:val="51DA6E2E"/>
    <w:rsid w:val="51FC0A11"/>
    <w:rsid w:val="521C7446"/>
    <w:rsid w:val="523A6854"/>
    <w:rsid w:val="52417FCB"/>
    <w:rsid w:val="526606C2"/>
    <w:rsid w:val="528172AA"/>
    <w:rsid w:val="529A4BAD"/>
    <w:rsid w:val="529C1904"/>
    <w:rsid w:val="529F12A2"/>
    <w:rsid w:val="52B753C1"/>
    <w:rsid w:val="530138E1"/>
    <w:rsid w:val="530F0D59"/>
    <w:rsid w:val="530F6FAB"/>
    <w:rsid w:val="531613D5"/>
    <w:rsid w:val="5324020D"/>
    <w:rsid w:val="532A5B93"/>
    <w:rsid w:val="533267F6"/>
    <w:rsid w:val="535E4700"/>
    <w:rsid w:val="536B2FE6"/>
    <w:rsid w:val="536E3CD2"/>
    <w:rsid w:val="5373753A"/>
    <w:rsid w:val="537D5CC3"/>
    <w:rsid w:val="53A179EC"/>
    <w:rsid w:val="53A6107E"/>
    <w:rsid w:val="53BB4A3D"/>
    <w:rsid w:val="53E24C4B"/>
    <w:rsid w:val="53F37C05"/>
    <w:rsid w:val="540B7EB5"/>
    <w:rsid w:val="540E1011"/>
    <w:rsid w:val="540F6177"/>
    <w:rsid w:val="54160E79"/>
    <w:rsid w:val="54297BF9"/>
    <w:rsid w:val="5436445F"/>
    <w:rsid w:val="543C12FF"/>
    <w:rsid w:val="543F7869"/>
    <w:rsid w:val="544B5DC1"/>
    <w:rsid w:val="545033D7"/>
    <w:rsid w:val="54A92FF0"/>
    <w:rsid w:val="54D20290"/>
    <w:rsid w:val="54D27ABC"/>
    <w:rsid w:val="54D67D81"/>
    <w:rsid w:val="54E2482B"/>
    <w:rsid w:val="54E56216"/>
    <w:rsid w:val="54F47B28"/>
    <w:rsid w:val="54F705CE"/>
    <w:rsid w:val="550F6DEF"/>
    <w:rsid w:val="553B73E2"/>
    <w:rsid w:val="554051FA"/>
    <w:rsid w:val="55473338"/>
    <w:rsid w:val="55833339"/>
    <w:rsid w:val="559429E6"/>
    <w:rsid w:val="55B41744"/>
    <w:rsid w:val="55C82660"/>
    <w:rsid w:val="55FC07CB"/>
    <w:rsid w:val="560721BC"/>
    <w:rsid w:val="56147944"/>
    <w:rsid w:val="561F12B3"/>
    <w:rsid w:val="562B7C58"/>
    <w:rsid w:val="563D798B"/>
    <w:rsid w:val="56561738"/>
    <w:rsid w:val="56602B8B"/>
    <w:rsid w:val="56617B1E"/>
    <w:rsid w:val="56763E09"/>
    <w:rsid w:val="568071EB"/>
    <w:rsid w:val="568E3A93"/>
    <w:rsid w:val="568E457A"/>
    <w:rsid w:val="56B52D87"/>
    <w:rsid w:val="56BB0011"/>
    <w:rsid w:val="56C1680E"/>
    <w:rsid w:val="56CC00BF"/>
    <w:rsid w:val="56EF6ED8"/>
    <w:rsid w:val="570979E2"/>
    <w:rsid w:val="571C3A45"/>
    <w:rsid w:val="571C57F3"/>
    <w:rsid w:val="571D1826"/>
    <w:rsid w:val="5723395A"/>
    <w:rsid w:val="57362D58"/>
    <w:rsid w:val="573C5E95"/>
    <w:rsid w:val="5743331B"/>
    <w:rsid w:val="57541431"/>
    <w:rsid w:val="575431DF"/>
    <w:rsid w:val="576462DE"/>
    <w:rsid w:val="57737EC4"/>
    <w:rsid w:val="577C1537"/>
    <w:rsid w:val="578516B6"/>
    <w:rsid w:val="5785783C"/>
    <w:rsid w:val="57947A7F"/>
    <w:rsid w:val="57A86BE1"/>
    <w:rsid w:val="57C23D14"/>
    <w:rsid w:val="57CB5B25"/>
    <w:rsid w:val="57E44562"/>
    <w:rsid w:val="57EB4490"/>
    <w:rsid w:val="57EC1669"/>
    <w:rsid w:val="57F1750A"/>
    <w:rsid w:val="580449F9"/>
    <w:rsid w:val="582C5F09"/>
    <w:rsid w:val="582F20A8"/>
    <w:rsid w:val="58311772"/>
    <w:rsid w:val="58337298"/>
    <w:rsid w:val="584F47F1"/>
    <w:rsid w:val="58873140"/>
    <w:rsid w:val="58935F89"/>
    <w:rsid w:val="58A63441"/>
    <w:rsid w:val="58A8428D"/>
    <w:rsid w:val="58BF28DA"/>
    <w:rsid w:val="58D00AF4"/>
    <w:rsid w:val="58DE1D8C"/>
    <w:rsid w:val="58E529E1"/>
    <w:rsid w:val="58F06F37"/>
    <w:rsid w:val="58F44C79"/>
    <w:rsid w:val="5919648E"/>
    <w:rsid w:val="591A5DA5"/>
    <w:rsid w:val="592F7F3A"/>
    <w:rsid w:val="59337D32"/>
    <w:rsid w:val="597E42AD"/>
    <w:rsid w:val="598973FA"/>
    <w:rsid w:val="598A550B"/>
    <w:rsid w:val="599C09DC"/>
    <w:rsid w:val="599D70BF"/>
    <w:rsid w:val="59A672D9"/>
    <w:rsid w:val="59BA6FCD"/>
    <w:rsid w:val="59BE5DFE"/>
    <w:rsid w:val="59CC3500"/>
    <w:rsid w:val="59D14FBA"/>
    <w:rsid w:val="59EE3017"/>
    <w:rsid w:val="59F1323B"/>
    <w:rsid w:val="5A0D0436"/>
    <w:rsid w:val="5A2C0443"/>
    <w:rsid w:val="5A5B2AD6"/>
    <w:rsid w:val="5A7B0A82"/>
    <w:rsid w:val="5A86410C"/>
    <w:rsid w:val="5A9B2ED2"/>
    <w:rsid w:val="5AAE0E58"/>
    <w:rsid w:val="5AC32B55"/>
    <w:rsid w:val="5ADF3707"/>
    <w:rsid w:val="5AF56A87"/>
    <w:rsid w:val="5AFE1DDF"/>
    <w:rsid w:val="5B0B3866"/>
    <w:rsid w:val="5B1433B1"/>
    <w:rsid w:val="5B15722A"/>
    <w:rsid w:val="5B1E5FDD"/>
    <w:rsid w:val="5B264B73"/>
    <w:rsid w:val="5B2A2BD4"/>
    <w:rsid w:val="5B5F1393"/>
    <w:rsid w:val="5B5F2152"/>
    <w:rsid w:val="5B6B6D49"/>
    <w:rsid w:val="5B8D6C73"/>
    <w:rsid w:val="5B9535F4"/>
    <w:rsid w:val="5B991B08"/>
    <w:rsid w:val="5B9938B6"/>
    <w:rsid w:val="5BAF6C35"/>
    <w:rsid w:val="5BBA337A"/>
    <w:rsid w:val="5BC528FD"/>
    <w:rsid w:val="5BC8419B"/>
    <w:rsid w:val="5BD26DC8"/>
    <w:rsid w:val="5BDE576D"/>
    <w:rsid w:val="5C0B4CB9"/>
    <w:rsid w:val="5C0D0AE7"/>
    <w:rsid w:val="5C2018E1"/>
    <w:rsid w:val="5C2C0286"/>
    <w:rsid w:val="5C2C297C"/>
    <w:rsid w:val="5C2E2250"/>
    <w:rsid w:val="5C753B41"/>
    <w:rsid w:val="5C7D31D8"/>
    <w:rsid w:val="5C870D7B"/>
    <w:rsid w:val="5CC76A05"/>
    <w:rsid w:val="5CE05C01"/>
    <w:rsid w:val="5D1C654D"/>
    <w:rsid w:val="5D2015DA"/>
    <w:rsid w:val="5D213B63"/>
    <w:rsid w:val="5D226CFA"/>
    <w:rsid w:val="5D2C2695"/>
    <w:rsid w:val="5D2D69AC"/>
    <w:rsid w:val="5D300B5B"/>
    <w:rsid w:val="5D912C18"/>
    <w:rsid w:val="5D9702C9"/>
    <w:rsid w:val="5DB91FED"/>
    <w:rsid w:val="5DC07B22"/>
    <w:rsid w:val="5DC2175C"/>
    <w:rsid w:val="5DF63972"/>
    <w:rsid w:val="5DFC012C"/>
    <w:rsid w:val="5E080D42"/>
    <w:rsid w:val="5E0A45F7"/>
    <w:rsid w:val="5E2E0A91"/>
    <w:rsid w:val="5E345B18"/>
    <w:rsid w:val="5E36132D"/>
    <w:rsid w:val="5E451AD3"/>
    <w:rsid w:val="5E47286C"/>
    <w:rsid w:val="5ED6597D"/>
    <w:rsid w:val="5EDA66BF"/>
    <w:rsid w:val="5EDD61AF"/>
    <w:rsid w:val="5EFC6636"/>
    <w:rsid w:val="5F076D88"/>
    <w:rsid w:val="5F466AE0"/>
    <w:rsid w:val="5F5F532C"/>
    <w:rsid w:val="5F6D308F"/>
    <w:rsid w:val="5F7466FE"/>
    <w:rsid w:val="5F783A8D"/>
    <w:rsid w:val="5F7A755A"/>
    <w:rsid w:val="5F863542"/>
    <w:rsid w:val="5F8F71AA"/>
    <w:rsid w:val="5FAE4D62"/>
    <w:rsid w:val="5FB20274"/>
    <w:rsid w:val="5FC7362A"/>
    <w:rsid w:val="5FCA04E2"/>
    <w:rsid w:val="5FEB709A"/>
    <w:rsid w:val="5FF230BA"/>
    <w:rsid w:val="5FFC7BC4"/>
    <w:rsid w:val="60182CB2"/>
    <w:rsid w:val="60287A9B"/>
    <w:rsid w:val="60326810"/>
    <w:rsid w:val="6042451C"/>
    <w:rsid w:val="60687CFB"/>
    <w:rsid w:val="60835BF8"/>
    <w:rsid w:val="60BF3FB3"/>
    <w:rsid w:val="60D62EB6"/>
    <w:rsid w:val="60F021CA"/>
    <w:rsid w:val="60FB0B6F"/>
    <w:rsid w:val="610619ED"/>
    <w:rsid w:val="61145414"/>
    <w:rsid w:val="613C6465"/>
    <w:rsid w:val="613D4CE3"/>
    <w:rsid w:val="61442516"/>
    <w:rsid w:val="614D13CA"/>
    <w:rsid w:val="61776447"/>
    <w:rsid w:val="618D5C6B"/>
    <w:rsid w:val="61A63E4C"/>
    <w:rsid w:val="61B11E8D"/>
    <w:rsid w:val="61CD42B9"/>
    <w:rsid w:val="61F555BE"/>
    <w:rsid w:val="62035F2D"/>
    <w:rsid w:val="62057D23"/>
    <w:rsid w:val="621C5BA9"/>
    <w:rsid w:val="62203C3B"/>
    <w:rsid w:val="62427522"/>
    <w:rsid w:val="624F23FA"/>
    <w:rsid w:val="62514EEA"/>
    <w:rsid w:val="62736350"/>
    <w:rsid w:val="62763D02"/>
    <w:rsid w:val="628506F0"/>
    <w:rsid w:val="62CC2BB0"/>
    <w:rsid w:val="62EB3A25"/>
    <w:rsid w:val="63185A08"/>
    <w:rsid w:val="6320666B"/>
    <w:rsid w:val="632C5010"/>
    <w:rsid w:val="635522C2"/>
    <w:rsid w:val="63712083"/>
    <w:rsid w:val="6379289B"/>
    <w:rsid w:val="63936E3D"/>
    <w:rsid w:val="63B70F3D"/>
    <w:rsid w:val="63BA479C"/>
    <w:rsid w:val="63C139AA"/>
    <w:rsid w:val="63D00091"/>
    <w:rsid w:val="63F35B2D"/>
    <w:rsid w:val="640A5918"/>
    <w:rsid w:val="640D6BEF"/>
    <w:rsid w:val="64265F03"/>
    <w:rsid w:val="6432550D"/>
    <w:rsid w:val="64371EBE"/>
    <w:rsid w:val="64426DE8"/>
    <w:rsid w:val="644F5459"/>
    <w:rsid w:val="64686B51"/>
    <w:rsid w:val="646B664C"/>
    <w:rsid w:val="64705BB0"/>
    <w:rsid w:val="647C1FC7"/>
    <w:rsid w:val="648D7D30"/>
    <w:rsid w:val="64B140D9"/>
    <w:rsid w:val="64B4710A"/>
    <w:rsid w:val="64B90B25"/>
    <w:rsid w:val="64BE613B"/>
    <w:rsid w:val="64C50E7F"/>
    <w:rsid w:val="64D771FD"/>
    <w:rsid w:val="64DB4F3F"/>
    <w:rsid w:val="64E33DF4"/>
    <w:rsid w:val="65006754"/>
    <w:rsid w:val="651122B9"/>
    <w:rsid w:val="6515681C"/>
    <w:rsid w:val="65202952"/>
    <w:rsid w:val="652E506F"/>
    <w:rsid w:val="65406093"/>
    <w:rsid w:val="65420B1A"/>
    <w:rsid w:val="655C3587"/>
    <w:rsid w:val="65771194"/>
    <w:rsid w:val="65886897"/>
    <w:rsid w:val="659770B8"/>
    <w:rsid w:val="65A2780B"/>
    <w:rsid w:val="65B512EC"/>
    <w:rsid w:val="65B84696"/>
    <w:rsid w:val="65C8329B"/>
    <w:rsid w:val="65F904A0"/>
    <w:rsid w:val="65FE27D6"/>
    <w:rsid w:val="66044E06"/>
    <w:rsid w:val="66197FF3"/>
    <w:rsid w:val="66496A71"/>
    <w:rsid w:val="664F7370"/>
    <w:rsid w:val="665E0712"/>
    <w:rsid w:val="6670060B"/>
    <w:rsid w:val="66967370"/>
    <w:rsid w:val="66AA10EB"/>
    <w:rsid w:val="66C537B1"/>
    <w:rsid w:val="66D103A8"/>
    <w:rsid w:val="66E005EB"/>
    <w:rsid w:val="66E16111"/>
    <w:rsid w:val="66F37636"/>
    <w:rsid w:val="670A2DA3"/>
    <w:rsid w:val="672F370F"/>
    <w:rsid w:val="673427AB"/>
    <w:rsid w:val="67472418"/>
    <w:rsid w:val="67584791"/>
    <w:rsid w:val="676273A8"/>
    <w:rsid w:val="67682CA4"/>
    <w:rsid w:val="677A0EB9"/>
    <w:rsid w:val="67857ECE"/>
    <w:rsid w:val="67B101D9"/>
    <w:rsid w:val="67B75B18"/>
    <w:rsid w:val="67B850C4"/>
    <w:rsid w:val="67C972D1"/>
    <w:rsid w:val="67CC0B6F"/>
    <w:rsid w:val="67DD2D7C"/>
    <w:rsid w:val="67E91721"/>
    <w:rsid w:val="67F5225C"/>
    <w:rsid w:val="680341FF"/>
    <w:rsid w:val="68047157"/>
    <w:rsid w:val="68057461"/>
    <w:rsid w:val="680A680D"/>
    <w:rsid w:val="680E1188"/>
    <w:rsid w:val="681A17B6"/>
    <w:rsid w:val="68264723"/>
    <w:rsid w:val="6828049B"/>
    <w:rsid w:val="68460921"/>
    <w:rsid w:val="68531770"/>
    <w:rsid w:val="68531926"/>
    <w:rsid w:val="68866F70"/>
    <w:rsid w:val="688B4586"/>
    <w:rsid w:val="689A6532"/>
    <w:rsid w:val="689D73CB"/>
    <w:rsid w:val="68A044D6"/>
    <w:rsid w:val="68A35D74"/>
    <w:rsid w:val="68A4505F"/>
    <w:rsid w:val="68B329D2"/>
    <w:rsid w:val="68BC01F8"/>
    <w:rsid w:val="68E02A60"/>
    <w:rsid w:val="68EC771B"/>
    <w:rsid w:val="69015A74"/>
    <w:rsid w:val="6917406C"/>
    <w:rsid w:val="6942099E"/>
    <w:rsid w:val="695D4175"/>
    <w:rsid w:val="698931BC"/>
    <w:rsid w:val="699D0A15"/>
    <w:rsid w:val="69A00505"/>
    <w:rsid w:val="69A22C77"/>
    <w:rsid w:val="69A2427D"/>
    <w:rsid w:val="69B52BEE"/>
    <w:rsid w:val="69BA1345"/>
    <w:rsid w:val="69D07FD1"/>
    <w:rsid w:val="69F566F5"/>
    <w:rsid w:val="69FA7C16"/>
    <w:rsid w:val="6A170B7C"/>
    <w:rsid w:val="6A2151A2"/>
    <w:rsid w:val="6A2627B9"/>
    <w:rsid w:val="6A2702BC"/>
    <w:rsid w:val="6A331379"/>
    <w:rsid w:val="6A3C1FDC"/>
    <w:rsid w:val="6A4D4DF7"/>
    <w:rsid w:val="6A577A5F"/>
    <w:rsid w:val="6A5F603D"/>
    <w:rsid w:val="6A647785"/>
    <w:rsid w:val="6A701C86"/>
    <w:rsid w:val="6A894DD0"/>
    <w:rsid w:val="6A8D0A8A"/>
    <w:rsid w:val="6A9E2C97"/>
    <w:rsid w:val="6AB763D1"/>
    <w:rsid w:val="6AB83C70"/>
    <w:rsid w:val="6AC01C35"/>
    <w:rsid w:val="6AC27BFE"/>
    <w:rsid w:val="6AC93F86"/>
    <w:rsid w:val="6ADB13C7"/>
    <w:rsid w:val="6AFE7291"/>
    <w:rsid w:val="6B0A0260"/>
    <w:rsid w:val="6B0D2C0B"/>
    <w:rsid w:val="6B160A7F"/>
    <w:rsid w:val="6B1747F7"/>
    <w:rsid w:val="6B19231D"/>
    <w:rsid w:val="6B2651E0"/>
    <w:rsid w:val="6B301415"/>
    <w:rsid w:val="6B3772C0"/>
    <w:rsid w:val="6B40026D"/>
    <w:rsid w:val="6B403B5A"/>
    <w:rsid w:val="6B421426"/>
    <w:rsid w:val="6B513642"/>
    <w:rsid w:val="6B5965FE"/>
    <w:rsid w:val="6B5C6B1E"/>
    <w:rsid w:val="6B5E41D4"/>
    <w:rsid w:val="6B75402F"/>
    <w:rsid w:val="6B8005EE"/>
    <w:rsid w:val="6B83272F"/>
    <w:rsid w:val="6B856526"/>
    <w:rsid w:val="6B9B310B"/>
    <w:rsid w:val="6BA51E03"/>
    <w:rsid w:val="6BB65DBE"/>
    <w:rsid w:val="6BB67B6C"/>
    <w:rsid w:val="6BE21A40"/>
    <w:rsid w:val="6BEB5EDE"/>
    <w:rsid w:val="6BF16DF6"/>
    <w:rsid w:val="6C20659F"/>
    <w:rsid w:val="6C234C1E"/>
    <w:rsid w:val="6C2E3BA6"/>
    <w:rsid w:val="6C375151"/>
    <w:rsid w:val="6C3C47B3"/>
    <w:rsid w:val="6C4433CA"/>
    <w:rsid w:val="6C4909E0"/>
    <w:rsid w:val="6C496C32"/>
    <w:rsid w:val="6C832144"/>
    <w:rsid w:val="6C937EAD"/>
    <w:rsid w:val="6C9D0D2C"/>
    <w:rsid w:val="6CD01102"/>
    <w:rsid w:val="6CD75FEC"/>
    <w:rsid w:val="6CDE5254"/>
    <w:rsid w:val="6CDE737B"/>
    <w:rsid w:val="6CE24244"/>
    <w:rsid w:val="6CEB3CD6"/>
    <w:rsid w:val="6D176D30"/>
    <w:rsid w:val="6D1F7993"/>
    <w:rsid w:val="6D2232F1"/>
    <w:rsid w:val="6D4A0EB4"/>
    <w:rsid w:val="6D975A3E"/>
    <w:rsid w:val="6D9914F3"/>
    <w:rsid w:val="6DA265FA"/>
    <w:rsid w:val="6DAD528E"/>
    <w:rsid w:val="6DBF7D15"/>
    <w:rsid w:val="6DDB21D3"/>
    <w:rsid w:val="6DDF5000"/>
    <w:rsid w:val="6DE24C48"/>
    <w:rsid w:val="6DFC5585"/>
    <w:rsid w:val="6E07720A"/>
    <w:rsid w:val="6E160D96"/>
    <w:rsid w:val="6E1F3036"/>
    <w:rsid w:val="6E2C05BA"/>
    <w:rsid w:val="6E3000AA"/>
    <w:rsid w:val="6E3B3456"/>
    <w:rsid w:val="6E4E22DE"/>
    <w:rsid w:val="6E645FA5"/>
    <w:rsid w:val="6E6C300B"/>
    <w:rsid w:val="6E751F61"/>
    <w:rsid w:val="6E810366"/>
    <w:rsid w:val="6E881C94"/>
    <w:rsid w:val="6EA43CDE"/>
    <w:rsid w:val="6EA92904"/>
    <w:rsid w:val="6EB25ECF"/>
    <w:rsid w:val="6EC364B5"/>
    <w:rsid w:val="6EC407F2"/>
    <w:rsid w:val="6EE449F0"/>
    <w:rsid w:val="6EF62128"/>
    <w:rsid w:val="6EFC7460"/>
    <w:rsid w:val="6F3239AE"/>
    <w:rsid w:val="6F4C2993"/>
    <w:rsid w:val="6F5F0599"/>
    <w:rsid w:val="6F60676D"/>
    <w:rsid w:val="6F765F90"/>
    <w:rsid w:val="6F7B35A7"/>
    <w:rsid w:val="6F916C62"/>
    <w:rsid w:val="6FB22D40"/>
    <w:rsid w:val="6FDC1B6B"/>
    <w:rsid w:val="6FE0165C"/>
    <w:rsid w:val="6FE90800"/>
    <w:rsid w:val="701D465E"/>
    <w:rsid w:val="7023779A"/>
    <w:rsid w:val="702754DC"/>
    <w:rsid w:val="70281CF1"/>
    <w:rsid w:val="7029760B"/>
    <w:rsid w:val="702F4391"/>
    <w:rsid w:val="705B0CE2"/>
    <w:rsid w:val="70642CD4"/>
    <w:rsid w:val="706C2EEF"/>
    <w:rsid w:val="706E4EB9"/>
    <w:rsid w:val="707B1384"/>
    <w:rsid w:val="70843418"/>
    <w:rsid w:val="708B7706"/>
    <w:rsid w:val="70B97A34"/>
    <w:rsid w:val="70BE3020"/>
    <w:rsid w:val="70C42D2B"/>
    <w:rsid w:val="70E178AF"/>
    <w:rsid w:val="70E21403"/>
    <w:rsid w:val="70F84783"/>
    <w:rsid w:val="70F97914"/>
    <w:rsid w:val="71125845"/>
    <w:rsid w:val="7113780F"/>
    <w:rsid w:val="713752AB"/>
    <w:rsid w:val="71561E1E"/>
    <w:rsid w:val="716360A0"/>
    <w:rsid w:val="716F713B"/>
    <w:rsid w:val="717B209F"/>
    <w:rsid w:val="718521EA"/>
    <w:rsid w:val="719646C8"/>
    <w:rsid w:val="71A1306D"/>
    <w:rsid w:val="71A861A9"/>
    <w:rsid w:val="71CA25C3"/>
    <w:rsid w:val="71D76A8E"/>
    <w:rsid w:val="71EB604A"/>
    <w:rsid w:val="720C2AB9"/>
    <w:rsid w:val="72182020"/>
    <w:rsid w:val="7218332F"/>
    <w:rsid w:val="72225F5B"/>
    <w:rsid w:val="72273572"/>
    <w:rsid w:val="72281098"/>
    <w:rsid w:val="7238752D"/>
    <w:rsid w:val="723F4D5F"/>
    <w:rsid w:val="72427205"/>
    <w:rsid w:val="72533BCF"/>
    <w:rsid w:val="725620A9"/>
    <w:rsid w:val="725B146D"/>
    <w:rsid w:val="725D3437"/>
    <w:rsid w:val="72A52E67"/>
    <w:rsid w:val="72CB03A1"/>
    <w:rsid w:val="72D03C09"/>
    <w:rsid w:val="72F37EB8"/>
    <w:rsid w:val="72F71196"/>
    <w:rsid w:val="73190D85"/>
    <w:rsid w:val="731F693F"/>
    <w:rsid w:val="732E6B82"/>
    <w:rsid w:val="734A5720"/>
    <w:rsid w:val="734C3D25"/>
    <w:rsid w:val="73634A7D"/>
    <w:rsid w:val="736425A4"/>
    <w:rsid w:val="7372081D"/>
    <w:rsid w:val="738343C3"/>
    <w:rsid w:val="739856E8"/>
    <w:rsid w:val="739A3465"/>
    <w:rsid w:val="73B1312C"/>
    <w:rsid w:val="73F90F3E"/>
    <w:rsid w:val="73FD6130"/>
    <w:rsid w:val="7419338E"/>
    <w:rsid w:val="74201604"/>
    <w:rsid w:val="74341F76"/>
    <w:rsid w:val="74485A21"/>
    <w:rsid w:val="745A1D70"/>
    <w:rsid w:val="745D7A02"/>
    <w:rsid w:val="746E5488"/>
    <w:rsid w:val="748C2DA2"/>
    <w:rsid w:val="74BE7A92"/>
    <w:rsid w:val="74D42813"/>
    <w:rsid w:val="750D2EF3"/>
    <w:rsid w:val="751F654B"/>
    <w:rsid w:val="752D5343"/>
    <w:rsid w:val="75322959"/>
    <w:rsid w:val="753C5586"/>
    <w:rsid w:val="75411AB6"/>
    <w:rsid w:val="754F09DB"/>
    <w:rsid w:val="75667C86"/>
    <w:rsid w:val="75686BCC"/>
    <w:rsid w:val="75693EA1"/>
    <w:rsid w:val="75752846"/>
    <w:rsid w:val="75842A89"/>
    <w:rsid w:val="75932CCC"/>
    <w:rsid w:val="75AF45AE"/>
    <w:rsid w:val="75B275F6"/>
    <w:rsid w:val="75D237F5"/>
    <w:rsid w:val="75DE03EB"/>
    <w:rsid w:val="75E55456"/>
    <w:rsid w:val="760D7FB3"/>
    <w:rsid w:val="76391AC6"/>
    <w:rsid w:val="764346F2"/>
    <w:rsid w:val="7645046A"/>
    <w:rsid w:val="764C557E"/>
    <w:rsid w:val="765C57B4"/>
    <w:rsid w:val="767174B1"/>
    <w:rsid w:val="76780840"/>
    <w:rsid w:val="76783F68"/>
    <w:rsid w:val="76793892"/>
    <w:rsid w:val="76903064"/>
    <w:rsid w:val="76941B1A"/>
    <w:rsid w:val="76AD7DBE"/>
    <w:rsid w:val="76DE441B"/>
    <w:rsid w:val="76E45ED5"/>
    <w:rsid w:val="770D1EB1"/>
    <w:rsid w:val="770F2014"/>
    <w:rsid w:val="77147E3D"/>
    <w:rsid w:val="771A3ADA"/>
    <w:rsid w:val="7725204A"/>
    <w:rsid w:val="7730111A"/>
    <w:rsid w:val="77391FC6"/>
    <w:rsid w:val="773D3837"/>
    <w:rsid w:val="7746449A"/>
    <w:rsid w:val="77551879"/>
    <w:rsid w:val="776668EA"/>
    <w:rsid w:val="776963DA"/>
    <w:rsid w:val="776D0DB5"/>
    <w:rsid w:val="779C40BA"/>
    <w:rsid w:val="779F1CDF"/>
    <w:rsid w:val="77AB69F3"/>
    <w:rsid w:val="77B07A95"/>
    <w:rsid w:val="77B72D5D"/>
    <w:rsid w:val="77C6382D"/>
    <w:rsid w:val="77D20F95"/>
    <w:rsid w:val="77E048EF"/>
    <w:rsid w:val="78052DD9"/>
    <w:rsid w:val="780C3B22"/>
    <w:rsid w:val="787D038F"/>
    <w:rsid w:val="788C64C4"/>
    <w:rsid w:val="78960636"/>
    <w:rsid w:val="789F0530"/>
    <w:rsid w:val="78AC169E"/>
    <w:rsid w:val="78B96EEE"/>
    <w:rsid w:val="78C0027C"/>
    <w:rsid w:val="78CA55CE"/>
    <w:rsid w:val="78DC11E9"/>
    <w:rsid w:val="78EF46BD"/>
    <w:rsid w:val="78F9488B"/>
    <w:rsid w:val="78FB12B4"/>
    <w:rsid w:val="79074B53"/>
    <w:rsid w:val="790E7239"/>
    <w:rsid w:val="791F31F5"/>
    <w:rsid w:val="79257DFE"/>
    <w:rsid w:val="793A6280"/>
    <w:rsid w:val="794C5FB4"/>
    <w:rsid w:val="79716072"/>
    <w:rsid w:val="797A667D"/>
    <w:rsid w:val="797D43BF"/>
    <w:rsid w:val="798471EA"/>
    <w:rsid w:val="79870D9A"/>
    <w:rsid w:val="7997722F"/>
    <w:rsid w:val="79993610"/>
    <w:rsid w:val="79B81A3C"/>
    <w:rsid w:val="79C478F8"/>
    <w:rsid w:val="79DD60B2"/>
    <w:rsid w:val="79EA1A55"/>
    <w:rsid w:val="79FA5A10"/>
    <w:rsid w:val="79FF6B82"/>
    <w:rsid w:val="7A2D118F"/>
    <w:rsid w:val="7A356A48"/>
    <w:rsid w:val="7A454EDD"/>
    <w:rsid w:val="7A551C2F"/>
    <w:rsid w:val="7A5769BE"/>
    <w:rsid w:val="7A8157E9"/>
    <w:rsid w:val="7A833F3B"/>
    <w:rsid w:val="7AB82530"/>
    <w:rsid w:val="7AE26947"/>
    <w:rsid w:val="7AE71AEA"/>
    <w:rsid w:val="7AF64429"/>
    <w:rsid w:val="7AF661D7"/>
    <w:rsid w:val="7AF75AAB"/>
    <w:rsid w:val="7B086666"/>
    <w:rsid w:val="7B220D7A"/>
    <w:rsid w:val="7B2F3497"/>
    <w:rsid w:val="7B2F5245"/>
    <w:rsid w:val="7B430CF1"/>
    <w:rsid w:val="7B4C42AB"/>
    <w:rsid w:val="7B5237E2"/>
    <w:rsid w:val="7B786BEC"/>
    <w:rsid w:val="7B940C71"/>
    <w:rsid w:val="7BA7127F"/>
    <w:rsid w:val="7BBA7D61"/>
    <w:rsid w:val="7BC24845"/>
    <w:rsid w:val="7BE14907"/>
    <w:rsid w:val="7BEE62DE"/>
    <w:rsid w:val="7C1740E9"/>
    <w:rsid w:val="7C322F29"/>
    <w:rsid w:val="7C430CD5"/>
    <w:rsid w:val="7C4371FA"/>
    <w:rsid w:val="7C796B83"/>
    <w:rsid w:val="7C7C270C"/>
    <w:rsid w:val="7C820097"/>
    <w:rsid w:val="7C896B62"/>
    <w:rsid w:val="7C913580"/>
    <w:rsid w:val="7CA659DB"/>
    <w:rsid w:val="7CB2612E"/>
    <w:rsid w:val="7CCB222D"/>
    <w:rsid w:val="7CD24A22"/>
    <w:rsid w:val="7CD930BA"/>
    <w:rsid w:val="7CED360A"/>
    <w:rsid w:val="7CFE0C47"/>
    <w:rsid w:val="7D006E99"/>
    <w:rsid w:val="7D2578C8"/>
    <w:rsid w:val="7D3F43D5"/>
    <w:rsid w:val="7D4C0208"/>
    <w:rsid w:val="7D4F5B8A"/>
    <w:rsid w:val="7D517499"/>
    <w:rsid w:val="7D6F401F"/>
    <w:rsid w:val="7D752025"/>
    <w:rsid w:val="7D89203A"/>
    <w:rsid w:val="7D9D0B8C"/>
    <w:rsid w:val="7D9F1E09"/>
    <w:rsid w:val="7DA168CE"/>
    <w:rsid w:val="7DA56368"/>
    <w:rsid w:val="7DA8292D"/>
    <w:rsid w:val="7DBB54B6"/>
    <w:rsid w:val="7DDD542C"/>
    <w:rsid w:val="7E0368D8"/>
    <w:rsid w:val="7E316CA7"/>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7040C"/>
    <w:rsid w:val="7F4E65E2"/>
    <w:rsid w:val="7F6C6A68"/>
    <w:rsid w:val="7F7153BB"/>
    <w:rsid w:val="7F871C42"/>
    <w:rsid w:val="7F911BD4"/>
    <w:rsid w:val="7FAE7080"/>
    <w:rsid w:val="7FBB79EF"/>
    <w:rsid w:val="7FBE3022"/>
    <w:rsid w:val="7FBF1CF8"/>
    <w:rsid w:val="7FD665D7"/>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 w:hAnsi="仿宋" w:eastAsia="仿宋" w:cs="仿宋"/>
      <w:sz w:val="30"/>
      <w:szCs w:val="30"/>
      <w:lang w:val="zh-CN" w:eastAsia="zh-CN" w:bidi="zh-CN"/>
    </w:rPr>
  </w:style>
  <w:style w:type="paragraph" w:styleId="5">
    <w:name w:val="Body Text Indent"/>
    <w:basedOn w:val="1"/>
    <w:qFormat/>
    <w:uiPriority w:val="0"/>
    <w:pPr>
      <w:tabs>
        <w:tab w:val="left" w:pos="840"/>
      </w:tabs>
      <w:snapToGrid w:val="0"/>
      <w:spacing w:line="300" w:lineRule="exact"/>
      <w:ind w:left="630" w:leftChars="3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9">
    <w:name w:val="toc 2"/>
    <w:basedOn w:val="1"/>
    <w:next w:val="1"/>
    <w:qFormat/>
    <w:uiPriority w:val="0"/>
    <w:pPr>
      <w:ind w:left="420" w:leftChars="200"/>
    </w:pPr>
  </w:style>
  <w:style w:type="paragraph" w:styleId="10">
    <w:name w:val="Normal (Web)"/>
    <w:basedOn w:val="1"/>
    <w:qFormat/>
    <w:uiPriority w:val="0"/>
    <w:rPr>
      <w:sz w:val="24"/>
    </w:rPr>
  </w:style>
  <w:style w:type="paragraph" w:styleId="11">
    <w:name w:val="Body Text First Indent 2"/>
    <w:basedOn w:val="5"/>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character" w:customStyle="1" w:styleId="19">
    <w:name w:val="font101"/>
    <w:basedOn w:val="14"/>
    <w:qFormat/>
    <w:uiPriority w:val="0"/>
    <w:rPr>
      <w:rFonts w:ascii="宋体" w:hAnsi="宋体" w:eastAsia="宋体" w:cs="宋体"/>
      <w:b/>
      <w:bCs/>
      <w:color w:val="000000"/>
      <w:sz w:val="36"/>
      <w:szCs w:val="36"/>
      <w:u w:val="none"/>
    </w:rPr>
  </w:style>
  <w:style w:type="character" w:customStyle="1" w:styleId="20">
    <w:name w:val="font112"/>
    <w:basedOn w:val="14"/>
    <w:qFormat/>
    <w:uiPriority w:val="0"/>
    <w:rPr>
      <w:rFonts w:ascii="宋体" w:hAnsi="宋体" w:eastAsia="宋体" w:cs="宋体"/>
      <w:color w:val="000000"/>
      <w:sz w:val="18"/>
      <w:szCs w:val="18"/>
      <w:u w:val="none"/>
    </w:rPr>
  </w:style>
  <w:style w:type="character" w:customStyle="1" w:styleId="21">
    <w:name w:val="font121"/>
    <w:basedOn w:val="14"/>
    <w:qFormat/>
    <w:uiPriority w:val="0"/>
    <w:rPr>
      <w:rFonts w:hint="default" w:ascii="Arial" w:hAnsi="Arial" w:cs="Arial"/>
      <w:b/>
      <w:bCs/>
      <w:color w:val="000000"/>
      <w:sz w:val="18"/>
      <w:szCs w:val="18"/>
      <w:u w:val="none"/>
    </w:rPr>
  </w:style>
  <w:style w:type="character" w:customStyle="1" w:styleId="22">
    <w:name w:val="font41"/>
    <w:basedOn w:val="14"/>
    <w:qFormat/>
    <w:uiPriority w:val="0"/>
    <w:rPr>
      <w:rFonts w:ascii="宋体" w:hAnsi="宋体" w:eastAsia="宋体" w:cs="宋体"/>
      <w:b/>
      <w:bCs/>
      <w:color w:val="000000"/>
      <w:sz w:val="18"/>
      <w:szCs w:val="18"/>
      <w:u w:val="none"/>
    </w:rPr>
  </w:style>
  <w:style w:type="character" w:customStyle="1" w:styleId="23">
    <w:name w:val="font131"/>
    <w:basedOn w:val="14"/>
    <w:qFormat/>
    <w:uiPriority w:val="0"/>
    <w:rPr>
      <w:rFonts w:hint="eastAsia" w:ascii="仿宋" w:hAnsi="仿宋" w:eastAsia="仿宋" w:cs="仿宋"/>
      <w:color w:val="000000"/>
      <w:sz w:val="18"/>
      <w:szCs w:val="18"/>
      <w:u w:val="none"/>
    </w:rPr>
  </w:style>
  <w:style w:type="character" w:customStyle="1" w:styleId="24">
    <w:name w:val="font71"/>
    <w:basedOn w:val="14"/>
    <w:qFormat/>
    <w:uiPriority w:val="0"/>
    <w:rPr>
      <w:rFonts w:ascii="宋体" w:hAnsi="宋体" w:eastAsia="宋体" w:cs="宋体"/>
      <w:color w:val="000000"/>
      <w:sz w:val="18"/>
      <w:szCs w:val="18"/>
      <w:u w:val="none"/>
    </w:rPr>
  </w:style>
  <w:style w:type="character" w:customStyle="1" w:styleId="25">
    <w:name w:val="font81"/>
    <w:basedOn w:val="14"/>
    <w:qFormat/>
    <w:uiPriority w:val="0"/>
    <w:rPr>
      <w:rFonts w:hint="default" w:ascii="Arial" w:hAnsi="Arial" w:cs="Arial"/>
      <w:b/>
      <w:bCs/>
      <w:color w:val="000000"/>
      <w:sz w:val="18"/>
      <w:szCs w:val="18"/>
      <w:u w:val="none"/>
    </w:rPr>
  </w:style>
  <w:style w:type="character" w:customStyle="1" w:styleId="26">
    <w:name w:val="font31"/>
    <w:basedOn w:val="14"/>
    <w:qFormat/>
    <w:uiPriority w:val="0"/>
    <w:rPr>
      <w:rFonts w:ascii="宋体" w:hAnsi="宋体" w:eastAsia="宋体" w:cs="宋体"/>
      <w:b/>
      <w:bCs/>
      <w:color w:val="000000"/>
      <w:sz w:val="18"/>
      <w:szCs w:val="18"/>
      <w:u w:val="none"/>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fe18e5b4-7d46-4b7b-a707-6177dfa71a4b</errorID>
      <errorWord>，</errorWord>
      <group>L1_Word</group>
      <groupName>字词问题</groupName>
      <ability>L2_Typo</ability>
      <abilityName>字词错误</abilityName>
      <candidateList>
        <item>，在</item>
      </candidateList>
      <explain/>
      <paraID>7E176C5F</paraID>
      <start>37</start>
      <end>38</end>
      <status>unmodified</status>
      <modifiedWord/>
      <trackRevisions>false</trackRevisions>
    </reviewItem>
    <reviewItem>
      <errorID>925f4d31-f35d-4b94-b38d-cc3273f64627</errorID>
      <errorWord>乙方</errorWord>
      <group>L1_AI</group>
      <groupName>深度校对</groupName>
      <ability>L2_AI_Word</ability>
      <abilityName>字词纠错</abilityName>
      <candidateList>
        <item>在乙方</item>
      </candidateList>
      <explain/>
      <paraID>7E176C5F</paraID>
      <start>38</start>
      <end>40</end>
      <status>unmodified</status>
      <modifiedWord/>
      <trackRevisions>false</trackRevisions>
    </reviewItem>
    <reviewItem>
      <errorID>1a84811c-79b5-4ca3-a23a-f3909616b354</errorID>
      <errorWord>诺</errorWord>
      <group>L1_Word</group>
      <groupName>字词问题</groupName>
      <ability>L2_Typo</ability>
      <abilityName>字词错误</abilityName>
      <candidateList>
        <item>诺在</item>
      </candidateList>
      <explain/>
      <paraID>7E176C5F</paraID>
      <start>44</start>
      <end>45</end>
      <status>unmodified</status>
      <modifiedWord/>
      <trackRevisions>false</trackRevisions>
    </reviewItem>
    <reviewItem>
      <errorID>a905806a-9366-4569-aa96-0d3c9d344bfe</errorID>
      <errorWord> 或 </errorWord>
      <group>L1_AI</group>
      <groupName>深度校对</groupName>
      <ability>L2_AI_Punc</ability>
      <abilityName>标点纠错</abilityName>
      <candidateList>
        <item>“或”</item>
      </candidateList>
      <explain/>
      <paraID>7E176C5F</paraID>
      <start>175</start>
      <end>178</end>
      <status>unmodified</status>
      <modifiedWord/>
      <trackRevisions>false</trackRevisions>
    </reviewItem>
    <reviewItem>
      <errorID>dc0cf9ca-f3e9-42f1-acb5-1c1c64626287</errorID>
      <errorWord> </errorWord>
      <group>L1_AI</group>
      <groupName>深度校对</groupName>
      <ability>L2_AI_Punc</ability>
      <abilityName>标点纠错</abilityName>
      <candidateList>
        <item/>
      </candidateList>
      <explain>此处空格冗余，建议删除。</explain>
      <paraID>662E6C56</paraID>
      <start>40</start>
      <end>41</end>
      <status>unmodified</status>
      <modifiedWord/>
      <trackRevisions>false</trackRevisions>
    </reviewItem>
    <reviewItem>
      <errorID>bffd9349-328c-458f-a1d9-273648e3dfe8</errorID>
      <errorWord> </errorWord>
      <group>L1_AI</group>
      <groupName>深度校对</groupName>
      <ability>L2_AI_Punc</ability>
      <abilityName>标点纠错</abilityName>
      <candidateList>
        <item/>
      </candidateList>
      <explain>此处空格冗余，建议删除。</explain>
      <paraID>662E6C56</paraID>
      <start>46</start>
      <end>47</end>
      <status>unmodified</status>
      <modifiedWord/>
      <trackRevisions>false</trackRevisions>
    </reviewItem>
    <reviewItem>
      <errorID>c2636106-8de4-4dc0-84cf-c87921c2b964</errorID>
      <errorWord>安装由</errorWord>
      <group>L1_AI</group>
      <groupName>深度校对</groupName>
      <ability>L2_AI_Word</ability>
      <abilityName>字词纠错</abilityName>
      <candidateList>
        <item>安装</item>
      </candidateList>
      <explain/>
      <paraID>662E6C56</paraID>
      <start>172</start>
      <end>175</end>
      <status>unmodified</status>
      <modifiedWord/>
      <trackRevisions>false</trackRevisions>
    </reviewItem>
    <reviewItem>
      <errorID>859386e8-3492-405c-b497-6254f21f5dd9</errorID>
      <errorWord> </errorWord>
      <group>L1_AI</group>
      <groupName>深度校对</groupName>
      <ability>L2_AI_Punc</ability>
      <abilityName>标点纠错</abilityName>
      <candidateList>
        <item/>
      </candidateList>
      <explain>此处空格冗余，建议删除。</explain>
      <paraID>662E6C56</paraID>
      <start>176</start>
      <end>177</end>
      <status>unmodified</status>
      <modifiedWord/>
      <trackRevisions>false</trackRevisions>
    </reviewItem>
    <reviewItem>
      <errorID>9e1efbef-14a9-4f2a-b664-f9fdfa24640d</errorID>
      <errorWord> </errorWord>
      <group>L1_AI</group>
      <groupName>深度校对</groupName>
      <ability>L2_AI_Punc</ability>
      <abilityName>标点纠错</abilityName>
      <candidateList>
        <item/>
      </candidateList>
      <explain>此处空格冗余，建议删除。</explain>
      <paraID>662E6C56</paraID>
      <start>182</start>
      <end>183</end>
      <status>unmodified</status>
      <modifiedWord/>
      <trackRevisions>false</trackRevisions>
    </reviewItem>
    <reviewItem>
      <errorID>5dfe604a-c128-42f5-bf18-80d57b11fad5</errorID>
      <errorWord>调试由</errorWord>
      <group>L1_AI</group>
      <groupName>深度校对</groupName>
      <ability>L2_AI_Word</ability>
      <abilityName>字词纠错</abilityName>
      <candidateList>
        <item>调试</item>
      </candidateList>
      <explain/>
      <paraID>662E6C56</paraID>
      <start>203</start>
      <end>206</end>
      <status>unmodified</status>
      <modifiedWord/>
      <trackRevisions>false</trackRevisions>
    </reviewItem>
    <reviewItem>
      <errorID>7271708a-c48e-4c89-816c-74e3618ddbbc</errorID>
      <errorWord> </errorWord>
      <group>L1_AI</group>
      <groupName>深度校对</groupName>
      <ability>L2_AI_Punc</ability>
      <abilityName>标点纠错</abilityName>
      <candidateList>
        <item/>
      </candidateList>
      <explain>此处空格冗余，建议删除。</explain>
      <paraID>662E6C56</paraID>
      <start>207</start>
      <end>208</end>
      <status>unmodified</status>
      <modifiedWord/>
      <trackRevisions>false</trackRevisions>
    </reviewItem>
    <reviewItem>
      <errorID>742957d2-7de1-45ce-8e86-5f6f1a22df6a</errorID>
      <errorWord> </errorWord>
      <group>L1_AI</group>
      <groupName>深度校对</groupName>
      <ability>L2_AI_Punc</ability>
      <abilityName>标点纠错</abilityName>
      <candidateList>
        <item/>
      </candidateList>
      <explain>此处空格冗余，建议删除。</explain>
      <paraID>662E6C56</paraID>
      <start>213</start>
      <end>214</end>
      <status>unmodified</status>
      <modifiedWord/>
      <trackRevisions>false</trackRevisions>
    </reviewItem>
    <reviewItem>
      <errorID>5ce9275f-28c6-48c4-8164-6307e056d166</errorID>
      <errorWord>，</errorWord>
      <group>L1_Word</group>
      <groupName>字词问题</groupName>
      <ability>L2_Typo</ability>
      <abilityName>字词错误</abilityName>
      <candidateList>
        <item>，包</item>
      </candidateList>
      <explain/>
      <paraID>662E6C56</paraID>
      <start>316</start>
      <end>317</end>
      <status>unmodified</status>
      <modifiedWord/>
      <trackRevisions>false</trackRevisions>
    </reviewItem>
    <reviewItem>
      <errorID>08c6fea5-7c67-4b1e-ac65-29214d55ada7</errorID>
      <errorWord>签收</errorWord>
      <group>L1_Word</group>
      <groupName>字词问题</groupName>
      <ability>L2_Typo</ability>
      <abilityName>字词错误</abilityName>
      <candidateList>
        <item>验收</item>
      </candidateList>
      <explain/>
      <paraID>2BE5E189</paraID>
      <start>57</start>
      <end>59</end>
      <status>unmodified</status>
      <modifiedWord/>
      <trackRevisions>false</trackRevisions>
    </reviewItem>
    <reviewItem>
      <errorID>e53dbb35-9481-40b5-9f00-674f8216f0d4</errorID>
      <errorWord>追溯</errorWord>
      <group>L1_Word</group>
      <groupName>字词问题</groupName>
      <ability>L2_Typo</ability>
      <abilityName>字词错误</abilityName>
      <candidateList>
        <item>追究</item>
      </candidateList>
      <explain/>
      <paraID>78EFEE87</paraID>
      <start>32</start>
      <end>34</end>
      <status>modified</status>
      <modifiedWord>追究</modifiedWord>
      <trackRevisions>false</trackRevisions>
    </reviewItem>
    <reviewItem>
      <errorID>47e12772-1c7a-475c-b7e0-f73f48436fcf</errorID>
      <errorWord>到齐</errorWord>
      <group>L1_Word</group>
      <groupName>字词问题</groupName>
      <ability>L2_Typo</ability>
      <abilityName>字词错误</abilityName>
      <candidateList>
        <item>到达</item>
      </candidateList>
      <explain/>
      <paraID>78B38EA1</paraID>
      <start>8</start>
      <end>10</end>
      <status>unmodified</status>
      <modifiedWord/>
      <trackRevisions>false</trackRevisions>
    </reviewItem>
    <reviewItem>
      <errorID>a98cee8b-9147-4d28-a276-07e38fb0768b</errorID>
      <errorWord>经</errorWord>
      <group>L1_AI</group>
      <groupName>深度校对</groupName>
      <ability>L2_AI_Punc</ability>
      <abilityName>标点纠错</abilityName>
      <candidateList>
        <item>，经</item>
      </candidateList>
      <explain/>
      <paraID>78B38EA1</paraID>
      <start>18</start>
      <end>19</end>
      <status>unmodified</status>
      <modifiedWord/>
      <trackRevisions>false</trackRevisions>
    </reviewItem>
    <reviewItem>
      <errorID>ea1a3c13-b126-468d-ba3a-dc935bf050fe</errorID>
      <errorWord>，</errorWord>
      <group>L1_AI</group>
      <groupName>深度校对</groupName>
      <ability>L2_AI_Word</ability>
      <abilityName>字词纠错</abilityName>
      <candidateList>
        <item>后，</item>
      </candidateList>
      <explain/>
      <paraID>78B38EA1</paraID>
      <start>32</start>
      <end>34</end>
      <status>modified</status>
      <modifiedWord>后，</modifiedWord>
      <trackRevisions>false</trackRevisions>
    </reviewItem>
    <reviewItem>
      <errorID>061dfdb2-f495-452e-90aa-c9343365df75</errorID>
      <errorWord>且</errorWord>
      <group>L1_AI</group>
      <groupName>深度校对</groupName>
      <ability>L2_AI_Punc</ability>
      <abilityName>标点纠错</abilityName>
      <candidateList>
        <item>，且</item>
      </candidateList>
      <explain/>
      <paraID>7CC8D4C4</paraID>
      <start>22</start>
      <end>24</end>
      <status>modified</status>
      <modifiedWord>，且</modifiedWord>
      <trackRevisions>false</trackRevisions>
    </reviewItem>
    <reviewItem>
      <errorID>96c5d12c-1135-41d2-b3a8-4e60b7569a4d</errorID>
      <errorWord>:</errorWord>
      <group>L1_AI</group>
      <groupName>深度校对</groupName>
      <ability>L2_AI_Punc</ability>
      <abilityName>标点纠错</abilityName>
      <candidateList>
        <item>：</item>
      </candidateList>
      <explain/>
      <paraID>7CC8D4C4</paraID>
      <start>47</start>
      <end>48</end>
      <status>modified</status>
      <modifiedWord>：</modifiedWord>
      <trackRevisions>false</trackRevisions>
    </reviewItem>
    <reviewItem>
      <errorID>6ac7f163-2378-433f-80f1-fe61eb1d4805</errorID>
      <errorWord>且</errorWord>
      <group>L1_AI</group>
      <groupName>深度校对</groupName>
      <ability>L2_AI_Punc</ability>
      <abilityName>标点纠错</abilityName>
      <candidateList>
        <item>，且</item>
      </candidateList>
      <explain/>
      <paraID>7CC8D4C4</paraID>
      <start>68</start>
      <end>70</end>
      <status>modified</status>
      <modifiedWord>，且</modifiedWord>
      <trackRevisions>false</trackRevisions>
    </reviewItem>
    <reviewItem>
      <errorID>c64a017f-4a4a-40b3-a207-32f228fc3fe7</errorID>
      <errorWord>方</errorWord>
      <group>L1_Word</group>
      <groupName>字词问题</groupName>
      <ability>L2_Typo</ability>
      <abilityName>字词错误</abilityName>
      <candidateList>
        <item>方在</item>
      </candidateList>
      <explain/>
      <paraID>580CC457</paraID>
      <start>211</start>
      <end>212</end>
      <status>unmodified</status>
      <modifiedWord/>
      <trackRevisions>false</trackRevisions>
    </reviewItem>
    <reviewItem>
      <errorID>de4923d2-e5a2-46d8-b9b1-7b847bb4ade0</errorID>
      <errorWord>（</errorWord>
      <group>L1_Punc</group>
      <groupName>标点问题</groupName>
      <ability>L2_Punc</ability>
      <abilityName>标点符号检查</abilityName>
      <candidateList/>
      <explain>同一形式括号套用。</explain>
      <paraID>580CC457</paraID>
      <start>216</start>
      <end>217</end>
      <status>unmodified</status>
      <modifiedWord/>
      <trackRevisions>false</trackRevisions>
    </reviewItem>
    <reviewItem>
      <errorID>bd5a3e0e-4143-4529-99a9-2a87fd8de87f</errorID>
      <errorWord>）</errorWord>
      <group>L1_Punc</group>
      <groupName>标点问题</groupName>
      <ability>L2_Punc</ability>
      <abilityName>标点符号检查</abilityName>
      <candidateList/>
      <explain>同一形式括号套用。</explain>
      <paraID>580CC457</paraID>
      <start>220</start>
      <end>221</end>
      <status>unmodified</status>
      <modifiedWord/>
      <trackRevisions>false</trackRevisions>
    </reviewItem>
    <reviewItem>
      <errorID>522fe085-3084-4e0b-9b0e-bb5af525c7b7</errorID>
      <errorWord>保证</errorWord>
      <group>L1_AI</group>
      <groupName>深度校对</groupName>
      <ability>L2_AI_Word</ability>
      <abilityName>字词纠错</abilityName>
      <candidateList>
        <item>保证金</item>
      </candidateList>
      <explain/>
      <paraID> A325A0A</paraID>
      <start>10</start>
      <end>13</end>
      <status>modified</status>
      <modifiedWord>保证金</modifiedWord>
      <trackRevisions>false</trackRevisions>
    </reviewItem>
    <reviewItem>
      <errorID>1c328c95-c150-4cd8-b51d-6b8b993fff30</errorID>
      <errorWord>：</errorWord>
      <group>L1_AI</group>
      <groupName>深度校对</groupName>
      <ability>L2_AI_Punc</ability>
      <abilityName>标点纠错</abilityName>
      <candidateList>
        <item>。</item>
      </candidateList>
      <explain/>
      <paraID> A325A0A</paraID>
      <start>59</start>
      <end>60</end>
      <status>unmodified</status>
      <modifiedWord/>
      <trackRevisions>false</trackRevisions>
    </reviewItem>
    <reviewItem>
      <errorID>8ffd7cbf-804f-4d44-b668-9d4a6307b79e</errorID>
      <errorWord>违约金给甲方</errorWord>
      <group>L1_AI</group>
      <groupName>深度校对</groupName>
      <ability>L2_AI_Grammar</ability>
      <abilityName>语法纠错</abilityName>
      <candidateList>
        <item>违约金</item>
      </candidateList>
      <explain/>
      <paraID>1F0D00AC</paraID>
      <start>45</start>
      <end>51</end>
      <status>unmodified</status>
      <modifiedWord/>
      <trackRevisions>false</trackRevisions>
    </reviewItem>
    <reviewItem>
      <errorID>9b9eb001-2b2e-4888-9dfe-b8ef0b35c84d</errorID>
      <errorWord>支付</errorWord>
      <group>L1_AI</group>
      <groupName>深度校对</groupName>
      <ability>L2_AI_Grammar</ability>
      <abilityName>语法纠错</abilityName>
      <candidateList>
        <item>甲方支付</item>
      </candidateList>
      <explain/>
      <paraID>33563C94</paraID>
      <start>46</start>
      <end>48</end>
      <status>unmodified</status>
      <modifiedWord/>
      <trackRevisions>false</trackRevisions>
    </reviewItem>
    <reviewItem>
      <errorID>7fdc1115-3644-4009-9a82-60cc9b21eb0b</errorID>
      <errorWord>签收单</errorWord>
      <group>L1_Word</group>
      <groupName>字词问题</groupName>
      <ability>L2_Typo</ability>
      <abilityName>字词错误</abilityName>
      <candidateList>
        <item>验收单</item>
      </candidateList>
      <explain/>
      <paraID>3DF1659D</paraID>
      <start>111</start>
      <end>114</end>
      <status>unmodified</status>
      <modifiedWord/>
      <trackRevisions>false</trackRevisions>
    </reviewItem>
    <reviewItem>
      <errorID>ba4eb870-9052-45d4-b128-64d4a2bf5c75</errorID>
      <errorWord>:</errorWord>
      <group>L1_Format</group>
      <groupName>格式问题</groupName>
      <ability>L2_HalfPunc</ability>
      <abilityName>全半角检查</abilityName>
      <candidateList>
        <item>：</item>
      </candidateList>
      <explain>文本全半角错误。</explain>
      <paraID>79FB4E05</paraID>
      <start>6</start>
      <end>7</end>
      <status>unmodified</status>
      <modifiedWord/>
      <trackRevisions>false</trackRevisions>
    </reviewItem>
    <reviewItem>
      <errorID>fd5b1fd0-55ee-40c5-bdd7-8480161aa04a</errorID>
      <errorWord>:</errorWord>
      <group>L1_Format</group>
      <groupName>格式问题</groupName>
      <ability>L2_HalfPunc</ability>
      <abilityName>全半角检查</abilityName>
      <candidateList>
        <item>：</item>
      </candidateList>
      <explain>文本全半角错误。</explain>
      <paraID>52F67282</paraID>
      <start>4</start>
      <end>5</end>
      <status>unmodified</status>
      <modifiedWord/>
      <trackRevisions>false</trackRevisions>
    </reviewItem>
    <reviewItem>
      <errorID>9dade3bd-cd5f-424f-9c2a-3aa6b6789b8c</errorID>
      <errorWord>:</errorWord>
      <group>L1_Format</group>
      <groupName>格式问题</groupName>
      <ability>L2_HalfPunc</ability>
      <abilityName>全半角检查</abilityName>
      <candidateList>
        <item>：</item>
      </candidateList>
      <explain>文本全半角错误。</explain>
      <paraID>52F67282</paraID>
      <start>42</start>
      <end>43</end>
      <status>unmodified</status>
      <modifiedWord/>
      <trackRevisions>false</trackRevisions>
    </reviewItem>
    <reviewItem>
      <errorID>b3292d08-6b58-4114-91fc-b60d243f94a8</errorID>
      <errorWord>:</errorWord>
      <group>L1_Format</group>
      <groupName>格式问题</groupName>
      <ability>L2_HalfPunc</ability>
      <abilityName>全半角检查</abilityName>
      <candidateList>
        <item>：</item>
      </candidateList>
      <explain>文本全半角错误。</explain>
      <paraID>1AEE63D0</paraID>
      <start>43</start>
      <end>44</end>
      <status>unmodified</status>
      <modifiedWord/>
      <trackRevisions>false</trackRevisions>
    </reviewItem>
    <reviewItem>
      <errorID>4871aa39-d45a-43b1-a4e9-6bac0a8ea377</errorID>
      <errorWord>:</errorWord>
      <group>L1_Format</group>
      <groupName>格式问题</groupName>
      <ability>L2_HalfPunc</ability>
      <abilityName>全半角检查</abilityName>
      <candidateList>
        <item>：</item>
      </candidateList>
      <explain>文本全半角错误。</explain>
      <paraID>26E3749B</paraID>
      <start>58</start>
      <end>59</end>
      <status>unmodified</status>
      <modifiedWord/>
      <trackRevisions>false</trackRevisions>
    </reviewItem>
    <reviewItem>
      <errorID>32251b15-720a-4042-a788-c6e745c039c5</errorID>
      <errorWord>格</errorWord>
      <group>L1_Word</group>
      <groupName>字词问题</groupName>
      <ability>L2_Typo</ability>
      <abilityName>字词错误</abilityName>
      <candidateList>
        <item>格产</item>
      </candidateList>
      <explain/>
      <paraID>78A1DA62</paraID>
      <start>132</start>
      <end>133</end>
      <status>unmodified</status>
      <modifiedWord/>
      <trackRevisions>false</trackRevisions>
    </reviewItem>
    <reviewItem>
      <errorID>0c58edbf-fb4c-4e14-80b2-3ad170636a24</errorID>
      <errorWord>,</errorWord>
      <group>L1_Format</group>
      <groupName>格式问题</groupName>
      <ability>L2_HalfPunc</ability>
      <abilityName>全半角检查</abilityName>
      <candidateList>
        <item>，</item>
      </candidateList>
      <explain>文本全半角错误。</explain>
      <paraID>2626E65C</paraID>
      <start>33</start>
      <end>34</end>
      <status>unmodified</status>
      <modifiedWord/>
      <trackRevisions>false</trackRevisions>
    </reviewItem>
    <reviewItem>
      <errorID>b3ac4509-aaa3-4f60-a799-770f5489bd4a</errorID>
      <errorWord>涂划的</errorWord>
      <group>L1_Word</group>
      <groupName>字词问题</groupName>
      <ability>L2_Typo</ability>
      <abilityName>字词错误</abilityName>
      <candidateList>
        <item>涂画的</item>
      </candidateList>
      <explain/>
      <paraID>524700DA</paraID>
      <start>157</start>
      <end>160</end>
      <status>modified</status>
      <modifiedWord>涂画的</modifiedWord>
      <trackRevisions>false</trackRevisions>
    </reviewItem>
    <reviewItem>
      <errorID>fa785886-b72a-4ce0-842b-3edcece7373c</errorID>
      <errorWord>签收人</errorWord>
      <group>L1_Word</group>
      <groupName>字词问题</groupName>
      <ability>L2_Typo</ability>
      <abilityName>字词错误</abilityName>
      <candidateList>
        <item>验收人</item>
      </candidateList>
      <explain/>
      <paraID>524700DA</paraID>
      <start>215</start>
      <end>218</end>
      <status>unmodified</status>
      <modifiedWord/>
      <trackRevisions>false</trackRevisions>
    </reviewItem>
    <reviewItem>
      <errorID>628e372f-936b-4e55-a9c6-42a9c140b815</errorID>
      <errorWord>须</errorWord>
      <group>L1_Word</group>
      <groupName>字词问题</groupName>
      <ability>L2_Typo</ability>
      <abilityName>字词错误</abilityName>
      <candidateList>
        <item>须加</item>
      </candidateList>
      <explain/>
      <paraID>43BC98CD</paraID>
      <start>15</start>
      <end>16</end>
      <status>unmodified</status>
      <modifiedWord/>
      <trackRevisions>false</trackRevisions>
    </reviewItem>
    <reviewItem>
      <errorID>96d4cb75-df13-478f-8862-9dfa767185c7</errorID>
      <errorWord>加</errorWord>
      <group>L1_Word</group>
      <groupName>字词问题</groupName>
      <ability>L2_Typo</ability>
      <abilityName>字词错误</abilityName>
      <candidateList>
        <item>及</item>
      </candidateList>
      <explain>存在发音相近字词的误用。</explain>
      <paraID>3833B0C7</paraID>
      <start>54</start>
      <end>55</end>
      <status>unmodified</status>
      <modifiedWord/>
      <trackRevisions>false</trackRevisions>
    </reviewItem>
    <reviewItem>
      <errorID>e5f1286d-2c0b-4a77-bd14-f248653b4aca</errorID>
      <errorWord>须</errorWord>
      <group>L1_Word</group>
      <groupName>字词问题</groupName>
      <ability>L2_Typo</ability>
      <abilityName>字词错误</abilityName>
      <candidateList>
        <item>须加</item>
      </candidateList>
      <explain/>
      <paraID>6C3BD674</paraID>
      <start>46</start>
      <end>47</end>
      <status>unmodified</status>
      <modifiedWord/>
      <trackRevisions>false</trackRevisions>
    </reviewItem>
    <reviewItem>
      <errorID>bf33631a-9e7a-4828-aae9-f7de514c6ee8</errorID>
      <errorWord>作好</errorWord>
      <group>L1_Word</group>
      <groupName>字词问题</groupName>
      <ability>L2_Typo</ability>
      <abilityName>字词错误</abilityName>
      <candidateList>
        <item>做好</item>
      </candidateList>
      <explain>存在发音相同字词的误用。</explain>
      <paraID>51CD85BC</paraID>
      <start>47</start>
      <end>49</end>
      <status>modified</status>
      <modifiedWord>做好</modifiedWord>
      <trackRevisions>false</trackRevisions>
    </reviewItem>
    <reviewItem>
      <errorID>30f43dda-5ad8-4428-846f-7bc927930346</errorID>
      <errorWord>签收</errorWord>
      <group>L1_Word</group>
      <groupName>字词问题</groupName>
      <ability>L2_Typo</ability>
      <abilityName>字词错误</abilityName>
      <candidateList>
        <item>验收</item>
      </candidateList>
      <explain/>
      <paraID>6BDA280F</paraID>
      <start>19</start>
      <end>21</end>
      <status>unmodified</status>
      <modifiedWord/>
      <trackRevisions>false</trackRevisions>
    </reviewItem>
    <reviewItem>
      <errorID>51213b6a-a238-49a8-8e01-52b6a82d401b</errorID>
      <errorWord>果</errorWord>
      <group>L1_Word</group>
      <groupName>字词问题</groupName>
      <ability>L2_Typo</ability>
      <abilityName>字词错误</abilityName>
      <candidateList>
        <item>果以</item>
      </candidateList>
      <explain/>
      <paraID>6BDA280F</paraID>
      <start>22</start>
      <end>23</end>
      <status>unmodified</status>
      <modifiedWord/>
      <trackRevisions>false</trackRevisions>
    </reviewItem>
    <reviewItem>
      <errorID>d41485ea-2bf6-42d5-bc46-b33d63964973</errorID>
      <errorWord>签收单</errorWord>
      <group>L1_Word</group>
      <groupName>字词问题</groupName>
      <ability>L2_Typo</ability>
      <abilityName>字词错误</abilityName>
      <candidateList>
        <item>验收单</item>
      </candidateList>
      <explain/>
      <paraID>22C47473</paraID>
      <start>39</start>
      <end>42</end>
      <status>unmodified</status>
      <modifiedWord/>
      <trackRevisions>false</trackRevisions>
    </reviewItem>
    <reviewItem>
      <errorID>14cbc7de-dae2-47f0-a087-95e20dacdf4b</errorID>
      <errorWord>后才</errorWord>
      <group>L1_Word</group>
      <groupName>字词问题</groupName>
      <ability>L2_Typo</ability>
      <abilityName>字词错误</abilityName>
      <candidateList>
        <item>后视</item>
      </candidateList>
      <explain/>
      <paraID> 4B772EF</paraID>
      <start>37</start>
      <end>39</end>
      <status>unmodified</status>
      <modifiedWord/>
      <trackRevisions>false</trackRevisions>
    </reviewItem>
    <reviewItem>
      <errorID>2af456f7-97c9-46d6-bc91-5f68cead30b3</errorID>
      <errorWord>法律、法规</errorWord>
      <group>L1_Word</group>
      <groupName>字词问题</groupName>
      <ability>L2_Typo</ability>
      <abilityName>字词错误</abilityName>
      <candidateList>
        <item>法律法规</item>
      </candidateList>
      <explain/>
      <paraID>12508B05</paraID>
      <start>6</start>
      <end>11</end>
      <status>unmodified</status>
      <modifiedWord/>
      <trackRevisions>false</trackRevisions>
    </reviewItem>
    <reviewItem>
      <errorID>d9724da2-e68a-4aa6-a203-977baa25e635</errorID>
      <errorWord>书里</errorWord>
      <group>L1_Word</group>
      <groupName>字词问题</groupName>
      <ability>L2_Typo</ability>
      <abilityName>字词错误</abilityName>
      <candidateList>
        <item>书中</item>
      </candidateList>
      <explain/>
      <paraID>6B93CCC3</paraID>
      <start>50</start>
      <end>52</end>
      <status>unmodified</status>
      <modifiedWord/>
      <trackRevisions>false</trackRevisions>
    </reviewItem>
    <reviewItem>
      <errorID>3430df2e-6b16-4a17-899e-2ec8ceb79597</errorID>
      <errorWord>作</errorWord>
      <group>L1_Word</group>
      <groupName>字词问题</groupName>
      <ability>L2_Typo</ability>
      <abilityName>字词错误</abilityName>
      <candidateList>
        <item>作人</item>
      </candidateList>
      <explain/>
      <paraID>67C1B211</paraID>
      <start>117</start>
      <end>118</end>
      <status>unmodified</status>
      <modifiedWord/>
      <trackRevisions>false</trackRevisions>
    </reviewItem>
    <reviewItem>
      <errorID>90ea2fd0-d627-4cce-b75a-c9ab766ae2e9</errorID>
      <errorWord>作</errorWord>
      <group>L1_Word</group>
      <groupName>字词问题</groupName>
      <ability>L2_Typo</ability>
      <abilityName>字词错误</abilityName>
      <candidateList>
        <item>做</item>
      </candidateList>
      <explain>存在发音相同字词的误用。</explain>
      <paraID> E73CA39</paraID>
      <start>68</start>
      <end>69</end>
      <status>unmodified</status>
      <modifiedWord/>
      <trackRevisions>false</trackRevisions>
    </reviewItem>
    <reviewItem>
      <errorID>5071fd89-0af4-4606-b7ea-98e20b8b4a7e</errorID>
      <errorWord>地点的</errorWord>
      <group>L1_Word</group>
      <groupName>字词问题</groupName>
      <ability>L2_Typo</ability>
      <abilityName>字词错误</abilityName>
      <candidateList>
        <item>地点</item>
      </candidateList>
      <explain/>
      <paraID>6040E543</paraID>
      <start>23</start>
      <end>26</end>
      <status>unmodified</status>
      <modifiedWord/>
      <trackRevisions>false</trackRevisions>
    </reviewItem>
    <reviewItem>
      <errorID>1c6ce496-dd6e-48f6-87a9-bdcdb7ef6dd2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4D1844CA</paraID>
      <start>16</start>
      <end>18</end>
      <status>unmodified</status>
      <modifiedWord/>
      <trackRevisions>false</trackRevisions>
    </reviewItem>
    <reviewItem>
      <errorID>f096840c-0fed-4426-9ba7-91e1e7d45902</errorID>
      <errorWord>属</errorWord>
      <group>L1_Word</group>
      <groupName>字词问题</groupName>
      <ability>L2_Typo</ability>
      <abilityName>字词错误</abilityName>
      <candidateList>
        <item>属于</item>
      </candidateList>
      <explain/>
      <paraID>2D83603C</paraID>
      <start>120</start>
      <end>121</end>
      <status>unmodified</status>
      <modifiedWord/>
      <trackRevisions>false</trackRevisions>
    </reviewItem>
    <reviewItem>
      <errorID>78cac288-74ed-45e8-9fc5-71678886d135</errorID>
      <errorWord>类文件</errorWord>
      <group>L1_Knowledge</group>
      <groupName>知识性问题</groupName>
      <ability>L2_Knowledge</ability>
      <abilityName>其他知识</abilityName>
      <candidateList>
        <item>份文件</item>
      </candidateList>
      <explain/>
      <paraID>112104C4</paraID>
      <start>74</start>
      <end>77</end>
      <status>unmodified</status>
      <modifiedWord/>
      <trackRevisions>false</trackRevisions>
    </reviewItem>
    <reviewItem>
      <errorID>5fa9bcbe-ec18-4653-8e2b-038af6232696</errorID>
      <errorWord>法律、法规</errorWord>
      <group>L1_Word</group>
      <groupName>字词问题</groupName>
      <ability>L2_Typo</ability>
      <abilityName>字词错误</abilityName>
      <candidateList>
        <item>法律法规</item>
      </candidateList>
      <explain/>
      <paraID>6DDE9958</paraID>
      <start>10</start>
      <end>15</end>
      <status>unmodified</status>
      <modifiedWord/>
      <trackRevisions>false</trackRevisions>
    </reviewItem>
    <reviewItem>
      <errorID>a319bd6b-dee1-47f2-bcef-8c59cc4fb136</errorID>
      <errorWord>具</errorWord>
      <group>L1_Word</group>
      <groupName>字词问题</groupName>
      <ability>L2_Typo</ability>
      <abilityName>字词错误</abilityName>
      <candidateList>
        <item>具有</item>
      </candidateList>
      <explain>〈动〉有（多用于抽象事物）：～信心｜～伟大的意义。</explain>
      <paraID>28C3A7EC</paraID>
      <start>25</start>
      <end>26</end>
      <status>unmodified</status>
      <modifiedWord/>
      <trackRevisions>false</trackRevisions>
    </reviewItem>
    <reviewItem>
      <errorID>1376d2d3-0365-4bc1-b341-9bd67cdad971</errorID>
      <errorWord>签收单</errorWord>
      <group>L1_Word</group>
      <groupName>字词问题</groupName>
      <ability>L2_Typo</ability>
      <abilityName>字词错误</abilityName>
      <candidateList>
        <item>验收单</item>
      </candidateList>
      <explain/>
      <paraID>274AEE0B</paraID>
      <start>7</start>
      <end>10</end>
      <status>unmodified</status>
      <modifiedWord/>
      <trackRevisions>false</trackRevisions>
    </reviewItem>
    <reviewItem>
      <errorID>36768cd4-8508-43cd-9d8b-245060321836</errorID>
      <errorWord>司</errorWord>
      <group>L1_Word</group>
      <groupName>字词问题</groupName>
      <ability>L2_Typo</ability>
      <abilityName>字词错误</abilityName>
      <candidateList>
        <item>司在</item>
      </candidateList>
      <explain/>
      <paraID>2DBBE23D</paraID>
      <start>61</start>
      <end>62</end>
      <status>unmodified</status>
      <modifiedWord/>
      <trackRevisions>false</trackRevisions>
    </reviewItem>
    <reviewItem>
      <errorID>e31e6db2-4089-407f-8ff2-02b002fecbbc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5C82ACBB</paraID>
      <start>0</start>
      <end>2</end>
      <status>unmodified</status>
      <modifiedWord/>
      <trackRevisions>false</trackRevisions>
    </reviewItem>
    <reviewItem>
      <errorID>4f1a3aa0-b126-4d63-af97-0dd30f5cffe7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21B83172</paraID>
      <start>0</start>
      <end>2</end>
      <status>unmodified</status>
      <modifiedWord/>
      <trackRevisions>false</trackRevisions>
    </reviewItem>
    <reviewItem>
      <errorID>ee8ef27e-46d1-4495-9909-7f4d0b2b170d</errorID>
      <errorWord>,</errorWord>
      <group>L1_Format</group>
      <groupName>格式问题</groupName>
      <ability>L2_HalfPunc</ability>
      <abilityName>全半角检查</abilityName>
      <candidateList>
        <item>，</item>
      </candidateList>
      <explain>文本全半角错误。</explain>
      <paraID>5620FFDA</paraID>
      <start>123</start>
      <end>124</end>
      <status>unmodified</status>
      <modifiedWord/>
      <trackRevisions>false</trackRevisions>
    </reviewItem>
    <reviewItem>
      <errorID>1d2d574d-cefa-4ce3-b5ea-8c6774bf86ce</errorID>
      <errorWord>（</errorWord>
      <group>L1_Word</group>
      <groupName>字词问题</groupName>
      <ability>L2_Typo</ability>
      <abilityName>字词错误</abilityName>
      <candidateList>
        <item>（公</item>
      </candidateList>
      <explain/>
      <paraID>2BF1BCA1</paraID>
      <start>43</start>
      <end>44</end>
      <status>unmodified</status>
      <modifiedWord/>
      <trackRevisions>false</trackRevisions>
    </reviewItem>
    <reviewItem>
      <errorID>5ea6ea82-4482-4650-aba2-9d856167d7c2</errorID>
      <errorWord>签</errorWord>
      <group>L1_Word</group>
      <groupName>字词问题</groupName>
      <ability>L2_Typo</ability>
      <abilityName>字词错误</abilityName>
      <candidateList>
        <item>验</item>
      </candidateList>
      <explain/>
      <paraID> 2CE7DD8</paraID>
      <start>6</start>
      <end>7</end>
      <status>unmodified</status>
      <modifiedWord/>
      <trackRevisions>false</trackRevisions>
    </reviewItem>
    <reviewItem>
      <errorID>debe3f0e-803b-4894-a8b1-05f7d4082258</errorID>
      <errorWord>:</errorWord>
      <group>L1_Format</group>
      <groupName>格式问题</groupName>
      <ability>L2_HalfPunc</ability>
      <abilityName>全半角检查</abilityName>
      <candidateList>
        <item>：</item>
      </candidateList>
      <explain>文本全半角错误。</explain>
      <paraID>6A1C7ED9</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023ee-c30a-4653-a7ca-fe360eacc868}">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140</Words>
  <Characters>144</Characters>
  <Lines>0</Lines>
  <Paragraphs>0</Paragraphs>
  <TotalTime>1</TotalTime>
  <ScaleCrop>false</ScaleCrop>
  <LinksUpToDate>false</LinksUpToDate>
  <CharactersWithSpaces>152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招采2</cp:lastModifiedBy>
  <cp:lastPrinted>2024-12-04T08:33:00Z</cp:lastPrinted>
  <dcterms:modified xsi:type="dcterms:W3CDTF">2025-12-18T09:55:26Z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2E28B5A9BE6248868DEEC385F1A9C39D_13</vt:lpwstr>
  </property>
  <property fmtid="{D5CDD505-2E9C-101B-9397-08002B2CF9AE}" pid="4" name="commondata">
    <vt:lpwstr>eyJoZGlkIjoiZDJiMzdlZTkyZWRmN2IzYzY2ZmI2ZTBlN2MyMWRiOWEifQ==</vt:lpwstr>
  </property>
  <property fmtid="{D5CDD505-2E9C-101B-9397-08002B2CF9AE}" pid="5" name="KSOTemplateDocerSaveRecord">
    <vt:lpwstr>eyJoZGlkIjoiZTZlZWQxYjNiOGQwOWQ3ZDcwYzI4ZTE0M2ZhZmIzYTgiLCJ1c2VySWQiOiIzMjYyOTIwOTcifQ==</vt:lpwstr>
  </property>
</Properties>
</file>