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67C">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85090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shd w:val="clear" w:color="auto" w:fill="auto"/>
          <w:lang w:val="en-US" w:eastAsia="zh-CN"/>
        </w:rPr>
        <w:t xml:space="preserve"> </w:t>
      </w:r>
    </w:p>
    <w:p w14:paraId="4315B033">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BB7AA22">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40619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bookmarkStart w:id="0" w:name="_Toc32493"/>
      <w:bookmarkStart w:id="1" w:name="_Toc10535"/>
      <w:bookmarkStart w:id="2" w:name="_Toc19409"/>
    </w:p>
    <w:p w14:paraId="3C2826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single"/>
          <w:shd w:val="clear" w:color="auto" w:fill="auto"/>
          <w:lang w:val="en-US" w:eastAsia="zh-CN"/>
        </w:rPr>
      </w:pPr>
    </w:p>
    <w:bookmarkEnd w:id="0"/>
    <w:bookmarkEnd w:id="1"/>
    <w:bookmarkEnd w:id="2"/>
    <w:p w14:paraId="6A755E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bookmarkStart w:id="3" w:name="_Toc24212"/>
      <w:bookmarkStart w:id="4" w:name="_Toc1909"/>
      <w:bookmarkStart w:id="5" w:name="_Toc24567"/>
      <w:bookmarkStart w:id="6" w:name="_Toc10358"/>
      <w:bookmarkStart w:id="7" w:name="_Toc31924"/>
      <w:bookmarkStart w:id="8" w:name="_Toc19336"/>
      <w:bookmarkStart w:id="9" w:name="_Toc8826"/>
      <w:bookmarkStart w:id="10" w:name="_Toc18118"/>
      <w:bookmarkStart w:id="11" w:name="_Toc2067"/>
      <w:bookmarkStart w:id="12" w:name="_Toc14634"/>
      <w:bookmarkStart w:id="13" w:name="_Toc6217"/>
      <w:r>
        <w:rPr>
          <w:rFonts w:hint="eastAsia" w:ascii="仿宋" w:hAnsi="仿宋" w:eastAsia="仿宋" w:cs="仿宋"/>
          <w:b/>
          <w:color w:val="auto"/>
          <w:sz w:val="48"/>
          <w:szCs w:val="48"/>
          <w:highlight w:val="none"/>
          <w:u w:val="none"/>
          <w:shd w:val="clear" w:color="auto" w:fill="auto"/>
          <w:lang w:val="en-US" w:eastAsia="zh-CN"/>
        </w:rPr>
        <w:t>南京现代表面处理科技产业中心项目</w:t>
      </w:r>
    </w:p>
    <w:p w14:paraId="603D8A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B地块工程回填土工程</w:t>
      </w:r>
    </w:p>
    <w:p w14:paraId="78B009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施</w:t>
      </w:r>
    </w:p>
    <w:p w14:paraId="785B5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工</w:t>
      </w:r>
    </w:p>
    <w:bookmarkEnd w:id="3"/>
    <w:bookmarkEnd w:id="4"/>
    <w:bookmarkEnd w:id="5"/>
    <w:bookmarkEnd w:id="6"/>
    <w:bookmarkEnd w:id="7"/>
    <w:bookmarkEnd w:id="8"/>
    <w:bookmarkEnd w:id="9"/>
    <w:bookmarkEnd w:id="10"/>
    <w:bookmarkEnd w:id="11"/>
    <w:bookmarkEnd w:id="12"/>
    <w:bookmarkEnd w:id="13"/>
    <w:p w14:paraId="5145F8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bookmarkStart w:id="14" w:name="_Toc2197"/>
      <w:bookmarkStart w:id="15" w:name="_Toc6056"/>
      <w:bookmarkStart w:id="16" w:name="_Toc4950"/>
      <w:bookmarkStart w:id="17" w:name="_Toc26242"/>
      <w:bookmarkStart w:id="18" w:name="_Toc3791"/>
      <w:bookmarkStart w:id="19" w:name="_Toc18181"/>
      <w:bookmarkStart w:id="20" w:name="_Toc9022"/>
      <w:bookmarkStart w:id="21" w:name="_Toc15712"/>
      <w:bookmarkStart w:id="22" w:name="_Toc17792"/>
      <w:bookmarkStart w:id="23" w:name="_Toc2295"/>
      <w:bookmarkStart w:id="24" w:name="_Toc2432"/>
      <w:r>
        <w:rPr>
          <w:rFonts w:hint="eastAsia" w:ascii="仿宋" w:hAnsi="仿宋" w:eastAsia="仿宋" w:cs="仿宋"/>
          <w:b/>
          <w:color w:val="auto"/>
          <w:sz w:val="48"/>
          <w:szCs w:val="48"/>
          <w:highlight w:val="none"/>
          <w:lang w:val="en-US" w:eastAsia="zh-CN"/>
        </w:rPr>
        <w:t>合</w:t>
      </w:r>
      <w:bookmarkEnd w:id="14"/>
      <w:bookmarkEnd w:id="15"/>
      <w:bookmarkEnd w:id="16"/>
      <w:bookmarkEnd w:id="17"/>
      <w:bookmarkEnd w:id="18"/>
      <w:bookmarkEnd w:id="19"/>
      <w:bookmarkEnd w:id="20"/>
      <w:bookmarkEnd w:id="21"/>
      <w:bookmarkEnd w:id="22"/>
      <w:bookmarkEnd w:id="23"/>
      <w:bookmarkEnd w:id="24"/>
    </w:p>
    <w:p w14:paraId="3695080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48"/>
          <w:szCs w:val="48"/>
          <w:highlight w:val="none"/>
          <w:shd w:val="clear" w:color="auto" w:fill="auto"/>
          <w:lang w:val="en-US" w:eastAsia="zh-CN"/>
        </w:rPr>
      </w:pPr>
      <w:bookmarkStart w:id="25" w:name="_Toc9857"/>
      <w:bookmarkStart w:id="26" w:name="_Toc923"/>
      <w:bookmarkStart w:id="27" w:name="_Toc8334"/>
      <w:bookmarkStart w:id="28" w:name="_Toc5666"/>
      <w:bookmarkStart w:id="29" w:name="_Toc15392"/>
      <w:bookmarkStart w:id="30" w:name="_Toc15857"/>
      <w:bookmarkStart w:id="31" w:name="_Toc10166"/>
      <w:bookmarkStart w:id="32" w:name="_Toc19297"/>
      <w:bookmarkStart w:id="33" w:name="_Toc3433"/>
      <w:r>
        <w:rPr>
          <w:rFonts w:hint="eastAsia" w:ascii="仿宋" w:hAnsi="仿宋" w:eastAsia="仿宋" w:cs="仿宋"/>
          <w:b/>
          <w:color w:val="auto"/>
          <w:sz w:val="48"/>
          <w:szCs w:val="48"/>
          <w:highlight w:val="none"/>
          <w:lang w:val="en-US" w:eastAsia="zh-CN"/>
        </w:rPr>
        <w:t>同</w:t>
      </w:r>
      <w:bookmarkEnd w:id="25"/>
      <w:bookmarkEnd w:id="26"/>
      <w:bookmarkEnd w:id="27"/>
      <w:bookmarkEnd w:id="28"/>
      <w:bookmarkEnd w:id="29"/>
      <w:bookmarkEnd w:id="30"/>
      <w:bookmarkEnd w:id="31"/>
      <w:bookmarkEnd w:id="32"/>
      <w:bookmarkEnd w:id="33"/>
      <w:r>
        <w:rPr>
          <w:rFonts w:hint="eastAsia" w:ascii="仿宋" w:hAnsi="仿宋" w:eastAsia="仿宋" w:cs="仿宋"/>
          <w:b/>
          <w:bCs/>
          <w:color w:val="auto"/>
          <w:sz w:val="48"/>
          <w:szCs w:val="48"/>
          <w:highlight w:val="none"/>
          <w:shd w:val="clear" w:color="auto" w:fill="auto"/>
          <w:lang w:val="en-US" w:eastAsia="zh-CN"/>
        </w:rPr>
        <w:t xml:space="preserve"> </w:t>
      </w:r>
    </w:p>
    <w:p w14:paraId="078DC77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0A5B211">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55527CD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3C1B4BC5">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FF55C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66E385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76B9E7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119D52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w:t>
      </w:r>
      <w:r>
        <w:rPr>
          <w:rFonts w:hint="eastAsia" w:ascii="仿宋" w:hAnsi="仿宋" w:eastAsia="仿宋" w:cs="仿宋"/>
          <w:b w:val="0"/>
          <w:bCs w:val="0"/>
          <w:color w:val="auto"/>
          <w:sz w:val="28"/>
          <w:szCs w:val="28"/>
          <w:highlight w:val="none"/>
          <w:u w:val="single"/>
          <w:shd w:val="clear" w:color="auto" w:fill="auto"/>
          <w:lang w:val="en-US" w:eastAsia="zh-CN"/>
        </w:rPr>
        <w:t>2025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661DDA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134"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78B71477">
      <w:pPr>
        <w:keepNext w:val="0"/>
        <w:keepLines w:val="0"/>
        <w:pageBreakBefore w:val="0"/>
        <w:overflowPunct/>
        <w:topLinePunct w:val="0"/>
        <w:bidi w:val="0"/>
        <w:adjustRightInd w:val="0"/>
        <w:snapToGrid w:val="0"/>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highlight w:val="none"/>
        </w:rPr>
      </w:pPr>
      <w:bookmarkStart w:id="34" w:name="_Toc21482"/>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录</w:t>
      </w:r>
    </w:p>
    <w:p w14:paraId="675E6E4B">
      <w:pPr>
        <w:pStyle w:val="10"/>
        <w:tabs>
          <w:tab w:val="right" w:leader="middleDot" w:pos="9638"/>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795465B7">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_Toc30185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第一部分 </w:t>
      </w:r>
      <w:r>
        <w:rPr>
          <w:rFonts w:hint="eastAsia" w:ascii="仿宋" w:hAnsi="仿宋" w:eastAsia="仿宋" w:cs="仿宋"/>
          <w:bCs/>
          <w:i w:val="0"/>
          <w:iCs w:val="0"/>
          <w:kern w:val="0"/>
          <w:sz w:val="24"/>
          <w:szCs w:val="24"/>
          <w:highlight w:val="none"/>
          <w:shd w:val="clear" w:color="auto" w:fill="auto"/>
          <w:lang w:val="en-US" w:eastAsia="zh-CN"/>
        </w:rPr>
        <w:t>合同专用条款</w:t>
      </w:r>
      <w:r>
        <w:rPr>
          <w:sz w:val="24"/>
          <w:szCs w:val="24"/>
          <w:highlight w:val="none"/>
        </w:rPr>
        <w:tab/>
      </w:r>
      <w:r>
        <w:rPr>
          <w:sz w:val="24"/>
          <w:szCs w:val="24"/>
          <w:highlight w:val="none"/>
        </w:rPr>
        <w:fldChar w:fldCharType="begin"/>
      </w:r>
      <w:r>
        <w:rPr>
          <w:sz w:val="24"/>
          <w:szCs w:val="24"/>
          <w:highlight w:val="none"/>
        </w:rPr>
        <w:instrText xml:space="preserve"> PAGEREF _Toc30185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A62358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_Toc13008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rPr>
        <w:t xml:space="preserve">第一章、 </w:t>
      </w:r>
      <w:r>
        <w:rPr>
          <w:rFonts w:hint="eastAsia" w:ascii="仿宋" w:hAnsi="仿宋" w:eastAsia="仿宋" w:cs="仿宋"/>
          <w:bCs/>
          <w:i w:val="0"/>
          <w:iCs w:val="0"/>
          <w:sz w:val="24"/>
          <w:szCs w:val="24"/>
          <w:highlight w:val="none"/>
          <w:shd w:val="clear" w:color="auto" w:fill="auto"/>
        </w:rPr>
        <w:t>项目概况</w:t>
      </w:r>
      <w:r>
        <w:rPr>
          <w:sz w:val="24"/>
          <w:szCs w:val="24"/>
          <w:highlight w:val="none"/>
        </w:rPr>
        <w:tab/>
      </w:r>
      <w:r>
        <w:rPr>
          <w:sz w:val="24"/>
          <w:szCs w:val="24"/>
          <w:highlight w:val="none"/>
        </w:rPr>
        <w:fldChar w:fldCharType="begin"/>
      </w:r>
      <w:r>
        <w:rPr>
          <w:sz w:val="24"/>
          <w:szCs w:val="24"/>
          <w:highlight w:val="none"/>
        </w:rPr>
        <w:instrText xml:space="preserve"> PAGEREF _Toc13008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3CB40E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_Toc20796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_Toc20796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4A415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_Toc16326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_Toc16326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D40B17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_Toc31532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rFonts w:hint="eastAsia"/>
          <w:sz w:val="24"/>
          <w:szCs w:val="24"/>
          <w:highlight w:val="none"/>
          <w:lang w:val="en-US" w:eastAsia="zh-CN"/>
        </w:rPr>
        <w:t>5</w:t>
      </w:r>
      <w:r>
        <w:rPr>
          <w:rFonts w:hint="eastAsia" w:ascii="仿宋" w:hAnsi="仿宋" w:eastAsia="仿宋" w:cs="仿宋"/>
          <w:color w:val="auto"/>
          <w:sz w:val="24"/>
          <w:szCs w:val="24"/>
          <w:highlight w:val="none"/>
        </w:rPr>
        <w:fldChar w:fldCharType="end"/>
      </w:r>
    </w:p>
    <w:p w14:paraId="04D8939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_Toc18075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_Toc18075 \h </w:instrText>
      </w:r>
      <w:r>
        <w:rPr>
          <w:sz w:val="24"/>
          <w:szCs w:val="24"/>
          <w:highlight w:val="none"/>
        </w:rPr>
        <w:fldChar w:fldCharType="separate"/>
      </w:r>
      <w:r>
        <w:rPr>
          <w:sz w:val="24"/>
          <w:szCs w:val="24"/>
          <w:highlight w:val="none"/>
        </w:rPr>
        <w:t>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4E78B24">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_Toc29531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rFonts w:hint="eastAsia"/>
          <w:sz w:val="24"/>
          <w:szCs w:val="24"/>
          <w:highlight w:val="none"/>
          <w:lang w:val="en-US" w:eastAsia="zh-CN"/>
        </w:rPr>
        <w:t>6</w:t>
      </w:r>
      <w:r>
        <w:rPr>
          <w:rFonts w:hint="eastAsia" w:ascii="仿宋" w:hAnsi="仿宋" w:eastAsia="仿宋" w:cs="仿宋"/>
          <w:color w:val="auto"/>
          <w:sz w:val="24"/>
          <w:szCs w:val="24"/>
          <w:highlight w:val="none"/>
        </w:rPr>
        <w:fldChar w:fldCharType="end"/>
      </w:r>
    </w:p>
    <w:p w14:paraId="414282F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_Toc26663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rFonts w:hint="eastAsia"/>
          <w:sz w:val="24"/>
          <w:szCs w:val="24"/>
          <w:highlight w:val="none"/>
          <w:lang w:val="en-US" w:eastAsia="zh-CN"/>
        </w:rPr>
        <w:t>7</w:t>
      </w:r>
      <w:r>
        <w:rPr>
          <w:rFonts w:hint="eastAsia" w:ascii="仿宋" w:hAnsi="仿宋" w:eastAsia="仿宋" w:cs="仿宋"/>
          <w:color w:val="auto"/>
          <w:sz w:val="24"/>
          <w:szCs w:val="24"/>
          <w:highlight w:val="none"/>
        </w:rPr>
        <w:fldChar w:fldCharType="end"/>
      </w:r>
    </w:p>
    <w:p w14:paraId="714AA6C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_Toc1836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_Toc1836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EA431D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_Toc15443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_Toc15443 \h </w:instrText>
      </w:r>
      <w:r>
        <w:rPr>
          <w:sz w:val="24"/>
          <w:szCs w:val="24"/>
          <w:highlight w:val="none"/>
        </w:rPr>
        <w:fldChar w:fldCharType="separate"/>
      </w:r>
      <w:r>
        <w:rPr>
          <w:sz w:val="24"/>
          <w:szCs w:val="24"/>
          <w:highlight w:val="none"/>
        </w:rPr>
        <w:t>11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70C2CB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_Toc25504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_Toc25504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7AA10A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_Toc1887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_Toc1887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939439D">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第二部分 </w:t>
      </w:r>
      <w:r>
        <w:rPr>
          <w:rFonts w:hint="eastAsia" w:ascii="仿宋" w:hAnsi="仿宋" w:eastAsia="仿宋" w:cs="仿宋"/>
          <w:bCs/>
          <w:i w:val="0"/>
          <w:iCs w:val="0"/>
          <w:kern w:val="0"/>
          <w:sz w:val="24"/>
          <w:szCs w:val="24"/>
          <w:highlight w:val="none"/>
          <w:shd w:val="clear" w:color="auto" w:fill="auto"/>
          <w:lang w:val="en-US" w:eastAsia="zh-CN"/>
        </w:rPr>
        <w:t>合同通用条款</w:t>
      </w:r>
      <w:r>
        <w:rPr>
          <w:sz w:val="24"/>
          <w:szCs w:val="24"/>
          <w:highlight w:val="none"/>
        </w:rPr>
        <w:tab/>
      </w:r>
      <w:r>
        <w:rPr>
          <w:sz w:val="24"/>
          <w:szCs w:val="24"/>
          <w:highlight w:val="none"/>
        </w:rPr>
        <w:fldChar w:fldCharType="begin"/>
      </w:r>
      <w:r>
        <w:rPr>
          <w:sz w:val="24"/>
          <w:szCs w:val="24"/>
          <w:highlight w:val="none"/>
        </w:rPr>
        <w:instrText xml:space="preserve"> PAGEREF _Toc17756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30A36A4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_Toc27946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第一章、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_Toc27946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ED7917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_Toc30750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_Toc30750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588E55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_Toc6424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sz w:val="24"/>
          <w:szCs w:val="24"/>
          <w:highlight w:val="none"/>
        </w:rPr>
        <w:fldChar w:fldCharType="begin"/>
      </w:r>
      <w:r>
        <w:rPr>
          <w:sz w:val="24"/>
          <w:szCs w:val="24"/>
          <w:highlight w:val="none"/>
        </w:rPr>
        <w:instrText xml:space="preserve"> PAGEREF _Toc6424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A8823B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_Toc21972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_Toc21972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F6068F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sz w:val="24"/>
          <w:szCs w:val="24"/>
          <w:highlight w:val="none"/>
        </w:rPr>
        <w:fldChar w:fldCharType="begin"/>
      </w:r>
      <w:r>
        <w:rPr>
          <w:sz w:val="24"/>
          <w:szCs w:val="24"/>
          <w:highlight w:val="none"/>
        </w:rPr>
        <w:instrText xml:space="preserve"> PAGEREF _Toc20756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F1739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_Toc22953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sz w:val="24"/>
          <w:szCs w:val="24"/>
          <w:highlight w:val="none"/>
        </w:rPr>
        <w:fldChar w:fldCharType="begin"/>
      </w:r>
      <w:r>
        <w:rPr>
          <w:sz w:val="24"/>
          <w:szCs w:val="24"/>
          <w:highlight w:val="none"/>
        </w:rPr>
        <w:instrText xml:space="preserve"> PAGEREF _Toc22953 \h </w:instrText>
      </w:r>
      <w:r>
        <w:rPr>
          <w:sz w:val="24"/>
          <w:szCs w:val="24"/>
          <w:highlight w:val="none"/>
        </w:rPr>
        <w:fldChar w:fldCharType="separate"/>
      </w:r>
      <w:r>
        <w:rPr>
          <w:sz w:val="24"/>
          <w:szCs w:val="24"/>
          <w:highlight w:val="none"/>
        </w:rPr>
        <w:t>20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15ADF1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_Toc25821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_Toc25821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66465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_Toc22680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_Toc22680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9F8772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_Toc28885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安全生产、文明施工要求</w:t>
      </w:r>
      <w:r>
        <w:rPr>
          <w:sz w:val="24"/>
          <w:szCs w:val="24"/>
          <w:highlight w:val="none"/>
        </w:rPr>
        <w:tab/>
      </w:r>
      <w:r>
        <w:rPr>
          <w:sz w:val="24"/>
          <w:szCs w:val="24"/>
          <w:highlight w:val="none"/>
        </w:rPr>
        <w:fldChar w:fldCharType="begin"/>
      </w:r>
      <w:r>
        <w:rPr>
          <w:sz w:val="24"/>
          <w:szCs w:val="24"/>
          <w:highlight w:val="none"/>
        </w:rPr>
        <w:instrText xml:space="preserve"> PAGEREF _Toc28885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73ED0C52">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甲供材料设备</w:t>
      </w:r>
      <w:r>
        <w:rPr>
          <w:sz w:val="24"/>
          <w:szCs w:val="24"/>
          <w:highlight w:val="none"/>
        </w:rPr>
        <w:tab/>
      </w:r>
      <w:r>
        <w:rPr>
          <w:sz w:val="24"/>
          <w:szCs w:val="24"/>
          <w:highlight w:val="none"/>
        </w:rPr>
        <w:fldChar w:fldCharType="begin"/>
      </w:r>
      <w:r>
        <w:rPr>
          <w:sz w:val="24"/>
          <w:szCs w:val="24"/>
          <w:highlight w:val="none"/>
        </w:rPr>
        <w:instrText xml:space="preserve"> PAGEREF _Toc29572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831315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_Toc22578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_Toc22578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0149CA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_Toc14119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第十二章、 </w:t>
      </w:r>
      <w:r>
        <w:rPr>
          <w:rFonts w:hint="eastAsia" w:ascii="仿宋" w:hAnsi="仿宋" w:eastAsia="仿宋" w:cs="仿宋"/>
          <w:bCs/>
          <w:i w:val="0"/>
          <w:iCs w:val="0"/>
          <w:sz w:val="24"/>
          <w:szCs w:val="24"/>
          <w:highlight w:val="none"/>
          <w:shd w:val="clear" w:color="auto" w:fill="auto"/>
          <w:lang w:val="en-US" w:eastAsia="zh-CN"/>
        </w:rPr>
        <w:t>保险</w:t>
      </w:r>
      <w:r>
        <w:rPr>
          <w:sz w:val="24"/>
          <w:szCs w:val="24"/>
          <w:highlight w:val="none"/>
        </w:rPr>
        <w:tab/>
      </w:r>
      <w:r>
        <w:rPr>
          <w:sz w:val="24"/>
          <w:szCs w:val="24"/>
          <w:highlight w:val="none"/>
        </w:rPr>
        <w:fldChar w:fldCharType="begin"/>
      </w:r>
      <w:r>
        <w:rPr>
          <w:sz w:val="24"/>
          <w:szCs w:val="24"/>
          <w:highlight w:val="none"/>
        </w:rPr>
        <w:instrText xml:space="preserve"> PAGEREF _Toc14119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BFFC7DF">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第十三章、 </w:t>
      </w:r>
      <w:r>
        <w:rPr>
          <w:rFonts w:hint="eastAsia" w:ascii="仿宋" w:hAnsi="仿宋" w:eastAsia="仿宋" w:cs="仿宋"/>
          <w:bCs/>
          <w:i w:val="0"/>
          <w:iCs w:val="0"/>
          <w:sz w:val="24"/>
          <w:szCs w:val="24"/>
          <w:highlight w:val="none"/>
          <w:shd w:val="clear" w:color="auto" w:fill="auto"/>
          <w:lang w:val="en-US" w:eastAsia="zh-CN"/>
        </w:rPr>
        <w:t>奖罚条款</w:t>
      </w:r>
      <w:r>
        <w:rPr>
          <w:sz w:val="24"/>
          <w:szCs w:val="24"/>
          <w:highlight w:val="none"/>
        </w:rPr>
        <w:tab/>
      </w:r>
      <w:r>
        <w:rPr>
          <w:sz w:val="24"/>
          <w:szCs w:val="24"/>
          <w:highlight w:val="none"/>
        </w:rPr>
        <w:fldChar w:fldCharType="begin"/>
      </w:r>
      <w:r>
        <w:rPr>
          <w:sz w:val="24"/>
          <w:szCs w:val="24"/>
          <w:highlight w:val="none"/>
        </w:rPr>
        <w:instrText xml:space="preserve"> PAGEREF _Toc14780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AD8B52D">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_Toc16465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第十四章、 </w:t>
      </w:r>
      <w:r>
        <w:rPr>
          <w:rFonts w:hint="eastAsia" w:ascii="仿宋" w:hAnsi="仿宋" w:eastAsia="仿宋" w:cs="仿宋"/>
          <w:bCs/>
          <w:i w:val="0"/>
          <w:iCs w:val="0"/>
          <w:sz w:val="24"/>
          <w:szCs w:val="24"/>
          <w:highlight w:val="none"/>
          <w:shd w:val="clear" w:color="auto" w:fill="auto"/>
          <w:lang w:val="en-US" w:eastAsia="zh-CN"/>
        </w:rPr>
        <w:t>违约条款</w:t>
      </w:r>
      <w:r>
        <w:rPr>
          <w:sz w:val="24"/>
          <w:szCs w:val="24"/>
          <w:highlight w:val="none"/>
        </w:rPr>
        <w:tab/>
      </w:r>
      <w:r>
        <w:rPr>
          <w:sz w:val="24"/>
          <w:szCs w:val="24"/>
          <w:highlight w:val="none"/>
        </w:rPr>
        <w:fldChar w:fldCharType="begin"/>
      </w:r>
      <w:r>
        <w:rPr>
          <w:sz w:val="24"/>
          <w:szCs w:val="24"/>
          <w:highlight w:val="none"/>
        </w:rPr>
        <w:instrText xml:space="preserve"> PAGEREF _Toc16465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66F726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_Toc31618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第十五章、 </w:t>
      </w:r>
      <w:r>
        <w:rPr>
          <w:rFonts w:hint="eastAsia" w:ascii="仿宋" w:hAnsi="仿宋" w:eastAsia="仿宋" w:cs="仿宋"/>
          <w:bCs/>
          <w:i w:val="0"/>
          <w:iCs w:val="0"/>
          <w:sz w:val="24"/>
          <w:szCs w:val="24"/>
          <w:highlight w:val="none"/>
          <w:shd w:val="clear" w:color="auto" w:fill="auto"/>
          <w:lang w:val="en-US" w:eastAsia="zh-CN"/>
        </w:rPr>
        <w:t>廉洁条款</w:t>
      </w:r>
      <w:r>
        <w:rPr>
          <w:sz w:val="24"/>
          <w:szCs w:val="24"/>
          <w:highlight w:val="none"/>
        </w:rPr>
        <w:tab/>
      </w:r>
      <w:r>
        <w:rPr>
          <w:sz w:val="24"/>
          <w:szCs w:val="24"/>
          <w:highlight w:val="none"/>
        </w:rPr>
        <w:fldChar w:fldCharType="begin"/>
      </w:r>
      <w:r>
        <w:rPr>
          <w:sz w:val="24"/>
          <w:szCs w:val="24"/>
          <w:highlight w:val="none"/>
        </w:rPr>
        <w:instrText xml:space="preserve"> PAGEREF _Toc31618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2F534B0">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_Toc15809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第十六章、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_Toc15809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2F1372D">
      <w:pPr>
        <w:pStyle w:val="10"/>
        <w:tabs>
          <w:tab w:val="right" w:leader="middleDot" w:pos="9638"/>
        </w:tabs>
        <w:rPr>
          <w:highlight w:val="none"/>
        </w:rPr>
        <w:sectPr>
          <w:footerReference r:id="rId5" w:type="default"/>
          <w:pgSz w:w="11906" w:h="16839"/>
          <w:pgMar w:top="1361" w:right="1134" w:bottom="1247" w:left="1134" w:header="0" w:footer="0" w:gutter="0"/>
          <w:pgNumType w:fmt="decimal" w:start="1"/>
          <w:cols w:space="720" w:num="1"/>
        </w:sectPr>
      </w:pPr>
    </w:p>
    <w:p w14:paraId="1E033812">
      <w:pPr>
        <w:rPr>
          <w:highlight w:val="none"/>
        </w:rPr>
      </w:pPr>
    </w:p>
    <w:p w14:paraId="4024AFD5">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420"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r>
        <w:rPr>
          <w:rFonts w:hint="eastAsia" w:ascii="仿宋" w:hAnsi="仿宋" w:eastAsia="仿宋" w:cs="仿宋"/>
          <w:color w:val="auto"/>
          <w:highlight w:val="none"/>
        </w:rPr>
        <w:fldChar w:fldCharType="end"/>
      </w:r>
      <w:bookmarkStart w:id="35" w:name="_Toc20907"/>
      <w:bookmarkStart w:id="36" w:name="_Toc30185"/>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34"/>
      <w:bookmarkEnd w:id="35"/>
      <w:bookmarkEnd w:id="36"/>
    </w:p>
    <w:p w14:paraId="7F368EA5">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在乙方确认并承诺自身满足本项目所在地政府主管部门各项要求（如施工资质、资格等）的前提下，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default" w:ascii="仿宋" w:hAnsi="仿宋" w:eastAsia="仿宋" w:cs="仿宋"/>
          <w:i w:val="0"/>
          <w:iCs w:val="0"/>
          <w:color w:val="auto"/>
          <w:sz w:val="28"/>
          <w:szCs w:val="28"/>
          <w:highlight w:val="none"/>
          <w:u w:val="single"/>
          <w:shd w:val="clear" w:color="auto" w:fill="auto"/>
          <w:lang w:eastAsia="zh-CN"/>
        </w:rPr>
        <w:t>南京现代表面处理科技产业中心项目B地块工程</w:t>
      </w:r>
      <w:r>
        <w:rPr>
          <w:rFonts w:hint="eastAsia" w:ascii="仿宋" w:hAnsi="仿宋" w:eastAsia="仿宋" w:cs="仿宋"/>
          <w:i w:val="0"/>
          <w:iCs w:val="0"/>
          <w:color w:val="auto"/>
          <w:sz w:val="28"/>
          <w:szCs w:val="28"/>
          <w:highlight w:val="none"/>
          <w:u w:val="single"/>
          <w:shd w:val="clear" w:color="auto" w:fill="auto"/>
          <w:lang w:val="en-US" w:eastAsia="zh-CN"/>
        </w:rPr>
        <w:t>回填土</w:t>
      </w:r>
      <w:r>
        <w:rPr>
          <w:rFonts w:hint="eastAsia" w:ascii="仿宋" w:hAnsi="仿宋" w:eastAsia="仿宋" w:cs="仿宋"/>
          <w:i w:val="0"/>
          <w:iCs w:val="0"/>
          <w:color w:val="auto"/>
          <w:sz w:val="28"/>
          <w:szCs w:val="28"/>
          <w:highlight w:val="none"/>
          <w:u w:val="single"/>
          <w:shd w:val="clear" w:color="auto" w:fill="auto"/>
          <w:lang w:eastAsia="zh-CN"/>
        </w:rPr>
        <w:t>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6308C26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7" w:name="_Toc13008"/>
      <w:bookmarkStart w:id="38" w:name="_Toc7986"/>
      <w:bookmarkStart w:id="39" w:name="_Toc26146"/>
      <w:bookmarkStart w:id="40" w:name="_Toc1208"/>
      <w:r>
        <w:rPr>
          <w:rFonts w:hint="eastAsia" w:ascii="仿宋" w:hAnsi="仿宋" w:eastAsia="仿宋" w:cs="仿宋"/>
          <w:b/>
          <w:bCs/>
          <w:i w:val="0"/>
          <w:iCs w:val="0"/>
          <w:color w:val="auto"/>
          <w:sz w:val="28"/>
          <w:szCs w:val="28"/>
          <w:highlight w:val="none"/>
          <w:shd w:val="clear" w:color="auto" w:fill="auto"/>
        </w:rPr>
        <w:t>项目概况</w:t>
      </w:r>
      <w:bookmarkEnd w:id="37"/>
      <w:bookmarkEnd w:id="38"/>
    </w:p>
    <w:p w14:paraId="47D4CEF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default" w:ascii="仿宋" w:hAnsi="仿宋" w:eastAsia="仿宋" w:cs="仿宋"/>
          <w:i w:val="0"/>
          <w:iCs w:val="0"/>
          <w:color w:val="auto"/>
          <w:sz w:val="28"/>
          <w:szCs w:val="28"/>
          <w:highlight w:val="none"/>
          <w:u w:val="single"/>
          <w:shd w:val="clear" w:color="auto" w:fill="auto"/>
          <w:lang w:eastAsia="zh-CN"/>
        </w:rPr>
        <w:t>南京现代表面处理科技产业中心项目B地块工程</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u w:val="single"/>
          <w:shd w:val="clear" w:color="auto" w:fill="auto"/>
          <w:lang w:eastAsia="zh-CN"/>
        </w:rPr>
        <w:t>全文</w:t>
      </w:r>
      <w:r>
        <w:rPr>
          <w:rFonts w:hint="eastAsia" w:ascii="仿宋" w:hAnsi="仿宋" w:eastAsia="仿宋" w:cs="仿宋"/>
          <w:i w:val="0"/>
          <w:iCs w:val="0"/>
          <w:color w:val="auto"/>
          <w:kern w:val="0"/>
          <w:sz w:val="28"/>
          <w:szCs w:val="28"/>
          <w:highlight w:val="none"/>
          <w:u w:val="single"/>
          <w:shd w:val="clear" w:color="auto" w:fill="auto"/>
        </w:rPr>
        <w:t>简称“</w:t>
      </w:r>
      <w:r>
        <w:rPr>
          <w:rFonts w:hint="eastAsia" w:ascii="仿宋" w:hAnsi="仿宋" w:eastAsia="仿宋" w:cs="仿宋"/>
          <w:i w:val="0"/>
          <w:iCs w:val="0"/>
          <w:color w:val="auto"/>
          <w:kern w:val="0"/>
          <w:sz w:val="28"/>
          <w:szCs w:val="28"/>
          <w:highlight w:val="none"/>
          <w:u w:val="single"/>
          <w:shd w:val="clear" w:color="auto" w:fill="auto"/>
          <w:lang w:eastAsia="zh-CN"/>
        </w:rPr>
        <w:t>本</w:t>
      </w:r>
      <w:r>
        <w:rPr>
          <w:rFonts w:hint="eastAsia" w:ascii="仿宋" w:hAnsi="仿宋" w:eastAsia="仿宋" w:cs="仿宋"/>
          <w:i w:val="0"/>
          <w:iCs w:val="0"/>
          <w:color w:val="auto"/>
          <w:kern w:val="0"/>
          <w:sz w:val="28"/>
          <w:szCs w:val="28"/>
          <w:highlight w:val="none"/>
          <w:u w:val="single"/>
          <w:shd w:val="clear" w:color="auto" w:fill="auto"/>
          <w:lang w:val="en-US" w:eastAsia="zh-CN"/>
        </w:rPr>
        <w:t>项目</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shd w:val="clear" w:color="auto" w:fill="auto"/>
        </w:rPr>
        <w:t>）</w:t>
      </w:r>
    </w:p>
    <w:p w14:paraId="3F98A55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single"/>
          <w:shd w:val="clear" w:color="auto" w:fill="auto"/>
        </w:rPr>
        <w:t>江苏省南京市六合区南京现代表面处理科技产业中心项目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B</w:t>
      </w:r>
      <w:r>
        <w:rPr>
          <w:rFonts w:hint="eastAsia" w:ascii="仿宋_GB2312" w:hAnsi="仿宋_GB2312" w:eastAsia="仿宋_GB2312" w:cs="仿宋_GB2312"/>
          <w:i w:val="0"/>
          <w:iCs w:val="0"/>
          <w:color w:val="auto"/>
          <w:sz w:val="28"/>
          <w:szCs w:val="28"/>
          <w:highlight w:val="none"/>
          <w:u w:val="single"/>
          <w:shd w:val="clear" w:color="auto" w:fill="auto"/>
        </w:rPr>
        <w:t>地块甲方指定地点</w:t>
      </w:r>
      <w:r>
        <w:rPr>
          <w:rFonts w:hint="eastAsia" w:ascii="仿宋" w:hAnsi="仿宋" w:eastAsia="仿宋" w:cs="仿宋"/>
          <w:i w:val="0"/>
          <w:iCs w:val="0"/>
          <w:color w:val="auto"/>
          <w:sz w:val="28"/>
          <w:szCs w:val="28"/>
          <w:highlight w:val="none"/>
          <w:u w:val="single"/>
          <w:shd w:val="clear" w:color="auto" w:fill="auto"/>
          <w:lang w:val="en-US" w:eastAsia="zh-CN"/>
        </w:rPr>
        <w:t>。</w:t>
      </w:r>
    </w:p>
    <w:p w14:paraId="06ABE2A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1.3甲方提供的本工程施工条件、界面及主要设施：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乙方施工期间可使用甲方现场既有设施(含施工电源、水源)，甲方不另提供其他设施。本工程施工的水电费由甲方承担(水电接线由乙方负责)。乙方人员在项目现场的生活电费由乙方承担。</w:t>
      </w:r>
    </w:p>
    <w:p w14:paraId="1B39C662">
      <w:pPr>
        <w:pStyle w:val="14"/>
        <w:ind w:left="0" w:leftChars="0" w:firstLine="560"/>
        <w:rPr>
          <w:rFonts w:hint="default"/>
          <w:highlight w:val="none"/>
          <w:lang w:val="en-US"/>
        </w:rPr>
      </w:pPr>
      <w:r>
        <w:rPr>
          <w:rFonts w:hint="eastAsia" w:ascii="仿宋" w:hAnsi="仿宋" w:eastAsia="仿宋" w:cs="仿宋"/>
          <w:i w:val="0"/>
          <w:iCs w:val="0"/>
          <w:color w:val="auto"/>
          <w:sz w:val="28"/>
          <w:szCs w:val="28"/>
          <w:highlight w:val="none"/>
          <w:u w:val="none"/>
          <w:shd w:val="clear" w:color="auto" w:fill="auto"/>
          <w:lang w:val="en-US" w:eastAsia="zh-CN"/>
        </w:rPr>
        <w:t>1.4甲供材：</w:t>
      </w:r>
      <w:r>
        <w:rPr>
          <w:rFonts w:hint="eastAsia" w:ascii="仿宋" w:hAnsi="仿宋" w:eastAsia="仿宋" w:cs="仿宋"/>
          <w:b/>
          <w:bCs/>
          <w:i w:val="0"/>
          <w:iCs w:val="0"/>
          <w:color w:val="auto"/>
          <w:sz w:val="28"/>
          <w:szCs w:val="28"/>
          <w:highlight w:val="none"/>
          <w:u w:val="single"/>
          <w:shd w:val="clear" w:color="auto" w:fill="auto"/>
          <w:lang w:val="en-US" w:eastAsia="zh-CN"/>
        </w:rPr>
        <w:t>无（防扬尘网乙方提供）</w:t>
      </w:r>
      <w:r>
        <w:rPr>
          <w:rFonts w:hint="eastAsia" w:ascii="仿宋" w:hAnsi="仿宋" w:eastAsia="仿宋" w:cs="仿宋"/>
          <w:i w:val="0"/>
          <w:iCs w:val="0"/>
          <w:color w:val="auto"/>
          <w:sz w:val="28"/>
          <w:szCs w:val="28"/>
          <w:highlight w:val="none"/>
          <w:u w:val="single"/>
          <w:shd w:val="clear" w:color="auto" w:fill="auto"/>
          <w:lang w:val="en-US" w:eastAsia="zh-CN"/>
        </w:rPr>
        <w:t>。</w:t>
      </w:r>
    </w:p>
    <w:bookmarkEnd w:id="39"/>
    <w:bookmarkEnd w:id="40"/>
    <w:p w14:paraId="4566030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1" w:name="_Toc20796"/>
      <w:bookmarkStart w:id="42" w:name="_Toc6204"/>
      <w:r>
        <w:rPr>
          <w:rFonts w:hint="eastAsia" w:ascii="仿宋" w:hAnsi="仿宋" w:eastAsia="仿宋" w:cs="仿宋"/>
          <w:b/>
          <w:bCs/>
          <w:i w:val="0"/>
          <w:iCs w:val="0"/>
          <w:color w:val="auto"/>
          <w:sz w:val="28"/>
          <w:szCs w:val="28"/>
          <w:highlight w:val="none"/>
          <w:shd w:val="clear" w:color="auto" w:fill="auto"/>
          <w:lang w:val="en-US" w:eastAsia="zh-CN"/>
        </w:rPr>
        <w:t>承包方式</w:t>
      </w:r>
      <w:bookmarkEnd w:id="41"/>
      <w:bookmarkEnd w:id="42"/>
    </w:p>
    <w:p w14:paraId="0DF87DA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2.1甲方以全包方式将本工程分包给乙方。乙方对</w:t>
      </w:r>
      <w:r>
        <w:rPr>
          <w:rFonts w:hint="eastAsia" w:ascii="仿宋" w:hAnsi="仿宋" w:eastAsia="仿宋" w:cs="仿宋"/>
          <w:b/>
          <w:bCs/>
          <w:i w:val="0"/>
          <w:iCs w:val="0"/>
          <w:color w:val="auto"/>
          <w:sz w:val="28"/>
          <w:szCs w:val="28"/>
          <w:highlight w:val="none"/>
          <w:shd w:val="clear" w:color="auto" w:fill="auto"/>
          <w:lang w:val="en-US" w:eastAsia="zh-CN"/>
        </w:rPr>
        <w:t>本工程</w:t>
      </w:r>
      <w:r>
        <w:rPr>
          <w:rFonts w:hint="eastAsia" w:ascii="仿宋" w:hAnsi="仿宋" w:eastAsia="仿宋" w:cs="仿宋"/>
          <w:b/>
          <w:bCs/>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u w:val="none"/>
          <w:shd w:val="clear" w:color="auto" w:fill="auto"/>
          <w:lang w:val="en-US" w:eastAsia="zh-CN"/>
        </w:rPr>
        <w:t>包工包料/</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w:t>
      </w:r>
      <w:r>
        <w:rPr>
          <w:rFonts w:hint="eastAsia" w:ascii="仿宋" w:hAnsi="仿宋" w:eastAsia="仿宋" w:cs="仿宋"/>
          <w:b/>
          <w:bCs/>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u w:val="none"/>
          <w:shd w:val="clear" w:color="auto" w:fill="auto"/>
          <w:lang w:val="en-US" w:eastAsia="zh-CN"/>
        </w:rPr>
        <w:t>包工包机械/</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shd w:val="clear" w:color="auto" w:fill="auto"/>
          <w:lang w:val="en-US" w:eastAsia="zh-CN"/>
        </w:rPr>
        <w:t>，包洗车费，包质量，包安全与文明施工，包进度，包相关施工措施，包验收合格，包场地清理，包大门外路面清理，包管理费与利润，包成品保护，包市场价格波动风险，包大门外与各政府乡镇、社区、村委的各种关系协商，包不可抗力以外的所有风险，包其他一切可预见或不可预见因素等。乙方负责协调、处理本工程涉及的各类关系（包括但不限于政府主管部门、周边居民等关系），确保进退场及施工过程中合法、合规、不扰民，相关费用已包含在合同单价内，不另行计取。</w:t>
      </w:r>
    </w:p>
    <w:p w14:paraId="51D3182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乙方绘制。</w:t>
      </w:r>
    </w:p>
    <w:p w14:paraId="435567D3">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3" w:name="_Toc9456"/>
      <w:bookmarkStart w:id="44" w:name="_Toc27213"/>
      <w:bookmarkStart w:id="45" w:name="_Toc16326"/>
      <w:bookmarkStart w:id="46" w:name="_Toc9670"/>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43"/>
      <w:bookmarkEnd w:id="44"/>
      <w:bookmarkEnd w:id="45"/>
      <w:bookmarkEnd w:id="46"/>
    </w:p>
    <w:p w14:paraId="6BFD924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本项目及所辖范围包括用地红线范围内及本工程图纸（即甲方确认的本工程施工图）内的全部土方回填工程由乙方施工（具体施工范围按甲方要求），过程中产生的全部人员报酬、材料（本合同约定的甲供材除外）、机具、施工管理等由乙方解决。</w:t>
      </w:r>
    </w:p>
    <w:p w14:paraId="30B228E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F3F4673">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组织</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、监理单位以及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共同对本工程的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基坑实际边坡测量回填土方量，并绘制土方横断面图。</w:t>
      </w:r>
      <w:r>
        <w:rPr>
          <w:rFonts w:hint="eastAsia" w:ascii="仿宋_GB2312" w:hAnsi="仿宋_GB2312" w:eastAsia="仿宋_GB2312" w:cs="仿宋_GB2312"/>
          <w:b w:val="0"/>
          <w:bCs w:val="0"/>
          <w:i w:val="0"/>
          <w:iCs w:val="0"/>
          <w:color w:val="auto"/>
          <w:sz w:val="28"/>
          <w:szCs w:val="28"/>
          <w:highlight w:val="none"/>
          <w:shd w:val="clear" w:color="auto" w:fill="auto"/>
        </w:rPr>
        <w:t>测量完成后，参与测量的单位及相关人员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签名确认，此签名确认后的土方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横断面</w:t>
      </w:r>
      <w:r>
        <w:rPr>
          <w:rFonts w:hint="eastAsia" w:ascii="仿宋_GB2312" w:hAnsi="仿宋_GB2312" w:eastAsia="仿宋_GB2312" w:cs="仿宋_GB2312"/>
          <w:b w:val="0"/>
          <w:bCs w:val="0"/>
          <w:i w:val="0"/>
          <w:iCs w:val="0"/>
          <w:color w:val="auto"/>
          <w:sz w:val="28"/>
          <w:szCs w:val="28"/>
          <w:highlight w:val="none"/>
          <w:shd w:val="clear" w:color="auto" w:fill="auto"/>
        </w:rPr>
        <w:t>图作为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与</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的重要依据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之一。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w:t>
      </w:r>
      <w:r>
        <w:rPr>
          <w:rFonts w:hint="eastAsia" w:ascii="仿宋_GB2312" w:hAnsi="仿宋_GB2312" w:eastAsia="仿宋_GB2312" w:cs="仿宋_GB2312"/>
          <w:b w:val="0"/>
          <w:bCs w:val="0"/>
          <w:i w:val="0"/>
          <w:iCs w:val="0"/>
          <w:color w:val="auto"/>
          <w:sz w:val="28"/>
          <w:szCs w:val="28"/>
          <w:highlight w:val="none"/>
          <w:shd w:val="clear" w:color="auto" w:fill="auto"/>
        </w:rPr>
        <w:t>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p>
    <w:p w14:paraId="378B0F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 w:hAnsi="仿宋" w:eastAsia="仿宋" w:cs="仿宋"/>
          <w:b/>
          <w:bCs/>
          <w:i w:val="0"/>
          <w:iCs w:val="0"/>
          <w:color w:val="auto"/>
          <w:sz w:val="28"/>
          <w:szCs w:val="28"/>
          <w:highlight w:val="none"/>
          <w:shd w:val="clear" w:color="auto" w:fill="auto"/>
        </w:rPr>
        <w:t>乙方</w:t>
      </w:r>
      <w:r>
        <w:rPr>
          <w:rFonts w:hint="eastAsia" w:ascii="仿宋" w:hAnsi="仿宋" w:eastAsia="仿宋" w:cs="仿宋"/>
          <w:b/>
          <w:bCs/>
          <w:i w:val="0"/>
          <w:iCs w:val="0"/>
          <w:color w:val="auto"/>
          <w:sz w:val="28"/>
          <w:szCs w:val="28"/>
          <w:highlight w:val="none"/>
          <w:shd w:val="clear" w:color="auto" w:fill="auto"/>
          <w:lang w:val="en-US" w:eastAsia="zh-CN"/>
        </w:rPr>
        <w:t>承包</w:t>
      </w:r>
      <w:r>
        <w:rPr>
          <w:rFonts w:hint="eastAsia" w:ascii="仿宋" w:hAnsi="仿宋" w:eastAsia="仿宋" w:cs="仿宋"/>
          <w:b/>
          <w:bCs/>
          <w:i w:val="0"/>
          <w:iCs w:val="0"/>
          <w:color w:val="auto"/>
          <w:sz w:val="28"/>
          <w:szCs w:val="28"/>
          <w:highlight w:val="none"/>
          <w:shd w:val="clear" w:color="auto" w:fill="auto"/>
        </w:rPr>
        <w:t>的内容</w:t>
      </w:r>
      <w:r>
        <w:rPr>
          <w:rFonts w:hint="eastAsia" w:ascii="仿宋" w:hAnsi="仿宋" w:eastAsia="仿宋" w:cs="仿宋"/>
          <w:b/>
          <w:bCs/>
          <w:i w:val="0"/>
          <w:iCs w:val="0"/>
          <w:color w:val="auto"/>
          <w:sz w:val="28"/>
          <w:szCs w:val="28"/>
          <w:highlight w:val="none"/>
          <w:shd w:val="clear" w:color="auto" w:fill="auto"/>
          <w:lang w:val="en-US" w:eastAsia="zh-CN"/>
        </w:rPr>
        <w:t>包括</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但</w:t>
      </w:r>
      <w:r>
        <w:rPr>
          <w:rFonts w:hint="eastAsia" w:ascii="仿宋_GB2312" w:hAnsi="仿宋_GB2312" w:eastAsia="仿宋_GB2312" w:cs="仿宋_GB2312"/>
          <w:b/>
          <w:bCs/>
          <w:i w:val="0"/>
          <w:iCs w:val="0"/>
          <w:color w:val="auto"/>
          <w:sz w:val="28"/>
          <w:szCs w:val="28"/>
          <w:highlight w:val="none"/>
          <w:u w:val="none"/>
          <w:shd w:val="clear" w:color="auto" w:fill="auto"/>
        </w:rPr>
        <w:t>不限于：场地平整，本项目所需大土方，大石方除了现场已有的，其余所欠缺的土方，石方均由乙方从本项目及甲方在建项目A地块用地红线以外的地方采购并运输至本项目现场甲方指定部位，进行分层回填，分层推平，分层夯实，分层打夯，分层碾压，防尘管控等土方工程全过程工序，满足甲方工程进度要求。</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场地平整，</w:t>
      </w:r>
      <w:r>
        <w:rPr>
          <w:rFonts w:hint="eastAsia" w:ascii="仿宋_GB2312" w:hAnsi="仿宋_GB2312" w:eastAsia="仿宋_GB2312" w:cs="仿宋_GB2312"/>
          <w:b/>
          <w:bCs/>
          <w:i w:val="0"/>
          <w:iCs w:val="0"/>
          <w:color w:val="auto"/>
          <w:sz w:val="28"/>
          <w:szCs w:val="28"/>
          <w:highlight w:val="none"/>
          <w:u w:val="none"/>
          <w:shd w:val="clear" w:color="auto" w:fill="auto"/>
        </w:rPr>
        <w:t>大土（石）方</w:t>
      </w:r>
      <w:r>
        <w:rPr>
          <w:rFonts w:hint="eastAsia" w:ascii="仿宋_GB2312" w:hAnsi="仿宋_GB2312" w:eastAsia="仿宋_GB2312" w:cs="仿宋_GB2312"/>
          <w:b/>
          <w:bCs/>
          <w:i w:val="0"/>
          <w:iCs w:val="0"/>
          <w:color w:val="auto"/>
          <w:sz w:val="28"/>
          <w:szCs w:val="28"/>
          <w:highlight w:val="none"/>
          <w:u w:val="none"/>
          <w:shd w:val="clear" w:color="auto" w:fill="auto"/>
          <w:lang w:eastAsia="zh-CN"/>
        </w:rPr>
        <w:t>采购拉运至</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项目现场</w:t>
      </w:r>
      <w:r>
        <w:rPr>
          <w:rFonts w:hint="eastAsia" w:ascii="仿宋_GB2312" w:hAnsi="仿宋_GB2312" w:eastAsia="仿宋_GB2312" w:cs="仿宋_GB2312"/>
          <w:b/>
          <w:bCs/>
          <w:i w:val="0"/>
          <w:iCs w:val="0"/>
          <w:color w:val="auto"/>
          <w:sz w:val="28"/>
          <w:szCs w:val="28"/>
          <w:highlight w:val="none"/>
          <w:u w:val="none"/>
          <w:shd w:val="clear" w:color="auto" w:fill="auto"/>
        </w:rPr>
        <w:t>及回填、</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夯实，</w:t>
      </w:r>
      <w:r>
        <w:rPr>
          <w:rFonts w:hint="eastAsia" w:ascii="仿宋_GB2312" w:hAnsi="仿宋_GB2312" w:eastAsia="仿宋_GB2312" w:cs="仿宋_GB2312"/>
          <w:b/>
          <w:bCs/>
          <w:i w:val="0"/>
          <w:iCs w:val="0"/>
          <w:color w:val="auto"/>
          <w:sz w:val="28"/>
          <w:szCs w:val="28"/>
          <w:highlight w:val="none"/>
          <w:u w:val="none"/>
          <w:shd w:val="clear" w:color="auto" w:fill="auto"/>
        </w:rPr>
        <w:t>配合甲方的</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回填</w:t>
      </w:r>
      <w:r>
        <w:rPr>
          <w:rFonts w:hint="eastAsia" w:ascii="仿宋_GB2312" w:hAnsi="仿宋_GB2312" w:eastAsia="仿宋_GB2312" w:cs="仿宋_GB2312"/>
          <w:b/>
          <w:bCs/>
          <w:i w:val="0"/>
          <w:iCs w:val="0"/>
          <w:color w:val="auto"/>
          <w:sz w:val="28"/>
          <w:szCs w:val="28"/>
          <w:highlight w:val="none"/>
          <w:u w:val="none"/>
          <w:shd w:val="clear" w:color="auto" w:fill="auto"/>
        </w:rPr>
        <w:t>工程进度、场地平整、挖水沟、场内修路、场地内有原建筑砼地面和钢筋砼基础的破除</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none"/>
          <w:u w:val="none"/>
          <w:shd w:val="clear" w:color="auto" w:fill="auto"/>
        </w:rPr>
        <w:t>乙方自行解决机械，车辆运输，防尘，重污染天气管理等涉及政府交通，城市综合执法，社区，村镇，国土等等政府相关部门的各种关系协调，手续办理和费用承担，其费用已经包含在本合同造价中，不再另行计取或者额外增补。</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亦包括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房心回填土机械分层压实、平整，</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对</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因梁、柱混凝土结构致使大型机械（如压路机）无法压实部位的</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用</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人工打夯机压实、平整，</w:t>
      </w:r>
      <w:r>
        <w:rPr>
          <w:rFonts w:hint="eastAsia" w:ascii="仿宋_GB2312" w:hAnsi="仿宋_GB2312" w:eastAsia="仿宋_GB2312" w:cs="仿宋_GB2312"/>
          <w:b/>
          <w:bCs/>
          <w:i w:val="0"/>
          <w:iCs w:val="0"/>
          <w:color w:val="auto"/>
          <w:sz w:val="28"/>
          <w:szCs w:val="28"/>
          <w:highlight w:val="none"/>
          <w:u w:val="none"/>
          <w:shd w:val="clear" w:color="auto" w:fill="auto"/>
        </w:rPr>
        <w:t>本工程所涉及的各项验收工作</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none"/>
          <w:u w:val="none"/>
          <w:shd w:val="clear" w:color="auto" w:fill="auto"/>
        </w:rPr>
        <w:t>承包范围内的相关安全文明施工及其配合工作</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合同单价内，不属于增加工程，除非双方额外签证，否则结算时工程价款不作调整。</w:t>
      </w:r>
    </w:p>
    <w:p w14:paraId="50F735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rPr>
        <w:t>乙方自备</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施工材料</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铺路钢板及</w:t>
      </w:r>
      <w:r>
        <w:rPr>
          <w:rFonts w:hint="eastAsia" w:ascii="仿宋" w:hAnsi="仿宋" w:eastAsia="仿宋" w:cs="仿宋"/>
          <w:b w:val="0"/>
          <w:bCs w:val="0"/>
          <w:i w:val="0"/>
          <w:iCs w:val="0"/>
          <w:color w:val="auto"/>
          <w:sz w:val="28"/>
          <w:szCs w:val="28"/>
          <w:highlight w:val="none"/>
          <w:shd w:val="clear" w:color="auto" w:fill="auto"/>
          <w:lang w:val="en-US" w:eastAsia="zh-CN"/>
        </w:rPr>
        <w:t>完成</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所用材料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费用及二次搬运费已包</w:t>
      </w:r>
      <w:r>
        <w:rPr>
          <w:rFonts w:hint="eastAsia" w:ascii="仿宋" w:hAnsi="仿宋" w:eastAsia="仿宋" w:cs="仿宋"/>
          <w:b w:val="0"/>
          <w:bCs w:val="0"/>
          <w:i w:val="0"/>
          <w:iCs w:val="0"/>
          <w:color w:val="auto"/>
          <w:sz w:val="28"/>
          <w:szCs w:val="28"/>
          <w:highlight w:val="none"/>
          <w:shd w:val="clear" w:color="auto" w:fill="auto"/>
          <w:lang w:val="en-US" w:eastAsia="zh-CN"/>
        </w:rPr>
        <w:t>含</w:t>
      </w:r>
      <w:r>
        <w:rPr>
          <w:rFonts w:hint="eastAsia" w:ascii="仿宋" w:hAnsi="仿宋" w:eastAsia="仿宋" w:cs="仿宋"/>
          <w:b w:val="0"/>
          <w:bCs w:val="0"/>
          <w:i w:val="0"/>
          <w:iCs w:val="0"/>
          <w:color w:val="auto"/>
          <w:sz w:val="28"/>
          <w:szCs w:val="28"/>
          <w:highlight w:val="none"/>
          <w:shd w:val="clear" w:color="auto" w:fill="auto"/>
        </w:rPr>
        <w:t>在合同</w:t>
      </w:r>
      <w:r>
        <w:rPr>
          <w:rFonts w:hint="eastAsia" w:ascii="仿宋" w:hAnsi="仿宋" w:eastAsia="仿宋" w:cs="仿宋"/>
          <w:b w:val="0"/>
          <w:bCs w:val="0"/>
          <w:i w:val="0"/>
          <w:iCs w:val="0"/>
          <w:color w:val="auto"/>
          <w:sz w:val="28"/>
          <w:szCs w:val="28"/>
          <w:highlight w:val="none"/>
          <w:shd w:val="clear" w:color="auto" w:fill="auto"/>
          <w:lang w:val="en-US" w:eastAsia="zh-CN"/>
        </w:rPr>
        <w:t>单</w:t>
      </w:r>
      <w:r>
        <w:rPr>
          <w:rFonts w:hint="eastAsia" w:ascii="仿宋" w:hAnsi="仿宋" w:eastAsia="仿宋" w:cs="仿宋"/>
          <w:b w:val="0"/>
          <w:bCs w:val="0"/>
          <w:i w:val="0"/>
          <w:iCs w:val="0"/>
          <w:color w:val="auto"/>
          <w:sz w:val="28"/>
          <w:szCs w:val="28"/>
          <w:highlight w:val="none"/>
          <w:shd w:val="clear" w:color="auto" w:fill="auto"/>
        </w:rPr>
        <w:t>价内。</w:t>
      </w:r>
    </w:p>
    <w:p w14:paraId="71A8CDF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乙方自备的施工机具</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rPr>
        <w:t>推土机、铲运机、挖土机、挖掘机、装载机</w:t>
      </w:r>
      <w:r>
        <w:rPr>
          <w:rFonts w:hint="eastAsia" w:ascii="仿宋" w:hAnsi="仿宋" w:eastAsia="仿宋" w:cs="仿宋"/>
          <w:b w:val="0"/>
          <w:bCs w:val="0"/>
          <w:i w:val="0"/>
          <w:iCs w:val="0"/>
          <w:color w:val="auto"/>
          <w:sz w:val="28"/>
          <w:szCs w:val="28"/>
          <w:highlight w:val="none"/>
          <w:u w:val="none"/>
          <w:shd w:val="clear" w:color="auto" w:fill="auto"/>
          <w:lang w:val="en-US" w:eastAsia="zh-CN"/>
        </w:rPr>
        <w:t>及燃油、动力能源</w:t>
      </w:r>
      <w:r>
        <w:rPr>
          <w:rFonts w:hint="eastAsia" w:ascii="仿宋" w:hAnsi="仿宋" w:eastAsia="仿宋" w:cs="仿宋"/>
          <w:b w:val="0"/>
          <w:bCs w:val="0"/>
          <w:i w:val="0"/>
          <w:iCs w:val="0"/>
          <w:color w:val="auto"/>
          <w:sz w:val="28"/>
          <w:szCs w:val="28"/>
          <w:highlight w:val="none"/>
          <w:u w:val="none"/>
          <w:shd w:val="clear" w:color="auto" w:fill="auto"/>
        </w:rPr>
        <w:t>等一切与乙方承包范围相关所必须配备的设备与小型机具</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其费用已包括在合同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乙方自带设备的维修保养及工具器的消耗、购置与租赁等费用由乙方自行承担。</w:t>
      </w:r>
    </w:p>
    <w:p w14:paraId="32E97E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7本工程</w:t>
      </w:r>
      <w:r>
        <w:rPr>
          <w:rFonts w:hint="eastAsia" w:ascii="仿宋" w:hAnsi="仿宋" w:eastAsia="仿宋" w:cs="仿宋"/>
          <w:i w:val="0"/>
          <w:iCs w:val="0"/>
          <w:color w:val="auto"/>
          <w:sz w:val="28"/>
          <w:szCs w:val="28"/>
          <w:highlight w:val="none"/>
          <w:shd w:val="clear" w:color="auto" w:fill="auto"/>
        </w:rPr>
        <w:t>具体</w:t>
      </w:r>
      <w:r>
        <w:rPr>
          <w:rFonts w:hint="eastAsia" w:ascii="仿宋" w:hAnsi="仿宋" w:eastAsia="仿宋" w:cs="仿宋"/>
          <w:i w:val="0"/>
          <w:iCs w:val="0"/>
          <w:color w:val="auto"/>
          <w:sz w:val="28"/>
          <w:szCs w:val="28"/>
          <w:highlight w:val="none"/>
          <w:shd w:val="clear" w:color="auto" w:fill="auto"/>
          <w:lang w:eastAsia="zh-CN"/>
        </w:rPr>
        <w:t>回填</w:t>
      </w:r>
      <w:r>
        <w:rPr>
          <w:rFonts w:hint="eastAsia" w:ascii="仿宋" w:hAnsi="仿宋" w:eastAsia="仿宋" w:cs="仿宋"/>
          <w:i w:val="0"/>
          <w:iCs w:val="0"/>
          <w:color w:val="auto"/>
          <w:sz w:val="28"/>
          <w:szCs w:val="28"/>
          <w:highlight w:val="none"/>
          <w:shd w:val="clear" w:color="auto" w:fill="auto"/>
        </w:rPr>
        <w:t>深度、宽度按甲方提供的施工图纸、相关文件要求及建设单位要求执行</w:t>
      </w:r>
      <w:r>
        <w:rPr>
          <w:rFonts w:hint="eastAsia" w:ascii="仿宋" w:hAnsi="仿宋" w:eastAsia="仿宋" w:cs="仿宋"/>
          <w:i w:val="0"/>
          <w:iCs w:val="0"/>
          <w:color w:val="auto"/>
          <w:sz w:val="28"/>
          <w:szCs w:val="28"/>
          <w:highlight w:val="none"/>
          <w:shd w:val="clear" w:color="auto" w:fill="auto"/>
          <w:lang w:eastAsia="zh-CN"/>
        </w:rPr>
        <w:t>。</w:t>
      </w:r>
    </w:p>
    <w:p w14:paraId="397B8D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3.8</w:t>
      </w:r>
      <w:r>
        <w:rPr>
          <w:rFonts w:hint="eastAsia" w:ascii="仿宋" w:hAnsi="仿宋" w:eastAsia="仿宋" w:cs="仿宋"/>
          <w:i w:val="0"/>
          <w:iCs w:val="0"/>
          <w:color w:val="auto"/>
          <w:sz w:val="28"/>
          <w:szCs w:val="28"/>
          <w:highlight w:val="none"/>
          <w:shd w:val="clear" w:color="auto" w:fill="auto"/>
        </w:rPr>
        <w:t>施工过程中的</w:t>
      </w:r>
      <w:r>
        <w:rPr>
          <w:rFonts w:hint="eastAsia" w:ascii="仿宋" w:hAnsi="仿宋" w:eastAsia="仿宋" w:cs="仿宋"/>
          <w:i w:val="0"/>
          <w:iCs w:val="0"/>
          <w:color w:val="auto"/>
          <w:sz w:val="28"/>
          <w:szCs w:val="28"/>
          <w:highlight w:val="none"/>
          <w:shd w:val="clear" w:color="auto" w:fill="auto"/>
          <w:lang w:eastAsia="zh-CN"/>
        </w:rPr>
        <w:t>地表水、</w:t>
      </w:r>
      <w:r>
        <w:rPr>
          <w:rFonts w:hint="eastAsia" w:ascii="仿宋" w:hAnsi="仿宋" w:eastAsia="仿宋" w:cs="仿宋"/>
          <w:i w:val="0"/>
          <w:iCs w:val="0"/>
          <w:color w:val="auto"/>
          <w:sz w:val="28"/>
          <w:szCs w:val="28"/>
          <w:highlight w:val="none"/>
          <w:shd w:val="clear" w:color="auto" w:fill="auto"/>
        </w:rPr>
        <w:t>地下水</w:t>
      </w:r>
      <w:r>
        <w:rPr>
          <w:rFonts w:hint="eastAsia" w:ascii="仿宋" w:hAnsi="仿宋" w:eastAsia="仿宋" w:cs="仿宋"/>
          <w:i w:val="0"/>
          <w:iCs w:val="0"/>
          <w:color w:val="auto"/>
          <w:sz w:val="28"/>
          <w:szCs w:val="28"/>
          <w:highlight w:val="none"/>
          <w:shd w:val="clear" w:color="auto" w:fill="auto"/>
          <w:lang w:val="en-US" w:eastAsia="zh-CN"/>
        </w:rPr>
        <w:t>及天气原因造成乙方工作面需要抽水时</w:t>
      </w:r>
      <w:r>
        <w:rPr>
          <w:rFonts w:hint="eastAsia" w:ascii="仿宋" w:hAnsi="仿宋" w:eastAsia="仿宋" w:cs="仿宋"/>
          <w:i w:val="0"/>
          <w:iCs w:val="0"/>
          <w:color w:val="auto"/>
          <w:sz w:val="28"/>
          <w:szCs w:val="28"/>
          <w:highlight w:val="none"/>
          <w:shd w:val="clear" w:color="auto" w:fill="auto"/>
        </w:rPr>
        <w:t>，由乙方负责</w:t>
      </w:r>
      <w:r>
        <w:rPr>
          <w:rFonts w:hint="eastAsia" w:ascii="仿宋" w:hAnsi="仿宋" w:eastAsia="仿宋" w:cs="仿宋"/>
          <w:i w:val="0"/>
          <w:iCs w:val="0"/>
          <w:color w:val="auto"/>
          <w:sz w:val="28"/>
          <w:szCs w:val="28"/>
          <w:highlight w:val="none"/>
          <w:shd w:val="clear" w:color="auto" w:fill="auto"/>
          <w:lang w:eastAsia="zh-CN"/>
        </w:rPr>
        <w:t>，机械费用和人工</w:t>
      </w:r>
      <w:r>
        <w:rPr>
          <w:rFonts w:hint="eastAsia" w:ascii="仿宋" w:hAnsi="仿宋" w:eastAsia="仿宋" w:cs="仿宋"/>
          <w:i w:val="0"/>
          <w:iCs w:val="0"/>
          <w:color w:val="auto"/>
          <w:sz w:val="28"/>
          <w:szCs w:val="28"/>
          <w:highlight w:val="none"/>
          <w:u w:val="none"/>
          <w:shd w:val="clear" w:color="auto" w:fill="auto"/>
        </w:rPr>
        <w:t>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不另计费。</w:t>
      </w:r>
      <w:r>
        <w:rPr>
          <w:rFonts w:hint="eastAsia" w:ascii="仿宋" w:hAnsi="仿宋" w:eastAsia="仿宋" w:cs="仿宋"/>
          <w:i w:val="0"/>
          <w:iCs w:val="0"/>
          <w:color w:val="auto"/>
          <w:sz w:val="28"/>
          <w:szCs w:val="28"/>
          <w:highlight w:val="none"/>
          <w:shd w:val="clear" w:color="auto" w:fill="auto"/>
        </w:rPr>
        <w:t xml:space="preserve">     </w:t>
      </w:r>
    </w:p>
    <w:p w14:paraId="115372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9乙方</w:t>
      </w:r>
      <w:r>
        <w:rPr>
          <w:rFonts w:hint="eastAsia" w:ascii="仿宋" w:hAnsi="仿宋" w:eastAsia="仿宋" w:cs="仿宋"/>
          <w:i w:val="0"/>
          <w:iCs w:val="0"/>
          <w:color w:val="auto"/>
          <w:sz w:val="28"/>
          <w:szCs w:val="28"/>
          <w:highlight w:val="none"/>
          <w:shd w:val="clear" w:color="auto" w:fill="auto"/>
          <w:lang w:eastAsia="zh-CN"/>
        </w:rPr>
        <w:t>拉</w:t>
      </w:r>
      <w:r>
        <w:rPr>
          <w:rFonts w:hint="eastAsia" w:ascii="仿宋" w:hAnsi="仿宋" w:eastAsia="仿宋" w:cs="仿宋"/>
          <w:i w:val="0"/>
          <w:iCs w:val="0"/>
          <w:color w:val="auto"/>
          <w:sz w:val="28"/>
          <w:szCs w:val="28"/>
          <w:highlight w:val="none"/>
          <w:shd w:val="clear" w:color="auto" w:fill="auto"/>
        </w:rPr>
        <w:t>运土方至园区内必须合法并满足当地国土部门、村、镇、区等政府行政部门的要求，否则，因此导致甲方受到相关部门行政处分、处罚的，一切责任和费用及甲方损失由乙方承担。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i w:val="0"/>
          <w:iCs w:val="0"/>
          <w:color w:val="auto"/>
          <w:sz w:val="28"/>
          <w:szCs w:val="28"/>
          <w:highlight w:val="none"/>
          <w:shd w:val="clear" w:color="auto" w:fill="auto"/>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i w:val="0"/>
          <w:iCs w:val="0"/>
          <w:color w:val="auto"/>
          <w:sz w:val="28"/>
          <w:szCs w:val="28"/>
          <w:highlight w:val="none"/>
          <w:shd w:val="clear" w:color="auto" w:fill="auto"/>
        </w:rPr>
        <w:t>由乙方承担</w:t>
      </w:r>
      <w:r>
        <w:rPr>
          <w:rFonts w:hint="eastAsia" w:ascii="仿宋" w:hAnsi="仿宋" w:eastAsia="仿宋" w:cs="仿宋"/>
          <w:i w:val="0"/>
          <w:iCs w:val="0"/>
          <w:color w:val="auto"/>
          <w:sz w:val="28"/>
          <w:szCs w:val="28"/>
          <w:highlight w:val="none"/>
          <w:shd w:val="clear" w:color="auto" w:fill="auto"/>
          <w:lang w:val="en-US" w:eastAsia="zh-CN"/>
        </w:rPr>
        <w:t>所有费用及损失</w:t>
      </w:r>
      <w:r>
        <w:rPr>
          <w:rFonts w:hint="eastAsia" w:ascii="仿宋" w:hAnsi="仿宋" w:eastAsia="仿宋" w:cs="仿宋"/>
          <w:i w:val="0"/>
          <w:iCs w:val="0"/>
          <w:color w:val="auto"/>
          <w:sz w:val="28"/>
          <w:szCs w:val="28"/>
          <w:highlight w:val="none"/>
          <w:shd w:val="clear" w:color="auto" w:fill="auto"/>
          <w:lang w:eastAsia="zh-CN"/>
        </w:rPr>
        <w:t>。</w:t>
      </w:r>
    </w:p>
    <w:p w14:paraId="1D38CE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确保安全文明施工措施、市政道路运输满足当地政府主管部门的要求，满足当地国土资源管理部门、其他政府主管部门、村委的要求。乙方保证运输过程做好防护措施，不得出现沿路撒土等破坏环境等情况。若因乙方的不当行为</w:t>
      </w:r>
      <w:r>
        <w:rPr>
          <w:rFonts w:hint="eastAsia" w:ascii="仿宋" w:hAnsi="仿宋" w:eastAsia="仿宋" w:cs="仿宋"/>
          <w:i w:val="0"/>
          <w:iCs w:val="0"/>
          <w:color w:val="auto"/>
          <w:sz w:val="28"/>
          <w:szCs w:val="28"/>
          <w:highlight w:val="none"/>
          <w:shd w:val="clear" w:color="auto" w:fill="auto"/>
        </w:rPr>
        <w:t>导致甲方受到相关部门处分、处罚，一切责任和费用及甲方损失由乙方承担。</w:t>
      </w:r>
    </w:p>
    <w:p w14:paraId="004640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10乙方</w:t>
      </w:r>
      <w:r>
        <w:rPr>
          <w:rFonts w:hint="eastAsia" w:ascii="仿宋" w:hAnsi="仿宋" w:eastAsia="仿宋" w:cs="仿宋"/>
          <w:i w:val="0"/>
          <w:iCs w:val="0"/>
          <w:color w:val="auto"/>
          <w:sz w:val="28"/>
          <w:szCs w:val="28"/>
          <w:highlight w:val="none"/>
          <w:shd w:val="clear" w:color="auto" w:fill="auto"/>
        </w:rPr>
        <w:t>负责土方填埋、压实、内外运过程中对园区及周边市政道路的污染和粉、尘污染的防护、清洗以及协调处理，费用已包含在合同单价内，不另计费。</w:t>
      </w:r>
    </w:p>
    <w:p w14:paraId="3CE8B8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3.11土方挖运填等本工程所需的路面洒水、降尘措施及费用已包含在合同单价内，不另计费。</w:t>
      </w:r>
    </w:p>
    <w:p w14:paraId="30343FE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3.12无论乙方因任何原因能否供土，都必须配合甲方相关工程的连续、正常开工。</w:t>
      </w:r>
    </w:p>
    <w:p w14:paraId="2A41DF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3.13乙方车辆在本工程场地与园区道路交接的相应位置必须进入洗车槽，车辆驶出施工现场前必须清洗干净，洗车所需人员由乙方配备，相关费用已包含在合同单价内，不另计费</w:t>
      </w:r>
      <w:r>
        <w:rPr>
          <w:rFonts w:hint="eastAsia" w:ascii="仿宋" w:hAnsi="仿宋" w:eastAsia="仿宋" w:cs="仿宋"/>
          <w:i w:val="0"/>
          <w:iCs w:val="0"/>
          <w:color w:val="auto"/>
          <w:sz w:val="28"/>
          <w:szCs w:val="28"/>
          <w:highlight w:val="none"/>
          <w:shd w:val="clear" w:color="auto" w:fill="auto"/>
        </w:rPr>
        <w:t>。</w:t>
      </w:r>
    </w:p>
    <w:p w14:paraId="1362B79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3.14现场土方回填所需的临时道路，修建工作由乙方负责。乙方根据工程实际需求及相关安全标准进行临时道路的规划与建设，确保道路满足施工期间土方运输及各类施工设备通行的要求，相关费用已包含在合同单价中，不另行计取。乙方须负责临时道路在施工期间的正常使用与维护，若因道路损坏未及时修复而影响施工进度或造成安全事故，乙方承担全部责任。</w:t>
      </w:r>
    </w:p>
    <w:p w14:paraId="6B37B1A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w:t>
      </w:r>
      <w:bookmarkStart w:id="47" w:name="_Toc15468"/>
      <w:bookmarkStart w:id="48" w:name="_Toc15548"/>
      <w:r>
        <w:rPr>
          <w:rFonts w:hint="eastAsia" w:ascii="仿宋" w:hAnsi="仿宋" w:eastAsia="仿宋" w:cs="仿宋"/>
          <w:i w:val="0"/>
          <w:iCs w:val="0"/>
          <w:color w:val="auto"/>
          <w:sz w:val="28"/>
          <w:szCs w:val="28"/>
          <w:highlight w:val="none"/>
          <w:shd w:val="clear" w:color="auto" w:fill="auto"/>
          <w:lang w:val="en-US" w:eastAsia="zh-CN"/>
        </w:rPr>
        <w:t>5在现场施工期间，乙方及时使用盖土网对现场裸露地面进行全面覆盖，以有效控制扬尘，降低施工活动对周边环境的影响，确保施工现场符合环保要求，相关</w:t>
      </w:r>
      <w:r>
        <w:rPr>
          <w:rFonts w:hint="eastAsia" w:ascii="仿宋" w:hAnsi="仿宋" w:eastAsia="仿宋" w:cs="仿宋"/>
          <w:i w:val="0"/>
          <w:iCs w:val="0"/>
          <w:color w:val="auto"/>
          <w:sz w:val="28"/>
          <w:szCs w:val="28"/>
          <w:highlight w:val="none"/>
          <w:shd w:val="clear" w:color="auto" w:fill="auto"/>
        </w:rPr>
        <w:t>费用已包含在合同单价内，不另计费。</w:t>
      </w:r>
    </w:p>
    <w:p w14:paraId="49F70D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3.16施工现场内，本工程所需材料、机具的运输不另计费。材料进、出场时，乙方派工人上、下车，上下车费用包含在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合同总价内，不另行单列计费。</w:t>
      </w:r>
    </w:p>
    <w:p w14:paraId="48E98D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3.17乙方人员的食宿由乙方自行解决并承担费用。</w:t>
      </w:r>
    </w:p>
    <w:p w14:paraId="35B9273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kern w:val="0"/>
          <w:sz w:val="28"/>
          <w:szCs w:val="28"/>
          <w:highlight w:val="none"/>
          <w:shd w:val="clear" w:color="auto" w:fill="auto"/>
          <w:lang w:val="en-US" w:eastAsia="zh-CN"/>
        </w:rPr>
      </w:pPr>
      <w:r>
        <w:rPr>
          <w:rFonts w:hint="default"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lang w:val="en-US" w:eastAsia="zh-CN"/>
        </w:rPr>
        <w:t>18本工程局部回填时</w:t>
      </w:r>
      <w:r>
        <w:rPr>
          <w:rFonts w:hint="default" w:ascii="仿宋" w:hAnsi="仿宋" w:eastAsia="仿宋" w:cs="仿宋"/>
          <w:i w:val="0"/>
          <w:iCs w:val="0"/>
          <w:color w:val="auto"/>
          <w:kern w:val="0"/>
          <w:sz w:val="28"/>
          <w:szCs w:val="28"/>
          <w:highlight w:val="none"/>
          <w:shd w:val="clear" w:color="auto" w:fill="auto"/>
          <w:lang w:val="en-US" w:eastAsia="zh-CN"/>
        </w:rPr>
        <w:t>，</w:t>
      </w:r>
      <w:r>
        <w:rPr>
          <w:rFonts w:hint="eastAsia" w:ascii="仿宋" w:hAnsi="仿宋" w:eastAsia="仿宋" w:cs="仿宋"/>
          <w:i w:val="0"/>
          <w:iCs w:val="0"/>
          <w:color w:val="auto"/>
          <w:kern w:val="0"/>
          <w:sz w:val="28"/>
          <w:szCs w:val="28"/>
          <w:highlight w:val="none"/>
          <w:shd w:val="clear" w:color="auto" w:fill="auto"/>
          <w:lang w:val="en-US" w:eastAsia="zh-CN"/>
        </w:rPr>
        <w:t>乙方</w:t>
      </w:r>
      <w:r>
        <w:rPr>
          <w:rFonts w:hint="default" w:ascii="仿宋" w:hAnsi="仿宋" w:eastAsia="仿宋" w:cs="仿宋"/>
          <w:i w:val="0"/>
          <w:iCs w:val="0"/>
          <w:color w:val="auto"/>
          <w:kern w:val="0"/>
          <w:sz w:val="28"/>
          <w:szCs w:val="28"/>
          <w:highlight w:val="none"/>
          <w:shd w:val="clear" w:color="auto" w:fill="auto"/>
          <w:lang w:val="en-US" w:eastAsia="zh-CN"/>
        </w:rPr>
        <w:t>须配合甲方的安排及在质量、进度上符合甲方的要求。</w:t>
      </w:r>
    </w:p>
    <w:p w14:paraId="6BF601D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kern w:val="0"/>
          <w:sz w:val="28"/>
          <w:szCs w:val="28"/>
          <w:highlight w:val="none"/>
          <w:shd w:val="clear" w:color="auto" w:fill="auto"/>
          <w:lang w:val="en-US" w:eastAsia="zh-CN"/>
        </w:rPr>
        <w:t>3.19鉴于本项目与南京现代表面处理科技产业中心项目A地块</w:t>
      </w:r>
      <w:r>
        <w:rPr>
          <w:rFonts w:hint="eastAsia" w:ascii="仿宋" w:hAnsi="仿宋" w:eastAsia="仿宋" w:cs="仿宋"/>
          <w:b/>
          <w:bCs/>
          <w:i w:val="0"/>
          <w:iCs w:val="0"/>
          <w:color w:val="auto"/>
          <w:sz w:val="28"/>
          <w:szCs w:val="28"/>
          <w:highlight w:val="none"/>
          <w:shd w:val="clear" w:color="auto" w:fill="auto"/>
          <w:lang w:val="en-US" w:eastAsia="zh-CN"/>
        </w:rPr>
        <w:t>之间有专门道路，在</w:t>
      </w:r>
      <w:r>
        <w:rPr>
          <w:rFonts w:hint="eastAsia" w:ascii="仿宋" w:hAnsi="仿宋" w:eastAsia="仿宋" w:cs="仿宋"/>
          <w:b/>
          <w:bCs/>
          <w:color w:val="auto"/>
          <w:sz w:val="28"/>
          <w:szCs w:val="28"/>
          <w:highlight w:val="none"/>
          <w:shd w:val="clear" w:color="auto" w:fill="auto"/>
        </w:rPr>
        <w:t>南京现代表面处理科技产业中心项目</w:t>
      </w:r>
      <w:r>
        <w:rPr>
          <w:rFonts w:hint="eastAsia" w:ascii="仿宋" w:hAnsi="仿宋" w:eastAsia="仿宋" w:cs="仿宋"/>
          <w:b/>
          <w:bCs/>
          <w:i w:val="0"/>
          <w:iCs w:val="0"/>
          <w:color w:val="auto"/>
          <w:sz w:val="28"/>
          <w:szCs w:val="28"/>
          <w:highlight w:val="none"/>
          <w:shd w:val="clear" w:color="auto" w:fill="auto"/>
          <w:lang w:val="en-US" w:eastAsia="zh-CN"/>
        </w:rPr>
        <w:t>A、B地块之间的土方挖运，均属场内运输。</w:t>
      </w:r>
    </w:p>
    <w:p w14:paraId="0E730B9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3.20本工程所有铺路钢板均由乙方提供，包括但不限于现有大门处铺路钢板撤离后，场内土方工作铺路及大门口约20米所需钢板。</w:t>
      </w:r>
    </w:p>
    <w:p w14:paraId="741F3D7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3.23如南京现代表面处理科技产业中心项目A、B地块之间的支四路不能通行，则乙方绕道双巷路或其他道路通行完成本工程，</w:t>
      </w:r>
      <w:r>
        <w:rPr>
          <w:rFonts w:hint="eastAsia" w:ascii="仿宋" w:hAnsi="仿宋" w:eastAsia="仿宋" w:cs="仿宋"/>
          <w:b/>
          <w:bCs/>
          <w:i w:val="0"/>
          <w:iCs w:val="0"/>
          <w:color w:val="auto"/>
          <w:sz w:val="28"/>
          <w:szCs w:val="28"/>
          <w:highlight w:val="none"/>
          <w:shd w:val="clear" w:color="auto" w:fill="auto"/>
          <w:lang w:val="en-US" w:eastAsia="zh-CN"/>
        </w:rPr>
        <w:t>相关费用已包含在合同单价中，不再另行计取。</w:t>
      </w:r>
    </w:p>
    <w:p w14:paraId="24B8FF9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default"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3.24如因支四路处土方回填不实引起下陷，由乙方负责自行解决</w:t>
      </w:r>
      <w:r>
        <w:rPr>
          <w:rFonts w:hint="eastAsia" w:ascii="仿宋" w:hAnsi="仿宋" w:eastAsia="仿宋" w:cs="仿宋"/>
          <w:b/>
          <w:bCs/>
          <w:i w:val="0"/>
          <w:iCs w:val="0"/>
          <w:color w:val="auto"/>
          <w:kern w:val="0"/>
          <w:sz w:val="28"/>
          <w:szCs w:val="28"/>
          <w:highlight w:val="none"/>
          <w:shd w:val="clear" w:color="auto" w:fill="auto"/>
          <w:lang w:val="en-US" w:eastAsia="zh-CN"/>
        </w:rPr>
        <w:t>并承担全部费用，无需甲方承担任何费用及责任</w:t>
      </w:r>
      <w:r>
        <w:rPr>
          <w:rFonts w:hint="eastAsia" w:ascii="仿宋" w:hAnsi="仿宋" w:eastAsia="仿宋" w:cs="仿宋"/>
          <w:b/>
          <w:bCs/>
          <w:i w:val="0"/>
          <w:iCs w:val="0"/>
          <w:color w:val="auto"/>
          <w:sz w:val="28"/>
          <w:szCs w:val="28"/>
          <w:highlight w:val="none"/>
          <w:shd w:val="clear" w:color="auto" w:fill="auto"/>
          <w:lang w:val="en-US" w:eastAsia="zh-CN"/>
        </w:rPr>
        <w:t>。</w:t>
      </w:r>
    </w:p>
    <w:p w14:paraId="53F8183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9" w:name="_Toc31532"/>
      <w:bookmarkStart w:id="50" w:name="_Toc335"/>
      <w:r>
        <w:rPr>
          <w:rFonts w:hint="eastAsia" w:ascii="仿宋" w:hAnsi="仿宋" w:eastAsia="仿宋" w:cs="仿宋"/>
          <w:b/>
          <w:bCs/>
          <w:i w:val="0"/>
          <w:iCs w:val="0"/>
          <w:color w:val="auto"/>
          <w:sz w:val="28"/>
          <w:szCs w:val="28"/>
          <w:highlight w:val="none"/>
          <w:shd w:val="clear" w:color="auto" w:fill="auto"/>
          <w:lang w:val="en-US" w:eastAsia="zh-CN"/>
        </w:rPr>
        <w:t>工期</w:t>
      </w:r>
      <w:bookmarkEnd w:id="47"/>
      <w:bookmarkEnd w:id="48"/>
      <w:bookmarkEnd w:id="49"/>
      <w:bookmarkEnd w:id="50"/>
    </w:p>
    <w:p w14:paraId="7E3FA2C8">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50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2449"/>
        <w:gridCol w:w="2104"/>
        <w:gridCol w:w="2283"/>
        <w:gridCol w:w="1964"/>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16"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303"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1120"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合同工期（日历天）</w:t>
            </w:r>
          </w:p>
        </w:tc>
        <w:tc>
          <w:tcPr>
            <w:tcW w:w="1215"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045"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316"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303"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default" w:ascii="仿宋" w:hAnsi="仿宋" w:eastAsia="仿宋" w:cs="仿宋"/>
                <w:b w:val="0"/>
                <w:bCs w:val="0"/>
                <w:i w:val="0"/>
                <w:iCs w:val="0"/>
                <w:color w:val="auto"/>
                <w:sz w:val="24"/>
                <w:szCs w:val="24"/>
                <w:highlight w:val="none"/>
                <w:shd w:val="clear" w:color="auto" w:fill="auto"/>
                <w:lang w:eastAsia="zh-CN"/>
              </w:rPr>
              <w:t>南京现代表面处理科技产业中心项目B地块工程</w:t>
            </w:r>
            <w:r>
              <w:rPr>
                <w:rFonts w:hint="eastAsia" w:ascii="仿宋" w:hAnsi="仿宋" w:eastAsia="仿宋" w:cs="仿宋"/>
                <w:b w:val="0"/>
                <w:bCs w:val="0"/>
                <w:i w:val="0"/>
                <w:iCs w:val="0"/>
                <w:color w:val="auto"/>
                <w:sz w:val="24"/>
                <w:szCs w:val="24"/>
                <w:highlight w:val="none"/>
                <w:shd w:val="clear" w:color="auto" w:fill="auto"/>
                <w:lang w:val="en-US" w:eastAsia="zh-CN"/>
              </w:rPr>
              <w:t>回填土工程</w:t>
            </w:r>
          </w:p>
        </w:tc>
        <w:tc>
          <w:tcPr>
            <w:tcW w:w="1120"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 xml:space="preserve">  65个日历天</w:t>
            </w:r>
          </w:p>
        </w:tc>
        <w:tc>
          <w:tcPr>
            <w:tcW w:w="1215"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2025年12  月 5 日</w:t>
            </w:r>
          </w:p>
        </w:tc>
        <w:tc>
          <w:tcPr>
            <w:tcW w:w="1045"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2026年 2月 7日</w:t>
            </w:r>
          </w:p>
        </w:tc>
      </w:tr>
    </w:tbl>
    <w:p w14:paraId="7BAE62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4.2甲方发出开工令起 24 小时内，乙方的项目现场负责人及主要工作人员须进驻施工现场开展工作，具体工作安排以甲方要求为准。乙方应根据工程实际需要，随时增加人员和机械设备，确保满足本工程要求。</w:t>
      </w:r>
    </w:p>
    <w:p w14:paraId="3F3EB30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i w:val="0"/>
          <w:iCs w:val="0"/>
          <w:color w:val="auto"/>
          <w:sz w:val="28"/>
          <w:szCs w:val="28"/>
          <w:highlight w:val="none"/>
          <w:u w:val="none"/>
          <w:shd w:val="clear" w:color="auto" w:fill="auto"/>
          <w:lang w:val="en-US" w:eastAsia="zh-CN"/>
        </w:rPr>
        <w:t>因甲方原因引起的工期延误（无论时间长短）导致的相关费用和损失，乙方已综合考虑在合同单价里，不向甲方索赔也不要求甲方承担责任。</w:t>
      </w:r>
    </w:p>
    <w:p w14:paraId="2AE21A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w:t>
      </w:r>
      <w:r>
        <w:rPr>
          <w:rFonts w:hint="eastAsia" w:ascii="仿宋" w:hAnsi="仿宋" w:eastAsia="仿宋" w:cs="仿宋"/>
          <w:i w:val="0"/>
          <w:iCs w:val="0"/>
          <w:color w:val="auto"/>
          <w:sz w:val="28"/>
          <w:szCs w:val="28"/>
          <w:highlight w:val="none"/>
          <w:lang w:val="en-US" w:eastAsia="zh-CN"/>
        </w:rPr>
        <w:t>其他要求：</w:t>
      </w:r>
      <w:r>
        <w:rPr>
          <w:rFonts w:hint="default" w:ascii="仿宋" w:hAnsi="仿宋" w:eastAsia="仿宋" w:cs="仿宋"/>
          <w:color w:val="auto"/>
          <w:sz w:val="28"/>
          <w:szCs w:val="28"/>
          <w:highlight w:val="none"/>
          <w:u w:val="single"/>
        </w:rPr>
        <w:t>乙方必须满足甲方的工期要求，配备符合本工程需求的</w:t>
      </w:r>
      <w:r>
        <w:rPr>
          <w:rFonts w:hint="eastAsia" w:ascii="仿宋" w:hAnsi="仿宋" w:eastAsia="仿宋" w:cs="仿宋"/>
          <w:color w:val="auto"/>
          <w:sz w:val="28"/>
          <w:szCs w:val="28"/>
          <w:highlight w:val="none"/>
          <w:u w:val="single"/>
          <w:lang w:val="en-US" w:eastAsia="zh-CN"/>
        </w:rPr>
        <w:t>机械设备和人员</w:t>
      </w:r>
      <w:r>
        <w:rPr>
          <w:rFonts w:hint="default" w:ascii="仿宋" w:hAnsi="仿宋" w:eastAsia="仿宋" w:cs="仿宋"/>
          <w:color w:val="auto"/>
          <w:sz w:val="28"/>
          <w:szCs w:val="28"/>
          <w:highlight w:val="none"/>
          <w:u w:val="single"/>
        </w:rPr>
        <w:t>，随时增减以满足</w:t>
      </w:r>
      <w:r>
        <w:rPr>
          <w:rFonts w:hint="eastAsia" w:ascii="仿宋" w:hAnsi="仿宋" w:eastAsia="仿宋" w:cs="仿宋"/>
          <w:color w:val="auto"/>
          <w:sz w:val="28"/>
          <w:szCs w:val="28"/>
          <w:highlight w:val="none"/>
          <w:u w:val="single"/>
          <w:lang w:val="en-US" w:eastAsia="zh-CN"/>
        </w:rPr>
        <w:t>甲方</w:t>
      </w:r>
      <w:r>
        <w:rPr>
          <w:rFonts w:hint="default" w:ascii="仿宋" w:hAnsi="仿宋" w:eastAsia="仿宋" w:cs="仿宋"/>
          <w:color w:val="auto"/>
          <w:sz w:val="28"/>
          <w:szCs w:val="28"/>
          <w:highlight w:val="none"/>
          <w:u w:val="single"/>
        </w:rPr>
        <w:t>要求</w:t>
      </w:r>
      <w:r>
        <w:rPr>
          <w:rFonts w:hint="eastAsia" w:ascii="仿宋" w:hAnsi="仿宋" w:eastAsia="仿宋" w:cs="仿宋"/>
          <w:i w:val="0"/>
          <w:iCs w:val="0"/>
          <w:color w:val="auto"/>
          <w:sz w:val="28"/>
          <w:szCs w:val="28"/>
          <w:highlight w:val="none"/>
          <w:u w:val="single"/>
          <w:lang w:val="en-US" w:eastAsia="zh-CN"/>
        </w:rPr>
        <w:t>。</w:t>
      </w:r>
    </w:p>
    <w:p w14:paraId="7212A6BD">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3824"/>
      <w:bookmarkStart w:id="52" w:name="_Toc18075"/>
      <w:bookmarkStart w:id="53" w:name="_Toc22079"/>
      <w:bookmarkStart w:id="54" w:name="_Toc26353"/>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51"/>
      <w:bookmarkEnd w:id="52"/>
      <w:bookmarkEnd w:id="53"/>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54"/>
    </w:p>
    <w:p w14:paraId="5602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5.1本工程质量标准：达到国家、</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shd w:val="clear" w:color="auto" w:fill="auto"/>
          <w:lang w:val="en-US" w:eastAsia="zh-CN"/>
        </w:rPr>
        <w:t>行业相关施工质量验收规范的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优良 </w:t>
      </w:r>
      <w:r>
        <w:rPr>
          <w:rFonts w:hint="eastAsia" w:ascii="仿宋" w:hAnsi="仿宋" w:eastAsia="仿宋" w:cs="仿宋"/>
          <w:i w:val="0"/>
          <w:iCs w:val="0"/>
          <w:color w:val="auto"/>
          <w:sz w:val="28"/>
          <w:szCs w:val="28"/>
          <w:highlight w:val="none"/>
          <w:shd w:val="clear" w:color="auto" w:fill="auto"/>
          <w:lang w:val="en-US" w:eastAsia="zh-CN"/>
        </w:rPr>
        <w:t>标准，本合同另有约定的亦须同时符合该约定。</w:t>
      </w:r>
    </w:p>
    <w:p w14:paraId="595EC0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bookmarkStart w:id="55" w:name="_Toc19252"/>
      <w:bookmarkStart w:id="56" w:name="_Toc2060"/>
      <w:r>
        <w:rPr>
          <w:rFonts w:hint="eastAsia" w:ascii="仿宋" w:hAnsi="仿宋" w:eastAsia="仿宋" w:cs="仿宋"/>
          <w:i w:val="0"/>
          <w:iCs w:val="0"/>
          <w:color w:val="auto"/>
          <w:sz w:val="28"/>
          <w:szCs w:val="28"/>
          <w:highlight w:val="none"/>
          <w:shd w:val="clear" w:color="auto" w:fill="auto"/>
          <w:lang w:val="en-US" w:eastAsia="zh-CN"/>
        </w:rPr>
        <w:t>5.2 质量要点：</w:t>
      </w:r>
    </w:p>
    <w:p w14:paraId="5B198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5.2.1由于乙方原因导致本工程任一部位质量达不到合同约定的质量标准或不符合施工规范的，乙方无条件完成整改，所发生的一切费用由乙方承担。凡是发生第二次相同问题再整改的，乙方每次向甲方支付违约金1000元以上。</w:t>
      </w:r>
    </w:p>
    <w:p w14:paraId="43680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5.2.2乙方必须以甲方验收合格为标准，无条件接受返工、整改，工期不得顺延。</w:t>
      </w:r>
    </w:p>
    <w:p w14:paraId="66F459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5.2.3其他：</w:t>
      </w:r>
      <w:r>
        <w:rPr>
          <w:rFonts w:hint="eastAsia" w:ascii="仿宋" w:hAnsi="仿宋" w:eastAsia="仿宋" w:cs="仿宋"/>
          <w:b/>
          <w:bCs/>
          <w:i w:val="0"/>
          <w:iCs w:val="0"/>
          <w:color w:val="auto"/>
          <w:sz w:val="28"/>
          <w:szCs w:val="28"/>
          <w:highlight w:val="none"/>
          <w:u w:val="single"/>
          <w:lang w:val="en-US" w:eastAsia="zh-CN"/>
        </w:rPr>
        <w:t>支四路段土方回填区域必须符合道路工程要求，如发生因回填土不密实而产生的沉陷，由乙方负责自行无条件按甲方要求解决并赔偿甲方损失。</w:t>
      </w:r>
    </w:p>
    <w:p w14:paraId="54B6106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7" w:name="_Toc32571"/>
      <w:bookmarkStart w:id="58" w:name="_Toc29531"/>
      <w:r>
        <w:rPr>
          <w:rFonts w:hint="eastAsia" w:ascii="仿宋" w:hAnsi="仿宋" w:eastAsia="仿宋" w:cs="仿宋"/>
          <w:b/>
          <w:bCs/>
          <w:i w:val="0"/>
          <w:iCs w:val="0"/>
          <w:color w:val="auto"/>
          <w:sz w:val="28"/>
          <w:szCs w:val="28"/>
          <w:highlight w:val="none"/>
          <w:shd w:val="clear" w:color="auto" w:fill="auto"/>
          <w:lang w:val="en-US" w:eastAsia="zh-CN"/>
        </w:rPr>
        <w:t>合同价款</w:t>
      </w:r>
      <w:bookmarkEnd w:id="55"/>
      <w:bookmarkEnd w:id="56"/>
      <w:bookmarkEnd w:id="57"/>
      <w:bookmarkEnd w:id="58"/>
    </w:p>
    <w:p w14:paraId="5320DF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工期要求、质量要求及承担合同义务、责任、风险的费用已包括在下列合同价中</w:t>
      </w:r>
      <w:r>
        <w:rPr>
          <w:rFonts w:hint="eastAsia" w:ascii="仿宋" w:hAnsi="仿宋" w:eastAsia="仿宋" w:cs="仿宋"/>
          <w:i w:val="0"/>
          <w:iCs w:val="0"/>
          <w:color w:val="auto"/>
          <w:sz w:val="28"/>
          <w:szCs w:val="28"/>
          <w:highlight w:val="none"/>
          <w:lang w:eastAsia="zh-CN"/>
        </w:rPr>
        <w:t>：</w:t>
      </w:r>
    </w:p>
    <w:p w14:paraId="0D45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合同单价（详见附件《报价清单》）为全费用固定综合单价，乙方开具税率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%的增值税专用发票（税率按国家政策执行，如税率调整，合同单价随之调整），除合同另有约定外，合同单价不做任何调整。合同单价包含乙方完成合同文件所述内容的费用。本合同暂定总价为人民币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元</w:t>
      </w:r>
      <w:r>
        <w:rPr>
          <w:rFonts w:hint="eastAsia" w:ascii="仿宋" w:hAnsi="仿宋" w:eastAsia="仿宋" w:cs="仿宋"/>
          <w:b/>
          <w:bCs/>
          <w:i w:val="0"/>
          <w:iCs w:val="0"/>
          <w:color w:val="auto"/>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其中暂定不含税总价为人民币      元，增值税税额为人民币       元</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79FA9A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bookmarkStart w:id="59" w:name="_Toc32757"/>
      <w:bookmarkStart w:id="60" w:name="_Toc9761"/>
    </w:p>
    <w:p w14:paraId="3E4DCD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6.2乙方完成下述工作及应对下述情况、风险的费用已包含在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合同总价中，甲方无需另行付费给乙方：</w:t>
      </w:r>
    </w:p>
    <w:p w14:paraId="0BB5246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完成采购、运输、外运、回填、压实、夯实、防扬尘及本合同第一部分合同专用条款第三章所述内容。</w:t>
      </w:r>
    </w:p>
    <w:p w14:paraId="5AB369C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6.3</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是以全面完成承包范围的工作内容而定，已考虑雨季汛期施工。合同单价包含土方采购、运输、夯实（人工、机械）、清洗场地内外被乙方污染的道路所产生的费用；乙方已对现场进行全面踏勘，充分且详细地了解现场地下、地上所有设施，掌握现场实际地形地貌、环境状况等真实情况，合同单价包含对地上、地下所有设施的保护及损坏修复费用。非乙方原因造成不能一次回填而产生的二次回填的费用包含在合同单价内。</w:t>
      </w:r>
    </w:p>
    <w:p w14:paraId="6D78C8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6.4</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合同总价适用于本项目全部工程工作内容，已有价格的子目双方无需另行确定单价，均按已确定的合同价格执行。</w:t>
      </w:r>
    </w:p>
    <w:p w14:paraId="4BA34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2B36CA71">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1" w:name="_Toc26663"/>
      <w:bookmarkStart w:id="62" w:name="_Toc28282"/>
      <w:bookmarkStart w:id="63" w:name="_Toc19006"/>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61"/>
      <w:bookmarkEnd w:id="62"/>
      <w:bookmarkEnd w:id="63"/>
    </w:p>
    <w:bookmarkEnd w:id="59"/>
    <w:bookmarkEnd w:id="60"/>
    <w:p w14:paraId="2CB8E19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bookmarkStart w:id="64" w:name="_Toc32089"/>
      <w:bookmarkStart w:id="65" w:name="_Toc24593"/>
      <w:bookmarkStart w:id="66" w:name="_Toc16700"/>
      <w:bookmarkStart w:id="67" w:name="_Toc26012"/>
      <w:r>
        <w:rPr>
          <w:rFonts w:hint="eastAsia" w:ascii="仿宋" w:hAnsi="仿宋" w:eastAsia="仿宋" w:cs="仿宋"/>
          <w:b w:val="0"/>
          <w:bCs w:val="0"/>
          <w:color w:val="auto"/>
          <w:sz w:val="28"/>
          <w:szCs w:val="28"/>
          <w:highlight w:val="none"/>
          <w:lang w:val="en-US" w:eastAsia="zh-CN"/>
        </w:rPr>
        <w:t>7.1工程量计算原则</w:t>
      </w:r>
      <w:bookmarkEnd w:id="64"/>
      <w:bookmarkEnd w:id="65"/>
    </w:p>
    <w:p w14:paraId="6867B7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依据:①建设方、甲方签字确认的基坑支护设计图。②经建设单位、监理、甲方签字确认的竣工图纸。③建设单位、监理、甲方、乙方四方共同签字确认的土方施工方案。④无图纸部分以甲方与建设单位签字确认的签证单工程量或按照甲方《分包单位签证管理制度》和《临时设施管理制度》等签证相关要求(如本合同专用条款第7.5条等)执行。</w:t>
      </w:r>
    </w:p>
    <w:p w14:paraId="6663E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方式:①有基坑支护的按经建设单位、监理、甲方签字确认的基坑支护竣工图纸进行计算，其余部分按建设单位、监理、甲方、乙方四方共同签字确认的土方施工方案及相关图纸进行计算。经甲方验收合格的工程，按合同约定的计价方式结算。②土方回填量按压实后的体积（压实方）计算，压实度满足图纸设计要求，需扣除埋设室外地坪以下的垫层、基础、柱、墙、管道等所有构件所占体积；③需扣除甲方现场原有预留用于回填部分土方体积，该部分体积同样按压实后体积计算（总回填量-甲方现场预留土方回填量=乙方实际回填土方量）。</w:t>
      </w:r>
    </w:p>
    <w:p w14:paraId="0A498A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sym w:font="Wingdings 2" w:char="00A3"/>
      </w:r>
      <w:r>
        <w:rPr>
          <w:rFonts w:hint="eastAsia" w:ascii="仿宋" w:hAnsi="仿宋" w:eastAsia="仿宋" w:cs="仿宋"/>
          <w:b w:val="0"/>
          <w:bCs w:val="0"/>
          <w:color w:val="auto"/>
          <w:sz w:val="28"/>
          <w:szCs w:val="28"/>
          <w:highlight w:val="none"/>
          <w:lang w:val="en-US" w:eastAsia="zh-CN"/>
        </w:rPr>
        <w:t>总价包干合同；合同范围内的按合同约定的计算原则执行，合同无约定或合同范围外的签证、变更工程计量方式按本合同相关条款执行。</w:t>
      </w:r>
    </w:p>
    <w:p w14:paraId="7FDBC9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sym w:font="Wingdings 2" w:char="0052"/>
      </w:r>
      <w:r>
        <w:rPr>
          <w:rFonts w:hint="eastAsia" w:ascii="仿宋" w:hAnsi="仿宋" w:eastAsia="仿宋" w:cs="仿宋"/>
          <w:b w:val="0"/>
          <w:bCs w:val="0"/>
          <w:color w:val="auto"/>
          <w:sz w:val="28"/>
          <w:szCs w:val="28"/>
          <w:highlight w:val="none"/>
          <w:lang w:val="en-US" w:eastAsia="zh-CN"/>
        </w:rPr>
        <w:t>固定单价合同：合同范围内的按合同约定的计算原则执行，合同无约定或合同范围外的签证、变更工程计量方式按本合同专用条款第7.2、7.3条执行。</w:t>
      </w:r>
    </w:p>
    <w:p w14:paraId="561AB5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工程量计量规则：按《江苏省建筑与装饰工程计价定额(2014)》工程量计算规则、《江苏省安装工程计价定额(2014)》工程量计算规则、《江苏省市政工程计价定额(2014)》工程量计算规则、《建筑工程建筑面积计算规范（GB50353-2013）》进行计算。</w:t>
      </w:r>
    </w:p>
    <w:p w14:paraId="109ADA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7.3计价依据</w:t>
      </w:r>
    </w:p>
    <w:p w14:paraId="4B69A5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7.3.1合同范围内的工程，按合同单价执行；</w:t>
      </w:r>
    </w:p>
    <w:p w14:paraId="6E9BB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7.3.2合同范围外的签证变更价款的调整方法：</w:t>
      </w:r>
    </w:p>
    <w:p w14:paraId="549E5F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7.3.2.1合同中已有适用于变更工程的价格，按合同已有的价格执行；</w:t>
      </w:r>
    </w:p>
    <w:p w14:paraId="5A6446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7.3.2.2合同中只有类似于变更工程的价格，可在合理范围内参照类似价格执行；</w:t>
      </w:r>
    </w:p>
    <w:p w14:paraId="6B4B48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7.3.2.3合同中没有适用或类似于变更工程的价格，按以下计价规则执行。</w:t>
      </w:r>
    </w:p>
    <w:p w14:paraId="65F45F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7.3.3计价规则</w:t>
      </w:r>
    </w:p>
    <w:p w14:paraId="7FAEB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7.3.3.1本工程按《江苏省建筑与装饰工程计价定额(2014)》、《江苏省安装工程计价定额(2014)》清单计价程序取费。采用清单计价，执行《建设工程工程量清单计价规范》（‌GB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及国家建设行政主管部门颁布的相关规定文件。</w:t>
      </w:r>
    </w:p>
    <w:p w14:paraId="086368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9AA09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7.3.3.3计价中除仅计取人工费、材料费、机具费作为直接工程费外，其余按系数计取的各类取费均不计取，其他所有措施费均不单独计取费用。</w:t>
      </w:r>
    </w:p>
    <w:p w14:paraId="65CF5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7.3.3.4税率：按国家建设行政主管部门及国家税务部门的最新规定执行。</w:t>
      </w:r>
    </w:p>
    <w:p w14:paraId="6BCBCD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7.3.3.5上述计费方式得出价款后（甲方直接确认的综合单价不参与上下浮的除外）：</w:t>
      </w:r>
    </w:p>
    <w:tbl>
      <w:tblPr>
        <w:tblStyle w:val="16"/>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911"/>
        <w:gridCol w:w="2400"/>
        <w:gridCol w:w="1218"/>
        <w:gridCol w:w="4139"/>
      </w:tblGrid>
      <w:tr w14:paraId="644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523" w:hRule="atLeast"/>
          <w:tblHeader/>
          <w:jc w:val="center"/>
        </w:trPr>
        <w:tc>
          <w:tcPr>
            <w:tcW w:w="911" w:type="dxa"/>
            <w:tcBorders>
              <w:top w:val="single" w:color="auto" w:sz="12" w:space="0"/>
              <w:left w:val="single" w:color="auto" w:sz="12" w:space="0"/>
              <w:bottom w:val="single" w:color="auto" w:sz="4" w:space="0"/>
              <w:right w:val="single" w:color="auto" w:sz="4" w:space="0"/>
            </w:tcBorders>
            <w:vAlign w:val="center"/>
          </w:tcPr>
          <w:p w14:paraId="1467B2F7">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序号</w:t>
            </w:r>
          </w:p>
        </w:tc>
        <w:tc>
          <w:tcPr>
            <w:tcW w:w="2400" w:type="dxa"/>
            <w:tcBorders>
              <w:top w:val="single" w:color="auto" w:sz="12" w:space="0"/>
              <w:left w:val="single" w:color="auto" w:sz="4" w:space="0"/>
              <w:bottom w:val="single" w:color="auto" w:sz="4" w:space="0"/>
              <w:right w:val="single" w:color="auto" w:sz="4" w:space="0"/>
            </w:tcBorders>
            <w:vAlign w:val="center"/>
          </w:tcPr>
          <w:p w14:paraId="02B211B6">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2" w:firstLineChars="200"/>
              <w:jc w:val="center"/>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承包方式</w:t>
            </w:r>
          </w:p>
        </w:tc>
        <w:tc>
          <w:tcPr>
            <w:tcW w:w="1218" w:type="dxa"/>
            <w:tcBorders>
              <w:top w:val="single" w:color="auto" w:sz="12" w:space="0"/>
              <w:left w:val="single" w:color="auto" w:sz="4" w:space="0"/>
              <w:bottom w:val="single" w:color="auto" w:sz="4" w:space="0"/>
              <w:right w:val="single" w:color="auto" w:sz="4" w:space="0"/>
            </w:tcBorders>
            <w:vAlign w:val="center"/>
          </w:tcPr>
          <w:p w14:paraId="22F5350A">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下浮率</w:t>
            </w:r>
          </w:p>
        </w:tc>
        <w:tc>
          <w:tcPr>
            <w:tcW w:w="4139" w:type="dxa"/>
            <w:tcBorders>
              <w:top w:val="single" w:color="auto" w:sz="12" w:space="0"/>
              <w:left w:val="single" w:color="auto" w:sz="4" w:space="0"/>
              <w:bottom w:val="single" w:color="auto" w:sz="4" w:space="0"/>
              <w:right w:val="single" w:color="auto" w:sz="12" w:space="0"/>
            </w:tcBorders>
            <w:vAlign w:val="center"/>
          </w:tcPr>
          <w:p w14:paraId="0D58F1F0">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备注</w:t>
            </w:r>
          </w:p>
        </w:tc>
      </w:tr>
      <w:tr w14:paraId="68A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568"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06A7516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400" w:type="dxa"/>
            <w:tcBorders>
              <w:top w:val="single" w:color="auto" w:sz="4" w:space="0"/>
              <w:left w:val="single" w:color="auto" w:sz="4" w:space="0"/>
              <w:bottom w:val="single" w:color="auto" w:sz="4" w:space="0"/>
              <w:right w:val="single" w:color="auto" w:sz="4" w:space="0"/>
            </w:tcBorders>
            <w:vAlign w:val="center"/>
          </w:tcPr>
          <w:p w14:paraId="78645B5F">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包工包料</w:t>
            </w:r>
          </w:p>
        </w:tc>
        <w:tc>
          <w:tcPr>
            <w:tcW w:w="1218" w:type="dxa"/>
            <w:tcBorders>
              <w:top w:val="single" w:color="auto" w:sz="4" w:space="0"/>
              <w:left w:val="single" w:color="auto" w:sz="4" w:space="0"/>
              <w:bottom w:val="single" w:color="auto" w:sz="4" w:space="0"/>
              <w:right w:val="single" w:color="auto" w:sz="4" w:space="0"/>
            </w:tcBorders>
            <w:vAlign w:val="center"/>
          </w:tcPr>
          <w:p w14:paraId="267BAE36">
            <w:pPr>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4139" w:type="dxa"/>
            <w:tcBorders>
              <w:top w:val="single" w:color="auto" w:sz="4" w:space="0"/>
              <w:left w:val="single" w:color="auto" w:sz="4" w:space="0"/>
              <w:bottom w:val="single" w:color="auto" w:sz="4" w:space="0"/>
              <w:right w:val="single" w:color="auto" w:sz="12" w:space="0"/>
            </w:tcBorders>
            <w:vAlign w:val="center"/>
          </w:tcPr>
          <w:p w14:paraId="18A54191">
            <w:pPr>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仅计取人工费、材料费和机械费</w:t>
            </w:r>
          </w:p>
        </w:tc>
      </w:tr>
      <w:tr w14:paraId="5D8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16E43ADE">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400" w:type="dxa"/>
            <w:tcBorders>
              <w:top w:val="single" w:color="auto" w:sz="4" w:space="0"/>
              <w:left w:val="single" w:color="auto" w:sz="4" w:space="0"/>
              <w:bottom w:val="single" w:color="auto" w:sz="4" w:space="0"/>
              <w:right w:val="single" w:color="auto" w:sz="4" w:space="0"/>
            </w:tcBorders>
            <w:vAlign w:val="center"/>
          </w:tcPr>
          <w:p w14:paraId="7CA302D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包工包部分材料（仅不含甲供材）</w:t>
            </w:r>
          </w:p>
        </w:tc>
        <w:tc>
          <w:tcPr>
            <w:tcW w:w="1218" w:type="dxa"/>
            <w:tcBorders>
              <w:top w:val="single" w:color="auto" w:sz="4" w:space="0"/>
              <w:left w:val="single" w:color="auto" w:sz="4" w:space="0"/>
              <w:bottom w:val="single" w:color="auto" w:sz="4" w:space="0"/>
              <w:right w:val="single" w:color="auto" w:sz="4" w:space="0"/>
            </w:tcBorders>
            <w:vAlign w:val="center"/>
          </w:tcPr>
          <w:p w14:paraId="1650604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w:t>
            </w:r>
          </w:p>
        </w:tc>
        <w:tc>
          <w:tcPr>
            <w:tcW w:w="4139" w:type="dxa"/>
            <w:tcBorders>
              <w:top w:val="single" w:color="auto" w:sz="4" w:space="0"/>
              <w:left w:val="single" w:color="auto" w:sz="4" w:space="0"/>
              <w:bottom w:val="single" w:color="auto" w:sz="4" w:space="0"/>
              <w:right w:val="single" w:color="auto" w:sz="12" w:space="0"/>
            </w:tcBorders>
            <w:vAlign w:val="center"/>
          </w:tcPr>
          <w:p w14:paraId="1015F7C0">
            <w:pPr>
              <w:keepNext w:val="0"/>
              <w:keepLines w:val="0"/>
              <w:pageBreakBefore w:val="0"/>
              <w:widowControl w:val="0"/>
              <w:kinsoku/>
              <w:wordWrap/>
              <w:overflowPunct/>
              <w:topLinePunct w:val="0"/>
              <w:autoSpaceDE/>
              <w:autoSpaceDN/>
              <w:bidi w:val="0"/>
              <w:adjustRightInd/>
              <w:snapToGrid w:val="0"/>
              <w:textAlignment w:val="auto"/>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仅计取人工费、乙方提供的材料和机械费</w:t>
            </w:r>
          </w:p>
        </w:tc>
      </w:tr>
      <w:tr w14:paraId="26A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20AA527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14:paraId="0BD735A8">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w:t>
            </w:r>
          </w:p>
        </w:tc>
        <w:tc>
          <w:tcPr>
            <w:tcW w:w="1218" w:type="dxa"/>
            <w:tcBorders>
              <w:top w:val="single" w:color="auto" w:sz="4" w:space="0"/>
              <w:left w:val="single" w:color="auto" w:sz="4" w:space="0"/>
              <w:bottom w:val="single" w:color="auto" w:sz="4" w:space="0"/>
              <w:right w:val="single" w:color="auto" w:sz="4" w:space="0"/>
            </w:tcBorders>
            <w:vAlign w:val="center"/>
          </w:tcPr>
          <w:p w14:paraId="450BA974">
            <w:pPr>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w:t>
            </w:r>
          </w:p>
        </w:tc>
        <w:tc>
          <w:tcPr>
            <w:tcW w:w="4139" w:type="dxa"/>
            <w:tcBorders>
              <w:top w:val="single" w:color="auto" w:sz="4" w:space="0"/>
              <w:left w:val="single" w:color="auto" w:sz="4" w:space="0"/>
              <w:bottom w:val="single" w:color="auto" w:sz="4" w:space="0"/>
              <w:right w:val="single" w:color="auto" w:sz="12" w:space="0"/>
            </w:tcBorders>
            <w:vAlign w:val="center"/>
          </w:tcPr>
          <w:p w14:paraId="2D2ED09A">
            <w:pPr>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w:t>
            </w:r>
          </w:p>
        </w:tc>
      </w:tr>
      <w:tr w14:paraId="1496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12" w:space="0"/>
              <w:right w:val="single" w:color="auto" w:sz="4" w:space="0"/>
            </w:tcBorders>
            <w:vAlign w:val="center"/>
          </w:tcPr>
          <w:p w14:paraId="4EAC471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400" w:type="dxa"/>
            <w:tcBorders>
              <w:top w:val="single" w:color="auto" w:sz="4" w:space="0"/>
              <w:left w:val="single" w:color="auto" w:sz="4" w:space="0"/>
              <w:bottom w:val="single" w:color="auto" w:sz="12" w:space="0"/>
              <w:right w:val="single" w:color="auto" w:sz="4" w:space="0"/>
            </w:tcBorders>
            <w:vAlign w:val="center"/>
          </w:tcPr>
          <w:p w14:paraId="54084B59">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lang w:val="en-US" w:eastAsia="zh-CN"/>
              </w:rPr>
              <w:t>包工包机械</w:t>
            </w:r>
          </w:p>
        </w:tc>
        <w:tc>
          <w:tcPr>
            <w:tcW w:w="1218" w:type="dxa"/>
            <w:tcBorders>
              <w:top w:val="single" w:color="auto" w:sz="4" w:space="0"/>
              <w:left w:val="single" w:color="auto" w:sz="4" w:space="0"/>
              <w:bottom w:val="single" w:color="auto" w:sz="12" w:space="0"/>
              <w:right w:val="single" w:color="auto" w:sz="4" w:space="0"/>
            </w:tcBorders>
            <w:vAlign w:val="center"/>
          </w:tcPr>
          <w:p w14:paraId="65E8240B">
            <w:pPr>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4139" w:type="dxa"/>
            <w:tcBorders>
              <w:top w:val="single" w:color="auto" w:sz="4" w:space="0"/>
              <w:left w:val="single" w:color="auto" w:sz="4" w:space="0"/>
              <w:bottom w:val="single" w:color="auto" w:sz="12" w:space="0"/>
              <w:right w:val="single" w:color="auto" w:sz="12" w:space="0"/>
            </w:tcBorders>
            <w:vAlign w:val="center"/>
          </w:tcPr>
          <w:p w14:paraId="5E1EB96E">
            <w:pPr>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仅计取人工费和机械费</w:t>
            </w:r>
          </w:p>
        </w:tc>
      </w:tr>
    </w:tbl>
    <w:p w14:paraId="052F6B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lang w:val="en-US" w:eastAsia="zh-CN"/>
        </w:rPr>
        <w:t>结算时，如乙方已请款部分开具的发票税率与合同约定不同时，须提供已请款金额及相应税率，且须甲方财务部负责人签字确认。</w:t>
      </w:r>
    </w:p>
    <w:p w14:paraId="4B0C93BC">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8" w:name="_Toc31696"/>
      <w:bookmarkStart w:id="69" w:name="_Toc1836"/>
      <w:r>
        <w:rPr>
          <w:rFonts w:hint="eastAsia" w:ascii="仿宋" w:hAnsi="仿宋" w:eastAsia="仿宋" w:cs="仿宋"/>
          <w:b/>
          <w:bCs/>
          <w:i w:val="0"/>
          <w:iCs w:val="0"/>
          <w:color w:val="auto"/>
          <w:sz w:val="28"/>
          <w:szCs w:val="28"/>
          <w:highlight w:val="none"/>
          <w:shd w:val="clear" w:color="auto" w:fill="auto"/>
          <w:lang w:val="en-US" w:eastAsia="zh-CN"/>
        </w:rPr>
        <w:t>付款方式</w:t>
      </w:r>
      <w:bookmarkEnd w:id="66"/>
      <w:bookmarkEnd w:id="67"/>
      <w:bookmarkEnd w:id="68"/>
      <w:bookmarkEnd w:id="69"/>
    </w:p>
    <w:p w14:paraId="59557C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8.1付款方式一</w:t>
      </w:r>
    </w:p>
    <w:p w14:paraId="552FEE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8.1.1本合同生效，任一单体（包括综合楼、水资源中心、双氧水罐池）的基坑土方回填工程完成，并经甲方及监理确认后，甲方支付至该单体已完成合格工程量对应造价的 60%（含甲方通过工人工资专用账户支付的乙方工人工资款项）。</w:t>
      </w:r>
    </w:p>
    <w:p w14:paraId="38FDB7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所有单体结构主体全部封顶，所有基坑土方全部回填完成，且乙方按甲方要求提交完整的款项审批资料后，甲方支付至土方回填已完成合格工程量对应造价的60%（含甲方通过工人工资专用账户支付的乙方工人工资款项）。</w:t>
      </w:r>
    </w:p>
    <w:p w14:paraId="5FB493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8.1.3室外工程全部完成，并经甲方及监理验收合格后，甲方支付至乙方已完成合格工程量对应造价的70%（含甲方通过工人工资专用账户支付的乙方工人工资款项）。</w:t>
      </w:r>
    </w:p>
    <w:p w14:paraId="555622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8.1.4 本项目全部施工内容完成，经建设单位、监理、甲方、乙方共同竣工综合验收合格，正式移交建设单位后，甲方支付至乙方已完成合格工程量对应造价的80%（含甲方通过工人工资专用账户支付的乙方工人工资款项）。</w:t>
      </w:r>
    </w:p>
    <w:p w14:paraId="4791D2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8.1.5 乙方须在本项目移交建设单位，且建设单位、监理、甲方及乙方共同确认本工程竣工图后，方可申请工程结算。乙方提出工程结算后，双方办理结算，双方就结算金额达成书面一致，且乙方向甲方提供金额等同于结算金额 100% 的合法有效发票后，甲方支付至结算金额的 100%（含甲方通过工人工资专用账户支付的乙方工人工资款项）。</w:t>
      </w:r>
    </w:p>
    <w:p w14:paraId="2C5CE72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shd w:val="clear" w:color="auto" w:fill="auto"/>
          <w:lang w:val="en-US" w:eastAsia="zh-CN"/>
        </w:rPr>
        <w:t>8.1付款方式二</w:t>
      </w:r>
    </w:p>
    <w:p w14:paraId="34012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p>
    <w:p w14:paraId="1575F47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 履约保证金</w:t>
      </w:r>
    </w:p>
    <w:p w14:paraId="6A04AD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8.2.1 本合同履约保证金为人民币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元整，由乙方的投标保证金无息自动转为履约保证金。</w:t>
      </w:r>
    </w:p>
    <w:p w14:paraId="6FB80FA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 履约保证金的处置</w:t>
      </w:r>
    </w:p>
    <w:p w14:paraId="4D53C8F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8.3.1 如乙方在履行本合同或关联合同过程中发生违约行为，甲方有权直接从履约保证金中扣除相应金额作为违约金（不足部分，乙方应在收到甲方书面通知后10个工作日内补足）。</w:t>
      </w:r>
    </w:p>
    <w:p w14:paraId="42DFDA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8.3.2 因乙方违约导致本合同或关联合同无法继续履行的：</w:t>
      </w:r>
    </w:p>
    <w:p w14:paraId="581914C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（1）甲方有权不退还全部履约保证金；</w:t>
      </w:r>
    </w:p>
    <w:p w14:paraId="0F59606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（2）甲方可立即单方解除本合同及关联合同；</w:t>
      </w:r>
    </w:p>
    <w:p w14:paraId="5FD1E8D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（3）乙方应赔偿由此给甲方造成的全部损失（包括但不限于直接损失、间接损失及维权费用）。</w:t>
      </w:r>
    </w:p>
    <w:p w14:paraId="60E86E1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8.3.3 若乙方在履行本合同及关联合同时无任何违约行为，甲方应在支付两份合同首期进度款时（以较晚支付的合同为准），将履约保证金余额无息退还至乙方原付款账户。</w:t>
      </w:r>
    </w:p>
    <w:p w14:paraId="73A3747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 交叉违约条款</w:t>
      </w:r>
    </w:p>
    <w:p w14:paraId="2498CF4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8.4.1 乙方在与甲方签订的其他任何合同中出现违约情形时：</w:t>
      </w:r>
    </w:p>
    <w:p w14:paraId="4322C4C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（1）甲方有权从本合同工程款中直接扣除相应金额作为违约金；</w:t>
      </w:r>
    </w:p>
    <w:p w14:paraId="2BB1E1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（2）扣除金额以被违约合同项下应承担的违约金为限。</w:t>
      </w:r>
    </w:p>
    <w:p w14:paraId="32C50DD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8.4.2 当甲方依据合法事由单方终止与乙方签订的任何合同时：</w:t>
      </w:r>
    </w:p>
    <w:p w14:paraId="60EA250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（1）甲方可同时单方终止本合同；</w:t>
      </w:r>
    </w:p>
    <w:p w14:paraId="7BDD6C6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（2）乙方应承担由此产生的一切法律责任及经济损失（包括甲方因此产生的额外费用及预期利益损失）。</w:t>
      </w:r>
    </w:p>
    <w:p w14:paraId="6959B9D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0" w:name="_Toc5830"/>
      <w:bookmarkStart w:id="71" w:name="_Toc24215"/>
      <w:bookmarkStart w:id="72" w:name="_Toc15443"/>
      <w:bookmarkStart w:id="73" w:name="_Toc878"/>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70"/>
      <w:bookmarkEnd w:id="71"/>
      <w:bookmarkEnd w:id="72"/>
      <w:bookmarkEnd w:id="73"/>
    </w:p>
    <w:p w14:paraId="70B4DF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74" w:name="_Toc26064"/>
      <w:bookmarkStart w:id="75" w:name="_Toc11799"/>
      <w:bookmarkStart w:id="76" w:name="_Toc15487"/>
      <w:bookmarkStart w:id="77" w:name="_Toc29715"/>
      <w:bookmarkStart w:id="78" w:name="_Toc5199"/>
      <w:r>
        <w:rPr>
          <w:rFonts w:hint="eastAsia" w:ascii="仿宋" w:hAnsi="仿宋" w:eastAsia="仿宋" w:cs="仿宋"/>
          <w:b w:val="0"/>
          <w:bCs w:val="0"/>
          <w:i w:val="0"/>
          <w:iCs w:val="0"/>
          <w:color w:val="auto"/>
          <w:sz w:val="28"/>
          <w:szCs w:val="28"/>
          <w:highlight w:val="none"/>
          <w:shd w:val="clear" w:color="auto" w:fill="auto"/>
          <w:lang w:val="en-US" w:eastAsia="zh-CN"/>
        </w:rPr>
        <w:t>9.1甲方责任和权利</w:t>
      </w:r>
      <w:bookmarkEnd w:id="74"/>
      <w:bookmarkEnd w:id="75"/>
      <w:bookmarkEnd w:id="76"/>
      <w:bookmarkEnd w:id="77"/>
      <w:bookmarkEnd w:id="78"/>
    </w:p>
    <w:p w14:paraId="08FC6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w:t>
      </w:r>
      <w:r>
        <w:rPr>
          <w:rFonts w:hint="eastAsia" w:ascii="仿宋" w:hAnsi="仿宋" w:eastAsia="仿宋" w:cs="仿宋"/>
          <w:b w:val="0"/>
          <w:bCs w:val="0"/>
          <w:i w:val="0"/>
          <w:iCs w:val="0"/>
          <w:color w:val="auto"/>
          <w:sz w:val="28"/>
          <w:szCs w:val="28"/>
          <w:highlight w:val="none"/>
          <w:u w:val="none"/>
          <w:shd w:val="clear" w:color="auto" w:fill="auto"/>
          <w:lang w:val="en-US" w:eastAsia="zh-CN"/>
        </w:rPr>
        <w:t>提供给乙方本工程施工图电子版1套。</w:t>
      </w:r>
    </w:p>
    <w:p w14:paraId="0C533B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9.2乙方责任和权利</w:t>
      </w:r>
    </w:p>
    <w:p w14:paraId="398238E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5A964C3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w:t>
      </w:r>
      <w:r>
        <w:rPr>
          <w:rFonts w:hint="eastAsia" w:ascii="仿宋" w:hAnsi="仿宋" w:eastAsia="仿宋" w:cs="仿宋"/>
          <w:sz w:val="28"/>
          <w:szCs w:val="28"/>
          <w:highlight w:val="none"/>
          <w:lang w:val="en-US" w:eastAsia="zh-CN"/>
        </w:rPr>
        <w:t>乙方负责建立健全施工安全管理体系，配备专业安全管理人员，制定并落实安全操作规程。为施工人员配备安全帽、安全带等防护用品，对开挖现场设置明显的安全警示标识，定期组织安全培训与应急演练，防止安全事故发生。</w:t>
      </w:r>
    </w:p>
    <w:p w14:paraId="153A34C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9.2.3乙方严格按照设计图纸和施工规范进行土方回填作业，确保分层回填，土方密实度符合要求。对每一道施工工序进行质量检验，如发现质量问题及时整改，保证工程质量达到合同约定标准。</w:t>
      </w:r>
    </w:p>
    <w:p w14:paraId="189DE6F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乙方须采取有效措施减少土方回填过程中对周边环境的影响，如控制粉尘、噪声污染，妥善处理施工弃渣，防止水土流失。当施工结束后，乙方应严格按照环保要求，对回填区域的裸露地面及时覆盖盖土网，以减少扬尘。</w:t>
      </w:r>
    </w:p>
    <w:p w14:paraId="442CACD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9.2.5乙方根据合同约定的工期，制定合理的施工进度计划并严格执行。定期向甲方汇报工程进度，若因乙方原因导致工期延误，乙方承担违约责任。</w:t>
      </w:r>
    </w:p>
    <w:p w14:paraId="3E93EE9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9.2.6乙方合理组织和管理施工人员，确保人员具备相应资质和技能，对施工设备进行定期维护和保养，保证设备性能良好，安全运行。</w:t>
      </w:r>
    </w:p>
    <w:p w14:paraId="43E10D0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9.2.7乙方收集、整理施工过程中的各类资料，包括施工记录、土质土样照片、安全检查记录等，在工程竣工后及时提交给甲方，作为工程验收和存档的依据。</w:t>
      </w:r>
    </w:p>
    <w:p w14:paraId="3BB4546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9.2.8乙方须保护好自身施工的材料、机械等设备，如有被偷盗、损坏等现象发生，由乙方自行负责。</w:t>
      </w:r>
    </w:p>
    <w:p w14:paraId="46D4438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9" w:name="_Toc25504"/>
      <w:bookmarkStart w:id="80" w:name="_Toc14868"/>
      <w:bookmarkStart w:id="81" w:name="_Toc10092"/>
      <w:bookmarkStart w:id="82" w:name="_Toc24202"/>
      <w:bookmarkStart w:id="83" w:name="_Toc7932"/>
      <w:bookmarkStart w:id="84" w:name="_Toc3557"/>
      <w:bookmarkStart w:id="85" w:name="_Toc15001"/>
      <w:bookmarkStart w:id="86" w:name="_Toc22226"/>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79"/>
    </w:p>
    <w:p w14:paraId="61D923F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w:t>
      </w:r>
    </w:p>
    <w:p w14:paraId="29B516E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。保修期内，该组团/批次如出现较大质量缺陷，乙方履行保修义务至验收合格后，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5BFA436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w:t>
      </w:r>
      <w:r>
        <w:rPr>
          <w:rFonts w:hint="eastAsia" w:ascii="仿宋" w:hAnsi="仿宋" w:eastAsia="仿宋" w:cs="仿宋"/>
          <w:i w:val="0"/>
          <w:iCs w:val="0"/>
          <w:color w:val="auto"/>
          <w:sz w:val="28"/>
          <w:szCs w:val="28"/>
          <w:highlight w:val="none"/>
          <w:shd w:val="clear" w:color="auto" w:fill="auto"/>
          <w:lang w:val="en-US" w:eastAsia="zh-CN"/>
        </w:rPr>
        <w:t>成</w:t>
      </w:r>
      <w:r>
        <w:rPr>
          <w:rFonts w:hint="eastAsia" w:ascii="仿宋" w:hAnsi="仿宋" w:eastAsia="仿宋" w:cs="仿宋"/>
          <w:i w:val="0"/>
          <w:iCs w:val="0"/>
          <w:color w:val="auto"/>
          <w:sz w:val="28"/>
          <w:szCs w:val="28"/>
          <w:highlight w:val="none"/>
          <w:shd w:val="clear" w:color="auto" w:fill="auto"/>
        </w:rPr>
        <w:t>，乙方自检符合质量要求后提请甲方及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w:t>
      </w:r>
      <w:r>
        <w:rPr>
          <w:rFonts w:hint="eastAsia" w:ascii="仿宋" w:hAnsi="仿宋" w:eastAsia="仿宋" w:cs="仿宋"/>
          <w:i w:val="0"/>
          <w:iCs w:val="0"/>
          <w:color w:val="auto"/>
          <w:sz w:val="28"/>
          <w:szCs w:val="28"/>
          <w:highlight w:val="none"/>
          <w:shd w:val="clear" w:color="auto" w:fill="auto"/>
          <w:lang w:val="en-US" w:eastAsia="zh-CN"/>
        </w:rPr>
        <w:t>返</w:t>
      </w:r>
      <w:r>
        <w:rPr>
          <w:rFonts w:hint="eastAsia" w:ascii="仿宋" w:hAnsi="仿宋" w:eastAsia="仿宋" w:cs="仿宋"/>
          <w:i w:val="0"/>
          <w:iCs w:val="0"/>
          <w:color w:val="auto"/>
          <w:sz w:val="28"/>
          <w:szCs w:val="28"/>
          <w:highlight w:val="none"/>
          <w:shd w:val="clear" w:color="auto" w:fill="auto"/>
        </w:rPr>
        <w:t>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返修验收合格之日起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6E8DDF67">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w:t>
      </w:r>
      <w:r>
        <w:rPr>
          <w:rFonts w:hint="eastAsia" w:ascii="仿宋" w:hAnsi="仿宋" w:eastAsia="仿宋" w:cs="仿宋"/>
          <w:b w:val="0"/>
          <w:bCs w:val="0"/>
          <w:i w:val="0"/>
          <w:iCs w:val="0"/>
          <w:color w:val="auto"/>
          <w:sz w:val="28"/>
          <w:szCs w:val="28"/>
          <w:highlight w:val="none"/>
          <w:shd w:val="clear" w:color="auto" w:fill="auto"/>
          <w:lang w:val="en-US" w:eastAsia="zh-CN"/>
        </w:rPr>
        <w:t>为</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2 </w:t>
      </w:r>
      <w:r>
        <w:rPr>
          <w:rFonts w:hint="eastAsia" w:ascii="仿宋" w:hAnsi="仿宋" w:eastAsia="仿宋" w:cs="仿宋"/>
          <w:b w:val="0"/>
          <w:bCs w:val="0"/>
          <w:i w:val="0"/>
          <w:iCs w:val="0"/>
          <w:color w:val="auto"/>
          <w:sz w:val="28"/>
          <w:szCs w:val="28"/>
          <w:highlight w:val="none"/>
          <w:shd w:val="clear" w:color="auto" w:fill="auto"/>
        </w:rPr>
        <w:t>年</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使用之日起计。</w:t>
      </w:r>
    </w:p>
    <w:p w14:paraId="53DFB949">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7" w:name="_Toc1887"/>
      <w:r>
        <w:rPr>
          <w:rFonts w:hint="eastAsia" w:ascii="仿宋" w:hAnsi="仿宋" w:eastAsia="仿宋" w:cs="仿宋"/>
          <w:b/>
          <w:bCs/>
          <w:i w:val="0"/>
          <w:iCs w:val="0"/>
          <w:color w:val="auto"/>
          <w:sz w:val="28"/>
          <w:szCs w:val="28"/>
          <w:highlight w:val="none"/>
          <w:shd w:val="clear" w:color="auto" w:fill="auto"/>
          <w:lang w:val="en-US" w:eastAsia="zh-CN"/>
        </w:rPr>
        <w:t>其他</w:t>
      </w:r>
      <w:bookmarkEnd w:id="80"/>
      <w:bookmarkEnd w:id="81"/>
      <w:bookmarkEnd w:id="82"/>
      <w:bookmarkEnd w:id="83"/>
      <w:bookmarkEnd w:id="84"/>
      <w:bookmarkEnd w:id="85"/>
      <w:bookmarkEnd w:id="87"/>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86"/>
    </w:p>
    <w:p w14:paraId="4EBEE2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63F18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彭善海</w:t>
      </w:r>
      <w:r>
        <w:rPr>
          <w:rFonts w:hint="eastAsia" w:ascii="仿宋" w:hAnsi="仿宋" w:eastAsia="仿宋" w:cs="仿宋"/>
          <w:b w:val="0"/>
          <w:bCs w:val="0"/>
          <w:i w:val="0"/>
          <w:iCs w:val="0"/>
          <w:color w:val="auto"/>
          <w:sz w:val="28"/>
          <w:szCs w:val="28"/>
          <w:highlight w:val="none"/>
          <w:u w:val="single"/>
          <w:shd w:val="clear" w:color="auto" w:fill="auto"/>
          <w:lang w:eastAsia="zh-CN"/>
        </w:rPr>
        <w:t>（联系电话：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为本</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负责人及甲方</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项目章（样式详见附件）方为有效，否则为无效文件，仅盖章或者仅签名的文件亦无效。甲方变更</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lang w:eastAsia="zh-CN"/>
        </w:rPr>
        <w:t>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执行联系人的，将以书面形式通知乙方。</w:t>
      </w:r>
    </w:p>
    <w:p w14:paraId="51F828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w:t>
      </w:r>
      <w:r>
        <w:rPr>
          <w:rFonts w:hint="eastAsia" w:ascii="仿宋" w:hAnsi="仿宋" w:eastAsia="仿宋" w:cs="仿宋"/>
          <w:b w:val="0"/>
          <w:bCs w:val="0"/>
          <w:i w:val="0"/>
          <w:iCs w:val="0"/>
          <w:color w:val="auto"/>
          <w:sz w:val="28"/>
          <w:szCs w:val="28"/>
          <w:highlight w:val="none"/>
          <w:shd w:val="clear" w:color="auto" w:fill="auto"/>
          <w:lang w:val="en-US" w:eastAsia="zh-CN"/>
        </w:rPr>
        <w:t>收</w:t>
      </w:r>
      <w:r>
        <w:rPr>
          <w:rFonts w:hint="eastAsia" w:ascii="仿宋" w:hAnsi="仿宋" w:eastAsia="仿宋" w:cs="仿宋"/>
          <w:b w:val="0"/>
          <w:bCs w:val="0"/>
          <w:i w:val="0"/>
          <w:iCs w:val="0"/>
          <w:color w:val="auto"/>
          <w:sz w:val="28"/>
          <w:szCs w:val="28"/>
          <w:highlight w:val="none"/>
          <w:shd w:val="clear" w:color="auto" w:fill="auto"/>
          <w:lang w:eastAsia="zh-CN"/>
        </w:rPr>
        <w:t>款、签收并签认甲方对乙方违约行为作出的处理通知等行为）。</w:t>
      </w:r>
    </w:p>
    <w:p w14:paraId="48B548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040073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11.2乙方对乙方授权代表及乙方现场负责人的行为均予认可并承担一切责任。乙方如需更换授权或现场负责人，须提前三个工作日书面报经甲方同意，否则不得更换。</w:t>
      </w:r>
    </w:p>
    <w:p w14:paraId="1439DAA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8"/>
          <w:szCs w:val="28"/>
          <w:highlight w:val="none"/>
        </w:rPr>
        <w:t>【以下无正文】</w:t>
      </w:r>
    </w:p>
    <w:p w14:paraId="4AA71550">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p>
    <w:p w14:paraId="054B5D72">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p>
    <w:p w14:paraId="4B9BCABB">
      <w:pPr>
        <w:keepNext w:val="0"/>
        <w:keepLines w:val="0"/>
        <w:pageBreakBefore w:val="0"/>
        <w:widowControl w:val="0"/>
        <w:kinsoku/>
        <w:wordWrap/>
        <w:overflowPunct/>
        <w:topLinePunct w:val="0"/>
        <w:autoSpaceDE/>
        <w:autoSpaceDN/>
        <w:bidi w:val="0"/>
        <w:adjustRightInd w:val="0"/>
        <w:snapToGrid w:val="0"/>
        <w:spacing w:before="0" w:after="0" w:line="240" w:lineRule="auto"/>
        <w:ind w:right="-439" w:rightChars="-209"/>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签约代表</w:t>
      </w:r>
      <w:r>
        <w:rPr>
          <w:rFonts w:hint="eastAsia" w:ascii="仿宋" w:hAnsi="仿宋" w:eastAsia="仿宋" w:cs="仿宋"/>
          <w:b/>
          <w:bCs/>
          <w:color w:val="auto"/>
          <w:sz w:val="24"/>
          <w:szCs w:val="24"/>
          <w:highlight w:val="none"/>
          <w:lang w:eastAsia="zh-CN"/>
        </w:rPr>
        <w:t>：</w:t>
      </w:r>
    </w:p>
    <w:p w14:paraId="6C7022AC">
      <w:pPr>
        <w:keepNext w:val="0"/>
        <w:keepLines w:val="0"/>
        <w:pageBreakBefore w:val="0"/>
        <w:widowControl w:val="0"/>
        <w:kinsoku/>
        <w:wordWrap/>
        <w:overflowPunct/>
        <w:topLinePunct w:val="0"/>
        <w:autoSpaceDE/>
        <w:autoSpaceDN/>
        <w:bidi w:val="0"/>
        <w:adjustRightInd w:val="0"/>
        <w:snapToGrid w:val="0"/>
        <w:spacing w:before="0" w:after="0" w:line="240" w:lineRule="auto"/>
        <w:ind w:right="-439" w:rightChars="-209"/>
        <w:textAlignment w:val="auto"/>
        <w:rPr>
          <w:rFonts w:hint="eastAsia" w:ascii="仿宋" w:hAnsi="仿宋" w:eastAsia="仿宋" w:cs="仿宋"/>
          <w:b/>
          <w:bCs/>
          <w:color w:val="auto"/>
          <w:sz w:val="24"/>
          <w:szCs w:val="24"/>
          <w:highlight w:val="none"/>
          <w:lang w:eastAsia="zh-CN"/>
        </w:rPr>
      </w:pPr>
    </w:p>
    <w:p w14:paraId="6D1CB2FD">
      <w:pPr>
        <w:keepNext w:val="0"/>
        <w:keepLines w:val="0"/>
        <w:pageBreakBefore w:val="0"/>
        <w:widowControl w:val="0"/>
        <w:kinsoku/>
        <w:wordWrap/>
        <w:overflowPunct/>
        <w:topLinePunct w:val="0"/>
        <w:autoSpaceDE/>
        <w:autoSpaceDN/>
        <w:bidi w:val="0"/>
        <w:adjustRightInd w:val="0"/>
        <w:snapToGrid w:val="0"/>
        <w:spacing w:before="0" w:after="0" w:line="240" w:lineRule="auto"/>
        <w:ind w:right="-439" w:rightChars="-209"/>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2A11BAD3">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590523C">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7D37A30">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 址：广东省东莞市南城街道鸿福路        地  址： </w:t>
      </w:r>
    </w:p>
    <w:p w14:paraId="5CD59E86">
      <w:pPr>
        <w:keepNext w:val="0"/>
        <w:keepLines w:val="0"/>
        <w:pageBreakBefore w:val="0"/>
        <w:widowControl w:val="0"/>
        <w:kinsoku/>
        <w:wordWrap/>
        <w:overflowPunct/>
        <w:topLinePunct w:val="0"/>
        <w:autoSpaceDE/>
        <w:autoSpaceDN/>
        <w:bidi w:val="0"/>
        <w:adjustRightInd w:val="0"/>
        <w:snapToGrid w:val="0"/>
        <w:spacing w:line="240" w:lineRule="auto"/>
        <w:ind w:right="-439" w:rightChars="-209"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26D9DC6A">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电  话：0769-22311322                    电  话</w:t>
      </w:r>
      <w:r>
        <w:rPr>
          <w:rFonts w:hint="eastAsia" w:ascii="仿宋" w:hAnsi="仿宋" w:eastAsia="仿宋" w:cs="仿宋"/>
          <w:b/>
          <w:bCs/>
          <w:color w:val="auto"/>
          <w:sz w:val="24"/>
          <w:szCs w:val="24"/>
          <w:highlight w:val="none"/>
          <w:lang w:eastAsia="zh-CN"/>
        </w:rPr>
        <w:t>：</w:t>
      </w:r>
    </w:p>
    <w:p w14:paraId="064037A1">
      <w:pPr>
        <w:keepNext w:val="0"/>
        <w:keepLines w:val="0"/>
        <w:pageBreakBefore w:val="0"/>
        <w:widowControl w:val="0"/>
        <w:kinsoku/>
        <w:wordWrap/>
        <w:overflowPunct/>
        <w:topLinePunct w:val="0"/>
        <w:autoSpaceDE/>
        <w:autoSpaceDN/>
        <w:bidi w:val="0"/>
        <w:adjustRightInd w:val="0"/>
        <w:snapToGrid w:val="0"/>
        <w:spacing w:line="240" w:lineRule="auto"/>
        <w:ind w:right="-439" w:rightChars="-209"/>
        <w:textAlignment w:val="auto"/>
        <w:rPr>
          <w:rFonts w:hint="eastAsia" w:ascii="仿宋" w:hAnsi="仿宋" w:eastAsia="仿宋" w:cs="仿宋"/>
          <w:b/>
          <w:bCs/>
          <w:color w:val="auto"/>
          <w:sz w:val="24"/>
          <w:szCs w:val="24"/>
          <w:highlight w:val="none"/>
          <w:lang w:eastAsia="zh-CN"/>
        </w:rPr>
      </w:pPr>
    </w:p>
    <w:p w14:paraId="0F71EC26">
      <w:pPr>
        <w:pStyle w:val="3"/>
        <w:keepNext w:val="0"/>
        <w:keepLines w:val="0"/>
        <w:pageBreakBefore w:val="0"/>
        <w:widowControl w:val="0"/>
        <w:kinsoku/>
        <w:wordWrap/>
        <w:overflowPunct/>
        <w:topLinePunct w:val="0"/>
        <w:autoSpaceDE/>
        <w:autoSpaceDN/>
        <w:bidi w:val="0"/>
        <w:adjustRightInd w:val="0"/>
        <w:snapToGrid w:val="0"/>
        <w:spacing w:line="24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0948BCC2">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99" w:leftChars="-95"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88" w:name="_Toc11615"/>
      <w:bookmarkStart w:id="89" w:name="_Toc17756"/>
      <w:bookmarkStart w:id="90" w:name="_Toc24286"/>
      <w:r>
        <w:rPr>
          <w:rFonts w:hint="eastAsia" w:ascii="仿宋" w:hAnsi="仿宋" w:eastAsia="仿宋" w:cs="仿宋"/>
          <w:b/>
          <w:bCs/>
          <w:i w:val="0"/>
          <w:iCs w:val="0"/>
          <w:color w:val="auto"/>
          <w:kern w:val="0"/>
          <w:sz w:val="28"/>
          <w:szCs w:val="28"/>
          <w:highlight w:val="none"/>
          <w:u w:val="none"/>
          <w:shd w:val="clear" w:color="auto" w:fill="auto"/>
          <w:lang w:val="en-US" w:eastAsia="zh-CN"/>
        </w:rPr>
        <w:t xml:space="preserve"> 合同通用条款</w:t>
      </w:r>
      <w:bookmarkEnd w:id="88"/>
      <w:bookmarkEnd w:id="89"/>
      <w:bookmarkEnd w:id="90"/>
    </w:p>
    <w:p w14:paraId="10C4ACF0">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1" w:name="_Toc29752"/>
      <w:bookmarkStart w:id="92" w:name="_Toc27946"/>
      <w:bookmarkStart w:id="93" w:name="_Toc18748"/>
      <w:r>
        <w:rPr>
          <w:rFonts w:hint="eastAsia" w:ascii="仿宋" w:hAnsi="仿宋" w:eastAsia="仿宋" w:cs="仿宋"/>
          <w:b/>
          <w:bCs/>
          <w:i w:val="0"/>
          <w:iCs w:val="0"/>
          <w:color w:val="auto"/>
          <w:sz w:val="28"/>
          <w:szCs w:val="28"/>
          <w:highlight w:val="none"/>
          <w:shd w:val="clear" w:color="auto" w:fill="auto"/>
          <w:lang w:val="en-US" w:eastAsia="zh-CN"/>
        </w:rPr>
        <w:t>承包方式</w:t>
      </w:r>
      <w:bookmarkEnd w:id="91"/>
      <w:bookmarkEnd w:id="92"/>
      <w:bookmarkEnd w:id="93"/>
    </w:p>
    <w:p w14:paraId="782BB4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val="0"/>
          <w:bCs w:val="0"/>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包管理，包利润，包税金，包物价上涨，包其他工种配合可能产生的降效及费用，包本工程施工过程中涉及的一切风险因素、全部内容及费用。</w:t>
      </w:r>
    </w:p>
    <w:p w14:paraId="60E6A32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4" w:name="_Toc30750"/>
      <w:bookmarkStart w:id="95" w:name="_Toc8708"/>
      <w:bookmarkStart w:id="96" w:name="_Toc21711"/>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94"/>
      <w:bookmarkEnd w:id="95"/>
      <w:bookmarkEnd w:id="96"/>
    </w:p>
    <w:p w14:paraId="499B0BC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EB8F33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视乙方认为适于施工并作为乙方施工前提，因该界面导致乙方施工内容不符合合同要求的，乙方自费返工至符合合同要求且不向甲方（或其他施工单位）索赔。</w:t>
      </w:r>
    </w:p>
    <w:p w14:paraId="16A626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3242E7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p>
    <w:p w14:paraId="5D0ABA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鉴于本合同所列单价未必完善，如本工程施工过程中发生新的工程变更内容（例：工程设计变更或增加承包内容等导致的新工程等）且无适用的合同单价，乙方须按甲方要求先行施工（否则每延迟一天乙方</w:t>
      </w:r>
      <w:r>
        <w:rPr>
          <w:rFonts w:hint="eastAsia" w:ascii="仿宋" w:hAnsi="仿宋" w:eastAsia="仿宋" w:cs="仿宋"/>
          <w:b w:val="0"/>
          <w:bCs w:val="0"/>
          <w:i w:val="0"/>
          <w:iCs w:val="0"/>
          <w:color w:val="auto"/>
          <w:sz w:val="28"/>
          <w:szCs w:val="28"/>
          <w:highlight w:val="none"/>
          <w:u w:val="none"/>
          <w:shd w:val="clear" w:color="auto" w:fill="auto"/>
          <w:lang w:eastAsia="zh-CN"/>
        </w:rPr>
        <w:t>向甲方支付违约金</w:t>
      </w:r>
      <w:r>
        <w:rPr>
          <w:rFonts w:hint="eastAsia" w:ascii="仿宋" w:hAnsi="仿宋" w:eastAsia="仿宋" w:cs="仿宋"/>
          <w:b w:val="0"/>
          <w:bCs w:val="0"/>
          <w:i w:val="0"/>
          <w:iCs w:val="0"/>
          <w:color w:val="auto"/>
          <w:sz w:val="28"/>
          <w:szCs w:val="28"/>
          <w:highlight w:val="none"/>
          <w:u w:val="none"/>
          <w:shd w:val="clear" w:color="auto" w:fill="auto"/>
        </w:rPr>
        <w:t>人民币两千元），并在甲方通知施工之日起三个工作日内书面向甲方申报工程单价（申报格式以甲方确定的为准），逾期不申报视为乙方同意甲方单方确定的结算价格</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5818C87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79296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bookmarkStart w:id="97" w:name="_Toc10183"/>
    </w:p>
    <w:p w14:paraId="2470B7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因乙方原因导致甲方被政府部门等单位处罚，导致本项目或本工程停工的，全部责任和各方损失均由乙方承担。</w:t>
      </w:r>
    </w:p>
    <w:p w14:paraId="57D8655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2.8</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相关费用已包含在各项合同单价中，不另行单列计费</w:t>
      </w:r>
      <w:r>
        <w:rPr>
          <w:rFonts w:hint="eastAsia" w:ascii="仿宋" w:hAnsi="仿宋" w:eastAsia="仿宋" w:cs="仿宋"/>
          <w:i w:val="0"/>
          <w:iCs w:val="0"/>
          <w:color w:val="auto"/>
          <w:sz w:val="28"/>
          <w:szCs w:val="28"/>
          <w:highlight w:val="none"/>
          <w:shd w:val="clear" w:color="auto" w:fill="auto"/>
        </w:rPr>
        <w:t>。</w:t>
      </w:r>
    </w:p>
    <w:p w14:paraId="35010A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2.9乙方负责协调、处理本工程涉及的各类关系（包括但不限于政府部门、周边居民等关系），确保进退场及施工过程中合法、合规、不扰民，相关费用已包含在各项合同单价内，不另行计取。</w:t>
      </w:r>
    </w:p>
    <w:p w14:paraId="5CF4DC15">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8" w:name="_Toc12737"/>
      <w:bookmarkStart w:id="99" w:name="_Toc6424"/>
      <w:r>
        <w:rPr>
          <w:rFonts w:hint="eastAsia" w:ascii="仿宋" w:hAnsi="仿宋" w:eastAsia="仿宋" w:cs="仿宋"/>
          <w:b/>
          <w:bCs/>
          <w:i w:val="0"/>
          <w:iCs w:val="0"/>
          <w:color w:val="auto"/>
          <w:sz w:val="28"/>
          <w:szCs w:val="28"/>
          <w:highlight w:val="none"/>
          <w:shd w:val="clear" w:color="auto" w:fill="auto"/>
          <w:lang w:val="en-US" w:eastAsia="zh-CN"/>
        </w:rPr>
        <w:t>工期</w:t>
      </w:r>
      <w:bookmarkEnd w:id="97"/>
      <w:bookmarkEnd w:id="98"/>
      <w:bookmarkEnd w:id="99"/>
    </w:p>
    <w:p w14:paraId="4987D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607C56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乙方提交的开工资料须满足甲方要求。乙方在收到甲方项目经理签发并加盖甲方项目章的开工令后，按开工令要求进场。</w:t>
      </w:r>
    </w:p>
    <w:p w14:paraId="5B737E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87B91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乙方按合同向甲方支付违约金。</w:t>
      </w:r>
    </w:p>
    <w:p w14:paraId="19631E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465CE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2B5667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3.7春节、元旦、五一、十一、周末等法定节假日、休息日及技术要求或进度计划要求进行赶工、加班等费用已包含在本合同约定的</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合同总价内，甲方无需另行付费给乙方。</w:t>
      </w:r>
    </w:p>
    <w:p w14:paraId="7E6455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27D42D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080F12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主动承担相应的违约责任。</w:t>
      </w:r>
    </w:p>
    <w:p w14:paraId="28F3FF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bookmarkStart w:id="100" w:name="_Toc3219"/>
    </w:p>
    <w:p w14:paraId="0EFEFF1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1" w:name="_Toc5818"/>
      <w:bookmarkStart w:id="102" w:name="_Toc21972"/>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00"/>
      <w:bookmarkEnd w:id="101"/>
      <w:bookmarkEnd w:id="102"/>
    </w:p>
    <w:p w14:paraId="1DDFDC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乙方须安排管理人员配合检查、验收，否则每次向甲方支付违约金人民币壹仟元。乙方施工过程中必须进行质量自检，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eastAsia="zh-CN"/>
        </w:rPr>
        <w:t>向甲方支付违约金</w:t>
      </w:r>
      <w:r>
        <w:rPr>
          <w:rFonts w:hint="eastAsia" w:ascii="仿宋" w:hAnsi="仿宋" w:eastAsia="仿宋" w:cs="仿宋"/>
          <w:color w:val="auto"/>
          <w:sz w:val="28"/>
          <w:szCs w:val="28"/>
          <w:highlight w:val="none"/>
        </w:rPr>
        <w:t>贰仟至壹万元/次，整改二次以上的甲方有权对本工程按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合同单价/□合同总价下浮2%予以结算。</w:t>
      </w:r>
      <w:r>
        <w:rPr>
          <w:rFonts w:hint="eastAsia" w:ascii="仿宋" w:hAnsi="仿宋" w:eastAsia="仿宋" w:cs="仿宋"/>
          <w:i w:val="0"/>
          <w:iCs w:val="0"/>
          <w:color w:val="auto"/>
          <w:sz w:val="28"/>
          <w:szCs w:val="28"/>
          <w:highlight w:val="none"/>
          <w:u w:val="none"/>
          <w:shd w:val="clear" w:color="auto" w:fill="auto"/>
        </w:rPr>
        <w:t xml:space="preserve"> </w:t>
      </w:r>
    </w:p>
    <w:p w14:paraId="7A1766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bookmarkStart w:id="103" w:name="_Toc20800"/>
      <w:bookmarkStart w:id="104" w:name="_Toc14414"/>
    </w:p>
    <w:p w14:paraId="2CFE5C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bookmarkEnd w:id="103"/>
      <w:bookmarkEnd w:id="104"/>
    </w:p>
    <w:p w14:paraId="4F2744D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1日内将所需进入施工现场的材料、机械、仪表、设备等提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46A2D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5BD7B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6DAF41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DE6FF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提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355B76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支付违约金（违约金金额等于不符合合同约定的材料金额的三倍但最少不低于伍仟元/次），甲方有权在任意应付给乙方的合同款中自行扣取违约金。</w:t>
      </w:r>
    </w:p>
    <w:p w14:paraId="73E4CC1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0D0C2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bookmarkStart w:id="105" w:name="_Toc17786"/>
      <w:bookmarkStart w:id="106" w:name="_Toc13366"/>
    </w:p>
    <w:p w14:paraId="20BFAF83">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20756"/>
      <w:bookmarkStart w:id="108" w:name="_Toc17396"/>
      <w:r>
        <w:rPr>
          <w:rFonts w:hint="eastAsia" w:ascii="仿宋" w:hAnsi="仿宋" w:eastAsia="仿宋" w:cs="仿宋"/>
          <w:b/>
          <w:bCs/>
          <w:i w:val="0"/>
          <w:iCs w:val="0"/>
          <w:color w:val="auto"/>
          <w:sz w:val="28"/>
          <w:szCs w:val="28"/>
          <w:highlight w:val="none"/>
          <w:shd w:val="clear" w:color="auto" w:fill="auto"/>
          <w:lang w:val="en-US" w:eastAsia="zh-CN"/>
        </w:rPr>
        <w:t>合同价款</w:t>
      </w:r>
      <w:bookmarkEnd w:id="105"/>
      <w:bookmarkEnd w:id="106"/>
      <w:bookmarkEnd w:id="107"/>
      <w:bookmarkEnd w:id="108"/>
      <w:bookmarkStart w:id="109" w:name="_Toc12707"/>
      <w:bookmarkStart w:id="110" w:name="_Toc4027"/>
      <w:bookmarkStart w:id="111" w:name="_Toc1479"/>
    </w:p>
    <w:p w14:paraId="204D59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包括乙方完成下述工作及应对下述情况的费用、风险的费用，甲方无需另行付费给乙方：</w:t>
      </w:r>
      <w:bookmarkEnd w:id="109"/>
      <w:bookmarkEnd w:id="110"/>
      <w:bookmarkEnd w:id="111"/>
    </w:p>
    <w:p w14:paraId="175D2B9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5ACA4CD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w:t>
      </w:r>
      <w:r>
        <w:rPr>
          <w:rFonts w:hint="eastAsia" w:ascii="仿宋" w:hAnsi="仿宋" w:eastAsia="仿宋" w:cs="仿宋"/>
          <w:b w:val="0"/>
          <w:bCs w:val="0"/>
          <w:i w:val="0"/>
          <w:iCs w:val="0"/>
          <w:color w:val="auto"/>
          <w:sz w:val="28"/>
          <w:szCs w:val="28"/>
          <w:highlight w:val="none"/>
          <w:u w:val="none"/>
          <w:shd w:val="clear" w:color="auto" w:fill="auto"/>
          <w:lang w:val="en-US" w:eastAsia="zh-CN"/>
        </w:rPr>
        <w:t>焊工</w:t>
      </w:r>
      <w:r>
        <w:rPr>
          <w:rFonts w:hint="eastAsia" w:ascii="仿宋" w:hAnsi="仿宋" w:eastAsia="仿宋" w:cs="仿宋"/>
          <w:b w:val="0"/>
          <w:bCs w:val="0"/>
          <w:i w:val="0"/>
          <w:iCs w:val="0"/>
          <w:color w:val="auto"/>
          <w:sz w:val="28"/>
          <w:szCs w:val="28"/>
          <w:highlight w:val="none"/>
          <w:u w:val="none"/>
          <w:shd w:val="clear" w:color="auto" w:fill="auto"/>
          <w:lang w:eastAsia="zh-CN"/>
        </w:rPr>
        <w:t>，且须持证上岗。甲方电工仅对乙方电工进行监督、检查、管理、指导。</w:t>
      </w:r>
    </w:p>
    <w:p w14:paraId="64CA146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w:t>
      </w:r>
      <w:r>
        <w:rPr>
          <w:rFonts w:hint="eastAsia" w:ascii="仿宋" w:hAnsi="仿宋" w:eastAsia="仿宋" w:cs="仿宋"/>
          <w:b w:val="0"/>
          <w:bCs w:val="0"/>
          <w:i w:val="0"/>
          <w:iCs w:val="0"/>
          <w:color w:val="auto"/>
          <w:sz w:val="28"/>
          <w:szCs w:val="28"/>
          <w:highlight w:val="none"/>
          <w:u w:val="none"/>
          <w:shd w:val="clear" w:color="auto" w:fill="auto"/>
          <w:lang w:val="en-US" w:eastAsia="zh-CN"/>
        </w:rPr>
        <w:t>休息日</w:t>
      </w:r>
      <w:r>
        <w:rPr>
          <w:rFonts w:hint="eastAsia" w:ascii="仿宋" w:hAnsi="仿宋" w:eastAsia="仿宋" w:cs="仿宋"/>
          <w:b w:val="0"/>
          <w:bCs w:val="0"/>
          <w:i w:val="0"/>
          <w:iCs w:val="0"/>
          <w:color w:val="auto"/>
          <w:sz w:val="28"/>
          <w:szCs w:val="28"/>
          <w:highlight w:val="none"/>
          <w:u w:val="none"/>
          <w:shd w:val="clear" w:color="auto" w:fill="auto"/>
          <w:lang w:eastAsia="zh-CN"/>
        </w:rPr>
        <w:t>及技术要求或进度计划要求进行赶工、加班。</w:t>
      </w:r>
    </w:p>
    <w:p w14:paraId="6A4C8B7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31AC90B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加的情况</w:t>
      </w:r>
    </w:p>
    <w:p w14:paraId="3037FC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已考虑突发疫情等流行疾病影响因素，乙方不以疫情防控为由要求甲方对合同价格、合同结算办法及工期等合同条款进行调整，防疫措施的一切费用已包含在合同价格内，不另计费。</w:t>
      </w:r>
    </w:p>
    <w:p w14:paraId="74B78E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 xml:space="preserve">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      </w:t>
      </w:r>
    </w:p>
    <w:p w14:paraId="7C1809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5.4乙方报送甲方项目部签名的台班记录单、送货单、对账单等单据所表述的各种违背本合同约定的文字内容均无效，乙方承诺均按本合同执行。</w:t>
      </w:r>
      <w:bookmarkStart w:id="112" w:name="_Toc13078"/>
      <w:bookmarkStart w:id="113" w:name="_Toc17936"/>
    </w:p>
    <w:p w14:paraId="0CACE4CD">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22953"/>
      <w:bookmarkStart w:id="115" w:name="_Toc7624"/>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112"/>
      <w:bookmarkEnd w:id="113"/>
      <w:bookmarkEnd w:id="114"/>
      <w:bookmarkEnd w:id="115"/>
    </w:p>
    <w:p w14:paraId="282D993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w:t>
      </w:r>
    </w:p>
    <w:p w14:paraId="4C3297A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0137545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C6753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6AFF81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7E61FF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2477590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5703700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3E0383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A1D1F0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F63A2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5EBA30C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0FDC74C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21928C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7CD1B6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78BC73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0D1A1D9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69AE9E2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24BF0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1CF932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87663B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59CD2C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4CC9F7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1613EF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6.3.1.10对同一签证内容，甲方与建设单位办理了签证单，而该签证单内容甲方又分给多家施工单位完成的，乙方须提供甲乙双方确认的《签证单分包说明》（格式详见附件）作为乙方结算依据方可结算。</w:t>
      </w:r>
    </w:p>
    <w:p w14:paraId="1864213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2014A77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w:t>
      </w:r>
      <w:r>
        <w:rPr>
          <w:rFonts w:hint="eastAsia" w:ascii="仿宋" w:hAnsi="仿宋" w:eastAsia="仿宋" w:cs="仿宋"/>
          <w:color w:val="auto"/>
          <w:sz w:val="28"/>
          <w:szCs w:val="28"/>
          <w:highlight w:val="none"/>
        </w:rPr>
        <w:t>本合同授权的</w:t>
      </w:r>
      <w:r>
        <w:rPr>
          <w:rFonts w:hint="eastAsia" w:ascii="仿宋" w:hAnsi="仿宋" w:eastAsia="仿宋" w:cs="仿宋"/>
          <w:color w:val="auto"/>
          <w:sz w:val="28"/>
          <w:szCs w:val="28"/>
          <w:highlight w:val="none"/>
          <w:lang w:val="en-US" w:eastAsia="zh-CN"/>
        </w:rPr>
        <w:t>甲方项目经理签名并加盖甲方项目章方为有效签证，否则甲方不予办理结算。</w:t>
      </w:r>
    </w:p>
    <w:p w14:paraId="764697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项目经理委托/授权他人代签均为无效签证，甲方不予办理付款及结算。任何人的口头指示、通知、电话通知、微信通知不作为结算依据。未经甲方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3CC0953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3BEB507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546802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35C71E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3AB3A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4B999D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42B8AD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9425C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6.3.3.3零星施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  </w:t>
      </w:r>
    </w:p>
    <w:p w14:paraId="4D28BB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6.3.3.4零星施工签证要求及申报程序按照本章第6.3条执行。</w:t>
      </w:r>
    </w:p>
    <w:p w14:paraId="037161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63CD21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01CCD8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A849C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分项工程/认质认价申报审批表、工程结算书、签证预算书、变更单、签证联系函及签证单、照片及相关图纸、记录文件、竣工图或竣工图移交清单（如有）、竣工图承诺书（如有）等；④乙方递交结算资料的前提是，甲方已有建设单位签字的完整版竣工图，否则甲方有权不接收结算资料且不办理结算；⑤递交结算资料须按《结算申请表》《工程结算资料审查表》要求填写。</w:t>
      </w:r>
    </w:p>
    <w:p w14:paraId="6220D5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6BF89FF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7E876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予甲方的优惠，乙方自愿放弃主张该事项的权利和相关费用。</w:t>
      </w:r>
    </w:p>
    <w:p w14:paraId="1B06A6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638197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13EAD7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支付违约金，甲方可在任意与乙方相关的合同款中扣取违约金。</w:t>
      </w:r>
    </w:p>
    <w:p w14:paraId="2994D2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bookmarkStart w:id="116" w:name="_Toc31711"/>
      <w:bookmarkStart w:id="117" w:name="_Toc5229"/>
      <w:bookmarkStart w:id="118" w:name="_Toc15975"/>
      <w:bookmarkStart w:id="119" w:name="_Toc30160"/>
      <w:bookmarkStart w:id="120" w:name="_Toc12061"/>
      <w:bookmarkStart w:id="121" w:name="_Toc17329"/>
    </w:p>
    <w:p w14:paraId="648278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6.15本工程甲供材损耗率按本合同相关条款执行。</w:t>
      </w:r>
      <w:bookmarkEnd w:id="116"/>
      <w:bookmarkEnd w:id="117"/>
      <w:bookmarkEnd w:id="118"/>
      <w:bookmarkEnd w:id="119"/>
      <w:bookmarkEnd w:id="120"/>
      <w:bookmarkEnd w:id="121"/>
    </w:p>
    <w:p w14:paraId="3EED2F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37786C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乙方承诺按甲方要求编绘竣工图并按甲方要求提报甲方，承诺竣工图内容与现场实际完全相符。如乙方存在合同内未施工的清单分项、图纸内容或竣工图内容或工程量大于现场实际的情形或虚报等弄虚作假行为，其金额超过甲乙双方最终确认结算价10%及以上的，乙方同意赔偿甲方因此遭受的全部损失并按虚报工程量对应金额的20%承担违约金，违约金在结算时扣除。违约金金额与本合同其他条款约定的金额不一致时，按违约金金额高的标准执行。</w:t>
      </w:r>
      <w:bookmarkStart w:id="122" w:name="_Toc11671"/>
      <w:bookmarkStart w:id="123" w:name="_Toc4997"/>
    </w:p>
    <w:p w14:paraId="0313B44E">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4" w:name="_Toc25821"/>
      <w:bookmarkStart w:id="125" w:name="_Toc18935"/>
      <w:r>
        <w:rPr>
          <w:rFonts w:hint="eastAsia" w:ascii="仿宋" w:hAnsi="仿宋" w:eastAsia="仿宋" w:cs="仿宋"/>
          <w:b/>
          <w:bCs/>
          <w:i w:val="0"/>
          <w:iCs w:val="0"/>
          <w:color w:val="auto"/>
          <w:sz w:val="28"/>
          <w:szCs w:val="28"/>
          <w:highlight w:val="none"/>
          <w:shd w:val="clear" w:color="auto" w:fill="auto"/>
          <w:lang w:val="en-US" w:eastAsia="zh-CN"/>
        </w:rPr>
        <w:t>付款方式</w:t>
      </w:r>
      <w:bookmarkEnd w:id="122"/>
      <w:bookmarkEnd w:id="123"/>
      <w:bookmarkEnd w:id="124"/>
      <w:bookmarkEnd w:id="125"/>
    </w:p>
    <w:p w14:paraId="642D7DD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2445E7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2CCC1F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7.2未达合同进度款支付节点所支付的工人工资约定如下：①应发＞5000元，暂发5000元；②应发≤5000元，暂发80%；③剩余工资于节点/完工时按合同约定付款方式处理；④每月发的工人工资总数不能超过其当月完成产值的60%，按照无息预支付工程款方式以进度款流程申请办理；⑤甲方有权对该款追偿或在下一次合同款中直接扣除。若乙方当次申请的、达到付款条件的合同款金额支付当次待付工人工资后尚有余额，甲方有权根据乙方现场工人情况预留款项，预留款项由甲方用于保障通过工人工资户代发乙方工人工资，甲方预留款项的行为不视为逾期付款，乙方不得以任何理由认定甲方违约。预留款项后仍有余额的，余额由甲方直接支付至乙方账户。</w:t>
      </w:r>
    </w:p>
    <w:p w14:paraId="143273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方每次付款给乙方前，乙方向甲方付清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6E358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7.4付款形式：优先使用网银、银行承兑汇票等，支票、电汇视情况而定。甲方选择其中任意一种支付形式给乙方合同款，均视为乙方收到该合同款。</w:t>
      </w:r>
    </w:p>
    <w:p w14:paraId="7902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4BB6F8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7.6乙方每次向甲方请款时，按甲方要求注明该次请款所含的每个组团、每个地块、每栋楼具体金额，否则甲方有权不付款且不违约。</w:t>
      </w:r>
    </w:p>
    <w:p w14:paraId="2FF35A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32A46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7.8如甲乙双方对应付款金额、结算金额产生争议，甲方有权暂不付款且不违约，甲方无需向乙方支付违约金或利息，直至双方达成一致意见后方可按甲方相应流程办理付款手续。</w:t>
      </w:r>
    </w:p>
    <w:p w14:paraId="1DADFD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63EC10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7.10乙方必须按税法规定的四流合一执行合同，即合同流、货物流、发票流、资金流一致，否则视为乙方违约，且由乙方承担所有责任及损失，直至满足四流合一后，甲方才可付款。</w:t>
      </w:r>
    </w:p>
    <w:p w14:paraId="5D054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7.11凡是乙方在本项目工作的人员，如未在本项目实名制登记备案、打卡，甲方不计发该人员在工人工资专用账户的工资，由乙方自行解决，由此所导致的一切后果和全部责任由乙方承担。</w:t>
      </w:r>
    </w:p>
    <w:p w14:paraId="3EE98A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7.12如乙方申报了乙方不在本项目工作人员的工人工资，属于乙方违约，由此所导致的一切后果和全部责任均由乙方承担，同时甲方对乙方此违约行为按1000元/人/次收取违约金。</w:t>
      </w:r>
    </w:p>
    <w:p w14:paraId="555A9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7.13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bookmarkStart w:id="126" w:name="_Toc9906"/>
      <w:bookmarkStart w:id="127" w:name="_Toc17862"/>
    </w:p>
    <w:p w14:paraId="7258911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8" w:name="_Toc15834"/>
      <w:bookmarkStart w:id="129" w:name="_Toc22680"/>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126"/>
      <w:bookmarkEnd w:id="127"/>
      <w:bookmarkEnd w:id="128"/>
      <w:bookmarkEnd w:id="129"/>
    </w:p>
    <w:p w14:paraId="7DEBD2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30" w:name="_Toc7257"/>
      <w:bookmarkStart w:id="131"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30"/>
      <w:bookmarkEnd w:id="131"/>
    </w:p>
    <w:p w14:paraId="061DE7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9F99D4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A74EB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3DD3D2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644F4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8.1.5为乙方员工办理人脸识别进场资料（如需）。</w:t>
      </w:r>
    </w:p>
    <w:p w14:paraId="3F2577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068CC6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20357D4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090426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5CEE15D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金额并自甲方垫付之日起按</w:t>
      </w:r>
      <w:r>
        <w:rPr>
          <w:rFonts w:hint="eastAsia" w:ascii="仿宋" w:hAnsi="仿宋" w:eastAsia="仿宋" w:cs="仿宋"/>
          <w:b w:val="0"/>
          <w:bCs w:val="0"/>
          <w:i w:val="0"/>
          <w:iCs w:val="0"/>
          <w:color w:val="auto"/>
          <w:sz w:val="28"/>
          <w:szCs w:val="28"/>
          <w:highlight w:val="none"/>
          <w:lang w:val="en-US" w:eastAsia="zh-CN"/>
        </w:rPr>
        <w:t>一年期贷款市场报价</w:t>
      </w:r>
      <w:r>
        <w:rPr>
          <w:rFonts w:hint="default" w:ascii="仿宋" w:hAnsi="仿宋" w:eastAsia="仿宋" w:cs="仿宋"/>
          <w:b w:val="0"/>
          <w:bCs w:val="0"/>
          <w:i w:val="0"/>
          <w:iCs w:val="0"/>
          <w:color w:val="auto"/>
          <w:sz w:val="28"/>
          <w:szCs w:val="28"/>
          <w:highlight w:val="none"/>
          <w:lang w:val="en-US" w:eastAsia="zh-CN"/>
        </w:rPr>
        <w:t>利率</w:t>
      </w:r>
      <w:r>
        <w:rPr>
          <w:rFonts w:hint="eastAsia" w:ascii="仿宋" w:hAnsi="仿宋" w:eastAsia="仿宋" w:cs="仿宋"/>
          <w:b w:val="0"/>
          <w:bCs w:val="0"/>
          <w:i w:val="0"/>
          <w:iCs w:val="0"/>
          <w:color w:val="auto"/>
          <w:sz w:val="28"/>
          <w:szCs w:val="28"/>
          <w:highlight w:val="none"/>
          <w:lang w:val="en-US" w:eastAsia="zh-CN"/>
        </w:rPr>
        <w:t>（LPR）</w:t>
      </w:r>
      <w:r>
        <w:rPr>
          <w:rFonts w:hint="eastAsia" w:ascii="仿宋" w:hAnsi="仿宋" w:eastAsia="仿宋" w:cs="仿宋"/>
          <w:b w:val="0"/>
          <w:bCs w:val="0"/>
          <w:i w:val="0"/>
          <w:iCs w:val="0"/>
          <w:color w:val="auto"/>
          <w:sz w:val="28"/>
          <w:szCs w:val="28"/>
          <w:highlight w:val="none"/>
          <w:shd w:val="clear" w:color="auto" w:fill="auto"/>
          <w:lang w:val="en-US" w:eastAsia="zh-CN"/>
        </w:rPr>
        <w:t>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23DF1A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2F21EF3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52A95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凡甲方认为会影响本工程质量或可能导致安全事故的乙方自备材料、机具等，乙方不得用于本项目，否则乙方无条件更换且每次向甲方支付违约金壹万元及不延长工期。</w:t>
      </w:r>
    </w:p>
    <w:p w14:paraId="1DC340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BA85E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63E5D4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1101B02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7969A3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3377DC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bookmarkStart w:id="132" w:name="_Toc31817"/>
      <w:bookmarkStart w:id="133" w:name="_Toc3364"/>
    </w:p>
    <w:p w14:paraId="6D8A0E1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132"/>
      <w:bookmarkEnd w:id="133"/>
    </w:p>
    <w:p w14:paraId="415F81B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68E7186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782243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8.2.3乙方须遵守安全生产、文明施工法规。乙方违规操作发生的安全或质量事故所造成的甲方损失均由乙方赔偿甲方。</w:t>
      </w:r>
    </w:p>
    <w:p w14:paraId="667AA3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8.2.4乙方在施工过程中乙方指定专人认真做好施工记录，工程竣工后须及时将资料整理完整，移交甲方资料员。</w:t>
      </w:r>
    </w:p>
    <w:p w14:paraId="11CA32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299FC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7BD447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8.2.7乙方对完成的每一道工序及时、认真进行自检，自检合格后提请甲方验收。对甲方提出的问题按甲方要求彻底整改，每延误一天完成整改的，向甲方支付违约金壹仟元。</w:t>
      </w:r>
    </w:p>
    <w:p w14:paraId="54F22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5124AC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做实名登记和打卡的人员，甲方不予发放其工资，产生的不良后果和责任由乙方承担。</w:t>
      </w:r>
    </w:p>
    <w:p w14:paraId="4E8C79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2F1C0C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进行实名登记，否则甲方有权按逾期天数认定乙方延迟开工并计收违约金。乙方与进场人员签订了劳动合同而未提供在花名册内或未提供该人员身份证复印件及联系电话的，该人员不得进入施工现场，如有发现，乙方向甲方支付违约金贰仟元/人/次且甲方不发放该人员的工资。乙方人员如有变更，乙方须在变更之日起3天内补充新进人员身份证复印件及联系电话、乙方与进场人员签订的劳动合同给甲方，同时提供更新的花名册。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2D0072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7C0E59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中，不另计价。</w:t>
      </w:r>
    </w:p>
    <w:p w14:paraId="640E69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991C6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合同单价中，甲方无需另行计费给乙方。</w:t>
      </w:r>
    </w:p>
    <w:p w14:paraId="74C8EF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6DE85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67C19D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31D782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6B85A5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1A351E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6B935D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BB6804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支付违约金伍仟元。 </w:t>
      </w:r>
    </w:p>
    <w:p w14:paraId="03095FA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8.2.23除不可抗力及非乙方原因外，乙方确保本工程的质量和进度一次性达到合同要求，否则造成的损失由乙方承担且每次向甲方支付违约金壹万元。</w:t>
      </w:r>
    </w:p>
    <w:p w14:paraId="6E9EE0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已包含处理现场各种因素导致的多次进退场、怠工、误工等不能正常开工情形的费用，甲方无需另行计费给乙方。</w:t>
      </w:r>
    </w:p>
    <w:p w14:paraId="0D571B6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3C10FB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7AF906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131B1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5F46EF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8C65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8.2.30乙方人员（包括乙方家属、朋友等人员）发生的所有安全事故均与甲方无关，甲方不承担任何责任和费用，一切责任和费用均由乙方承担。</w:t>
      </w:r>
    </w:p>
    <w:p w14:paraId="318BB3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84E9B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8.2.32乙方与第三人签订的劳动、租赁、买卖等一切合同，与甲方无关。乙方在履约产生的与第三方的一切债务，由乙方自行全责处理并承担责任。</w:t>
      </w:r>
    </w:p>
    <w:p w14:paraId="569C5BA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8.2.33乙方与第三方发生的任何经济往来、债务纠纷均与甲方无关。乙方保证所供材料无权属上的瑕疵也无知识产权的争议，若因此对甲方造成损失，由乙方全责赔偿甲方。</w:t>
      </w:r>
    </w:p>
    <w:p w14:paraId="269B727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8.2.34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6BF70A3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default"/>
          <w:lang w:val="en-US" w:eastAsia="zh-CN"/>
        </w:rPr>
      </w:pPr>
      <w:r>
        <w:rPr>
          <w:rFonts w:hint="eastAsia" w:ascii="仿宋" w:hAnsi="仿宋" w:eastAsia="仿宋" w:cs="仿宋"/>
          <w:i w:val="0"/>
          <w:iCs w:val="0"/>
          <w:color w:val="auto"/>
          <w:sz w:val="28"/>
          <w:szCs w:val="28"/>
          <w:highlight w:val="none"/>
          <w:shd w:val="clear" w:color="auto" w:fill="auto"/>
          <w:lang w:val="en-US" w:eastAsia="zh-CN"/>
        </w:rPr>
        <w:t>8.2.35</w:t>
      </w:r>
      <w:bookmarkStart w:id="134" w:name="_Toc28266"/>
      <w:bookmarkStart w:id="135" w:name="_Toc22397"/>
      <w:bookmarkStart w:id="136" w:name="_Toc11160"/>
      <w:bookmarkStart w:id="137" w:name="_Toc807"/>
      <w:r>
        <w:rPr>
          <w:rFonts w:hint="eastAsia" w:ascii="仿宋_GB2312" w:hAnsi="仿宋_GB2312" w:eastAsia="仿宋_GB2312" w:cs="仿宋_GB2312"/>
          <w:i w:val="0"/>
          <w:iCs w:val="0"/>
          <w:color w:val="auto"/>
          <w:sz w:val="28"/>
          <w:szCs w:val="28"/>
          <w:highlight w:val="none"/>
          <w:shd w:val="clear" w:color="auto" w:fill="auto"/>
          <w:lang w:val="en-US" w:eastAsia="zh-CN"/>
        </w:rPr>
        <w:t>乙方须严格遵守国家及地方关于安全生产与文明施工的法律法规、规章及强制性标准，并严格执行住建主管部门的相关规定，在施工现场配置专职安全员</w:t>
      </w:r>
      <w:r>
        <w:rPr>
          <w:rFonts w:hint="eastAsia" w:ascii="仿宋_GB2312" w:hAnsi="仿宋_GB2312" w:eastAsia="仿宋_GB2312" w:cs="仿宋_GB2312"/>
          <w:b/>
          <w:bCs/>
          <w:i w:val="0"/>
          <w:iCs w:val="0"/>
          <w:color w:val="auto"/>
          <w:sz w:val="28"/>
          <w:szCs w:val="28"/>
          <w:highlight w:val="none"/>
          <w:shd w:val="clear" w:color="auto" w:fill="auto"/>
          <w:lang w:val="en-US" w:eastAsia="zh-CN"/>
        </w:rPr>
        <w:t>配备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1</w:t>
      </w:r>
      <w:r>
        <w:rPr>
          <w:rFonts w:hint="eastAsia" w:ascii="仿宋_GB2312" w:hAnsi="仿宋_GB2312" w:eastAsia="仿宋_GB2312" w:cs="仿宋_GB2312"/>
          <w:b/>
          <w:bCs/>
          <w:i w:val="0"/>
          <w:iCs w:val="0"/>
          <w:color w:val="auto"/>
          <w:sz w:val="28"/>
          <w:szCs w:val="28"/>
          <w:highlight w:val="none"/>
          <w:shd w:val="clear" w:color="auto" w:fill="auto"/>
          <w:lang w:val="en-US" w:eastAsia="zh-CN"/>
        </w:rPr>
        <w:t>名</w:t>
      </w:r>
      <w:r>
        <w:rPr>
          <w:rFonts w:hint="eastAsia" w:ascii="仿宋_GB2312" w:hAnsi="仿宋_GB2312" w:eastAsia="仿宋_GB2312" w:cs="仿宋_GB2312"/>
          <w:i w:val="0"/>
          <w:iCs w:val="0"/>
          <w:color w:val="auto"/>
          <w:sz w:val="28"/>
          <w:szCs w:val="28"/>
          <w:highlight w:val="none"/>
          <w:shd w:val="clear" w:color="auto" w:fill="auto"/>
          <w:lang w:val="en-US" w:eastAsia="zh-CN"/>
        </w:rPr>
        <w:t>，负责承包范围内工程的安全文明施工全面管理。因乙方原因（包括但不限于其自身过错、违规作业、安全管理不善或措施不力等）导致的任何生产安全事故，由此产生的全部责任及所有经济损失（包括对第三方的人身伤害和财产损失赔偿、政府罚款、事故处理费用等）均由乙方全额承担。此外，若发生此类事故并造成损失，除承担上述全部赔偿和损失外，乙方还须向甲方支付违约金，其金额为事故造成的所有赔偿总额及所有直接、间接经济损失总金额的30%。此违约金是甲方因乙方违约行为所遭受的管理成本增加、声誉损失等的补偿，并不免除乙方继续承担事故本身责任和妥善处理善后事宜的义务，给甲方造成的所有损失和乙方违约金，甲方可以在乙方的任意款项中一次性扣回，不足的由乙方按照甲方要求时间内支付给甲方。</w:t>
      </w:r>
    </w:p>
    <w:p w14:paraId="24322A46">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8" w:name="_Toc28885"/>
      <w:bookmarkStart w:id="139" w:name="_Toc18577"/>
      <w:r>
        <w:rPr>
          <w:rFonts w:hint="eastAsia" w:ascii="仿宋" w:hAnsi="仿宋" w:eastAsia="仿宋" w:cs="仿宋"/>
          <w:b/>
          <w:bCs/>
          <w:i w:val="0"/>
          <w:iCs w:val="0"/>
          <w:color w:val="auto"/>
          <w:sz w:val="28"/>
          <w:szCs w:val="28"/>
          <w:highlight w:val="none"/>
          <w:shd w:val="clear" w:color="auto" w:fill="auto"/>
          <w:lang w:val="en-US" w:eastAsia="zh-CN"/>
        </w:rPr>
        <w:t>安全生产、文明施工要求</w:t>
      </w:r>
      <w:bookmarkEnd w:id="134"/>
      <w:bookmarkEnd w:id="135"/>
      <w:bookmarkEnd w:id="136"/>
      <w:bookmarkEnd w:id="137"/>
      <w:bookmarkEnd w:id="138"/>
      <w:bookmarkEnd w:id="139"/>
    </w:p>
    <w:p w14:paraId="1BC15FB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40" w:name="_Toc5758"/>
      <w:bookmarkStart w:id="141" w:name="_Toc27493"/>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140"/>
      <w:bookmarkEnd w:id="141"/>
    </w:p>
    <w:p w14:paraId="5C55133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28C8CA1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按最新版执行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eastAsia"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4D3AFB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bookmarkStart w:id="142" w:name="_Toc7882"/>
      <w:bookmarkStart w:id="143" w:name="_Toc18465"/>
    </w:p>
    <w:p w14:paraId="2518C2E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9.5其他事项：</w:t>
      </w:r>
      <w:bookmarkEnd w:id="142"/>
      <w:bookmarkEnd w:id="143"/>
    </w:p>
    <w:p w14:paraId="6D78AE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594E384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7CB0A2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1ADC945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4491508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4" w:name="_Toc29572"/>
      <w:bookmarkStart w:id="145" w:name="_Toc22606"/>
      <w:bookmarkStart w:id="146" w:name="_Toc12086"/>
      <w:bookmarkStart w:id="147" w:name="_Toc17980"/>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144"/>
      <w:bookmarkEnd w:id="145"/>
      <w:bookmarkEnd w:id="146"/>
      <w:bookmarkEnd w:id="147"/>
    </w:p>
    <w:p w14:paraId="1894319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389C3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2255E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10.3本工程竣工之日起10个日历天内，乙方须到甲方仓库完成甲供材料和机具的退还手续，每延迟一日，向甲方支付违约金人民币伍佰元，且甲方有权不办理结算直至全部退还为止。</w:t>
      </w:r>
    </w:p>
    <w:p w14:paraId="62EED1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支付违约金伍佰元且不得要求延长工期。</w:t>
      </w:r>
    </w:p>
    <w:p w14:paraId="0102C8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03081D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58A0BC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566209C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10.8劳保用品配置标准具体实施及费用收取标准、办法。</w:t>
      </w:r>
    </w:p>
    <w:p w14:paraId="052C93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10.8.1本工程配置黄色的安全帽、荧光黄色的反光背心，款式按甲方颁布的《劳保用品配置标准及司旗款式》（V2022）制度执行。</w:t>
      </w:r>
    </w:p>
    <w:p w14:paraId="1ECA8B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10.8.2甲方提供安全帽20元/顶、反光背心15元/件，按乙方实际领取数量的对应金额在结算时进行扣除。</w:t>
      </w:r>
    </w:p>
    <w:p w14:paraId="52015AD7">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8" w:name="_Toc30878"/>
      <w:bookmarkStart w:id="149" w:name="_Toc22578"/>
      <w:bookmarkStart w:id="150" w:name="_Toc16629"/>
      <w:bookmarkStart w:id="151" w:name="_Toc28272"/>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148"/>
      <w:bookmarkEnd w:id="149"/>
      <w:bookmarkEnd w:id="150"/>
      <w:bookmarkEnd w:id="151"/>
    </w:p>
    <w:p w14:paraId="4E071B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本工程如因乙方原因出现质量问题，乙方须在接到甲方通知起48小时内派人到达现场处理解决，否则甲方有权自行或委托第三方处理，乙方承担相关费用、责任并向甲方支付违约金壹仟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r>
        <w:rPr>
          <w:rFonts w:hint="eastAsia" w:ascii="仿宋" w:hAnsi="仿宋" w:eastAsia="仿宋" w:cs="仿宋"/>
          <w:i w:val="0"/>
          <w:iCs w:val="0"/>
          <w:color w:val="auto"/>
          <w:sz w:val="28"/>
          <w:szCs w:val="28"/>
          <w:highlight w:val="none"/>
          <w:u w:val="none"/>
          <w:shd w:val="clear" w:color="auto" w:fill="auto"/>
        </w:rPr>
        <w:t>。</w:t>
      </w:r>
    </w:p>
    <w:p w14:paraId="35DE724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维修</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期自维修工作完成</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验收合格之日起</w:t>
      </w:r>
      <w:r>
        <w:rPr>
          <w:rFonts w:hint="eastAsia" w:ascii="仿宋" w:hAnsi="仿宋" w:eastAsia="仿宋" w:cs="仿宋"/>
          <w:i w:val="0"/>
          <w:iCs w:val="0"/>
          <w:color w:val="auto"/>
          <w:sz w:val="28"/>
          <w:szCs w:val="28"/>
          <w:highlight w:val="none"/>
          <w:shd w:val="clear" w:color="auto" w:fill="auto"/>
          <w:lang w:val="en-US" w:eastAsia="zh-CN"/>
        </w:rPr>
        <w:t>按维修时间</w:t>
      </w:r>
      <w:r>
        <w:rPr>
          <w:rFonts w:hint="eastAsia" w:ascii="仿宋" w:hAnsi="仿宋" w:eastAsia="仿宋" w:cs="仿宋"/>
          <w:i w:val="0"/>
          <w:iCs w:val="0"/>
          <w:color w:val="auto"/>
          <w:sz w:val="28"/>
          <w:szCs w:val="28"/>
          <w:highlight w:val="none"/>
          <w:shd w:val="clear" w:color="auto" w:fill="auto"/>
        </w:rPr>
        <w:t>顺延。</w:t>
      </w:r>
    </w:p>
    <w:p w14:paraId="79D497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，若出现质量问题需要鉴定，相关费用由乙方负责。</w:t>
      </w:r>
    </w:p>
    <w:p w14:paraId="4455E2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如有）支付凭证，若验收不通过，由乙方整改后另行验收，相关费用由乙方负责。本工程整改两次才通过整改验收的，则保修期按乙方整改天数顺延，整改三次及以上才整改验收合格的，保修期顺延一年。 </w:t>
      </w:r>
    </w:p>
    <w:p w14:paraId="0730E18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2" w:name="_Toc14119"/>
      <w:bookmarkStart w:id="153" w:name="_Toc3973"/>
      <w:bookmarkStart w:id="154" w:name="_Toc6473"/>
      <w:bookmarkStart w:id="155" w:name="_Toc4352"/>
      <w:bookmarkStart w:id="156" w:name="_Toc19977"/>
      <w:bookmarkStart w:id="157" w:name="_Toc1279"/>
      <w:bookmarkStart w:id="158" w:name="_Toc454"/>
      <w:r>
        <w:rPr>
          <w:rFonts w:hint="eastAsia" w:ascii="仿宋" w:hAnsi="仿宋" w:eastAsia="仿宋" w:cs="仿宋"/>
          <w:b/>
          <w:bCs/>
          <w:i w:val="0"/>
          <w:iCs w:val="0"/>
          <w:color w:val="auto"/>
          <w:sz w:val="28"/>
          <w:szCs w:val="28"/>
          <w:highlight w:val="none"/>
          <w:shd w:val="clear" w:color="auto" w:fill="auto"/>
          <w:lang w:val="en-US" w:eastAsia="zh-CN"/>
        </w:rPr>
        <w:t>保险</w:t>
      </w:r>
      <w:bookmarkEnd w:id="152"/>
      <w:bookmarkEnd w:id="153"/>
      <w:bookmarkEnd w:id="154"/>
      <w:bookmarkEnd w:id="155"/>
      <w:bookmarkEnd w:id="156"/>
      <w:bookmarkEnd w:id="157"/>
      <w:bookmarkEnd w:id="158"/>
    </w:p>
    <w:p w14:paraId="5D0D3E0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15FE7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合同总价中，甲方不承担任何责任和费用。</w:t>
      </w:r>
    </w:p>
    <w:p w14:paraId="592855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合同总价中无需甲方另行支付给乙方。因各种原因导致乙方需要延长保险期所需增加的保险费由乙方自行承担，其费用已包含在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合同总价内。乙方人员或因乙方原因造成任何事故（包括第三方人员在内）导致的损失、赔偿、补偿等责任和费用由乙方承担。</w:t>
      </w:r>
    </w:p>
    <w:p w14:paraId="37258B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0924C78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 xml:space="preserve">合同总价中甲方无需另行支付给乙方。乙方须自保险合同生效之日起5个日历天内将保险合同复印件（加盖乙方公章）提交甲方项目部留存。  </w:t>
      </w:r>
    </w:p>
    <w:p w14:paraId="7C7E51A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D91936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9" w:name="_Toc7926"/>
      <w:bookmarkStart w:id="160" w:name="_Toc9446"/>
      <w:bookmarkStart w:id="161" w:name="_Toc12559"/>
      <w:bookmarkStart w:id="162" w:name="_Toc30819"/>
      <w:bookmarkStart w:id="163" w:name="_Toc26050"/>
      <w:bookmarkStart w:id="164" w:name="_Toc15560"/>
      <w:bookmarkStart w:id="165" w:name="_Toc14823"/>
      <w:bookmarkStart w:id="166" w:name="_Toc20713"/>
      <w:bookmarkStart w:id="167" w:name="_Toc14887"/>
      <w:bookmarkStart w:id="168" w:name="_Toc14780"/>
      <w:r>
        <w:rPr>
          <w:rFonts w:hint="eastAsia" w:ascii="仿宋" w:hAnsi="仿宋" w:eastAsia="仿宋" w:cs="仿宋"/>
          <w:b/>
          <w:bCs/>
          <w:i w:val="0"/>
          <w:iCs w:val="0"/>
          <w:color w:val="auto"/>
          <w:sz w:val="28"/>
          <w:szCs w:val="28"/>
          <w:highlight w:val="none"/>
          <w:shd w:val="clear" w:color="auto" w:fill="auto"/>
          <w:lang w:val="en-US" w:eastAsia="zh-CN"/>
        </w:rPr>
        <w:t>奖罚条款</w:t>
      </w:r>
      <w:bookmarkEnd w:id="159"/>
      <w:bookmarkEnd w:id="160"/>
      <w:bookmarkEnd w:id="161"/>
      <w:bookmarkEnd w:id="162"/>
      <w:bookmarkEnd w:id="163"/>
      <w:bookmarkEnd w:id="164"/>
      <w:bookmarkEnd w:id="165"/>
      <w:bookmarkEnd w:id="166"/>
      <w:bookmarkEnd w:id="167"/>
      <w:bookmarkEnd w:id="168"/>
    </w:p>
    <w:p w14:paraId="1FA7689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69" w:name="_Toc31201"/>
      <w:bookmarkStart w:id="170"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69"/>
      <w:bookmarkEnd w:id="170"/>
    </w:p>
    <w:p w14:paraId="57F30A7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8A204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4C4F9AE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225AC7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7A78AA3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64A769C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bookmarkStart w:id="171" w:name="_Toc5991"/>
      <w:bookmarkStart w:id="172" w:name="_Toc14079"/>
    </w:p>
    <w:p w14:paraId="17C524E6">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13.2惩罚</w:t>
      </w:r>
      <w:bookmarkEnd w:id="171"/>
      <w:bookmarkEnd w:id="172"/>
    </w:p>
    <w:p w14:paraId="01C3D47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58C9FA7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552B73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2B3780F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0C32B24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6B8B565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28AFA9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50874C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2575A1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1321383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13.2.4乙方或其人员有下列情况之一的，造成甲方损失的由乙方全额赔偿甲方，同时甲方有权对乙方采取每人或每次收取违约金壹佰元至叁万元的措施：  </w:t>
      </w:r>
    </w:p>
    <w:p w14:paraId="137AB28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2737CE1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7CC7B86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15B3A6C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2124A10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5B83B8E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13B2BE2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CD70DC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77408A3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0CD498AF">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firstLine="0" w:firstLine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13.2.4.10收留、聘用未成年人；（同时驱逐未成年人离开本项目）</w:t>
      </w:r>
    </w:p>
    <w:p w14:paraId="08CF8C02">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613A331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7B73FAF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6E4817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7C97EAC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FEF918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FB07D9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4CE879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395D2FB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13.2.5.7宿舍卫生不合格；</w:t>
      </w:r>
    </w:p>
    <w:p w14:paraId="3DCDF01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73" w:name="_Toc28593"/>
      <w:bookmarkStart w:id="174" w:name="_Toc6486"/>
      <w:bookmarkStart w:id="175" w:name="_Toc16635"/>
    </w:p>
    <w:p w14:paraId="09221E5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4CAA1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有效期内，乙方无条件执行甲方与建设单位签订的《江苏溢丰华创环保科技有限公司施工现场管理办法》，因乙方原因导致建设单位或其他部门对甲方进行处罚扣款的，乙方按该处罚金额的2倍向甲方支付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2ADAEA2A">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76" w:name="_Toc32165"/>
      <w:bookmarkStart w:id="177" w:name="_Toc27799"/>
      <w:bookmarkStart w:id="178" w:name="_Toc16465"/>
      <w:bookmarkStart w:id="179" w:name="_Toc21006"/>
      <w:bookmarkStart w:id="180" w:name="_Toc30520"/>
      <w:bookmarkStart w:id="181" w:name="_Toc7591"/>
      <w:bookmarkStart w:id="182" w:name="_Toc8716"/>
      <w:r>
        <w:rPr>
          <w:rFonts w:hint="eastAsia" w:ascii="仿宋" w:hAnsi="仿宋" w:eastAsia="仿宋" w:cs="仿宋"/>
          <w:b/>
          <w:bCs/>
          <w:i w:val="0"/>
          <w:iCs w:val="0"/>
          <w:color w:val="auto"/>
          <w:sz w:val="28"/>
          <w:szCs w:val="28"/>
          <w:highlight w:val="none"/>
          <w:shd w:val="clear" w:color="auto" w:fill="auto"/>
          <w:lang w:val="en-US" w:eastAsia="zh-CN"/>
        </w:rPr>
        <w:t>违约条款</w:t>
      </w:r>
      <w:bookmarkEnd w:id="173"/>
      <w:bookmarkEnd w:id="174"/>
      <w:bookmarkEnd w:id="175"/>
      <w:bookmarkEnd w:id="176"/>
      <w:bookmarkEnd w:id="177"/>
      <w:bookmarkEnd w:id="178"/>
      <w:bookmarkEnd w:id="179"/>
      <w:bookmarkEnd w:id="180"/>
      <w:bookmarkEnd w:id="181"/>
      <w:bookmarkEnd w:id="182"/>
    </w:p>
    <w:p w14:paraId="68A7FD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支付违约金人民币伍仟元，延迟超过三个日历天的，甲方有权单方解除合同，已完工工程无偿归甲方，甲方有权委托其他单位继续完成本工程；乙方同时按</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的20%支付违约金并按甲方要求准时退场，每延迟一个日历天退场，乙方向甲方另行支付违约金人民币伍仟元，甲方的损失（包括但不限于因逾期而使得甲方需对建设单位承担的违约责任、损失赔偿责任等）由乙方赔偿。</w:t>
      </w:r>
    </w:p>
    <w:p w14:paraId="6B41633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并赔偿甲方损失（包括但不限于因逾期完工而使得甲方需对建设单位承担的违约责任、损失赔偿责任等），同时甲方有权：①单方解除合同并要求乙方期限内无条件撤场，乙方赔偿甲方全部损失，乙方向甲方支付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20%的违约金；②另行委托其他单位对本工程进行返修，乙方须无条件接受并配合，由此产生的一切费用乙方承担。</w:t>
      </w:r>
    </w:p>
    <w:p w14:paraId="6E44691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人民币伍仟元/次的违约金，如果甲方被政府部门或建设单位处分而需承担违约、赔偿责任或费用的，则由乙方全部承担，同时甲方保留对乙方追偿的权利。</w:t>
      </w:r>
    </w:p>
    <w:p w14:paraId="78E884E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14.4合同有效期内，因乙方原因造成甲方或本工程或本项目被政府部门停工、整改导致扣分的，乙方按贰万元/分向甲方支付违约金（甲方可从任意合同款中扣款）。</w:t>
      </w:r>
    </w:p>
    <w:p w14:paraId="17C4465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14.5乙方及其人员、供应商不得以任何理由去政府部门上访、投诉、静坐。不得去建设单位静坐、围堵，否则视情节轻重由乙方向甲方支付违约金壹万至壹拾万元/次。</w:t>
      </w:r>
    </w:p>
    <w:p w14:paraId="32EE966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向甲方支付违约金</w:t>
      </w:r>
      <w:r>
        <w:rPr>
          <w:rFonts w:hint="eastAsia" w:ascii="仿宋" w:hAnsi="仿宋" w:eastAsia="仿宋" w:cs="仿宋"/>
          <w:b w:val="0"/>
          <w:bCs w:val="0"/>
          <w:i w:val="0"/>
          <w:iCs w:val="0"/>
          <w:color w:val="auto"/>
          <w:sz w:val="28"/>
          <w:szCs w:val="28"/>
          <w:highlight w:val="none"/>
          <w:shd w:val="clear" w:color="auto" w:fill="auto"/>
          <w:lang w:eastAsia="zh-CN"/>
        </w:rPr>
        <w:t>，同时乙方按甲方要求限时退场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bookmarkStart w:id="183" w:name="_Toc21824"/>
      <w:bookmarkStart w:id="184" w:name="_Toc10430"/>
      <w:bookmarkStart w:id="185" w:name="_Toc2734"/>
    </w:p>
    <w:p w14:paraId="5E4E8B3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应及时足额发放工人工资及货款，避免产生纠纷导致影响甲方或本项目或本工程。无论乙方实际是否欠薪或欠货款，乙方人员或供应商每发起一次劳资纠纷或货款纠纷，涉及甲方的，乙方均须向甲方支付违约金叁万元/次；若因此导致媒体曝光或政府部门介入，乙方须另向甲方支付违约金不少于伍万元/次。</w:t>
      </w:r>
    </w:p>
    <w:p w14:paraId="3422FB1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.8凡乙方发生偷工减料行为，甲方视情节轻重计收乙方壹仟至壹拾万元/次的违约金。</w:t>
      </w:r>
    </w:p>
    <w:p w14:paraId="692149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支付</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支付伍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5FCDA19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6FF59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5393DD4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CEC9C9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6AD8407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承担不合格部位造价20%的违约金。本条所述违约金，甲方有权从任意应付乙方的款项中直接扣除，应付乙方的款项不足以赔偿甲方损失的，由乙方在甲方通知起5个日历天内向甲方付清差额。</w:t>
      </w:r>
    </w:p>
    <w:p w14:paraId="6235F30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15乙方同意：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合同中暂扣，待责任及损失金额确定后，甲方无息返还非乙方责任的暂扣金额。</w:t>
      </w:r>
    </w:p>
    <w:p w14:paraId="42A91D0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785CFCD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E33B5E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14.18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严重违约，找平层、抹灰层、面层等工程恢复由甲方指定专业泥水分包单位完成，并由乙方承担因此产生的全部费用（包括但不限于工期延误、材料、劳务等费用），同时乙方须就此违约行为按本合同（暂定）总价的5%向甲方支付违约金，甲方有权从与乙方相关的任意合同款中直接扣除</w:t>
      </w:r>
      <w:r>
        <w:rPr>
          <w:rFonts w:hint="eastAsia" w:ascii="仿宋" w:hAnsi="仿宋" w:eastAsia="仿宋" w:cs="仿宋"/>
          <w:b w:val="0"/>
          <w:bCs w:val="0"/>
          <w:i w:val="0"/>
          <w:iCs w:val="0"/>
          <w:color w:val="auto"/>
          <w:kern w:val="2"/>
          <w:sz w:val="28"/>
          <w:szCs w:val="28"/>
          <w:highlight w:val="none"/>
          <w:shd w:val="clear" w:color="auto" w:fill="auto"/>
          <w:lang w:val="en-US" w:eastAsia="zh-CN" w:bidi="ar-SA"/>
        </w:rPr>
        <w:t>。</w:t>
      </w:r>
    </w:p>
    <w:p w14:paraId="6321F90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86" w:name="_Toc31952"/>
      <w:bookmarkStart w:id="187" w:name="_Toc18651"/>
      <w:bookmarkStart w:id="188" w:name="_Toc31618"/>
      <w:bookmarkStart w:id="189" w:name="_Toc9673"/>
      <w:bookmarkStart w:id="190" w:name="_Toc32060"/>
      <w:bookmarkStart w:id="191" w:name="_Toc16038"/>
      <w:bookmarkStart w:id="192" w:name="_Toc14983"/>
      <w:r>
        <w:rPr>
          <w:rFonts w:hint="eastAsia" w:ascii="仿宋" w:hAnsi="仿宋" w:eastAsia="仿宋" w:cs="仿宋"/>
          <w:b/>
          <w:bCs/>
          <w:i w:val="0"/>
          <w:iCs w:val="0"/>
          <w:color w:val="auto"/>
          <w:sz w:val="28"/>
          <w:szCs w:val="28"/>
          <w:highlight w:val="none"/>
          <w:shd w:val="clear" w:color="auto" w:fill="auto"/>
          <w:lang w:val="en-US" w:eastAsia="zh-CN"/>
        </w:rPr>
        <w:t>廉洁条款</w:t>
      </w:r>
      <w:bookmarkEnd w:id="183"/>
      <w:bookmarkEnd w:id="184"/>
      <w:bookmarkEnd w:id="185"/>
      <w:bookmarkEnd w:id="186"/>
      <w:bookmarkEnd w:id="187"/>
      <w:bookmarkEnd w:id="188"/>
      <w:bookmarkEnd w:id="189"/>
      <w:bookmarkEnd w:id="190"/>
      <w:bookmarkEnd w:id="191"/>
      <w:bookmarkEnd w:id="192"/>
    </w:p>
    <w:p w14:paraId="4E163609">
      <w:pPr>
        <w:keepNext w:val="0"/>
        <w:keepLines w:val="0"/>
        <w:pageBreakBefore w:val="0"/>
        <w:widowControl w:val="0"/>
        <w:numPr>
          <w:ilvl w:val="0"/>
          <w:numId w:val="0"/>
        </w:numPr>
        <w:kinsoku/>
        <w:wordWrap/>
        <w:overflowPunct/>
        <w:topLinePunct w:val="0"/>
        <w:autoSpaceDE/>
        <w:autoSpaceDN/>
        <w:bidi w:val="0"/>
        <w:adjustRightInd w:val="0"/>
        <w:snapToGrid w:val="0"/>
        <w:spacing w:before="146" w:beforeLines="50"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3" w:name="_Toc14146"/>
      <w:bookmarkStart w:id="194" w:name="_Toc12114"/>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15.1乙方在与甲方合作期间（包括本合同招标、签订、履行期间），不得向甲方职员提供请吃、送礼、旅游、色情服务、行贿、回扣或其他非法利益，如有违反，乙方每次向甲方支付金额等于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bookmarkEnd w:id="193"/>
      <w:bookmarkEnd w:id="194"/>
    </w:p>
    <w:p w14:paraId="42F13B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5" w:name="_Toc30756"/>
      <w:bookmarkStart w:id="196" w:name="_Toc11561"/>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向乙方收取违约金并单方解除合同，对所发生的工程量/工作量不结算及不支付费用。</w:t>
      </w:r>
      <w:bookmarkEnd w:id="195"/>
      <w:bookmarkEnd w:id="196"/>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3AE3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7" w:name="_Toc9166"/>
      <w:bookmarkStart w:id="198" w:name="_Toc19332"/>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如甲方发现乙方可能存在违反廉洁条款的行为时，甲方有权暂扣违约金/争议工程款/处罚款等对应等额的合同款，直至调查完毕后根据调查结果再做处理，甲方暂不付款的行为不违约。</w:t>
      </w:r>
      <w:bookmarkEnd w:id="197"/>
      <w:bookmarkEnd w:id="198"/>
    </w:p>
    <w:p w14:paraId="1CA508A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99" w:name="_Toc15891"/>
      <w:bookmarkStart w:id="200" w:name="_Toc10466"/>
      <w:bookmarkStart w:id="201" w:name="_Toc15809"/>
      <w:bookmarkStart w:id="202" w:name="_Toc25677"/>
      <w:r>
        <w:rPr>
          <w:rFonts w:hint="eastAsia" w:ascii="仿宋" w:hAnsi="仿宋" w:eastAsia="仿宋" w:cs="仿宋"/>
          <w:b/>
          <w:bCs/>
          <w:i w:val="0"/>
          <w:iCs w:val="0"/>
          <w:color w:val="auto"/>
          <w:sz w:val="28"/>
          <w:szCs w:val="28"/>
          <w:highlight w:val="none"/>
          <w:shd w:val="clear" w:color="auto" w:fill="auto"/>
          <w:lang w:val="en-US" w:eastAsia="zh-CN"/>
        </w:rPr>
        <w:t>其他</w:t>
      </w:r>
      <w:bookmarkEnd w:id="199"/>
      <w:bookmarkEnd w:id="200"/>
      <w:bookmarkEnd w:id="201"/>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202"/>
    </w:p>
    <w:p w14:paraId="2460CB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34AEC2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DFFD1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688EA5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25B781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723EE0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7B25C45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52AB40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16.3本合同有效期内，甲方制度文件及合同附件表格格式如有更新，按甲方最新版要求执行，甲方拥有最终解释权。</w:t>
      </w:r>
    </w:p>
    <w:p w14:paraId="3D035A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bookmarkStart w:id="203" w:name="_Toc10994"/>
      <w:bookmarkStart w:id="204" w:name="_Toc10212"/>
    </w:p>
    <w:p w14:paraId="69279F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203"/>
      <w:bookmarkEnd w:id="204"/>
    </w:p>
    <w:p w14:paraId="27D921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24D410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2FDD0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16.8乙方违反本合同约定给甲方造成损失的，除按本合同约定承担违约责任外，甲方有权直接从与</w:t>
      </w:r>
      <w:r>
        <w:rPr>
          <w:rFonts w:hint="eastAsia" w:ascii="仿宋" w:hAnsi="仿宋" w:eastAsia="仿宋" w:cs="仿宋"/>
          <w:i w:val="0"/>
          <w:iCs w:val="0"/>
          <w:color w:val="auto"/>
          <w:sz w:val="28"/>
          <w:szCs w:val="28"/>
          <w:highlight w:val="none"/>
          <w:u w:val="none"/>
          <w:shd w:val="clear" w:color="auto" w:fill="auto"/>
          <w:lang w:val="en-US" w:eastAsia="zh-CN"/>
        </w:rPr>
        <w:t>乙方相关的任意</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罚款等费用，如所扣款额不足补偿甲方损失，乙方在甲方通知之日起五个日历天内补齐差额给甲方，且甲方向乙方追偿责任所产生的律师费、诉讼费、鉴定费、财产保全及相关担保费等费用由乙方全额承担。</w:t>
      </w:r>
    </w:p>
    <w:p w14:paraId="1BFD16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76010F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0B3793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16.11本合同一式三份，甲方执二份，乙方执一份，均具同等效力。</w:t>
      </w:r>
    </w:p>
    <w:p w14:paraId="06169B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0785C97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合同履行过程中，双方法人代表或授权人签字并加盖公章的本合同补充协议；</w:t>
      </w:r>
    </w:p>
    <w:p w14:paraId="0F3F9341">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本合同第一部分，合同专用条款；</w:t>
      </w:r>
    </w:p>
    <w:p w14:paraId="1BD9049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本合同第二部分，合同通用条款；</w:t>
      </w:r>
    </w:p>
    <w:p w14:paraId="3F69C97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经甲方权限领导审批确认的方案及相关设计变更；</w:t>
      </w:r>
    </w:p>
    <w:p w14:paraId="0C4EFA6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本工程招标文件（含相关答疑、补充通知等）；</w:t>
      </w:r>
    </w:p>
    <w:p w14:paraId="3062A10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乙方发出的、经甲方确认的本工程投标文件及相关澄清文件；</w:t>
      </w:r>
    </w:p>
    <w:p w14:paraId="23A2FFB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本项目所在地现行的法律法规、标准、规范。</w:t>
      </w:r>
    </w:p>
    <w:p w14:paraId="4EA29164">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法定代表人或其书面授权的代理人签字并加盖公司公章(或合同专用章)之日起生效，在竣工结算完毕、乙方向甲方交付竣工工程后，双方履行完合同义务、责任（保修条款除外）之日，本合同自动终止（保修条款除外）。</w:t>
      </w:r>
    </w:p>
    <w:p w14:paraId="38D785C6">
      <w:pPr>
        <w:pStyle w:val="3"/>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3DF36C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05" w:name="_Toc4369"/>
      <w:bookmarkStart w:id="206" w:name="_Toc27911"/>
      <w:bookmarkStart w:id="207" w:name="_Toc10798"/>
      <w:bookmarkStart w:id="208" w:name="_Toc6457"/>
      <w:bookmarkStart w:id="209" w:name="_Toc12795"/>
      <w:bookmarkStart w:id="210" w:name="_Toc936"/>
      <w:bookmarkStart w:id="211" w:name="_Toc1666"/>
      <w:bookmarkStart w:id="212" w:name="_Toc32677"/>
      <w:bookmarkStart w:id="213" w:name="_Toc7245"/>
      <w:bookmarkStart w:id="214" w:name="_Toc18080"/>
      <w:bookmarkStart w:id="215" w:name="_Toc31130"/>
      <w:bookmarkStart w:id="216" w:name="_Toc22736"/>
      <w:bookmarkStart w:id="217" w:name="_Toc13137"/>
      <w:bookmarkStart w:id="218" w:name="_Toc7014"/>
      <w:bookmarkStart w:id="219" w:name="_Toc7880"/>
      <w:bookmarkStart w:id="220" w:name="_Toc26460"/>
      <w:bookmarkStart w:id="221" w:name="_Toc22492"/>
      <w:bookmarkStart w:id="222" w:name="_Toc14000"/>
      <w:bookmarkStart w:id="223" w:name="_Toc23233"/>
      <w:bookmarkStart w:id="224" w:name="_Toc77"/>
      <w:bookmarkStart w:id="225" w:name="_Toc4318"/>
      <w:bookmarkStart w:id="226" w:name="_Toc26059"/>
      <w:bookmarkStart w:id="227" w:name="_Toc26912"/>
      <w:bookmarkStart w:id="228" w:name="_Toc1399"/>
      <w:bookmarkStart w:id="229" w:name="_Toc3404"/>
      <w:bookmarkStart w:id="230" w:name="_Toc30985"/>
      <w:bookmarkStart w:id="231" w:name="_Toc28577"/>
      <w:r>
        <w:rPr>
          <w:rFonts w:hint="eastAsia" w:ascii="仿宋" w:hAnsi="仿宋" w:eastAsia="仿宋" w:cs="仿宋"/>
          <w:color w:val="auto"/>
          <w:sz w:val="28"/>
          <w:szCs w:val="28"/>
          <w:highlight w:val="none"/>
          <w:lang w:val="en-US" w:eastAsia="zh-CN"/>
        </w:rPr>
        <w:t>附件：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32" w:name="_Toc27829"/>
      <w:bookmarkStart w:id="233" w:name="_Toc22858"/>
      <w:bookmarkStart w:id="234" w:name="_Toc20897"/>
      <w:bookmarkStart w:id="235" w:name="_Toc4707"/>
      <w:bookmarkStart w:id="236" w:name="_Toc18676"/>
      <w:bookmarkStart w:id="237" w:name="_Toc8154"/>
      <w:bookmarkStart w:id="238" w:name="_Toc11189"/>
      <w:bookmarkStart w:id="239" w:name="_Toc25846"/>
      <w:bookmarkStart w:id="240" w:name="_Toc8825"/>
      <w:bookmarkStart w:id="241" w:name="_Toc24379"/>
      <w:bookmarkStart w:id="242" w:name="_Toc7599"/>
      <w:bookmarkStart w:id="243" w:name="_Toc23629"/>
      <w:bookmarkStart w:id="244" w:name="_Toc6254"/>
      <w:bookmarkStart w:id="245" w:name="_Toc11947"/>
      <w:bookmarkStart w:id="246" w:name="_Toc16115"/>
      <w:bookmarkStart w:id="247" w:name="_Toc6278"/>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32"/>
      <w:bookmarkEnd w:id="233"/>
      <w:bookmarkEnd w:id="234"/>
      <w:bookmarkEnd w:id="235"/>
      <w:bookmarkEnd w:id="236"/>
      <w:bookmarkEnd w:id="237"/>
      <w:bookmarkEnd w:id="238"/>
      <w:bookmarkEnd w:id="239"/>
      <w:bookmarkEnd w:id="240"/>
      <w:bookmarkEnd w:id="241"/>
      <w:bookmarkEnd w:id="242"/>
      <w:bookmarkEnd w:id="243"/>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8" w:name="_Toc4136"/>
      <w:bookmarkStart w:id="249" w:name="_Toc32302"/>
      <w:bookmarkStart w:id="250" w:name="_Toc27699"/>
      <w:bookmarkStart w:id="251" w:name="_Toc11948"/>
      <w:bookmarkStart w:id="252" w:name="_Toc23949"/>
      <w:bookmarkStart w:id="253" w:name="_Toc17284"/>
      <w:bookmarkStart w:id="254" w:name="_Toc16598"/>
      <w:bookmarkStart w:id="255" w:name="_Toc29710"/>
      <w:bookmarkStart w:id="256" w:name="_Toc22678"/>
      <w:bookmarkStart w:id="257" w:name="_Toc4786"/>
      <w:bookmarkStart w:id="258" w:name="_Toc3457"/>
      <w:bookmarkStart w:id="259" w:name="_Toc29237"/>
      <w:bookmarkStart w:id="260" w:name="_Toc31644"/>
      <w:bookmarkStart w:id="261" w:name="_Toc25490"/>
      <w:bookmarkStart w:id="262" w:name="_Toc6961"/>
      <w:bookmarkStart w:id="263" w:name="_Toc26373"/>
      <w:bookmarkStart w:id="264" w:name="_Toc27191"/>
      <w:bookmarkStart w:id="265" w:name="_Toc25336"/>
      <w:bookmarkStart w:id="266" w:name="_Toc27040"/>
      <w:bookmarkStart w:id="267" w:name="_Toc11604"/>
      <w:bookmarkStart w:id="268" w:name="_Toc15971"/>
      <w:bookmarkStart w:id="269" w:name="_Toc13862"/>
      <w:bookmarkStart w:id="270" w:name="_Toc29648"/>
      <w:bookmarkStart w:id="271" w:name="_Toc21271"/>
      <w:bookmarkStart w:id="272" w:name="_Toc23329"/>
      <w:bookmarkStart w:id="273" w:name="_Toc6688"/>
      <w:bookmarkStart w:id="274" w:name="_Toc28459"/>
      <w:bookmarkStart w:id="275" w:name="_Toc10650"/>
      <w:bookmarkStart w:id="276" w:name="_Toc12070"/>
      <w:bookmarkStart w:id="277" w:name="_Toc16643"/>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仿宋" w:hAnsi="仿宋" w:eastAsia="仿宋" w:cs="仿宋"/>
          <w:i w:val="0"/>
          <w:iCs w:val="0"/>
          <w:color w:val="auto"/>
          <w:sz w:val="28"/>
          <w:szCs w:val="28"/>
          <w:highlight w:val="none"/>
          <w:shd w:val="clear" w:color="auto" w:fill="auto"/>
          <w:lang w:val="en-US" w:eastAsia="zh-CN"/>
        </w:rPr>
        <w:t>格式；</w:t>
      </w:r>
      <w:bookmarkEnd w:id="268"/>
      <w:bookmarkEnd w:id="269"/>
      <w:bookmarkEnd w:id="270"/>
      <w:bookmarkEnd w:id="271"/>
      <w:bookmarkEnd w:id="272"/>
      <w:bookmarkEnd w:id="273"/>
      <w:bookmarkEnd w:id="274"/>
      <w:bookmarkEnd w:id="275"/>
      <w:bookmarkEnd w:id="276"/>
      <w:bookmarkEnd w:id="277"/>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8" w:name="_Toc3355"/>
      <w:bookmarkStart w:id="279" w:name="_Toc25184"/>
      <w:bookmarkStart w:id="280" w:name="_Toc11696"/>
      <w:bookmarkStart w:id="281" w:name="_Toc3526"/>
      <w:bookmarkStart w:id="282" w:name="_Toc30478"/>
      <w:bookmarkStart w:id="283" w:name="_Toc9220"/>
      <w:bookmarkStart w:id="284" w:name="_Toc28426"/>
      <w:bookmarkStart w:id="285" w:name="_Toc5095"/>
      <w:bookmarkStart w:id="286" w:name="_Toc24903"/>
      <w:bookmarkStart w:id="287" w:name="_Toc19810"/>
      <w:bookmarkStart w:id="288" w:name="_Toc3046"/>
      <w:bookmarkStart w:id="289" w:name="_Toc19406"/>
      <w:bookmarkStart w:id="290" w:name="_Toc14339"/>
      <w:bookmarkStart w:id="291" w:name="_Toc4256"/>
      <w:bookmarkStart w:id="292" w:name="_Toc21366"/>
      <w:bookmarkStart w:id="293" w:name="_Toc14829"/>
      <w:bookmarkStart w:id="294" w:name="_Toc26221"/>
      <w:bookmarkStart w:id="295" w:name="_Toc21727"/>
      <w:bookmarkStart w:id="296" w:name="_Toc19825"/>
      <w:bookmarkStart w:id="297" w:name="_Toc27842"/>
      <w:bookmarkStart w:id="298" w:name="_Toc30623"/>
      <w:bookmarkStart w:id="299" w:name="_Toc8243"/>
      <w:bookmarkStart w:id="300" w:name="_Toc18083"/>
      <w:bookmarkStart w:id="301" w:name="_Toc25120"/>
      <w:bookmarkStart w:id="302" w:name="_Toc25146"/>
      <w:bookmarkStart w:id="303" w:name="_Toc12457"/>
      <w:bookmarkStart w:id="304" w:name="_Toc23456"/>
      <w:bookmarkStart w:id="305" w:name="_Toc1181"/>
      <w:bookmarkStart w:id="306" w:name="_Toc918"/>
      <w:bookmarkStart w:id="307" w:name="_Toc31647"/>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ascii="仿宋" w:hAnsi="仿宋" w:eastAsia="仿宋" w:cs="仿宋"/>
          <w:i w:val="0"/>
          <w:iCs w:val="0"/>
          <w:color w:val="auto"/>
          <w:sz w:val="28"/>
          <w:szCs w:val="28"/>
          <w:highlight w:val="none"/>
          <w:shd w:val="clear" w:color="auto" w:fill="auto"/>
          <w:lang w:val="en-US" w:eastAsia="zh-CN"/>
        </w:rPr>
        <w:t>格式；</w:t>
      </w:r>
      <w:bookmarkEnd w:id="298"/>
      <w:bookmarkEnd w:id="299"/>
      <w:bookmarkEnd w:id="300"/>
      <w:bookmarkEnd w:id="301"/>
      <w:bookmarkEnd w:id="302"/>
      <w:bookmarkEnd w:id="303"/>
      <w:bookmarkEnd w:id="304"/>
      <w:bookmarkEnd w:id="305"/>
      <w:bookmarkEnd w:id="306"/>
      <w:bookmarkEnd w:id="307"/>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08" w:name="_Toc2953"/>
      <w:bookmarkStart w:id="309" w:name="_Toc32243"/>
      <w:bookmarkStart w:id="310" w:name="_Toc12708"/>
      <w:bookmarkStart w:id="311" w:name="_Toc4124"/>
      <w:bookmarkStart w:id="312" w:name="_Toc29658"/>
      <w:bookmarkStart w:id="313" w:name="_Toc4675"/>
      <w:bookmarkStart w:id="314" w:name="_Toc8225"/>
      <w:bookmarkStart w:id="315" w:name="_Toc625"/>
      <w:bookmarkStart w:id="316" w:name="_Toc30526"/>
      <w:bookmarkStart w:id="317" w:name="_Toc30996"/>
      <w:bookmarkStart w:id="318" w:name="_Toc29665"/>
      <w:bookmarkStart w:id="319" w:name="_Toc14408"/>
      <w:bookmarkStart w:id="320" w:name="_Toc4351"/>
      <w:bookmarkStart w:id="321" w:name="_Toc29231"/>
      <w:bookmarkStart w:id="322" w:name="_Toc8789"/>
      <w:bookmarkStart w:id="323" w:name="_Toc27559"/>
      <w:bookmarkStart w:id="324" w:name="_Toc8276"/>
      <w:bookmarkStart w:id="325" w:name="_Toc10580"/>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08"/>
      <w:bookmarkEnd w:id="309"/>
      <w:bookmarkEnd w:id="310"/>
      <w:bookmarkEnd w:id="311"/>
      <w:bookmarkEnd w:id="312"/>
      <w:bookmarkEnd w:id="313"/>
      <w:bookmarkEnd w:id="314"/>
      <w:bookmarkEnd w:id="315"/>
      <w:r>
        <w:rPr>
          <w:rFonts w:hint="eastAsia" w:ascii="仿宋" w:hAnsi="仿宋" w:eastAsia="仿宋" w:cs="仿宋"/>
          <w:i w:val="0"/>
          <w:iCs w:val="0"/>
          <w:color w:val="auto"/>
          <w:sz w:val="28"/>
          <w:szCs w:val="28"/>
          <w:highlight w:val="none"/>
          <w:shd w:val="clear" w:color="auto" w:fill="auto"/>
          <w:lang w:val="en-US" w:eastAsia="zh-CN"/>
        </w:rPr>
        <w:t>格式；</w:t>
      </w:r>
      <w:bookmarkEnd w:id="316"/>
      <w:bookmarkEnd w:id="317"/>
      <w:bookmarkEnd w:id="318"/>
      <w:bookmarkEnd w:id="319"/>
      <w:bookmarkEnd w:id="320"/>
      <w:bookmarkEnd w:id="321"/>
      <w:bookmarkEnd w:id="322"/>
      <w:bookmarkEnd w:id="323"/>
      <w:bookmarkEnd w:id="324"/>
      <w:bookmarkEnd w:id="325"/>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26" w:name="_Toc4532"/>
      <w:bookmarkStart w:id="327" w:name="_Toc13787"/>
      <w:bookmarkStart w:id="328" w:name="_Toc7977"/>
      <w:bookmarkStart w:id="329" w:name="_Toc7170"/>
      <w:bookmarkStart w:id="330" w:name="_Toc2302"/>
      <w:bookmarkStart w:id="331" w:name="_Toc17895"/>
      <w:bookmarkStart w:id="332" w:name="_Toc9015"/>
      <w:bookmarkStart w:id="333" w:name="_Toc1628"/>
      <w:bookmarkStart w:id="334" w:name="_Toc23449"/>
      <w:bookmarkStart w:id="335" w:name="_Toc30595"/>
      <w:bookmarkStart w:id="336" w:name="_Toc29501"/>
      <w:bookmarkStart w:id="337" w:name="_Toc5880"/>
      <w:bookmarkStart w:id="338" w:name="_Toc14040"/>
      <w:bookmarkStart w:id="339" w:name="_Toc12321"/>
      <w:bookmarkStart w:id="340" w:name="_Toc18174"/>
      <w:bookmarkStart w:id="341" w:name="_Toc26757"/>
      <w:bookmarkStart w:id="342" w:name="_Toc20516"/>
      <w:bookmarkStart w:id="343" w:name="_Toc32363"/>
      <w:bookmarkStart w:id="344" w:name="_Toc19765"/>
      <w:bookmarkStart w:id="345" w:name="_Toc20020"/>
      <w:bookmarkStart w:id="346" w:name="_Toc11025"/>
      <w:bookmarkStart w:id="347" w:name="_Toc20848"/>
      <w:bookmarkStart w:id="348" w:name="_Toc27338"/>
      <w:bookmarkStart w:id="349" w:name="_Toc11437"/>
      <w:bookmarkStart w:id="350" w:name="_Toc31683"/>
      <w:bookmarkStart w:id="351" w:name="_Toc25706"/>
      <w:bookmarkStart w:id="352" w:name="_Toc10036"/>
      <w:bookmarkStart w:id="353" w:name="_Toc19832"/>
      <w:bookmarkStart w:id="354" w:name="_Toc7316"/>
      <w:bookmarkStart w:id="355" w:name="_Toc4713"/>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i w:val="0"/>
          <w:iCs w:val="0"/>
          <w:color w:val="auto"/>
          <w:sz w:val="28"/>
          <w:szCs w:val="28"/>
          <w:highlight w:val="none"/>
          <w:shd w:val="clear" w:color="auto" w:fill="auto"/>
          <w:lang w:val="en-US" w:eastAsia="zh-CN"/>
        </w:rPr>
        <w:t>格式；</w:t>
      </w:r>
      <w:bookmarkEnd w:id="346"/>
      <w:bookmarkEnd w:id="347"/>
      <w:bookmarkEnd w:id="348"/>
      <w:bookmarkEnd w:id="349"/>
      <w:bookmarkEnd w:id="350"/>
      <w:bookmarkEnd w:id="351"/>
      <w:bookmarkEnd w:id="352"/>
      <w:bookmarkEnd w:id="353"/>
      <w:bookmarkEnd w:id="354"/>
      <w:bookmarkEnd w:id="355"/>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56" w:name="_Toc22271"/>
      <w:bookmarkStart w:id="357" w:name="_Toc25421"/>
      <w:bookmarkStart w:id="358" w:name="_Toc12149"/>
      <w:bookmarkStart w:id="359" w:name="_Toc5662"/>
      <w:bookmarkStart w:id="360" w:name="_Toc8957"/>
      <w:bookmarkStart w:id="361" w:name="_Toc27592"/>
      <w:bookmarkStart w:id="362" w:name="_Toc7073"/>
      <w:bookmarkStart w:id="363" w:name="_Toc25345"/>
      <w:bookmarkStart w:id="364" w:name="_Toc2307"/>
      <w:bookmarkStart w:id="365" w:name="_Toc15617"/>
      <w:bookmarkStart w:id="366" w:name="_Toc32730"/>
      <w:bookmarkStart w:id="367" w:name="_Toc1613"/>
      <w:bookmarkStart w:id="368" w:name="_Toc29999"/>
      <w:bookmarkStart w:id="369" w:name="_Toc5989"/>
      <w:bookmarkStart w:id="370" w:name="_Toc19655"/>
      <w:bookmarkStart w:id="371" w:name="_Toc24739"/>
      <w:bookmarkStart w:id="372" w:name="_Toc11623"/>
      <w:bookmarkStart w:id="373" w:name="_Toc15102"/>
      <w:bookmarkStart w:id="374" w:name="_Toc15998"/>
      <w:bookmarkStart w:id="375" w:name="_Toc9377"/>
      <w:bookmarkStart w:id="376" w:name="_Toc28300"/>
      <w:bookmarkStart w:id="377" w:name="_Toc28908"/>
      <w:bookmarkStart w:id="378" w:name="_Toc18835"/>
      <w:bookmarkStart w:id="379" w:name="_Toc21579"/>
      <w:bookmarkStart w:id="380" w:name="_Toc24213"/>
      <w:bookmarkStart w:id="381" w:name="_Toc16339"/>
      <w:bookmarkStart w:id="382" w:name="_Toc22231"/>
      <w:bookmarkStart w:id="383" w:name="_Toc24504"/>
      <w:bookmarkStart w:id="384" w:name="_Toc8058"/>
      <w:bookmarkStart w:id="385" w:name="_Toc26175"/>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i w:val="0"/>
          <w:iCs w:val="0"/>
          <w:color w:val="auto"/>
          <w:sz w:val="28"/>
          <w:szCs w:val="28"/>
          <w:highlight w:val="none"/>
          <w:shd w:val="clear" w:color="auto" w:fill="auto"/>
          <w:lang w:val="en-US" w:eastAsia="zh-CN"/>
        </w:rPr>
        <w:t>格式；</w:t>
      </w:r>
      <w:bookmarkEnd w:id="376"/>
      <w:bookmarkEnd w:id="377"/>
      <w:bookmarkEnd w:id="378"/>
      <w:bookmarkEnd w:id="379"/>
      <w:bookmarkEnd w:id="380"/>
      <w:bookmarkEnd w:id="381"/>
      <w:bookmarkEnd w:id="382"/>
      <w:bookmarkEnd w:id="383"/>
      <w:bookmarkEnd w:id="384"/>
      <w:bookmarkEnd w:id="385"/>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86" w:name="_Toc27703"/>
      <w:bookmarkStart w:id="387" w:name="_Toc7317"/>
      <w:bookmarkStart w:id="388" w:name="_Toc17584"/>
      <w:bookmarkStart w:id="389" w:name="_Toc25112"/>
      <w:bookmarkStart w:id="390" w:name="_Toc7252"/>
      <w:bookmarkStart w:id="391" w:name="_Toc27211"/>
      <w:bookmarkStart w:id="392" w:name="_Toc28993"/>
      <w:bookmarkStart w:id="393" w:name="_Toc25447"/>
      <w:bookmarkStart w:id="394" w:name="_Toc32535"/>
      <w:bookmarkStart w:id="395" w:name="_Toc16687"/>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386"/>
      <w:bookmarkEnd w:id="387"/>
      <w:bookmarkEnd w:id="388"/>
      <w:bookmarkEnd w:id="389"/>
      <w:bookmarkEnd w:id="390"/>
      <w:bookmarkEnd w:id="391"/>
      <w:bookmarkEnd w:id="392"/>
      <w:bookmarkEnd w:id="393"/>
      <w:bookmarkEnd w:id="394"/>
      <w:bookmarkEnd w:id="395"/>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96" w:name="_Toc6059"/>
      <w:bookmarkStart w:id="397" w:name="_Toc10838"/>
      <w:bookmarkStart w:id="398" w:name="_Toc15804"/>
      <w:bookmarkStart w:id="399" w:name="_Toc21391"/>
      <w:bookmarkStart w:id="400" w:name="_Toc13138"/>
      <w:bookmarkStart w:id="401" w:name="_Toc1933"/>
      <w:bookmarkStart w:id="402" w:name="_Toc2384"/>
      <w:bookmarkStart w:id="403" w:name="_Toc16033"/>
      <w:bookmarkStart w:id="404" w:name="_Toc17795"/>
      <w:bookmarkStart w:id="405" w:name="_Toc11278"/>
      <w:bookmarkStart w:id="406" w:name="_Toc8673"/>
      <w:bookmarkStart w:id="407" w:name="_Toc8489"/>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396"/>
      <w:bookmarkEnd w:id="397"/>
      <w:bookmarkEnd w:id="398"/>
      <w:bookmarkEnd w:id="399"/>
      <w:r>
        <w:rPr>
          <w:rFonts w:hint="eastAsia" w:ascii="仿宋" w:hAnsi="仿宋" w:eastAsia="仿宋" w:cs="仿宋"/>
          <w:i w:val="0"/>
          <w:iCs w:val="0"/>
          <w:color w:val="auto"/>
          <w:sz w:val="28"/>
          <w:szCs w:val="28"/>
          <w:highlight w:val="none"/>
          <w:shd w:val="clear" w:color="auto" w:fill="auto"/>
          <w:lang w:val="en-US" w:eastAsia="zh-CN"/>
        </w:rPr>
        <w:t>；</w:t>
      </w:r>
      <w:bookmarkEnd w:id="400"/>
      <w:bookmarkEnd w:id="401"/>
      <w:bookmarkEnd w:id="402"/>
      <w:bookmarkEnd w:id="403"/>
      <w:bookmarkEnd w:id="404"/>
      <w:bookmarkEnd w:id="405"/>
      <w:bookmarkEnd w:id="406"/>
      <w:bookmarkEnd w:id="407"/>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8" w:name="_Toc341"/>
      <w:bookmarkStart w:id="409" w:name="_Toc25618"/>
      <w:bookmarkStart w:id="410" w:name="_Toc30237"/>
      <w:bookmarkStart w:id="411" w:name="_Toc10114"/>
      <w:bookmarkStart w:id="412" w:name="_Toc12607"/>
      <w:bookmarkStart w:id="413" w:name="_Toc18640"/>
      <w:bookmarkStart w:id="414" w:name="_Toc22636"/>
      <w:bookmarkStart w:id="415" w:name="_Toc19704"/>
      <w:bookmarkStart w:id="416" w:name="_Toc26020"/>
      <w:bookmarkStart w:id="417" w:name="_Toc19119"/>
      <w:bookmarkStart w:id="418" w:name="_Toc25734"/>
      <w:bookmarkStart w:id="419" w:name="_Toc18259"/>
      <w:bookmarkStart w:id="420" w:name="_Toc26903"/>
      <w:bookmarkStart w:id="421" w:name="_Toc14821"/>
      <w:bookmarkStart w:id="422" w:name="_Toc31415"/>
      <w:bookmarkStart w:id="423" w:name="_Toc7399"/>
      <w:bookmarkStart w:id="424" w:name="_Toc31008"/>
      <w:bookmarkStart w:id="425" w:name="_Toc4335"/>
      <w:r>
        <w:rPr>
          <w:rFonts w:hint="eastAsia" w:ascii="仿宋" w:hAnsi="仿宋" w:eastAsia="仿宋" w:cs="仿宋"/>
          <w:i w:val="0"/>
          <w:iCs w:val="0"/>
          <w:color w:val="auto"/>
          <w:sz w:val="28"/>
          <w:szCs w:val="28"/>
          <w:highlight w:val="none"/>
          <w:shd w:val="clear" w:color="auto" w:fill="auto"/>
          <w:lang w:val="en-US" w:eastAsia="zh-CN"/>
        </w:rPr>
        <w:t>附件九</w:t>
      </w:r>
      <w:bookmarkEnd w:id="408"/>
      <w:bookmarkEnd w:id="409"/>
      <w:bookmarkEnd w:id="410"/>
      <w:bookmarkEnd w:id="411"/>
      <w:bookmarkEnd w:id="412"/>
      <w:bookmarkEnd w:id="413"/>
      <w:bookmarkEnd w:id="414"/>
      <w:bookmarkEnd w:id="415"/>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16"/>
      <w:bookmarkEnd w:id="417"/>
      <w:bookmarkEnd w:id="418"/>
      <w:bookmarkEnd w:id="419"/>
      <w:bookmarkEnd w:id="420"/>
      <w:bookmarkEnd w:id="421"/>
      <w:bookmarkEnd w:id="422"/>
      <w:bookmarkEnd w:id="423"/>
      <w:bookmarkEnd w:id="424"/>
      <w:bookmarkEnd w:id="425"/>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26" w:name="_Toc24794"/>
      <w:bookmarkStart w:id="427" w:name="_Toc764"/>
      <w:bookmarkStart w:id="428" w:name="_Toc6281"/>
      <w:bookmarkStart w:id="429" w:name="_Toc16561"/>
      <w:bookmarkStart w:id="430" w:name="_Toc1544"/>
      <w:bookmarkStart w:id="431" w:name="_Toc23263"/>
      <w:bookmarkStart w:id="432" w:name="_Toc26774"/>
      <w:bookmarkStart w:id="433" w:name="_Toc21989"/>
      <w:bookmarkStart w:id="434" w:name="_Toc4534"/>
      <w:bookmarkStart w:id="435" w:name="_Toc25579"/>
      <w:bookmarkStart w:id="436" w:name="_Toc20322"/>
      <w:bookmarkStart w:id="437" w:name="_Toc26828"/>
      <w:bookmarkStart w:id="438" w:name="_Toc32090"/>
      <w:bookmarkStart w:id="439" w:name="_Toc13891"/>
      <w:bookmarkStart w:id="440" w:name="_Toc4480"/>
      <w:bookmarkStart w:id="441" w:name="_Toc23503"/>
      <w:bookmarkStart w:id="442" w:name="_Toc2495"/>
      <w:bookmarkStart w:id="443" w:name="_Toc30239"/>
      <w:r>
        <w:rPr>
          <w:rFonts w:hint="eastAsia" w:ascii="仿宋" w:hAnsi="仿宋" w:eastAsia="仿宋" w:cs="仿宋"/>
          <w:i w:val="0"/>
          <w:iCs w:val="0"/>
          <w:color w:val="auto"/>
          <w:sz w:val="28"/>
          <w:szCs w:val="28"/>
          <w:highlight w:val="none"/>
          <w:shd w:val="clear" w:color="auto" w:fill="auto"/>
          <w:lang w:val="en-US" w:eastAsia="zh-CN"/>
        </w:rPr>
        <w:t>附件十</w:t>
      </w:r>
      <w:bookmarkEnd w:id="426"/>
      <w:bookmarkEnd w:id="427"/>
      <w:bookmarkEnd w:id="428"/>
      <w:bookmarkEnd w:id="429"/>
      <w:bookmarkEnd w:id="430"/>
      <w:bookmarkEnd w:id="431"/>
      <w:bookmarkEnd w:id="432"/>
      <w:bookmarkEnd w:id="433"/>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34"/>
      <w:bookmarkEnd w:id="435"/>
      <w:bookmarkEnd w:id="436"/>
      <w:bookmarkEnd w:id="437"/>
      <w:bookmarkEnd w:id="438"/>
      <w:bookmarkEnd w:id="439"/>
      <w:bookmarkEnd w:id="440"/>
      <w:bookmarkEnd w:id="441"/>
      <w:bookmarkEnd w:id="442"/>
      <w:bookmarkEnd w:id="443"/>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4" w:name="_Toc1927"/>
      <w:bookmarkStart w:id="445" w:name="_Toc20899"/>
      <w:bookmarkStart w:id="446" w:name="_Toc3842"/>
      <w:bookmarkStart w:id="447" w:name="_Toc14035"/>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44"/>
      <w:bookmarkEnd w:id="445"/>
      <w:bookmarkEnd w:id="446"/>
      <w:bookmarkEnd w:id="447"/>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8" w:name="_Toc18635"/>
      <w:bookmarkStart w:id="449" w:name="_Toc18689"/>
      <w:bookmarkStart w:id="450" w:name="_Toc31032"/>
      <w:bookmarkStart w:id="451" w:name="_Toc27059"/>
      <w:bookmarkStart w:id="452" w:name="_Toc3430"/>
      <w:bookmarkStart w:id="453" w:name="_Toc13230"/>
      <w:bookmarkStart w:id="454" w:name="_Toc972"/>
      <w:bookmarkStart w:id="455" w:name="_Toc26887"/>
      <w:bookmarkStart w:id="456" w:name="_Toc1716"/>
      <w:bookmarkStart w:id="457" w:name="_Toc30233"/>
      <w:bookmarkStart w:id="458" w:name="_Toc31017"/>
      <w:bookmarkStart w:id="459" w:name="_Toc26713"/>
      <w:bookmarkStart w:id="460" w:name="_Toc10168"/>
      <w:bookmarkStart w:id="461" w:name="_Toc20722"/>
      <w:bookmarkStart w:id="462" w:name="_Toc30940"/>
      <w:bookmarkStart w:id="463" w:name="_Toc9097"/>
      <w:bookmarkStart w:id="464" w:name="_Toc32697"/>
      <w:bookmarkStart w:id="465" w:name="_Toc26926"/>
      <w:bookmarkStart w:id="466" w:name="_Toc7184"/>
      <w:bookmarkStart w:id="467" w:name="_Toc7371"/>
      <w:bookmarkStart w:id="468" w:name="_Toc16929"/>
      <w:bookmarkStart w:id="469" w:name="_Toc21822"/>
      <w:bookmarkStart w:id="470" w:name="_Toc11973"/>
      <w:bookmarkStart w:id="471" w:name="_Toc26891"/>
      <w:bookmarkStart w:id="472" w:name="_Toc27917"/>
      <w:bookmarkStart w:id="473" w:name="_Toc22619"/>
      <w:bookmarkStart w:id="474" w:name="_Toc32611"/>
      <w:bookmarkStart w:id="475" w:name="_Toc31464"/>
      <w:bookmarkStart w:id="476" w:name="_Toc28296"/>
      <w:bookmarkStart w:id="477" w:name="_Toc248"/>
      <w:r>
        <w:rPr>
          <w:rFonts w:hint="eastAsia" w:ascii="仿宋" w:hAnsi="仿宋" w:eastAsia="仿宋" w:cs="仿宋"/>
          <w:i w:val="0"/>
          <w:iCs w:val="0"/>
          <w:color w:val="auto"/>
          <w:sz w:val="28"/>
          <w:szCs w:val="28"/>
          <w:highlight w:val="none"/>
          <w:shd w:val="clear" w:color="auto" w:fill="auto"/>
          <w:lang w:val="en-US" w:eastAsia="zh-CN"/>
        </w:rPr>
        <w:t>附件十三</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仿宋" w:hAnsi="仿宋" w:eastAsia="仿宋" w:cs="仿宋"/>
          <w:i w:val="0"/>
          <w:iCs w:val="0"/>
          <w:color w:val="auto"/>
          <w:sz w:val="28"/>
          <w:szCs w:val="28"/>
          <w:highlight w:val="none"/>
          <w:shd w:val="clear" w:color="auto" w:fill="auto"/>
          <w:lang w:val="en-US" w:eastAsia="zh-CN"/>
        </w:rPr>
        <w:t>《甲方项目章》样式；</w:t>
      </w:r>
      <w:bookmarkEnd w:id="474"/>
      <w:bookmarkEnd w:id="475"/>
      <w:bookmarkEnd w:id="476"/>
      <w:bookmarkEnd w:id="477"/>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附件十五</w:t>
      </w:r>
      <w:r>
        <w:rPr>
          <w:rFonts w:hint="eastAsia" w:ascii="仿宋" w:hAnsi="仿宋" w:eastAsia="仿宋" w:cs="仿宋"/>
          <w:i w:val="0"/>
          <w:iCs w:val="0"/>
          <w:color w:val="auto"/>
          <w:sz w:val="28"/>
          <w:szCs w:val="28"/>
          <w:highlight w:val="none"/>
          <w:shd w:val="clear" w:color="auto" w:fill="auto"/>
          <w:lang w:val="en-US" w:eastAsia="zh-CN"/>
        </w:rPr>
        <w:t>《报价清单》</w:t>
      </w:r>
      <w:r>
        <w:rPr>
          <w:rFonts w:hint="eastAsia" w:ascii="仿宋" w:hAnsi="仿宋" w:eastAsia="仿宋" w:cs="仿宋"/>
          <w:b w:val="0"/>
          <w:bCs w:val="0"/>
          <w:i w:val="0"/>
          <w:iCs w:val="0"/>
          <w:color w:val="auto"/>
          <w:sz w:val="28"/>
          <w:szCs w:val="28"/>
          <w:highlight w:val="none"/>
          <w:lang w:val="en-US" w:eastAsia="zh-CN"/>
        </w:rPr>
        <w:t>；</w:t>
      </w:r>
    </w:p>
    <w:p w14:paraId="7C96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附件十六《土方回填施工方案》；</w:t>
      </w:r>
    </w:p>
    <w:p w14:paraId="6A0412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附件十七《图纸》。</w:t>
      </w:r>
    </w:p>
    <w:p w14:paraId="41250F1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78" w:name="_Toc5837"/>
      <w:bookmarkStart w:id="479" w:name="_Toc24436"/>
      <w:bookmarkStart w:id="480" w:name="_Toc18988"/>
      <w:bookmarkStart w:id="481" w:name="_Toc30280"/>
      <w:bookmarkStart w:id="482" w:name="_Toc30618"/>
      <w:bookmarkStart w:id="483" w:name="_Toc29240"/>
      <w:bookmarkStart w:id="484" w:name="_Toc26371"/>
      <w:bookmarkStart w:id="485" w:name="_Toc6751"/>
      <w:bookmarkStart w:id="486" w:name="_Toc18518"/>
      <w:bookmarkStart w:id="487" w:name="_Toc20974"/>
      <w:bookmarkStart w:id="488" w:name="_Toc24665"/>
      <w:bookmarkStart w:id="489" w:name="_Toc25445"/>
      <w:bookmarkStart w:id="490" w:name="_Toc13080"/>
      <w:bookmarkStart w:id="491" w:name="_Toc26856"/>
      <w:bookmarkStart w:id="492" w:name="_Toc21258"/>
    </w:p>
    <w:p w14:paraId="2E3821A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0F4438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7" w:name="_GoBack"/>
      <w:bookmarkEnd w:id="58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78"/>
      <w:bookmarkEnd w:id="479"/>
      <w:bookmarkEnd w:id="480"/>
      <w:bookmarkEnd w:id="481"/>
      <w:bookmarkEnd w:id="482"/>
      <w:bookmarkEnd w:id="483"/>
      <w:bookmarkEnd w:id="484"/>
      <w:bookmarkEnd w:id="4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493" w:name="_Toc14012"/>
      <w:bookmarkStart w:id="494" w:name="_Toc12609"/>
      <w:bookmarkStart w:id="495" w:name="_Toc32477"/>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493"/>
      <w:bookmarkEnd w:id="494"/>
      <w:bookmarkEnd w:id="495"/>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24"/>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14"/>
              <w:tabs>
                <w:tab w:val="clear" w:pos="-116"/>
                <w:tab w:val="clear" w:pos="420"/>
              </w:tabs>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14"/>
              <w:tabs>
                <w:tab w:val="clear" w:pos="-116"/>
                <w:tab w:val="clear" w:pos="420"/>
              </w:tabs>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96" w:name="_Toc1063"/>
      <w:bookmarkStart w:id="497" w:name="_Toc5408"/>
      <w:bookmarkStart w:id="498" w:name="_Toc12620"/>
      <w:bookmarkStart w:id="499" w:name="_Toc12826"/>
      <w:bookmarkStart w:id="500" w:name="_Toc21603"/>
      <w:bookmarkStart w:id="501" w:name="_Toc25837"/>
      <w:bookmarkStart w:id="502" w:name="_Toc7418"/>
      <w:bookmarkStart w:id="503" w:name="_Toc23686"/>
      <w:bookmarkStart w:id="504" w:name="_Toc1879"/>
      <w:bookmarkStart w:id="505" w:name="_Toc2480"/>
      <w:bookmarkStart w:id="506" w:name="_Toc731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96"/>
      <w:bookmarkEnd w:id="497"/>
      <w:bookmarkEnd w:id="498"/>
      <w:bookmarkEnd w:id="499"/>
      <w:bookmarkEnd w:id="500"/>
      <w:bookmarkEnd w:id="501"/>
      <w:bookmarkEnd w:id="502"/>
      <w:bookmarkEnd w:id="503"/>
      <w:bookmarkEnd w:id="504"/>
      <w:bookmarkEnd w:id="505"/>
      <w:bookmarkEnd w:id="5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5"/>
        <w:tblW w:w="5138" w:type="pct"/>
        <w:tblInd w:w="-127" w:type="dxa"/>
        <w:tblLayout w:type="fixed"/>
        <w:tblCellMar>
          <w:top w:w="15" w:type="dxa"/>
          <w:left w:w="15" w:type="dxa"/>
          <w:bottom w:w="15" w:type="dxa"/>
          <w:right w:w="15" w:type="dxa"/>
        </w:tblCellMar>
      </w:tblPr>
      <w:tblGrid>
        <w:gridCol w:w="9526"/>
      </w:tblGrid>
      <w:tr w14:paraId="6CEA9BD5">
        <w:tblPrEx>
          <w:tblCellMar>
            <w:top w:w="15" w:type="dxa"/>
            <w:left w:w="15" w:type="dxa"/>
            <w:bottom w:w="15" w:type="dxa"/>
            <w:right w:w="15" w:type="dxa"/>
          </w:tblCellMar>
        </w:tblPrEx>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07" w:name="_Toc5587"/>
            <w:bookmarkStart w:id="508" w:name="_Toc30698"/>
            <w:bookmarkStart w:id="509" w:name="_Toc15779"/>
            <w:bookmarkStart w:id="510" w:name="_Toc9291"/>
            <w:bookmarkStart w:id="511" w:name="_Toc2053"/>
            <w:bookmarkStart w:id="512" w:name="_Toc1475"/>
            <w:bookmarkStart w:id="513" w:name="_Toc19511"/>
            <w:bookmarkStart w:id="514" w:name="_Toc8418"/>
            <w:bookmarkStart w:id="515" w:name="_Toc2581"/>
            <w:bookmarkStart w:id="516" w:name="_Toc11791"/>
            <w:bookmarkStart w:id="517" w:name="_Toc27619"/>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07"/>
            <w:bookmarkEnd w:id="508"/>
            <w:bookmarkEnd w:id="509"/>
            <w:bookmarkEnd w:id="510"/>
            <w:bookmarkEnd w:id="511"/>
            <w:bookmarkEnd w:id="512"/>
            <w:bookmarkEnd w:id="513"/>
            <w:bookmarkEnd w:id="514"/>
            <w:bookmarkEnd w:id="515"/>
            <w:bookmarkEnd w:id="516"/>
            <w:bookmarkEnd w:id="517"/>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14"/>
        <w:tabs>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8" w:name="_Toc12179"/>
      <w:bookmarkStart w:id="519" w:name="_Toc29438"/>
      <w:bookmarkStart w:id="520" w:name="_Toc12425"/>
      <w:bookmarkStart w:id="521" w:name="_Toc4037"/>
      <w:bookmarkStart w:id="522" w:name="_Toc13180"/>
      <w:bookmarkStart w:id="523" w:name="_Toc2479"/>
      <w:bookmarkStart w:id="524" w:name="_Toc28037"/>
      <w:bookmarkStart w:id="525" w:name="_Toc22471"/>
      <w:bookmarkStart w:id="526" w:name="_Toc5591"/>
      <w:bookmarkStart w:id="527" w:name="_Toc27035"/>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8"/>
      <w:bookmarkEnd w:id="519"/>
      <w:bookmarkEnd w:id="520"/>
      <w:bookmarkEnd w:id="521"/>
      <w:bookmarkEnd w:id="522"/>
      <w:bookmarkEnd w:id="523"/>
      <w:bookmarkEnd w:id="524"/>
      <w:bookmarkEnd w:id="525"/>
      <w:bookmarkEnd w:id="526"/>
      <w:bookmarkEnd w:id="5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14"/>
        <w:tabs>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28" w:name="_Toc26417"/>
      <w:bookmarkStart w:id="529" w:name="_Toc8727"/>
      <w:bookmarkStart w:id="530" w:name="_Toc7045"/>
      <w:bookmarkStart w:id="531" w:name="_Toc17423"/>
      <w:bookmarkStart w:id="532" w:name="_Toc17060"/>
      <w:bookmarkStart w:id="533" w:name="_Toc29498"/>
      <w:bookmarkStart w:id="534" w:name="_Toc9543"/>
      <w:bookmarkStart w:id="535" w:name="_Toc765"/>
      <w:bookmarkStart w:id="536" w:name="_Toc3295"/>
      <w:bookmarkStart w:id="537" w:name="_Toc311"/>
      <w:bookmarkStart w:id="538" w:name="_Toc193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28"/>
      <w:bookmarkEnd w:id="529"/>
      <w:bookmarkEnd w:id="530"/>
      <w:bookmarkEnd w:id="531"/>
      <w:bookmarkEnd w:id="532"/>
      <w:bookmarkEnd w:id="533"/>
      <w:bookmarkEnd w:id="534"/>
      <w:bookmarkEnd w:id="535"/>
      <w:bookmarkEnd w:id="536"/>
      <w:bookmarkEnd w:id="537"/>
      <w:bookmarkEnd w:id="53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9" w:name="_Toc25895"/>
      <w:bookmarkStart w:id="540" w:name="_Toc7157"/>
      <w:bookmarkStart w:id="541" w:name="_Toc25405"/>
      <w:bookmarkStart w:id="542" w:name="_Toc13663"/>
      <w:bookmarkStart w:id="543" w:name="_Toc22173"/>
      <w:bookmarkStart w:id="544" w:name="_Toc15553"/>
      <w:bookmarkStart w:id="545" w:name="_Toc17176"/>
      <w:bookmarkStart w:id="546" w:name="_Toc4753"/>
      <w:bookmarkStart w:id="547" w:name="_Toc9011"/>
      <w:bookmarkStart w:id="548" w:name="_Toc19348"/>
      <w:bookmarkStart w:id="549" w:name="_Toc250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9"/>
      <w:bookmarkEnd w:id="540"/>
      <w:bookmarkEnd w:id="541"/>
      <w:bookmarkEnd w:id="542"/>
      <w:bookmarkEnd w:id="543"/>
      <w:bookmarkEnd w:id="544"/>
      <w:bookmarkEnd w:id="545"/>
      <w:bookmarkEnd w:id="546"/>
      <w:bookmarkEnd w:id="547"/>
      <w:bookmarkEnd w:id="548"/>
      <w:bookmarkEnd w:id="5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50" w:name="_Toc17495"/>
      <w:bookmarkStart w:id="551" w:name="_Toc14730"/>
      <w:bookmarkStart w:id="552" w:name="_Toc5978"/>
      <w:bookmarkStart w:id="553" w:name="_Toc15934"/>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50"/>
      <w:bookmarkEnd w:id="551"/>
      <w:bookmarkEnd w:id="552"/>
      <w:bookmarkEnd w:id="553"/>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4" w:name="_Toc23627"/>
      <w:bookmarkStart w:id="555" w:name="_Toc9387"/>
      <w:bookmarkStart w:id="556" w:name="_Toc30249"/>
      <w:bookmarkStart w:id="557" w:name="_Toc118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86"/>
      <w:bookmarkEnd w:id="487"/>
      <w:bookmarkEnd w:id="488"/>
      <w:bookmarkEnd w:id="489"/>
      <w:bookmarkEnd w:id="490"/>
      <w:bookmarkEnd w:id="491"/>
      <w:bookmarkEnd w:id="492"/>
      <w:bookmarkEnd w:id="554"/>
      <w:bookmarkEnd w:id="555"/>
      <w:bookmarkEnd w:id="556"/>
      <w:bookmarkEnd w:id="55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8" w:name="_Toc16390"/>
      <w:bookmarkStart w:id="559" w:name="_Toc527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0" w:name="_Toc22242"/>
      <w:bookmarkStart w:id="561" w:name="_Toc27382"/>
      <w:bookmarkStart w:id="562" w:name="_Toc2372"/>
      <w:bookmarkStart w:id="563" w:name="_Toc24471"/>
      <w:bookmarkStart w:id="564" w:name="_Toc10211"/>
      <w:bookmarkStart w:id="565" w:name="_Toc23748"/>
      <w:bookmarkStart w:id="566" w:name="_Toc25693"/>
      <w:bookmarkStart w:id="567" w:name="_Toc31140"/>
      <w:bookmarkStart w:id="568" w:name="_Toc6245"/>
      <w:bookmarkStart w:id="569" w:name="_Toc24935"/>
      <w:bookmarkStart w:id="570" w:name="_Toc12279"/>
      <w:bookmarkStart w:id="571" w:name="_Toc24255"/>
      <w:bookmarkStart w:id="572" w:name="_Toc3138"/>
      <w:bookmarkStart w:id="573" w:name="_Toc4693"/>
      <w:bookmarkStart w:id="574" w:name="_Toc1803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0"/>
      <w:bookmarkEnd w:id="561"/>
      <w:bookmarkEnd w:id="562"/>
      <w:bookmarkEnd w:id="563"/>
      <w:bookmarkEnd w:id="564"/>
      <w:bookmarkEnd w:id="565"/>
      <w:bookmarkEnd w:id="566"/>
      <w:bookmarkEnd w:id="567"/>
      <w:bookmarkEnd w:id="568"/>
      <w:bookmarkEnd w:id="569"/>
      <w:bookmarkEnd w:id="5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75"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7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76" w:name="_Toc12135"/>
      <w:bookmarkStart w:id="577" w:name="_Toc19900"/>
      <w:bookmarkStart w:id="578" w:name="_Toc9945"/>
      <w:bookmarkStart w:id="579" w:name="_Toc2087"/>
      <w:bookmarkStart w:id="580" w:name="_Toc21156"/>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8"/>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76"/>
    <w:bookmarkEnd w:id="577"/>
    <w:bookmarkEnd w:id="578"/>
    <w:bookmarkEnd w:id="579"/>
    <w:bookmarkEnd w:id="580"/>
    <w:p w14:paraId="77FF5F32">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326" w:bottom="1270" w:left="134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14"/>
        <w:tabs>
          <w:tab w:val="clear" w:pos="840"/>
        </w:tabs>
        <w:rPr>
          <w:highlight w:val="none"/>
        </w:rPr>
      </w:pPr>
    </w:p>
    <w:p w14:paraId="3148849C">
      <w:pPr>
        <w:pStyle w:val="14"/>
        <w:tabs>
          <w:tab w:val="clear" w:pos="840"/>
        </w:tabs>
        <w:rPr>
          <w:highlight w:val="none"/>
        </w:rPr>
      </w:pPr>
    </w:p>
    <w:p w14:paraId="7C267CE2">
      <w:pPr>
        <w:pStyle w:val="14"/>
        <w:tabs>
          <w:tab w:val="clear" w:pos="840"/>
        </w:tabs>
        <w:rPr>
          <w:highlight w:val="none"/>
        </w:rPr>
      </w:pPr>
    </w:p>
    <w:p w14:paraId="4338A34A">
      <w:pPr>
        <w:pStyle w:val="14"/>
        <w:tabs>
          <w:tab w:val="clear" w:pos="840"/>
        </w:tabs>
        <w:rPr>
          <w:highlight w:val="none"/>
        </w:rPr>
      </w:pPr>
    </w:p>
    <w:p w14:paraId="32C66AD9">
      <w:pPr>
        <w:pStyle w:val="14"/>
        <w:tabs>
          <w:tab w:val="clear" w:pos="840"/>
        </w:tabs>
        <w:rPr>
          <w:highlight w:val="none"/>
        </w:rPr>
      </w:pPr>
    </w:p>
    <w:p w14:paraId="4C8FB2B2">
      <w:pPr>
        <w:pStyle w:val="14"/>
        <w:tabs>
          <w:tab w:val="clear" w:pos="840"/>
        </w:tabs>
        <w:rPr>
          <w:highlight w:val="none"/>
        </w:rPr>
      </w:pPr>
    </w:p>
    <w:p w14:paraId="76D5DB5D">
      <w:pPr>
        <w:pStyle w:val="14"/>
        <w:tabs>
          <w:tab w:val="clear" w:pos="840"/>
        </w:tabs>
        <w:rPr>
          <w:highlight w:val="none"/>
        </w:rPr>
      </w:pPr>
    </w:p>
    <w:p w14:paraId="2EA1293F">
      <w:pPr>
        <w:pStyle w:val="14"/>
        <w:tabs>
          <w:tab w:val="clear" w:pos="840"/>
        </w:tabs>
        <w:rPr>
          <w:highlight w:val="none"/>
        </w:rPr>
      </w:pPr>
    </w:p>
    <w:p w14:paraId="292ABCF7">
      <w:pPr>
        <w:pStyle w:val="14"/>
        <w:tabs>
          <w:tab w:val="clear" w:pos="840"/>
        </w:tabs>
        <w:rPr>
          <w:highlight w:val="none"/>
        </w:rPr>
      </w:pPr>
    </w:p>
    <w:p w14:paraId="2AC18C14">
      <w:pPr>
        <w:pStyle w:val="14"/>
        <w:tabs>
          <w:tab w:val="clear" w:pos="840"/>
        </w:tabs>
        <w:rPr>
          <w:highlight w:val="none"/>
        </w:rPr>
      </w:pPr>
    </w:p>
    <w:p w14:paraId="6E72E622">
      <w:pPr>
        <w:pStyle w:val="14"/>
        <w:tabs>
          <w:tab w:val="clear" w:pos="840"/>
        </w:tabs>
        <w:rPr>
          <w:highlight w:val="none"/>
        </w:rPr>
      </w:pPr>
    </w:p>
    <w:p w14:paraId="2874DE5F">
      <w:pPr>
        <w:pStyle w:val="14"/>
        <w:tabs>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14"/>
        <w:tabs>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14"/>
        <w:tabs>
          <w:tab w:val="clear" w:pos="840"/>
        </w:tabs>
        <w:rPr>
          <w:highlight w:val="none"/>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581"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581"/>
    </w:p>
    <w:p w14:paraId="7115779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20082"/>
      <w:bookmarkStart w:id="583" w:name="_Toc23399"/>
      <w:bookmarkStart w:id="584" w:name="_Toc26007"/>
      <w:bookmarkStart w:id="585" w:name="_Toc350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8"/>
      <w:bookmarkEnd w:id="559"/>
      <w:bookmarkEnd w:id="571"/>
      <w:bookmarkEnd w:id="572"/>
      <w:bookmarkEnd w:id="573"/>
      <w:bookmarkEnd w:id="57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582"/>
      <w:bookmarkEnd w:id="583"/>
      <w:bookmarkEnd w:id="584"/>
      <w:bookmarkEnd w:id="5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6"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44"/>
      <w:bookmarkEnd w:id="245"/>
      <w:bookmarkEnd w:id="246"/>
      <w:bookmarkEnd w:id="247"/>
      <w:bookmarkEnd w:id="5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6D5588CF">
      <w:pPr>
        <w:spacing w:line="360" w:lineRule="auto"/>
        <w:jc w:val="center"/>
        <w:rPr>
          <w:rFonts w:hint="eastAsia" w:ascii="宋体" w:hAnsi="宋体"/>
          <w:b/>
          <w:bCs/>
          <w:color w:val="auto"/>
          <w:sz w:val="32"/>
          <w:szCs w:val="32"/>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14"/>
        <w:tabs>
          <w:tab w:val="clear" w:pos="840"/>
        </w:tabs>
        <w:rPr>
          <w:rFonts w:hint="default" w:ascii="宋体" w:hAnsi="宋体" w:eastAsia="宋体" w:cs="宋体"/>
          <w:color w:val="auto"/>
          <w:sz w:val="24"/>
          <w:szCs w:val="24"/>
          <w:highlight w:val="none"/>
          <w:lang w:val="en-US" w:eastAsia="zh-CN"/>
        </w:rPr>
      </w:pPr>
    </w:p>
    <w:p w14:paraId="246B565B">
      <w:pPr>
        <w:pStyle w:val="14"/>
        <w:rPr>
          <w:rFonts w:hint="eastAsia"/>
          <w:highlight w:val="none"/>
          <w:lang w:val="en-US" w:eastAsia="zh-CN"/>
        </w:rPr>
      </w:pPr>
    </w:p>
    <w:sectPr>
      <w:footerReference r:id="rId7"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A88">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2A5E">
    <w:pPr>
      <w:pStyle w:val="8"/>
    </w:pPr>
  </w:p>
  <w:p w14:paraId="156AC44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889F66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34E14">
                    <w:pPr>
                      <w:pStyle w:val="8"/>
                    </w:pPr>
                    <w:r>
                      <w:fldChar w:fldCharType="begin"/>
                    </w:r>
                    <w:r>
                      <w:instrText xml:space="preserve"> PAGE  \* MERGEFORMAT </w:instrText>
                    </w:r>
                    <w:r>
                      <w:fldChar w:fldCharType="separate"/>
                    </w:r>
                    <w:r>
                      <w:t>56</w:t>
                    </w:r>
                    <w:r>
                      <w:fldChar w:fldCharType="end"/>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8A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60184"/>
    <w:multiLevelType w:val="singleLevel"/>
    <w:tmpl w:val="99560184"/>
    <w:lvl w:ilvl="0" w:tentative="0">
      <w:start w:val="1"/>
      <w:numFmt w:val="decimalEnclosedCircleChinese"/>
      <w:suff w:val="space"/>
      <w:lvlText w:val="%1"/>
      <w:lvlJc w:val="left"/>
      <w:rPr>
        <w:rFonts w:hint="eastAsia"/>
      </w:rPr>
    </w:lvl>
  </w:abstractNum>
  <w:abstractNum w:abstractNumId="1">
    <w:nsid w:val="AA26E733"/>
    <w:multiLevelType w:val="singleLevel"/>
    <w:tmpl w:val="AA26E733"/>
    <w:lvl w:ilvl="0" w:tentative="0">
      <w:start w:val="1"/>
      <w:numFmt w:val="chineseCounting"/>
      <w:suff w:val="space"/>
      <w:lvlText w:val="第%1部分"/>
      <w:lvlJc w:val="left"/>
      <w:rPr>
        <w:rFonts w:hint="eastAsia"/>
      </w:rPr>
    </w:lvl>
  </w:abstractNum>
  <w:abstractNum w:abstractNumId="2">
    <w:nsid w:val="BFE14D08"/>
    <w:multiLevelType w:val="singleLevel"/>
    <w:tmpl w:val="BFE14D08"/>
    <w:lvl w:ilvl="0" w:tentative="0">
      <w:start w:val="1"/>
      <w:numFmt w:val="chineseCounting"/>
      <w:suff w:val="nothing"/>
      <w:lvlText w:val="第%1章、"/>
      <w:lvlJc w:val="left"/>
      <w:rPr>
        <w:rFonts w:hint="eastAsia"/>
      </w:rPr>
    </w:lvl>
  </w:abstractNum>
  <w:abstractNum w:abstractNumId="3">
    <w:nsid w:val="C3353515"/>
    <w:multiLevelType w:val="singleLevel"/>
    <w:tmpl w:val="C3353515"/>
    <w:lvl w:ilvl="0" w:tentative="0">
      <w:start w:val="1"/>
      <w:numFmt w:val="decimal"/>
      <w:suff w:val="nothing"/>
      <w:lvlText w:val="（%1）"/>
      <w:lvlJc w:val="left"/>
    </w:lvl>
  </w:abstractNum>
  <w:abstractNum w:abstractNumId="4">
    <w:nsid w:val="EF8D7EDD"/>
    <w:multiLevelType w:val="singleLevel"/>
    <w:tmpl w:val="EF8D7EDD"/>
    <w:lvl w:ilvl="0" w:tentative="0">
      <w:start w:val="1"/>
      <w:numFmt w:val="chineseCounting"/>
      <w:suff w:val="nothing"/>
      <w:lvlText w:val="%1、"/>
      <w:lvlJc w:val="left"/>
      <w:rPr>
        <w:rFonts w:hint="eastAsia"/>
      </w:rPr>
    </w:lvl>
  </w:abstractNum>
  <w:abstractNum w:abstractNumId="5">
    <w:nsid w:val="0EC079B0"/>
    <w:multiLevelType w:val="singleLevel"/>
    <w:tmpl w:val="0EC079B0"/>
    <w:lvl w:ilvl="0" w:tentative="0">
      <w:start w:val="1"/>
      <w:numFmt w:val="decimal"/>
      <w:suff w:val="nothing"/>
      <w:lvlText w:val="%1、"/>
      <w:lvlJc w:val="left"/>
    </w:lvl>
  </w:abstractNum>
  <w:abstractNum w:abstractNumId="6">
    <w:nsid w:val="3D044A19"/>
    <w:multiLevelType w:val="singleLevel"/>
    <w:tmpl w:val="3D044A19"/>
    <w:lvl w:ilvl="0" w:tentative="0">
      <w:start w:val="1"/>
      <w:numFmt w:val="chineseCounting"/>
      <w:suff w:val="nothing"/>
      <w:lvlText w:val="第%1章、"/>
      <w:lvlJc w:val="left"/>
      <w:rPr>
        <w:rFonts w:hint="eastAsia"/>
      </w:rPr>
    </w:lvl>
  </w:abstractNum>
  <w:abstractNum w:abstractNumId="7">
    <w:nsid w:val="4A455E5B"/>
    <w:multiLevelType w:val="singleLevel"/>
    <w:tmpl w:val="4A455E5B"/>
    <w:lvl w:ilvl="0" w:tentative="0">
      <w:start w:val="1"/>
      <w:numFmt w:val="decimal"/>
      <w:suff w:val="nothing"/>
      <w:lvlText w:val="（%1）"/>
      <w:lvlJc w:val="left"/>
    </w:lvl>
  </w:abstractNum>
  <w:abstractNum w:abstractNumId="8">
    <w:nsid w:val="763669C7"/>
    <w:multiLevelType w:val="singleLevel"/>
    <w:tmpl w:val="763669C7"/>
    <w:lvl w:ilvl="0" w:tentative="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mFjY2M4NGE3NTNmYTZhMjQ2NWNhMzdjOTI1OWUifQ=="/>
    <w:docVar w:name="KSO_WPS_MARK_KEY" w:val="3e6183d2-6170-4c9f-9194-9e1f6c12a256"/>
  </w:docVars>
  <w:rsids>
    <w:rsidRoot w:val="00172A27"/>
    <w:rsid w:val="000118A6"/>
    <w:rsid w:val="00014E71"/>
    <w:rsid w:val="00070351"/>
    <w:rsid w:val="00163894"/>
    <w:rsid w:val="00190047"/>
    <w:rsid w:val="00203180"/>
    <w:rsid w:val="00203CC0"/>
    <w:rsid w:val="00213CF6"/>
    <w:rsid w:val="00381040"/>
    <w:rsid w:val="00387CA6"/>
    <w:rsid w:val="003F5F2A"/>
    <w:rsid w:val="005373E8"/>
    <w:rsid w:val="00592882"/>
    <w:rsid w:val="006730BA"/>
    <w:rsid w:val="00693CB3"/>
    <w:rsid w:val="0078136E"/>
    <w:rsid w:val="008102F1"/>
    <w:rsid w:val="00895C57"/>
    <w:rsid w:val="008B3493"/>
    <w:rsid w:val="009224FE"/>
    <w:rsid w:val="009450A4"/>
    <w:rsid w:val="009530E3"/>
    <w:rsid w:val="00AA5B35"/>
    <w:rsid w:val="00AE31A0"/>
    <w:rsid w:val="00B35E9C"/>
    <w:rsid w:val="00B970C4"/>
    <w:rsid w:val="00BC3A1F"/>
    <w:rsid w:val="00BF7D50"/>
    <w:rsid w:val="00C01140"/>
    <w:rsid w:val="00C14B6F"/>
    <w:rsid w:val="00C36B5B"/>
    <w:rsid w:val="00C70D2C"/>
    <w:rsid w:val="00C94BA8"/>
    <w:rsid w:val="00CA1002"/>
    <w:rsid w:val="00CB30A1"/>
    <w:rsid w:val="00D25D47"/>
    <w:rsid w:val="00DF5360"/>
    <w:rsid w:val="00E1609D"/>
    <w:rsid w:val="00E178E3"/>
    <w:rsid w:val="00E95BC4"/>
    <w:rsid w:val="00ED202F"/>
    <w:rsid w:val="00F30062"/>
    <w:rsid w:val="00F474E7"/>
    <w:rsid w:val="010A1348"/>
    <w:rsid w:val="011E0CCE"/>
    <w:rsid w:val="013730A5"/>
    <w:rsid w:val="0147153B"/>
    <w:rsid w:val="01510F6A"/>
    <w:rsid w:val="015765E3"/>
    <w:rsid w:val="01813F60"/>
    <w:rsid w:val="01B5752C"/>
    <w:rsid w:val="01B6046E"/>
    <w:rsid w:val="01BF37C7"/>
    <w:rsid w:val="01C04E49"/>
    <w:rsid w:val="01D26D8C"/>
    <w:rsid w:val="01D9415D"/>
    <w:rsid w:val="021C600F"/>
    <w:rsid w:val="022C24DE"/>
    <w:rsid w:val="02391BF0"/>
    <w:rsid w:val="024C0DD3"/>
    <w:rsid w:val="024E1742"/>
    <w:rsid w:val="024F7C95"/>
    <w:rsid w:val="02587777"/>
    <w:rsid w:val="02820350"/>
    <w:rsid w:val="0284231A"/>
    <w:rsid w:val="02854A8C"/>
    <w:rsid w:val="02886DC8"/>
    <w:rsid w:val="028873DB"/>
    <w:rsid w:val="02994018"/>
    <w:rsid w:val="029D34AA"/>
    <w:rsid w:val="02A9480A"/>
    <w:rsid w:val="02B63659"/>
    <w:rsid w:val="02BF77F6"/>
    <w:rsid w:val="02D55869"/>
    <w:rsid w:val="02D768EE"/>
    <w:rsid w:val="02E1776D"/>
    <w:rsid w:val="02FE1B0B"/>
    <w:rsid w:val="033E696D"/>
    <w:rsid w:val="03630182"/>
    <w:rsid w:val="036D65A5"/>
    <w:rsid w:val="03800D34"/>
    <w:rsid w:val="03C341C1"/>
    <w:rsid w:val="03EE2CEC"/>
    <w:rsid w:val="03FB7C54"/>
    <w:rsid w:val="040B4A77"/>
    <w:rsid w:val="04277401"/>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F5954"/>
    <w:rsid w:val="054F4E62"/>
    <w:rsid w:val="05657FDC"/>
    <w:rsid w:val="056B1570"/>
    <w:rsid w:val="059B1E55"/>
    <w:rsid w:val="05A101F3"/>
    <w:rsid w:val="05AB5E10"/>
    <w:rsid w:val="05D56967"/>
    <w:rsid w:val="05E732EC"/>
    <w:rsid w:val="05FA2136"/>
    <w:rsid w:val="062005AC"/>
    <w:rsid w:val="064A0EA5"/>
    <w:rsid w:val="06530982"/>
    <w:rsid w:val="06706AD8"/>
    <w:rsid w:val="06976105"/>
    <w:rsid w:val="06A66D03"/>
    <w:rsid w:val="06D31393"/>
    <w:rsid w:val="06DC2F7F"/>
    <w:rsid w:val="06ED4932"/>
    <w:rsid w:val="06F832D7"/>
    <w:rsid w:val="070B125C"/>
    <w:rsid w:val="071716FC"/>
    <w:rsid w:val="07181283"/>
    <w:rsid w:val="071B1643"/>
    <w:rsid w:val="07311721"/>
    <w:rsid w:val="073F4A62"/>
    <w:rsid w:val="0749768F"/>
    <w:rsid w:val="07513FB1"/>
    <w:rsid w:val="07580BE5"/>
    <w:rsid w:val="075D56E6"/>
    <w:rsid w:val="076A3F72"/>
    <w:rsid w:val="07740BAF"/>
    <w:rsid w:val="077E558A"/>
    <w:rsid w:val="07B436A2"/>
    <w:rsid w:val="07B9513E"/>
    <w:rsid w:val="07C02047"/>
    <w:rsid w:val="07E13D6B"/>
    <w:rsid w:val="07E31891"/>
    <w:rsid w:val="07F41CF0"/>
    <w:rsid w:val="07F61040"/>
    <w:rsid w:val="07FC5C21"/>
    <w:rsid w:val="081B54CF"/>
    <w:rsid w:val="081B70BC"/>
    <w:rsid w:val="083A6C4A"/>
    <w:rsid w:val="084731D1"/>
    <w:rsid w:val="085547A4"/>
    <w:rsid w:val="085C7B8E"/>
    <w:rsid w:val="089112ED"/>
    <w:rsid w:val="08A6123D"/>
    <w:rsid w:val="08B374B6"/>
    <w:rsid w:val="08BC34BB"/>
    <w:rsid w:val="08D04EA3"/>
    <w:rsid w:val="08D1580F"/>
    <w:rsid w:val="08F24A3C"/>
    <w:rsid w:val="08FA1588"/>
    <w:rsid w:val="090207D6"/>
    <w:rsid w:val="091A7535"/>
    <w:rsid w:val="094F7E28"/>
    <w:rsid w:val="09757AB5"/>
    <w:rsid w:val="09760B9C"/>
    <w:rsid w:val="099A1CCF"/>
    <w:rsid w:val="09A56C91"/>
    <w:rsid w:val="09A82D92"/>
    <w:rsid w:val="09C46844"/>
    <w:rsid w:val="09C94AB7"/>
    <w:rsid w:val="09E22A5D"/>
    <w:rsid w:val="09E273EA"/>
    <w:rsid w:val="09E87633"/>
    <w:rsid w:val="09FB1114"/>
    <w:rsid w:val="09FB55B8"/>
    <w:rsid w:val="09FB7366"/>
    <w:rsid w:val="09FF6F98"/>
    <w:rsid w:val="0A2118B5"/>
    <w:rsid w:val="0A454A85"/>
    <w:rsid w:val="0A5922DF"/>
    <w:rsid w:val="0A60366D"/>
    <w:rsid w:val="0A706E94"/>
    <w:rsid w:val="0A7964DD"/>
    <w:rsid w:val="0A9A5DF0"/>
    <w:rsid w:val="0AAF26F8"/>
    <w:rsid w:val="0ACE6829"/>
    <w:rsid w:val="0AD62B48"/>
    <w:rsid w:val="0AE30F3A"/>
    <w:rsid w:val="0AFA3582"/>
    <w:rsid w:val="0B187BFF"/>
    <w:rsid w:val="0B3C1D27"/>
    <w:rsid w:val="0B3D2BA6"/>
    <w:rsid w:val="0B514A22"/>
    <w:rsid w:val="0B70650A"/>
    <w:rsid w:val="0B7A69B0"/>
    <w:rsid w:val="0B8C5471"/>
    <w:rsid w:val="0B9D61FB"/>
    <w:rsid w:val="0BB84DE3"/>
    <w:rsid w:val="0BB93035"/>
    <w:rsid w:val="0BD92D6E"/>
    <w:rsid w:val="0BD95485"/>
    <w:rsid w:val="0BD966B1"/>
    <w:rsid w:val="0BDB7D38"/>
    <w:rsid w:val="0C125258"/>
    <w:rsid w:val="0C177688"/>
    <w:rsid w:val="0C1D2B00"/>
    <w:rsid w:val="0C4D2770"/>
    <w:rsid w:val="0C727688"/>
    <w:rsid w:val="0C7927C4"/>
    <w:rsid w:val="0C8E44C1"/>
    <w:rsid w:val="0C9B273A"/>
    <w:rsid w:val="0CBC5C8A"/>
    <w:rsid w:val="0CC04DC6"/>
    <w:rsid w:val="0CC9374C"/>
    <w:rsid w:val="0CCA5228"/>
    <w:rsid w:val="0CCC7052"/>
    <w:rsid w:val="0CD65E68"/>
    <w:rsid w:val="0CE1709F"/>
    <w:rsid w:val="0D006A41"/>
    <w:rsid w:val="0D0522AA"/>
    <w:rsid w:val="0D077DD0"/>
    <w:rsid w:val="0D0B0EE3"/>
    <w:rsid w:val="0D186481"/>
    <w:rsid w:val="0D4536A9"/>
    <w:rsid w:val="0D6042F4"/>
    <w:rsid w:val="0D6671EC"/>
    <w:rsid w:val="0D723345"/>
    <w:rsid w:val="0D8B6C53"/>
    <w:rsid w:val="0D9553DC"/>
    <w:rsid w:val="0D964F5E"/>
    <w:rsid w:val="0DAE068F"/>
    <w:rsid w:val="0DAE649D"/>
    <w:rsid w:val="0DBB3044"/>
    <w:rsid w:val="0DD51C7C"/>
    <w:rsid w:val="0DD56120"/>
    <w:rsid w:val="0DD63101"/>
    <w:rsid w:val="0DD95C10"/>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7C1046"/>
    <w:rsid w:val="0E8030E7"/>
    <w:rsid w:val="0EA63619"/>
    <w:rsid w:val="0EB8792A"/>
    <w:rsid w:val="0EBC61DF"/>
    <w:rsid w:val="0EC341CA"/>
    <w:rsid w:val="0EDD34DE"/>
    <w:rsid w:val="0EFD148A"/>
    <w:rsid w:val="0F0A3692"/>
    <w:rsid w:val="0F0E18EA"/>
    <w:rsid w:val="0F3050A6"/>
    <w:rsid w:val="0F465E76"/>
    <w:rsid w:val="0F56503F"/>
    <w:rsid w:val="0F706264"/>
    <w:rsid w:val="0F9A1418"/>
    <w:rsid w:val="0FA17752"/>
    <w:rsid w:val="0FB22358"/>
    <w:rsid w:val="0FD57629"/>
    <w:rsid w:val="0FDC5544"/>
    <w:rsid w:val="10233C5D"/>
    <w:rsid w:val="10352EA6"/>
    <w:rsid w:val="10623011"/>
    <w:rsid w:val="108674CF"/>
    <w:rsid w:val="10922D88"/>
    <w:rsid w:val="109E0A4B"/>
    <w:rsid w:val="10A145F0"/>
    <w:rsid w:val="10A14840"/>
    <w:rsid w:val="10A23752"/>
    <w:rsid w:val="10C82C31"/>
    <w:rsid w:val="10CD2622"/>
    <w:rsid w:val="10D80992"/>
    <w:rsid w:val="10F352AD"/>
    <w:rsid w:val="11034D52"/>
    <w:rsid w:val="11126856"/>
    <w:rsid w:val="11243FFF"/>
    <w:rsid w:val="113718BF"/>
    <w:rsid w:val="11407F98"/>
    <w:rsid w:val="11557E4D"/>
    <w:rsid w:val="11565855"/>
    <w:rsid w:val="11665A0D"/>
    <w:rsid w:val="11743B70"/>
    <w:rsid w:val="1188642D"/>
    <w:rsid w:val="11902C28"/>
    <w:rsid w:val="119D1F55"/>
    <w:rsid w:val="11D01CF9"/>
    <w:rsid w:val="11EB7CC0"/>
    <w:rsid w:val="11FC60EA"/>
    <w:rsid w:val="12077CFA"/>
    <w:rsid w:val="121B43BF"/>
    <w:rsid w:val="12253DEF"/>
    <w:rsid w:val="12271A49"/>
    <w:rsid w:val="122907E8"/>
    <w:rsid w:val="124205D1"/>
    <w:rsid w:val="12613ED3"/>
    <w:rsid w:val="12635AA8"/>
    <w:rsid w:val="12696E37"/>
    <w:rsid w:val="126E62DF"/>
    <w:rsid w:val="127952CC"/>
    <w:rsid w:val="12A30FD7"/>
    <w:rsid w:val="12AA36D7"/>
    <w:rsid w:val="12CD386A"/>
    <w:rsid w:val="12F901BB"/>
    <w:rsid w:val="130D422A"/>
    <w:rsid w:val="130F3E82"/>
    <w:rsid w:val="13165211"/>
    <w:rsid w:val="132E143F"/>
    <w:rsid w:val="13471AD0"/>
    <w:rsid w:val="134753CA"/>
    <w:rsid w:val="134C478E"/>
    <w:rsid w:val="135B5878"/>
    <w:rsid w:val="13781A27"/>
    <w:rsid w:val="13826402"/>
    <w:rsid w:val="13845E89"/>
    <w:rsid w:val="13877EBC"/>
    <w:rsid w:val="13985C26"/>
    <w:rsid w:val="139D15ED"/>
    <w:rsid w:val="13B14F39"/>
    <w:rsid w:val="13E97B32"/>
    <w:rsid w:val="14092680"/>
    <w:rsid w:val="14226B92"/>
    <w:rsid w:val="14301B15"/>
    <w:rsid w:val="14530591"/>
    <w:rsid w:val="14564D5E"/>
    <w:rsid w:val="14661880"/>
    <w:rsid w:val="14726477"/>
    <w:rsid w:val="14870CC8"/>
    <w:rsid w:val="1492781C"/>
    <w:rsid w:val="14942891"/>
    <w:rsid w:val="1499025C"/>
    <w:rsid w:val="149B6797"/>
    <w:rsid w:val="14B678F8"/>
    <w:rsid w:val="14C41530"/>
    <w:rsid w:val="14C9686C"/>
    <w:rsid w:val="14E07884"/>
    <w:rsid w:val="14F15522"/>
    <w:rsid w:val="150337D5"/>
    <w:rsid w:val="1504174F"/>
    <w:rsid w:val="15084B3F"/>
    <w:rsid w:val="152135DE"/>
    <w:rsid w:val="152F6751"/>
    <w:rsid w:val="1553452D"/>
    <w:rsid w:val="15542020"/>
    <w:rsid w:val="156F29B6"/>
    <w:rsid w:val="157E0E4B"/>
    <w:rsid w:val="158263AD"/>
    <w:rsid w:val="158A77F0"/>
    <w:rsid w:val="158F501B"/>
    <w:rsid w:val="159452FD"/>
    <w:rsid w:val="15A9794A"/>
    <w:rsid w:val="15AF4A36"/>
    <w:rsid w:val="15B036FB"/>
    <w:rsid w:val="15B14B22"/>
    <w:rsid w:val="15BA33B1"/>
    <w:rsid w:val="15CD0276"/>
    <w:rsid w:val="15E16D7A"/>
    <w:rsid w:val="15E46F00"/>
    <w:rsid w:val="15F1750E"/>
    <w:rsid w:val="15FA6724"/>
    <w:rsid w:val="15FE0734"/>
    <w:rsid w:val="16041350"/>
    <w:rsid w:val="16151C72"/>
    <w:rsid w:val="161A23FF"/>
    <w:rsid w:val="161F43DC"/>
    <w:rsid w:val="16290B92"/>
    <w:rsid w:val="16297009"/>
    <w:rsid w:val="16411B20"/>
    <w:rsid w:val="165C2217"/>
    <w:rsid w:val="167069E6"/>
    <w:rsid w:val="167D7D71"/>
    <w:rsid w:val="169F1079"/>
    <w:rsid w:val="16A3500D"/>
    <w:rsid w:val="16A362C6"/>
    <w:rsid w:val="16B36AE1"/>
    <w:rsid w:val="16C15493"/>
    <w:rsid w:val="16C23AE4"/>
    <w:rsid w:val="16E42F30"/>
    <w:rsid w:val="16ED4897"/>
    <w:rsid w:val="16FE0496"/>
    <w:rsid w:val="172A0C99"/>
    <w:rsid w:val="174C7453"/>
    <w:rsid w:val="174D0264"/>
    <w:rsid w:val="17822E75"/>
    <w:rsid w:val="17912F16"/>
    <w:rsid w:val="179A1DCD"/>
    <w:rsid w:val="17A15E0B"/>
    <w:rsid w:val="17AF1790"/>
    <w:rsid w:val="17B402E8"/>
    <w:rsid w:val="17C400EA"/>
    <w:rsid w:val="17DE3E23"/>
    <w:rsid w:val="17E53404"/>
    <w:rsid w:val="17EC5092"/>
    <w:rsid w:val="17F90C5D"/>
    <w:rsid w:val="18005C8D"/>
    <w:rsid w:val="1811244B"/>
    <w:rsid w:val="18187335"/>
    <w:rsid w:val="181D494B"/>
    <w:rsid w:val="183C2E3A"/>
    <w:rsid w:val="183D3240"/>
    <w:rsid w:val="18416A30"/>
    <w:rsid w:val="185B7321"/>
    <w:rsid w:val="186E09C7"/>
    <w:rsid w:val="18876948"/>
    <w:rsid w:val="188E5849"/>
    <w:rsid w:val="18937310"/>
    <w:rsid w:val="189E4F3F"/>
    <w:rsid w:val="18C83A9F"/>
    <w:rsid w:val="18F224FA"/>
    <w:rsid w:val="18FC77C6"/>
    <w:rsid w:val="190D49C0"/>
    <w:rsid w:val="191D4341"/>
    <w:rsid w:val="19206CA1"/>
    <w:rsid w:val="19265A82"/>
    <w:rsid w:val="192C753C"/>
    <w:rsid w:val="1938288F"/>
    <w:rsid w:val="193C37AA"/>
    <w:rsid w:val="193D3C3C"/>
    <w:rsid w:val="193E360F"/>
    <w:rsid w:val="194C25DA"/>
    <w:rsid w:val="19597C05"/>
    <w:rsid w:val="195C344B"/>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903AFB"/>
    <w:rsid w:val="1AA475A6"/>
    <w:rsid w:val="1AC11F06"/>
    <w:rsid w:val="1ACC0721"/>
    <w:rsid w:val="1B022F94"/>
    <w:rsid w:val="1B2B4344"/>
    <w:rsid w:val="1B310517"/>
    <w:rsid w:val="1B3725D9"/>
    <w:rsid w:val="1B3C1FFD"/>
    <w:rsid w:val="1B7B7127"/>
    <w:rsid w:val="1B9118D8"/>
    <w:rsid w:val="1BA16335"/>
    <w:rsid w:val="1BA57132"/>
    <w:rsid w:val="1BA6218E"/>
    <w:rsid w:val="1BAD5FE6"/>
    <w:rsid w:val="1BB13D28"/>
    <w:rsid w:val="1BC13DCC"/>
    <w:rsid w:val="1BDF0508"/>
    <w:rsid w:val="1BE177E6"/>
    <w:rsid w:val="1BEE6D2B"/>
    <w:rsid w:val="1BF5598D"/>
    <w:rsid w:val="1C0148AF"/>
    <w:rsid w:val="1C0B748C"/>
    <w:rsid w:val="1C116575"/>
    <w:rsid w:val="1C305105"/>
    <w:rsid w:val="1C485D0F"/>
    <w:rsid w:val="1C4A1A87"/>
    <w:rsid w:val="1C547B70"/>
    <w:rsid w:val="1C700BEF"/>
    <w:rsid w:val="1C7B17FA"/>
    <w:rsid w:val="1C896A53"/>
    <w:rsid w:val="1C972259"/>
    <w:rsid w:val="1C9D20E2"/>
    <w:rsid w:val="1CA05B4B"/>
    <w:rsid w:val="1CAF0157"/>
    <w:rsid w:val="1CB11B06"/>
    <w:rsid w:val="1CBF2781"/>
    <w:rsid w:val="1CC306E9"/>
    <w:rsid w:val="1CD70D11"/>
    <w:rsid w:val="1CDF09E4"/>
    <w:rsid w:val="1CF42E6E"/>
    <w:rsid w:val="1CF70848"/>
    <w:rsid w:val="1D085BCA"/>
    <w:rsid w:val="1D0D1432"/>
    <w:rsid w:val="1D104A7F"/>
    <w:rsid w:val="1D1074B6"/>
    <w:rsid w:val="1D2B28C5"/>
    <w:rsid w:val="1D444728"/>
    <w:rsid w:val="1D52005B"/>
    <w:rsid w:val="1D7711E5"/>
    <w:rsid w:val="1D7E60AC"/>
    <w:rsid w:val="1D8D5398"/>
    <w:rsid w:val="1DC36C05"/>
    <w:rsid w:val="1DD26A50"/>
    <w:rsid w:val="1DEB0CCB"/>
    <w:rsid w:val="1DFB128B"/>
    <w:rsid w:val="1E052B8D"/>
    <w:rsid w:val="1E0D7210"/>
    <w:rsid w:val="1E2A7D44"/>
    <w:rsid w:val="1E611A53"/>
    <w:rsid w:val="1E641526"/>
    <w:rsid w:val="1E67154A"/>
    <w:rsid w:val="1E6B19BE"/>
    <w:rsid w:val="1E8A02A3"/>
    <w:rsid w:val="1E933BB9"/>
    <w:rsid w:val="1E9E3807"/>
    <w:rsid w:val="1ECE2E43"/>
    <w:rsid w:val="1EE518CA"/>
    <w:rsid w:val="1EF1268E"/>
    <w:rsid w:val="1EFE4EDD"/>
    <w:rsid w:val="1F026649"/>
    <w:rsid w:val="1F1464D9"/>
    <w:rsid w:val="1F176598"/>
    <w:rsid w:val="1F2C4506"/>
    <w:rsid w:val="1F417171"/>
    <w:rsid w:val="1F437CC6"/>
    <w:rsid w:val="1F444EB4"/>
    <w:rsid w:val="1F4F074B"/>
    <w:rsid w:val="1F5A6485"/>
    <w:rsid w:val="1F6B5C4E"/>
    <w:rsid w:val="1F6C1A2B"/>
    <w:rsid w:val="1F881E32"/>
    <w:rsid w:val="1F8D23B7"/>
    <w:rsid w:val="1FB45B95"/>
    <w:rsid w:val="1FC3519E"/>
    <w:rsid w:val="1FC61487"/>
    <w:rsid w:val="1FD405FC"/>
    <w:rsid w:val="1FF57B15"/>
    <w:rsid w:val="201C6394"/>
    <w:rsid w:val="202076CF"/>
    <w:rsid w:val="202D3B9A"/>
    <w:rsid w:val="20305F21"/>
    <w:rsid w:val="203B28A1"/>
    <w:rsid w:val="204A474C"/>
    <w:rsid w:val="20542ED4"/>
    <w:rsid w:val="2063580D"/>
    <w:rsid w:val="20644136"/>
    <w:rsid w:val="20695B32"/>
    <w:rsid w:val="207B343E"/>
    <w:rsid w:val="20801F1B"/>
    <w:rsid w:val="208D0084"/>
    <w:rsid w:val="20994D8B"/>
    <w:rsid w:val="20B35E4D"/>
    <w:rsid w:val="20BB73F7"/>
    <w:rsid w:val="20CF6A27"/>
    <w:rsid w:val="20D364EF"/>
    <w:rsid w:val="20DB1848"/>
    <w:rsid w:val="20DE6C42"/>
    <w:rsid w:val="20E95E3C"/>
    <w:rsid w:val="20EC75B1"/>
    <w:rsid w:val="20EF2BFD"/>
    <w:rsid w:val="21007F6D"/>
    <w:rsid w:val="21260D15"/>
    <w:rsid w:val="212C2C54"/>
    <w:rsid w:val="212C428E"/>
    <w:rsid w:val="212E52ED"/>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363ED"/>
    <w:rsid w:val="22AE65BE"/>
    <w:rsid w:val="22B63195"/>
    <w:rsid w:val="22BC4220"/>
    <w:rsid w:val="22E5250A"/>
    <w:rsid w:val="22F369D5"/>
    <w:rsid w:val="22F616B5"/>
    <w:rsid w:val="22FD0E5C"/>
    <w:rsid w:val="230778C7"/>
    <w:rsid w:val="231A510B"/>
    <w:rsid w:val="23331187"/>
    <w:rsid w:val="235F1197"/>
    <w:rsid w:val="235F406A"/>
    <w:rsid w:val="236A7616"/>
    <w:rsid w:val="236F7F68"/>
    <w:rsid w:val="2374647C"/>
    <w:rsid w:val="237C3267"/>
    <w:rsid w:val="238A706E"/>
    <w:rsid w:val="23A21A79"/>
    <w:rsid w:val="23BC326A"/>
    <w:rsid w:val="23BD72DF"/>
    <w:rsid w:val="23BF2528"/>
    <w:rsid w:val="23DA1E7B"/>
    <w:rsid w:val="23E629DD"/>
    <w:rsid w:val="23E7405F"/>
    <w:rsid w:val="23EA5501"/>
    <w:rsid w:val="24156E1F"/>
    <w:rsid w:val="2417794A"/>
    <w:rsid w:val="243E45C7"/>
    <w:rsid w:val="2475240E"/>
    <w:rsid w:val="247955FF"/>
    <w:rsid w:val="24961E78"/>
    <w:rsid w:val="24AD5A93"/>
    <w:rsid w:val="24B56686"/>
    <w:rsid w:val="24BD3F2F"/>
    <w:rsid w:val="24D665AE"/>
    <w:rsid w:val="24E30CCB"/>
    <w:rsid w:val="25201F1F"/>
    <w:rsid w:val="25207829"/>
    <w:rsid w:val="25275932"/>
    <w:rsid w:val="254C15F2"/>
    <w:rsid w:val="256A6BDA"/>
    <w:rsid w:val="256E456D"/>
    <w:rsid w:val="257D3EAF"/>
    <w:rsid w:val="257D68C9"/>
    <w:rsid w:val="258A399C"/>
    <w:rsid w:val="25AE72ED"/>
    <w:rsid w:val="25B34B41"/>
    <w:rsid w:val="26086C3B"/>
    <w:rsid w:val="261920D8"/>
    <w:rsid w:val="261B0492"/>
    <w:rsid w:val="26254703"/>
    <w:rsid w:val="262D7F52"/>
    <w:rsid w:val="26415CA9"/>
    <w:rsid w:val="26492DAF"/>
    <w:rsid w:val="264D0AF2"/>
    <w:rsid w:val="26571970"/>
    <w:rsid w:val="265D366D"/>
    <w:rsid w:val="26655E3B"/>
    <w:rsid w:val="26E56F7C"/>
    <w:rsid w:val="26E75394"/>
    <w:rsid w:val="26EA6552"/>
    <w:rsid w:val="26EF4335"/>
    <w:rsid w:val="270B4948"/>
    <w:rsid w:val="27215AAC"/>
    <w:rsid w:val="2723400E"/>
    <w:rsid w:val="273E668C"/>
    <w:rsid w:val="274041B2"/>
    <w:rsid w:val="27594AEA"/>
    <w:rsid w:val="27763E18"/>
    <w:rsid w:val="27767BD4"/>
    <w:rsid w:val="27A5262E"/>
    <w:rsid w:val="27AE3812"/>
    <w:rsid w:val="27B8643F"/>
    <w:rsid w:val="27C132F1"/>
    <w:rsid w:val="27CB7D80"/>
    <w:rsid w:val="27CD1F54"/>
    <w:rsid w:val="27D85841"/>
    <w:rsid w:val="27D86AE1"/>
    <w:rsid w:val="27DD7C53"/>
    <w:rsid w:val="27E014F2"/>
    <w:rsid w:val="281F201A"/>
    <w:rsid w:val="28201DDD"/>
    <w:rsid w:val="283F090E"/>
    <w:rsid w:val="2844798D"/>
    <w:rsid w:val="28691716"/>
    <w:rsid w:val="288307FB"/>
    <w:rsid w:val="28C45AE6"/>
    <w:rsid w:val="28C64B8B"/>
    <w:rsid w:val="28CD5F1A"/>
    <w:rsid w:val="28D366FF"/>
    <w:rsid w:val="28D9669A"/>
    <w:rsid w:val="28DF697D"/>
    <w:rsid w:val="28ED5532"/>
    <w:rsid w:val="2900094D"/>
    <w:rsid w:val="291458F7"/>
    <w:rsid w:val="2927562A"/>
    <w:rsid w:val="294C6E3F"/>
    <w:rsid w:val="29763EBB"/>
    <w:rsid w:val="297B7724"/>
    <w:rsid w:val="29826D04"/>
    <w:rsid w:val="29B6075C"/>
    <w:rsid w:val="29D532D8"/>
    <w:rsid w:val="29EE6148"/>
    <w:rsid w:val="29FB219D"/>
    <w:rsid w:val="2A157B78"/>
    <w:rsid w:val="2A513F3A"/>
    <w:rsid w:val="2A5A558B"/>
    <w:rsid w:val="2A6B59EA"/>
    <w:rsid w:val="2A6C2FBF"/>
    <w:rsid w:val="2A7D127A"/>
    <w:rsid w:val="2A8D5961"/>
    <w:rsid w:val="2A957654"/>
    <w:rsid w:val="2AAD1B5F"/>
    <w:rsid w:val="2AB0164F"/>
    <w:rsid w:val="2AD92954"/>
    <w:rsid w:val="2AEA2DB3"/>
    <w:rsid w:val="2AEC6B2B"/>
    <w:rsid w:val="2B0139C3"/>
    <w:rsid w:val="2B0B4446"/>
    <w:rsid w:val="2B0B5F38"/>
    <w:rsid w:val="2B195446"/>
    <w:rsid w:val="2B230BF3"/>
    <w:rsid w:val="2B471FB3"/>
    <w:rsid w:val="2B88437A"/>
    <w:rsid w:val="2B88534B"/>
    <w:rsid w:val="2BA6088A"/>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43CB8"/>
    <w:rsid w:val="2CF96C08"/>
    <w:rsid w:val="2CFF066C"/>
    <w:rsid w:val="2D2360D5"/>
    <w:rsid w:val="2D3575D7"/>
    <w:rsid w:val="2D392A9A"/>
    <w:rsid w:val="2D3F2720"/>
    <w:rsid w:val="2D6A3D37"/>
    <w:rsid w:val="2D8017AD"/>
    <w:rsid w:val="2D895D38"/>
    <w:rsid w:val="2DB43204"/>
    <w:rsid w:val="2DB54923"/>
    <w:rsid w:val="2DBE543C"/>
    <w:rsid w:val="2DBF6A28"/>
    <w:rsid w:val="2DC75DE6"/>
    <w:rsid w:val="2DD04934"/>
    <w:rsid w:val="2DDB4BC1"/>
    <w:rsid w:val="2DDD3FC1"/>
    <w:rsid w:val="2E0F2B31"/>
    <w:rsid w:val="2E1F17F1"/>
    <w:rsid w:val="2E220AB6"/>
    <w:rsid w:val="2E2465DC"/>
    <w:rsid w:val="2E255EB0"/>
    <w:rsid w:val="2E3A7D96"/>
    <w:rsid w:val="2E4427DA"/>
    <w:rsid w:val="2E5C5D76"/>
    <w:rsid w:val="2E5D389C"/>
    <w:rsid w:val="2E5D477B"/>
    <w:rsid w:val="2E630C84"/>
    <w:rsid w:val="2E641B42"/>
    <w:rsid w:val="2E650F7F"/>
    <w:rsid w:val="2E837111"/>
    <w:rsid w:val="2E84600A"/>
    <w:rsid w:val="2E956466"/>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5162B4"/>
    <w:rsid w:val="30644D23"/>
    <w:rsid w:val="30894E1C"/>
    <w:rsid w:val="30957468"/>
    <w:rsid w:val="30B05F05"/>
    <w:rsid w:val="30CD3408"/>
    <w:rsid w:val="30CF4EA4"/>
    <w:rsid w:val="30DA5678"/>
    <w:rsid w:val="30F57DBC"/>
    <w:rsid w:val="30FA3624"/>
    <w:rsid w:val="31002A27"/>
    <w:rsid w:val="310A4AEB"/>
    <w:rsid w:val="310D2023"/>
    <w:rsid w:val="313308E4"/>
    <w:rsid w:val="314D7BF8"/>
    <w:rsid w:val="3163741B"/>
    <w:rsid w:val="31662CD4"/>
    <w:rsid w:val="31857392"/>
    <w:rsid w:val="318E1BB8"/>
    <w:rsid w:val="31925D85"/>
    <w:rsid w:val="319475D5"/>
    <w:rsid w:val="319976C6"/>
    <w:rsid w:val="319A711F"/>
    <w:rsid w:val="31A15954"/>
    <w:rsid w:val="31C375C8"/>
    <w:rsid w:val="31E33FB1"/>
    <w:rsid w:val="31E75151"/>
    <w:rsid w:val="320643AF"/>
    <w:rsid w:val="32130E41"/>
    <w:rsid w:val="322841C1"/>
    <w:rsid w:val="322D6302"/>
    <w:rsid w:val="32562ADC"/>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96103"/>
    <w:rsid w:val="335C4122"/>
    <w:rsid w:val="335D1989"/>
    <w:rsid w:val="336F1756"/>
    <w:rsid w:val="33721B98"/>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094E6B"/>
    <w:rsid w:val="341C53BA"/>
    <w:rsid w:val="342C131A"/>
    <w:rsid w:val="34312EC5"/>
    <w:rsid w:val="344A041F"/>
    <w:rsid w:val="347C39A8"/>
    <w:rsid w:val="34847DD4"/>
    <w:rsid w:val="34853B4C"/>
    <w:rsid w:val="3493296C"/>
    <w:rsid w:val="34AE30A3"/>
    <w:rsid w:val="34B34723"/>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5F609F2"/>
    <w:rsid w:val="36401AD9"/>
    <w:rsid w:val="364610BA"/>
    <w:rsid w:val="36724494"/>
    <w:rsid w:val="3679649B"/>
    <w:rsid w:val="367D0F7F"/>
    <w:rsid w:val="36826C31"/>
    <w:rsid w:val="368F0CBF"/>
    <w:rsid w:val="36916FED"/>
    <w:rsid w:val="36A469C4"/>
    <w:rsid w:val="36A521D9"/>
    <w:rsid w:val="36F55EAA"/>
    <w:rsid w:val="370F0532"/>
    <w:rsid w:val="372B09DB"/>
    <w:rsid w:val="374E0226"/>
    <w:rsid w:val="37763F45"/>
    <w:rsid w:val="3784095E"/>
    <w:rsid w:val="37895E9F"/>
    <w:rsid w:val="37E40B8A"/>
    <w:rsid w:val="37EA2644"/>
    <w:rsid w:val="37EB1F18"/>
    <w:rsid w:val="38044D88"/>
    <w:rsid w:val="3806031D"/>
    <w:rsid w:val="382C513A"/>
    <w:rsid w:val="38417D8A"/>
    <w:rsid w:val="3842422E"/>
    <w:rsid w:val="3847643D"/>
    <w:rsid w:val="38526F7A"/>
    <w:rsid w:val="387243E8"/>
    <w:rsid w:val="387A2F34"/>
    <w:rsid w:val="387C555A"/>
    <w:rsid w:val="387E2D8D"/>
    <w:rsid w:val="389C521D"/>
    <w:rsid w:val="38E52970"/>
    <w:rsid w:val="38EA21D0"/>
    <w:rsid w:val="38F24DE8"/>
    <w:rsid w:val="38F372D7"/>
    <w:rsid w:val="38F65019"/>
    <w:rsid w:val="38FB43DD"/>
    <w:rsid w:val="3946752A"/>
    <w:rsid w:val="39641F82"/>
    <w:rsid w:val="39684912"/>
    <w:rsid w:val="397441F3"/>
    <w:rsid w:val="39764E9F"/>
    <w:rsid w:val="3984789B"/>
    <w:rsid w:val="398919E9"/>
    <w:rsid w:val="39A16C97"/>
    <w:rsid w:val="39A24859"/>
    <w:rsid w:val="39A56B84"/>
    <w:rsid w:val="39A77BB2"/>
    <w:rsid w:val="39AD5743"/>
    <w:rsid w:val="39BE5B37"/>
    <w:rsid w:val="39CD1EE3"/>
    <w:rsid w:val="39CD78A2"/>
    <w:rsid w:val="39D1471A"/>
    <w:rsid w:val="39ED6FFB"/>
    <w:rsid w:val="39F63332"/>
    <w:rsid w:val="3A013C75"/>
    <w:rsid w:val="3A19507F"/>
    <w:rsid w:val="3A597438"/>
    <w:rsid w:val="3A67104B"/>
    <w:rsid w:val="3A81200E"/>
    <w:rsid w:val="3A850402"/>
    <w:rsid w:val="3A975B5D"/>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5A7643"/>
    <w:rsid w:val="3B6224F2"/>
    <w:rsid w:val="3B693880"/>
    <w:rsid w:val="3B755389"/>
    <w:rsid w:val="3B854AB6"/>
    <w:rsid w:val="3B8B7B2D"/>
    <w:rsid w:val="3B8E1539"/>
    <w:rsid w:val="3B9D177C"/>
    <w:rsid w:val="3BA046F2"/>
    <w:rsid w:val="3BA50630"/>
    <w:rsid w:val="3BD80550"/>
    <w:rsid w:val="3BE56E1B"/>
    <w:rsid w:val="3BED2DB3"/>
    <w:rsid w:val="3BFD2535"/>
    <w:rsid w:val="3C215F09"/>
    <w:rsid w:val="3C4075D1"/>
    <w:rsid w:val="3C436B55"/>
    <w:rsid w:val="3C5502A8"/>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736E7"/>
    <w:rsid w:val="3D2C1009"/>
    <w:rsid w:val="3D3C1DEC"/>
    <w:rsid w:val="3D451409"/>
    <w:rsid w:val="3D502922"/>
    <w:rsid w:val="3D605157"/>
    <w:rsid w:val="3DD05E38"/>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EFA3D38"/>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1B4DC9"/>
    <w:rsid w:val="4022565B"/>
    <w:rsid w:val="402266F3"/>
    <w:rsid w:val="40290AEF"/>
    <w:rsid w:val="403629A3"/>
    <w:rsid w:val="403B122D"/>
    <w:rsid w:val="404B007A"/>
    <w:rsid w:val="404E11B5"/>
    <w:rsid w:val="405A7C3B"/>
    <w:rsid w:val="405B7334"/>
    <w:rsid w:val="405C70C5"/>
    <w:rsid w:val="40646D0C"/>
    <w:rsid w:val="406B3BF6"/>
    <w:rsid w:val="40875F80"/>
    <w:rsid w:val="40936195"/>
    <w:rsid w:val="40C31C84"/>
    <w:rsid w:val="40CD2BBC"/>
    <w:rsid w:val="40CE74E8"/>
    <w:rsid w:val="40D55514"/>
    <w:rsid w:val="40D7128C"/>
    <w:rsid w:val="40F96B4C"/>
    <w:rsid w:val="40FD073A"/>
    <w:rsid w:val="40FE0F0E"/>
    <w:rsid w:val="41107AF2"/>
    <w:rsid w:val="41390199"/>
    <w:rsid w:val="41561B7B"/>
    <w:rsid w:val="415D5C35"/>
    <w:rsid w:val="415F2382"/>
    <w:rsid w:val="41644CA3"/>
    <w:rsid w:val="416479F5"/>
    <w:rsid w:val="417C604D"/>
    <w:rsid w:val="418238EE"/>
    <w:rsid w:val="41C84587"/>
    <w:rsid w:val="41DF75B5"/>
    <w:rsid w:val="41E64E09"/>
    <w:rsid w:val="41F1351F"/>
    <w:rsid w:val="421568CA"/>
    <w:rsid w:val="422229DB"/>
    <w:rsid w:val="422F2C0A"/>
    <w:rsid w:val="427A77FA"/>
    <w:rsid w:val="427C658F"/>
    <w:rsid w:val="42997BDD"/>
    <w:rsid w:val="42AC4D28"/>
    <w:rsid w:val="42B32DDD"/>
    <w:rsid w:val="42B60CBA"/>
    <w:rsid w:val="42BA4570"/>
    <w:rsid w:val="42C43A92"/>
    <w:rsid w:val="42DB62DB"/>
    <w:rsid w:val="42F40D87"/>
    <w:rsid w:val="43157031"/>
    <w:rsid w:val="431F6F1A"/>
    <w:rsid w:val="43204D6E"/>
    <w:rsid w:val="433E0C67"/>
    <w:rsid w:val="433E3844"/>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1912DB"/>
    <w:rsid w:val="442347E8"/>
    <w:rsid w:val="442567B2"/>
    <w:rsid w:val="44384517"/>
    <w:rsid w:val="445945E5"/>
    <w:rsid w:val="445B2639"/>
    <w:rsid w:val="44894274"/>
    <w:rsid w:val="44AD4165"/>
    <w:rsid w:val="44B17233"/>
    <w:rsid w:val="44C77869"/>
    <w:rsid w:val="44D51F86"/>
    <w:rsid w:val="44E70410"/>
    <w:rsid w:val="451720F2"/>
    <w:rsid w:val="452B604A"/>
    <w:rsid w:val="453C0257"/>
    <w:rsid w:val="45406B12"/>
    <w:rsid w:val="455A06DD"/>
    <w:rsid w:val="458F482B"/>
    <w:rsid w:val="45D9532F"/>
    <w:rsid w:val="45DA2553"/>
    <w:rsid w:val="45DA2E00"/>
    <w:rsid w:val="45ED3300"/>
    <w:rsid w:val="45EF1111"/>
    <w:rsid w:val="460C7409"/>
    <w:rsid w:val="460D74FE"/>
    <w:rsid w:val="461643C7"/>
    <w:rsid w:val="4636593F"/>
    <w:rsid w:val="4646138E"/>
    <w:rsid w:val="464A2500"/>
    <w:rsid w:val="464C0026"/>
    <w:rsid w:val="465D4CB9"/>
    <w:rsid w:val="46864485"/>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3345B"/>
    <w:rsid w:val="47A72EC9"/>
    <w:rsid w:val="47B71E17"/>
    <w:rsid w:val="47CA7D9C"/>
    <w:rsid w:val="47CC40D8"/>
    <w:rsid w:val="48082673"/>
    <w:rsid w:val="480B5E01"/>
    <w:rsid w:val="480E3260"/>
    <w:rsid w:val="48480CC1"/>
    <w:rsid w:val="48597B07"/>
    <w:rsid w:val="48691B36"/>
    <w:rsid w:val="48741AB6"/>
    <w:rsid w:val="487910EC"/>
    <w:rsid w:val="487B1097"/>
    <w:rsid w:val="48877A3B"/>
    <w:rsid w:val="48886A56"/>
    <w:rsid w:val="488C0CE1"/>
    <w:rsid w:val="489C2DB7"/>
    <w:rsid w:val="489C351F"/>
    <w:rsid w:val="489E1D09"/>
    <w:rsid w:val="48A028AB"/>
    <w:rsid w:val="48B14AB8"/>
    <w:rsid w:val="48BD520B"/>
    <w:rsid w:val="48C1039E"/>
    <w:rsid w:val="48EB1D78"/>
    <w:rsid w:val="490023BE"/>
    <w:rsid w:val="490E3CB9"/>
    <w:rsid w:val="49122019"/>
    <w:rsid w:val="491A265E"/>
    <w:rsid w:val="491D285B"/>
    <w:rsid w:val="491D3EFC"/>
    <w:rsid w:val="491F1A22"/>
    <w:rsid w:val="493666B5"/>
    <w:rsid w:val="494877A6"/>
    <w:rsid w:val="49663358"/>
    <w:rsid w:val="49683634"/>
    <w:rsid w:val="49724393"/>
    <w:rsid w:val="497C0C22"/>
    <w:rsid w:val="497F6965"/>
    <w:rsid w:val="49816239"/>
    <w:rsid w:val="49833CCC"/>
    <w:rsid w:val="49975BE8"/>
    <w:rsid w:val="49C425C9"/>
    <w:rsid w:val="49EF3581"/>
    <w:rsid w:val="49F66C27"/>
    <w:rsid w:val="49FA5FEB"/>
    <w:rsid w:val="4A1C69A8"/>
    <w:rsid w:val="4A282B58"/>
    <w:rsid w:val="4A2C2648"/>
    <w:rsid w:val="4A372D9B"/>
    <w:rsid w:val="4A38723F"/>
    <w:rsid w:val="4A3E05CE"/>
    <w:rsid w:val="4A5676C5"/>
    <w:rsid w:val="4A5A4C2D"/>
    <w:rsid w:val="4A622805"/>
    <w:rsid w:val="4A791606"/>
    <w:rsid w:val="4A83500A"/>
    <w:rsid w:val="4A995804"/>
    <w:rsid w:val="4AA246B9"/>
    <w:rsid w:val="4AA541A9"/>
    <w:rsid w:val="4AB27C27"/>
    <w:rsid w:val="4ABA748E"/>
    <w:rsid w:val="4AC24D5B"/>
    <w:rsid w:val="4AD3077D"/>
    <w:rsid w:val="4B1F5D09"/>
    <w:rsid w:val="4B21248D"/>
    <w:rsid w:val="4B2B3A38"/>
    <w:rsid w:val="4B313C8F"/>
    <w:rsid w:val="4B6C61E6"/>
    <w:rsid w:val="4B6D633F"/>
    <w:rsid w:val="4B797CFE"/>
    <w:rsid w:val="4B7A6071"/>
    <w:rsid w:val="4B80662D"/>
    <w:rsid w:val="4B96714B"/>
    <w:rsid w:val="4BA95F1B"/>
    <w:rsid w:val="4BB16CD5"/>
    <w:rsid w:val="4BB5666E"/>
    <w:rsid w:val="4BB723FD"/>
    <w:rsid w:val="4BEE2F77"/>
    <w:rsid w:val="4BF73906"/>
    <w:rsid w:val="4C0D0258"/>
    <w:rsid w:val="4C0F1BEA"/>
    <w:rsid w:val="4C3A2445"/>
    <w:rsid w:val="4C3C28EB"/>
    <w:rsid w:val="4C6D2F4C"/>
    <w:rsid w:val="4C87625C"/>
    <w:rsid w:val="4CA56323"/>
    <w:rsid w:val="4CF66F3E"/>
    <w:rsid w:val="4D0478AD"/>
    <w:rsid w:val="4D0A4797"/>
    <w:rsid w:val="4D0C69C4"/>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7A2BCF"/>
    <w:rsid w:val="4EA64556"/>
    <w:rsid w:val="4EAD29E4"/>
    <w:rsid w:val="4EC310A1"/>
    <w:rsid w:val="4F043B94"/>
    <w:rsid w:val="4F0B67EE"/>
    <w:rsid w:val="4F1A55F3"/>
    <w:rsid w:val="4F1B205A"/>
    <w:rsid w:val="4F2876DE"/>
    <w:rsid w:val="4F2A7373"/>
    <w:rsid w:val="4F2B6F15"/>
    <w:rsid w:val="4F2E5442"/>
    <w:rsid w:val="4F2F1144"/>
    <w:rsid w:val="4F30313F"/>
    <w:rsid w:val="4F475D30"/>
    <w:rsid w:val="4F52580A"/>
    <w:rsid w:val="4F691C49"/>
    <w:rsid w:val="4F6A776F"/>
    <w:rsid w:val="4F702FD7"/>
    <w:rsid w:val="4F707F08"/>
    <w:rsid w:val="4F922A5E"/>
    <w:rsid w:val="4F9273F2"/>
    <w:rsid w:val="4FA52193"/>
    <w:rsid w:val="4FD277EE"/>
    <w:rsid w:val="4FDA7D75"/>
    <w:rsid w:val="4FF57980"/>
    <w:rsid w:val="501D57C2"/>
    <w:rsid w:val="501E6ED7"/>
    <w:rsid w:val="50787096"/>
    <w:rsid w:val="507C775A"/>
    <w:rsid w:val="508D5E0B"/>
    <w:rsid w:val="508F1B83"/>
    <w:rsid w:val="50B25281"/>
    <w:rsid w:val="50E579F5"/>
    <w:rsid w:val="50E87836"/>
    <w:rsid w:val="50EA500B"/>
    <w:rsid w:val="50ED1E61"/>
    <w:rsid w:val="50F83282"/>
    <w:rsid w:val="50FB4B23"/>
    <w:rsid w:val="51173459"/>
    <w:rsid w:val="511E2B79"/>
    <w:rsid w:val="51265C7E"/>
    <w:rsid w:val="514814EC"/>
    <w:rsid w:val="5153670D"/>
    <w:rsid w:val="515E4990"/>
    <w:rsid w:val="515F1555"/>
    <w:rsid w:val="519C765E"/>
    <w:rsid w:val="51A83B47"/>
    <w:rsid w:val="51AC22C1"/>
    <w:rsid w:val="51B17E6B"/>
    <w:rsid w:val="51CB2747"/>
    <w:rsid w:val="51DB032E"/>
    <w:rsid w:val="51E05EB9"/>
    <w:rsid w:val="51EB4B97"/>
    <w:rsid w:val="51EE6435"/>
    <w:rsid w:val="5201260D"/>
    <w:rsid w:val="52072F1E"/>
    <w:rsid w:val="5217644D"/>
    <w:rsid w:val="523D6181"/>
    <w:rsid w:val="523F4EE3"/>
    <w:rsid w:val="524620FA"/>
    <w:rsid w:val="5274360D"/>
    <w:rsid w:val="52756B57"/>
    <w:rsid w:val="52972F71"/>
    <w:rsid w:val="52BF7DD2"/>
    <w:rsid w:val="52DA5E34"/>
    <w:rsid w:val="52EC1919"/>
    <w:rsid w:val="530A3743"/>
    <w:rsid w:val="532145E9"/>
    <w:rsid w:val="53395DD6"/>
    <w:rsid w:val="5347038D"/>
    <w:rsid w:val="534A6CD4"/>
    <w:rsid w:val="534E7AD3"/>
    <w:rsid w:val="536553EF"/>
    <w:rsid w:val="538B4884"/>
    <w:rsid w:val="53A3143D"/>
    <w:rsid w:val="53A63921"/>
    <w:rsid w:val="53AC47FA"/>
    <w:rsid w:val="53CC5791"/>
    <w:rsid w:val="53D95D45"/>
    <w:rsid w:val="53DA1367"/>
    <w:rsid w:val="53E2646E"/>
    <w:rsid w:val="53EB53BD"/>
    <w:rsid w:val="53F8359B"/>
    <w:rsid w:val="54505185"/>
    <w:rsid w:val="545671EC"/>
    <w:rsid w:val="54611097"/>
    <w:rsid w:val="5487370E"/>
    <w:rsid w:val="54915C10"/>
    <w:rsid w:val="54CD4A28"/>
    <w:rsid w:val="54D15F1A"/>
    <w:rsid w:val="54D264E2"/>
    <w:rsid w:val="54D65699"/>
    <w:rsid w:val="54E01D6C"/>
    <w:rsid w:val="54E47B17"/>
    <w:rsid w:val="54E9481D"/>
    <w:rsid w:val="54F226E1"/>
    <w:rsid w:val="55046B0A"/>
    <w:rsid w:val="55094443"/>
    <w:rsid w:val="551142AB"/>
    <w:rsid w:val="55192675"/>
    <w:rsid w:val="554127C0"/>
    <w:rsid w:val="55560EC1"/>
    <w:rsid w:val="5579695E"/>
    <w:rsid w:val="557D19A9"/>
    <w:rsid w:val="558F6181"/>
    <w:rsid w:val="55B87486"/>
    <w:rsid w:val="55C470D8"/>
    <w:rsid w:val="55CD41D9"/>
    <w:rsid w:val="55CE6CAA"/>
    <w:rsid w:val="55DF5DA8"/>
    <w:rsid w:val="55EF136D"/>
    <w:rsid w:val="55F55C55"/>
    <w:rsid w:val="56156687"/>
    <w:rsid w:val="56177EC9"/>
    <w:rsid w:val="5635492A"/>
    <w:rsid w:val="563F0838"/>
    <w:rsid w:val="5684052B"/>
    <w:rsid w:val="56921A85"/>
    <w:rsid w:val="56927CD7"/>
    <w:rsid w:val="569976E5"/>
    <w:rsid w:val="56E16569"/>
    <w:rsid w:val="56EE460E"/>
    <w:rsid w:val="56F25D16"/>
    <w:rsid w:val="56F72230"/>
    <w:rsid w:val="56F770C8"/>
    <w:rsid w:val="56F95FA8"/>
    <w:rsid w:val="57087F99"/>
    <w:rsid w:val="570F0DAD"/>
    <w:rsid w:val="57136DC9"/>
    <w:rsid w:val="571C1C97"/>
    <w:rsid w:val="57342B3C"/>
    <w:rsid w:val="57394670"/>
    <w:rsid w:val="57443D1C"/>
    <w:rsid w:val="574A0B21"/>
    <w:rsid w:val="575738E1"/>
    <w:rsid w:val="5769056B"/>
    <w:rsid w:val="57715B3F"/>
    <w:rsid w:val="577949F3"/>
    <w:rsid w:val="579068FA"/>
    <w:rsid w:val="579730CB"/>
    <w:rsid w:val="579857A6"/>
    <w:rsid w:val="579B705F"/>
    <w:rsid w:val="57BE07E5"/>
    <w:rsid w:val="57E427B4"/>
    <w:rsid w:val="57F02C2A"/>
    <w:rsid w:val="57F246BE"/>
    <w:rsid w:val="57F648EB"/>
    <w:rsid w:val="5809221B"/>
    <w:rsid w:val="5814296E"/>
    <w:rsid w:val="582A3F3F"/>
    <w:rsid w:val="582B03E3"/>
    <w:rsid w:val="582F35B7"/>
    <w:rsid w:val="58464DC9"/>
    <w:rsid w:val="585F0D52"/>
    <w:rsid w:val="586525C2"/>
    <w:rsid w:val="586557AC"/>
    <w:rsid w:val="5867455C"/>
    <w:rsid w:val="587A5C94"/>
    <w:rsid w:val="588B42F5"/>
    <w:rsid w:val="588D4BFA"/>
    <w:rsid w:val="58A81A34"/>
    <w:rsid w:val="58B42ACF"/>
    <w:rsid w:val="58C139D3"/>
    <w:rsid w:val="58C93758"/>
    <w:rsid w:val="58DE5456"/>
    <w:rsid w:val="5939268C"/>
    <w:rsid w:val="59617E35"/>
    <w:rsid w:val="596E25BB"/>
    <w:rsid w:val="596F2552"/>
    <w:rsid w:val="59722042"/>
    <w:rsid w:val="59777658"/>
    <w:rsid w:val="59796F2C"/>
    <w:rsid w:val="599E0ACF"/>
    <w:rsid w:val="59A9097F"/>
    <w:rsid w:val="59AD3D34"/>
    <w:rsid w:val="59B03888"/>
    <w:rsid w:val="59BD32BD"/>
    <w:rsid w:val="59C503C4"/>
    <w:rsid w:val="59EC76FE"/>
    <w:rsid w:val="59F91818"/>
    <w:rsid w:val="5A172243"/>
    <w:rsid w:val="5A196ED2"/>
    <w:rsid w:val="5A3317D1"/>
    <w:rsid w:val="5A395B76"/>
    <w:rsid w:val="5A432F55"/>
    <w:rsid w:val="5A5878B5"/>
    <w:rsid w:val="5A5C69D5"/>
    <w:rsid w:val="5A636344"/>
    <w:rsid w:val="5A696FA1"/>
    <w:rsid w:val="5AA2093F"/>
    <w:rsid w:val="5AA95EA4"/>
    <w:rsid w:val="5AD63E09"/>
    <w:rsid w:val="5AFF3461"/>
    <w:rsid w:val="5B123195"/>
    <w:rsid w:val="5B223606"/>
    <w:rsid w:val="5B266C40"/>
    <w:rsid w:val="5B2E6FAA"/>
    <w:rsid w:val="5B4332B6"/>
    <w:rsid w:val="5B4B66A7"/>
    <w:rsid w:val="5B5E0F00"/>
    <w:rsid w:val="5B972453"/>
    <w:rsid w:val="5B9E7C72"/>
    <w:rsid w:val="5BA87F9D"/>
    <w:rsid w:val="5BAF4E87"/>
    <w:rsid w:val="5BDE39BF"/>
    <w:rsid w:val="5BE65C1B"/>
    <w:rsid w:val="5BFD68E7"/>
    <w:rsid w:val="5C0B7B76"/>
    <w:rsid w:val="5C1271C4"/>
    <w:rsid w:val="5C203E7F"/>
    <w:rsid w:val="5C675762"/>
    <w:rsid w:val="5C682BEC"/>
    <w:rsid w:val="5C9A1694"/>
    <w:rsid w:val="5C9D1184"/>
    <w:rsid w:val="5CA644DC"/>
    <w:rsid w:val="5CA7123C"/>
    <w:rsid w:val="5CAE15E3"/>
    <w:rsid w:val="5CC42BB4"/>
    <w:rsid w:val="5CC826A5"/>
    <w:rsid w:val="5CD544A4"/>
    <w:rsid w:val="5CDC7EFE"/>
    <w:rsid w:val="5CF77950"/>
    <w:rsid w:val="5CF8285E"/>
    <w:rsid w:val="5D101956"/>
    <w:rsid w:val="5D441D14"/>
    <w:rsid w:val="5D4A542D"/>
    <w:rsid w:val="5D777C27"/>
    <w:rsid w:val="5D972077"/>
    <w:rsid w:val="5DAE426C"/>
    <w:rsid w:val="5DAF467E"/>
    <w:rsid w:val="5DCD04E0"/>
    <w:rsid w:val="5DD03A54"/>
    <w:rsid w:val="5DD15BF4"/>
    <w:rsid w:val="5DD25BBB"/>
    <w:rsid w:val="5DDE1134"/>
    <w:rsid w:val="5E1D1CEB"/>
    <w:rsid w:val="5E23390B"/>
    <w:rsid w:val="5E311C0C"/>
    <w:rsid w:val="5E421185"/>
    <w:rsid w:val="5E895C8E"/>
    <w:rsid w:val="5E921A27"/>
    <w:rsid w:val="5ED510A9"/>
    <w:rsid w:val="5F20216B"/>
    <w:rsid w:val="5F3062DF"/>
    <w:rsid w:val="5F36439B"/>
    <w:rsid w:val="5F755A2A"/>
    <w:rsid w:val="5F814D8D"/>
    <w:rsid w:val="5F8328B3"/>
    <w:rsid w:val="5F8959EF"/>
    <w:rsid w:val="5F920D48"/>
    <w:rsid w:val="5FA40A7B"/>
    <w:rsid w:val="5FB07420"/>
    <w:rsid w:val="5FC04410"/>
    <w:rsid w:val="5FC652C4"/>
    <w:rsid w:val="5FC845C3"/>
    <w:rsid w:val="5FCB6F0A"/>
    <w:rsid w:val="5FE62E42"/>
    <w:rsid w:val="60160AA9"/>
    <w:rsid w:val="6016735B"/>
    <w:rsid w:val="601C6864"/>
    <w:rsid w:val="601F4747"/>
    <w:rsid w:val="602F6597"/>
    <w:rsid w:val="6052321D"/>
    <w:rsid w:val="60696BC9"/>
    <w:rsid w:val="608508AD"/>
    <w:rsid w:val="609A3376"/>
    <w:rsid w:val="60A42170"/>
    <w:rsid w:val="60B47D5B"/>
    <w:rsid w:val="60E5134B"/>
    <w:rsid w:val="60FD45FF"/>
    <w:rsid w:val="611A0FF5"/>
    <w:rsid w:val="61220F29"/>
    <w:rsid w:val="612B3202"/>
    <w:rsid w:val="616008F1"/>
    <w:rsid w:val="61847169"/>
    <w:rsid w:val="618625DD"/>
    <w:rsid w:val="61903065"/>
    <w:rsid w:val="61932B55"/>
    <w:rsid w:val="61A905CB"/>
    <w:rsid w:val="61B7149D"/>
    <w:rsid w:val="61B9080E"/>
    <w:rsid w:val="61CA1C79"/>
    <w:rsid w:val="61D61932"/>
    <w:rsid w:val="620852F1"/>
    <w:rsid w:val="621048C9"/>
    <w:rsid w:val="6210694A"/>
    <w:rsid w:val="621231A6"/>
    <w:rsid w:val="621641CF"/>
    <w:rsid w:val="62210161"/>
    <w:rsid w:val="62670DD5"/>
    <w:rsid w:val="62861F1F"/>
    <w:rsid w:val="629139EC"/>
    <w:rsid w:val="62917095"/>
    <w:rsid w:val="62A16A87"/>
    <w:rsid w:val="62AA7C17"/>
    <w:rsid w:val="62BA646B"/>
    <w:rsid w:val="62CF7FE7"/>
    <w:rsid w:val="62D94CCA"/>
    <w:rsid w:val="631D2A8C"/>
    <w:rsid w:val="63462575"/>
    <w:rsid w:val="63493E13"/>
    <w:rsid w:val="635A1B7D"/>
    <w:rsid w:val="63666773"/>
    <w:rsid w:val="638B7F88"/>
    <w:rsid w:val="63936E3D"/>
    <w:rsid w:val="639B087E"/>
    <w:rsid w:val="63A64DC2"/>
    <w:rsid w:val="63A90E76"/>
    <w:rsid w:val="63B55005"/>
    <w:rsid w:val="63BA6D0B"/>
    <w:rsid w:val="63CB5CCC"/>
    <w:rsid w:val="63EB4ECB"/>
    <w:rsid w:val="63F36A7C"/>
    <w:rsid w:val="63F975E8"/>
    <w:rsid w:val="63FA3360"/>
    <w:rsid w:val="640B731B"/>
    <w:rsid w:val="640C5AA6"/>
    <w:rsid w:val="641745A0"/>
    <w:rsid w:val="64430863"/>
    <w:rsid w:val="644665A5"/>
    <w:rsid w:val="645C36D2"/>
    <w:rsid w:val="64657739"/>
    <w:rsid w:val="64754794"/>
    <w:rsid w:val="64824B18"/>
    <w:rsid w:val="64881976"/>
    <w:rsid w:val="648F1CFA"/>
    <w:rsid w:val="64942E6C"/>
    <w:rsid w:val="64AE3CB5"/>
    <w:rsid w:val="64B90B25"/>
    <w:rsid w:val="64CD637E"/>
    <w:rsid w:val="64D15E6F"/>
    <w:rsid w:val="64DC03FF"/>
    <w:rsid w:val="64F425BA"/>
    <w:rsid w:val="650D6603"/>
    <w:rsid w:val="65202952"/>
    <w:rsid w:val="65210C32"/>
    <w:rsid w:val="652225D5"/>
    <w:rsid w:val="652F2B95"/>
    <w:rsid w:val="65311E05"/>
    <w:rsid w:val="65451957"/>
    <w:rsid w:val="65623E76"/>
    <w:rsid w:val="659770B8"/>
    <w:rsid w:val="65995BCE"/>
    <w:rsid w:val="65B46366"/>
    <w:rsid w:val="65BD63F3"/>
    <w:rsid w:val="65D025CA"/>
    <w:rsid w:val="65F570CF"/>
    <w:rsid w:val="66002CD4"/>
    <w:rsid w:val="6613137D"/>
    <w:rsid w:val="66215782"/>
    <w:rsid w:val="6624387D"/>
    <w:rsid w:val="662824C8"/>
    <w:rsid w:val="66320B8F"/>
    <w:rsid w:val="663E7534"/>
    <w:rsid w:val="664B6B47"/>
    <w:rsid w:val="66661757"/>
    <w:rsid w:val="66763171"/>
    <w:rsid w:val="667C005C"/>
    <w:rsid w:val="66976C44"/>
    <w:rsid w:val="669B7B39"/>
    <w:rsid w:val="66AC7A81"/>
    <w:rsid w:val="66AE4D0B"/>
    <w:rsid w:val="66B5494D"/>
    <w:rsid w:val="66B84695"/>
    <w:rsid w:val="66C176C3"/>
    <w:rsid w:val="66D103A8"/>
    <w:rsid w:val="66D47E98"/>
    <w:rsid w:val="66DE0D17"/>
    <w:rsid w:val="66EF6A80"/>
    <w:rsid w:val="66F978FF"/>
    <w:rsid w:val="66FB71D3"/>
    <w:rsid w:val="670523DE"/>
    <w:rsid w:val="670C5884"/>
    <w:rsid w:val="670D5158"/>
    <w:rsid w:val="67256946"/>
    <w:rsid w:val="67461D48"/>
    <w:rsid w:val="67472418"/>
    <w:rsid w:val="67486190"/>
    <w:rsid w:val="674A6CAF"/>
    <w:rsid w:val="676034DA"/>
    <w:rsid w:val="67694A84"/>
    <w:rsid w:val="67784F2E"/>
    <w:rsid w:val="678A67A9"/>
    <w:rsid w:val="678F1925"/>
    <w:rsid w:val="67942577"/>
    <w:rsid w:val="67A92539"/>
    <w:rsid w:val="67B51A77"/>
    <w:rsid w:val="67CA4EF1"/>
    <w:rsid w:val="67E20393"/>
    <w:rsid w:val="67F76A7E"/>
    <w:rsid w:val="67F86871"/>
    <w:rsid w:val="684352D5"/>
    <w:rsid w:val="684D1CB0"/>
    <w:rsid w:val="685748DD"/>
    <w:rsid w:val="686F7E78"/>
    <w:rsid w:val="687E455F"/>
    <w:rsid w:val="687E630D"/>
    <w:rsid w:val="688B0A2A"/>
    <w:rsid w:val="68A5389A"/>
    <w:rsid w:val="68AF3CA2"/>
    <w:rsid w:val="68BB130F"/>
    <w:rsid w:val="68CB0E27"/>
    <w:rsid w:val="68CC560D"/>
    <w:rsid w:val="68E97265"/>
    <w:rsid w:val="68EF0FB9"/>
    <w:rsid w:val="69072F07"/>
    <w:rsid w:val="691E189E"/>
    <w:rsid w:val="692635EB"/>
    <w:rsid w:val="69342E70"/>
    <w:rsid w:val="693B41FE"/>
    <w:rsid w:val="6951757E"/>
    <w:rsid w:val="69561384"/>
    <w:rsid w:val="69775165"/>
    <w:rsid w:val="69807E63"/>
    <w:rsid w:val="69B230A2"/>
    <w:rsid w:val="69CB3977"/>
    <w:rsid w:val="69E2224C"/>
    <w:rsid w:val="69F819AA"/>
    <w:rsid w:val="6A136F29"/>
    <w:rsid w:val="6A187723"/>
    <w:rsid w:val="6A1D1B56"/>
    <w:rsid w:val="6A1D2B18"/>
    <w:rsid w:val="6A3368E3"/>
    <w:rsid w:val="6A595414"/>
    <w:rsid w:val="6A5A4A67"/>
    <w:rsid w:val="6A6B4794"/>
    <w:rsid w:val="6A6E7FF3"/>
    <w:rsid w:val="6A700C09"/>
    <w:rsid w:val="6A82630A"/>
    <w:rsid w:val="6A8E3BBF"/>
    <w:rsid w:val="6AA67D9D"/>
    <w:rsid w:val="6AAD6A36"/>
    <w:rsid w:val="6AC57AA5"/>
    <w:rsid w:val="6ADD3291"/>
    <w:rsid w:val="6B0A70A4"/>
    <w:rsid w:val="6B3B6738"/>
    <w:rsid w:val="6B3D24B0"/>
    <w:rsid w:val="6B685053"/>
    <w:rsid w:val="6B7F4739"/>
    <w:rsid w:val="6B8A4FC9"/>
    <w:rsid w:val="6B9A5FD4"/>
    <w:rsid w:val="6BA75B7B"/>
    <w:rsid w:val="6BC71CFD"/>
    <w:rsid w:val="6C042FCD"/>
    <w:rsid w:val="6C20148A"/>
    <w:rsid w:val="6C44786E"/>
    <w:rsid w:val="6C5C3427"/>
    <w:rsid w:val="6C617599"/>
    <w:rsid w:val="6C9431CC"/>
    <w:rsid w:val="6CA672EC"/>
    <w:rsid w:val="6CAB1AEE"/>
    <w:rsid w:val="6CAE2F39"/>
    <w:rsid w:val="6CAF10DA"/>
    <w:rsid w:val="6CB513FE"/>
    <w:rsid w:val="6CC35382"/>
    <w:rsid w:val="6CDA06B8"/>
    <w:rsid w:val="6D0715F8"/>
    <w:rsid w:val="6D30394E"/>
    <w:rsid w:val="6D426B56"/>
    <w:rsid w:val="6D505108"/>
    <w:rsid w:val="6D592EA5"/>
    <w:rsid w:val="6D77297F"/>
    <w:rsid w:val="6D8238F3"/>
    <w:rsid w:val="6D8617C0"/>
    <w:rsid w:val="6D920165"/>
    <w:rsid w:val="6DBB5AC1"/>
    <w:rsid w:val="6DCF4F15"/>
    <w:rsid w:val="6E0468F3"/>
    <w:rsid w:val="6E0F7A08"/>
    <w:rsid w:val="6E38263C"/>
    <w:rsid w:val="6E513A37"/>
    <w:rsid w:val="6E526272"/>
    <w:rsid w:val="6E573B2B"/>
    <w:rsid w:val="6E616223"/>
    <w:rsid w:val="6E66587A"/>
    <w:rsid w:val="6E94481B"/>
    <w:rsid w:val="6EA2373C"/>
    <w:rsid w:val="6EDF387E"/>
    <w:rsid w:val="6F0357BE"/>
    <w:rsid w:val="6F0B01CF"/>
    <w:rsid w:val="6F241291"/>
    <w:rsid w:val="6F4066AD"/>
    <w:rsid w:val="6F4A1C6F"/>
    <w:rsid w:val="6F6C326F"/>
    <w:rsid w:val="6F6F075E"/>
    <w:rsid w:val="6F7658CB"/>
    <w:rsid w:val="6F976FBE"/>
    <w:rsid w:val="6FA359EB"/>
    <w:rsid w:val="6FA6381A"/>
    <w:rsid w:val="6FB42615"/>
    <w:rsid w:val="6FC36CFC"/>
    <w:rsid w:val="6FCA63E4"/>
    <w:rsid w:val="6FD26F3F"/>
    <w:rsid w:val="6FE022AE"/>
    <w:rsid w:val="6FF005A6"/>
    <w:rsid w:val="6FF218DD"/>
    <w:rsid w:val="6FF42BE0"/>
    <w:rsid w:val="6FF8480C"/>
    <w:rsid w:val="6FFC41AF"/>
    <w:rsid w:val="6FFF339E"/>
    <w:rsid w:val="700C0A1A"/>
    <w:rsid w:val="704C4F43"/>
    <w:rsid w:val="706804A2"/>
    <w:rsid w:val="706C2EEF"/>
    <w:rsid w:val="70761F1B"/>
    <w:rsid w:val="708C1ED2"/>
    <w:rsid w:val="70B30B1E"/>
    <w:rsid w:val="70C64CF5"/>
    <w:rsid w:val="70CB230C"/>
    <w:rsid w:val="70DD3506"/>
    <w:rsid w:val="70E32593"/>
    <w:rsid w:val="70E801A2"/>
    <w:rsid w:val="7104581E"/>
    <w:rsid w:val="71132E62"/>
    <w:rsid w:val="711D41EA"/>
    <w:rsid w:val="71222297"/>
    <w:rsid w:val="71231438"/>
    <w:rsid w:val="714348B5"/>
    <w:rsid w:val="71504B10"/>
    <w:rsid w:val="71554590"/>
    <w:rsid w:val="715A0F06"/>
    <w:rsid w:val="715D01AD"/>
    <w:rsid w:val="71762326"/>
    <w:rsid w:val="71942C0F"/>
    <w:rsid w:val="719941B8"/>
    <w:rsid w:val="719E357C"/>
    <w:rsid w:val="71A87F57"/>
    <w:rsid w:val="71BD1788"/>
    <w:rsid w:val="71C50B09"/>
    <w:rsid w:val="71F907B3"/>
    <w:rsid w:val="71FB452B"/>
    <w:rsid w:val="722515A8"/>
    <w:rsid w:val="723979C9"/>
    <w:rsid w:val="725E7ADD"/>
    <w:rsid w:val="726631BE"/>
    <w:rsid w:val="727265AC"/>
    <w:rsid w:val="727B1B10"/>
    <w:rsid w:val="727D13E4"/>
    <w:rsid w:val="729C3F60"/>
    <w:rsid w:val="72A526E9"/>
    <w:rsid w:val="72D71070"/>
    <w:rsid w:val="72EC1039"/>
    <w:rsid w:val="72F13B80"/>
    <w:rsid w:val="72FF57F4"/>
    <w:rsid w:val="73004C2C"/>
    <w:rsid w:val="7304330F"/>
    <w:rsid w:val="732E5FCC"/>
    <w:rsid w:val="732F73D2"/>
    <w:rsid w:val="73337CF4"/>
    <w:rsid w:val="733817AF"/>
    <w:rsid w:val="73412411"/>
    <w:rsid w:val="73440778"/>
    <w:rsid w:val="734463A5"/>
    <w:rsid w:val="73520AC2"/>
    <w:rsid w:val="7358775B"/>
    <w:rsid w:val="73840550"/>
    <w:rsid w:val="739509AF"/>
    <w:rsid w:val="73BE077C"/>
    <w:rsid w:val="73C052CC"/>
    <w:rsid w:val="73DC3547"/>
    <w:rsid w:val="73ED2599"/>
    <w:rsid w:val="73F750FA"/>
    <w:rsid w:val="73F957F0"/>
    <w:rsid w:val="740D6797"/>
    <w:rsid w:val="74113F05"/>
    <w:rsid w:val="74163F16"/>
    <w:rsid w:val="741C69DA"/>
    <w:rsid w:val="742424F5"/>
    <w:rsid w:val="744103B3"/>
    <w:rsid w:val="7450221E"/>
    <w:rsid w:val="74566390"/>
    <w:rsid w:val="749F595E"/>
    <w:rsid w:val="74A45B33"/>
    <w:rsid w:val="74AA2238"/>
    <w:rsid w:val="74D13C69"/>
    <w:rsid w:val="74DF0134"/>
    <w:rsid w:val="74E223D0"/>
    <w:rsid w:val="74F87650"/>
    <w:rsid w:val="75054390"/>
    <w:rsid w:val="75114065"/>
    <w:rsid w:val="751A5610"/>
    <w:rsid w:val="7539539D"/>
    <w:rsid w:val="75695C4F"/>
    <w:rsid w:val="757B0B57"/>
    <w:rsid w:val="759248B8"/>
    <w:rsid w:val="759C7DD3"/>
    <w:rsid w:val="75A153E9"/>
    <w:rsid w:val="75C12EB6"/>
    <w:rsid w:val="75CB6E7D"/>
    <w:rsid w:val="75EA3234"/>
    <w:rsid w:val="75ED3231"/>
    <w:rsid w:val="75FC2C73"/>
    <w:rsid w:val="75FD5C4B"/>
    <w:rsid w:val="76047756"/>
    <w:rsid w:val="76155660"/>
    <w:rsid w:val="761B33ED"/>
    <w:rsid w:val="761E5D99"/>
    <w:rsid w:val="761F03BE"/>
    <w:rsid w:val="762B1157"/>
    <w:rsid w:val="764A5A81"/>
    <w:rsid w:val="764C7A4B"/>
    <w:rsid w:val="766111DA"/>
    <w:rsid w:val="76612DCA"/>
    <w:rsid w:val="766528BB"/>
    <w:rsid w:val="767B20DE"/>
    <w:rsid w:val="767B7C93"/>
    <w:rsid w:val="768C42EB"/>
    <w:rsid w:val="7694586D"/>
    <w:rsid w:val="76B4739E"/>
    <w:rsid w:val="76C75323"/>
    <w:rsid w:val="76CA6BC2"/>
    <w:rsid w:val="76CB6D8E"/>
    <w:rsid w:val="76D1655C"/>
    <w:rsid w:val="76D25D41"/>
    <w:rsid w:val="76E666DE"/>
    <w:rsid w:val="76E72AA0"/>
    <w:rsid w:val="76F8372F"/>
    <w:rsid w:val="7701090C"/>
    <w:rsid w:val="771A711A"/>
    <w:rsid w:val="771D4F43"/>
    <w:rsid w:val="772A600E"/>
    <w:rsid w:val="77336515"/>
    <w:rsid w:val="77362975"/>
    <w:rsid w:val="77444A87"/>
    <w:rsid w:val="77444BC6"/>
    <w:rsid w:val="77577349"/>
    <w:rsid w:val="775A6197"/>
    <w:rsid w:val="776D7992"/>
    <w:rsid w:val="7772349F"/>
    <w:rsid w:val="777C4360"/>
    <w:rsid w:val="778238FB"/>
    <w:rsid w:val="77873E14"/>
    <w:rsid w:val="77955421"/>
    <w:rsid w:val="779C7DE9"/>
    <w:rsid w:val="77A411C1"/>
    <w:rsid w:val="77B238DE"/>
    <w:rsid w:val="77E85551"/>
    <w:rsid w:val="77F71C38"/>
    <w:rsid w:val="77F90661"/>
    <w:rsid w:val="7808174F"/>
    <w:rsid w:val="780D57F6"/>
    <w:rsid w:val="78106856"/>
    <w:rsid w:val="781E4FE7"/>
    <w:rsid w:val="783764D9"/>
    <w:rsid w:val="7840256B"/>
    <w:rsid w:val="78485FF0"/>
    <w:rsid w:val="7884096A"/>
    <w:rsid w:val="78850FF2"/>
    <w:rsid w:val="788E0A67"/>
    <w:rsid w:val="789524E8"/>
    <w:rsid w:val="78B611AB"/>
    <w:rsid w:val="78CA10FB"/>
    <w:rsid w:val="78E03E67"/>
    <w:rsid w:val="78EA52F9"/>
    <w:rsid w:val="78F06D68"/>
    <w:rsid w:val="78F55DA6"/>
    <w:rsid w:val="790E548B"/>
    <w:rsid w:val="7921166B"/>
    <w:rsid w:val="79236E7C"/>
    <w:rsid w:val="792A1B99"/>
    <w:rsid w:val="794013BD"/>
    <w:rsid w:val="796B1B89"/>
    <w:rsid w:val="797352EE"/>
    <w:rsid w:val="797B008A"/>
    <w:rsid w:val="797B7D48"/>
    <w:rsid w:val="798516DF"/>
    <w:rsid w:val="798C015E"/>
    <w:rsid w:val="79921C19"/>
    <w:rsid w:val="79A46F00"/>
    <w:rsid w:val="79C618C2"/>
    <w:rsid w:val="79D73ACF"/>
    <w:rsid w:val="79E46056"/>
    <w:rsid w:val="79F226B7"/>
    <w:rsid w:val="79FF4DD4"/>
    <w:rsid w:val="7A0C534E"/>
    <w:rsid w:val="7A222CE3"/>
    <w:rsid w:val="7A735C4D"/>
    <w:rsid w:val="7A8C2B0C"/>
    <w:rsid w:val="7A8E7C8A"/>
    <w:rsid w:val="7A9F01F0"/>
    <w:rsid w:val="7AAA6765"/>
    <w:rsid w:val="7ABB7B5C"/>
    <w:rsid w:val="7AD87AFF"/>
    <w:rsid w:val="7AF137CB"/>
    <w:rsid w:val="7B0152A5"/>
    <w:rsid w:val="7B112B38"/>
    <w:rsid w:val="7B2A5E81"/>
    <w:rsid w:val="7B2C7E4B"/>
    <w:rsid w:val="7B2F16E9"/>
    <w:rsid w:val="7B4636CB"/>
    <w:rsid w:val="7B7567C0"/>
    <w:rsid w:val="7B7B66DC"/>
    <w:rsid w:val="7B7D2454"/>
    <w:rsid w:val="7B845591"/>
    <w:rsid w:val="7B9072BC"/>
    <w:rsid w:val="7B944A08"/>
    <w:rsid w:val="7B960850"/>
    <w:rsid w:val="7B9F57C7"/>
    <w:rsid w:val="7BDE61B7"/>
    <w:rsid w:val="7BF32717"/>
    <w:rsid w:val="7BF5023D"/>
    <w:rsid w:val="7BF97C74"/>
    <w:rsid w:val="7C19584E"/>
    <w:rsid w:val="7C266648"/>
    <w:rsid w:val="7C2823C0"/>
    <w:rsid w:val="7C354382"/>
    <w:rsid w:val="7C563402"/>
    <w:rsid w:val="7C5E2286"/>
    <w:rsid w:val="7C686C61"/>
    <w:rsid w:val="7C765D1B"/>
    <w:rsid w:val="7C7B659E"/>
    <w:rsid w:val="7C7E0232"/>
    <w:rsid w:val="7C831CEC"/>
    <w:rsid w:val="7C9712F4"/>
    <w:rsid w:val="7C9B0FDB"/>
    <w:rsid w:val="7CA83501"/>
    <w:rsid w:val="7CAD6D69"/>
    <w:rsid w:val="7CBA4D6C"/>
    <w:rsid w:val="7CC85951"/>
    <w:rsid w:val="7CCC5441"/>
    <w:rsid w:val="7CD23C7F"/>
    <w:rsid w:val="7CD24BAE"/>
    <w:rsid w:val="7CE56503"/>
    <w:rsid w:val="7CE6556D"/>
    <w:rsid w:val="7D033147"/>
    <w:rsid w:val="7D1066E2"/>
    <w:rsid w:val="7D1B3CD3"/>
    <w:rsid w:val="7D227CB6"/>
    <w:rsid w:val="7D300C5A"/>
    <w:rsid w:val="7D4C0330"/>
    <w:rsid w:val="7D811B7B"/>
    <w:rsid w:val="7D836171"/>
    <w:rsid w:val="7DAB13F5"/>
    <w:rsid w:val="7DAB2803"/>
    <w:rsid w:val="7DBA0B43"/>
    <w:rsid w:val="7DF47503"/>
    <w:rsid w:val="7E186464"/>
    <w:rsid w:val="7E3516A3"/>
    <w:rsid w:val="7E3E4800"/>
    <w:rsid w:val="7E480CD7"/>
    <w:rsid w:val="7E696CC0"/>
    <w:rsid w:val="7E7B41B8"/>
    <w:rsid w:val="7E7F0292"/>
    <w:rsid w:val="7E835AFC"/>
    <w:rsid w:val="7E851714"/>
    <w:rsid w:val="7E88060D"/>
    <w:rsid w:val="7E966D9F"/>
    <w:rsid w:val="7EA45F4A"/>
    <w:rsid w:val="7ECA197C"/>
    <w:rsid w:val="7EDF79CA"/>
    <w:rsid w:val="7EE02B0F"/>
    <w:rsid w:val="7EF16259"/>
    <w:rsid w:val="7EF163A6"/>
    <w:rsid w:val="7F0D7FB9"/>
    <w:rsid w:val="7F11635C"/>
    <w:rsid w:val="7F2B0D53"/>
    <w:rsid w:val="7F4E65E2"/>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4"/>
    <w:qFormat/>
    <w:uiPriority w:val="0"/>
    <w:rPr>
      <w:b/>
      <w:bCs/>
    </w:rPr>
  </w:style>
  <w:style w:type="paragraph" w:styleId="14">
    <w:name w:val="Body Text First Indent 2"/>
    <w:basedOn w:val="5"/>
    <w:qFormat/>
    <w:uiPriority w:val="0"/>
    <w:pPr>
      <w:tabs>
        <w:tab w:val="left" w:pos="-116"/>
        <w:tab w:val="left" w:pos="42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Emphasis"/>
    <w:basedOn w:val="17"/>
    <w:qFormat/>
    <w:uiPriority w:val="0"/>
    <w:rPr>
      <w:i/>
    </w:rPr>
  </w:style>
  <w:style w:type="character" w:styleId="21">
    <w:name w:val="annotation reference"/>
    <w:basedOn w:val="17"/>
    <w:qFormat/>
    <w:uiPriority w:val="0"/>
    <w:rPr>
      <w:sz w:val="21"/>
      <w:szCs w:val="21"/>
    </w:rPr>
  </w:style>
  <w:style w:type="character" w:customStyle="1" w:styleId="22">
    <w:name w:val="批注框文本 Char"/>
    <w:basedOn w:val="17"/>
    <w:link w:val="7"/>
    <w:qFormat/>
    <w:uiPriority w:val="0"/>
    <w:rPr>
      <w:rFonts w:ascii="Times New Roman" w:hAnsi="Times New Roman"/>
      <w:kern w:val="2"/>
      <w:sz w:val="18"/>
      <w:szCs w:val="18"/>
    </w:rPr>
  </w:style>
  <w:style w:type="character" w:customStyle="1" w:styleId="23">
    <w:name w:val="批注文字 Char"/>
    <w:basedOn w:val="17"/>
    <w:link w:val="3"/>
    <w:qFormat/>
    <w:uiPriority w:val="0"/>
    <w:rPr>
      <w:rFonts w:ascii="Times New Roman" w:hAnsi="Times New Roman"/>
      <w:kern w:val="2"/>
      <w:sz w:val="21"/>
      <w:szCs w:val="22"/>
    </w:rPr>
  </w:style>
  <w:style w:type="character" w:customStyle="1" w:styleId="24">
    <w:name w:val="批注主题 Char"/>
    <w:basedOn w:val="23"/>
    <w:link w:val="13"/>
    <w:qFormat/>
    <w:uiPriority w:val="0"/>
  </w:style>
  <w:style w:type="character" w:customStyle="1" w:styleId="25">
    <w:name w:val="font51"/>
    <w:basedOn w:val="17"/>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31"/>
    <w:basedOn w:val="17"/>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65</Pages>
  <Words>11635</Words>
  <Characters>12207</Characters>
  <Lines>1</Lines>
  <Paragraphs>1</Paragraphs>
  <TotalTime>4</TotalTime>
  <ScaleCrop>false</ScaleCrop>
  <LinksUpToDate>false</LinksUpToDate>
  <CharactersWithSpaces>12576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招采2</cp:lastModifiedBy>
  <cp:lastPrinted>2024-12-31T06:32:00Z</cp:lastPrinted>
  <dcterms:modified xsi:type="dcterms:W3CDTF">2025-11-24T02:55:15Z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F9863BE83B3B4A2F969E158CD72CA5AA_13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