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181DAA">
      <w:pPr>
        <w:keepNext w:val="0"/>
        <w:keepLines w:val="0"/>
        <w:pageBreakBefore w:val="0"/>
        <w:shd w:val="clear" w:color="auto" w:fill="auto"/>
        <w:kinsoku/>
        <w:wordWrap/>
        <w:overflowPunct/>
        <w:topLinePunct w:val="0"/>
        <w:autoSpaceDE/>
        <w:autoSpaceDN/>
        <w:bidi w:val="0"/>
        <w:adjustRightInd/>
        <w:snapToGrid w:val="0"/>
        <w:spacing w:line="360" w:lineRule="auto"/>
        <w:ind w:firstLine="501" w:firstLineChars="179"/>
        <w:jc w:val="both"/>
        <w:rPr>
          <w:rFonts w:hint="eastAsia" w:ascii="仿宋" w:hAnsi="仿宋" w:eastAsia="仿宋" w:cs="仿宋"/>
          <w:color w:val="auto"/>
          <w:highlight w:val="none"/>
          <w:lang w:val="en-US" w:eastAsia="zh-CN"/>
        </w:rPr>
      </w:pPr>
    </w:p>
    <w:p w14:paraId="6EB5040D">
      <w:pPr>
        <w:keepNext w:val="0"/>
        <w:keepLines w:val="0"/>
        <w:pageBreakBefore w:val="0"/>
        <w:shd w:val="clear" w:color="auto" w:fill="auto"/>
        <w:kinsoku/>
        <w:wordWrap/>
        <w:overflowPunct/>
        <w:topLinePunct w:val="0"/>
        <w:autoSpaceDE/>
        <w:autoSpaceDN/>
        <w:bidi w:val="0"/>
        <w:adjustRightInd/>
        <w:snapToGrid w:val="0"/>
        <w:spacing w:line="360" w:lineRule="auto"/>
        <w:ind w:firstLine="429" w:firstLineChars="179"/>
        <w:jc w:val="both"/>
        <w:rPr>
          <w:rFonts w:hint="eastAsia" w:ascii="仿宋" w:hAnsi="仿宋" w:eastAsia="仿宋" w:cs="仿宋"/>
          <w:color w:val="auto"/>
          <w:highlight w:val="none"/>
          <w:lang w:val="en-US" w:eastAsia="zh-CN"/>
        </w:rPr>
      </w:pPr>
      <w:r>
        <w:rPr>
          <w:rFonts w:hint="eastAsia" w:ascii="仿宋" w:hAnsi="仿宋" w:eastAsia="仿宋" w:cs="仿宋"/>
          <w:color w:val="auto"/>
          <w:kern w:val="0"/>
          <w:sz w:val="24"/>
          <w:szCs w:val="24"/>
          <w:highlight w:val="none"/>
        </w:rPr>
        <w:drawing>
          <wp:anchor distT="0" distB="0" distL="114300" distR="114300" simplePos="0" relativeHeight="251659264" behindDoc="0" locked="0" layoutInCell="1" allowOverlap="1">
            <wp:simplePos x="0" y="0"/>
            <wp:positionH relativeFrom="column">
              <wp:posOffset>1161415</wp:posOffset>
            </wp:positionH>
            <wp:positionV relativeFrom="paragraph">
              <wp:posOffset>19685</wp:posOffset>
            </wp:positionV>
            <wp:extent cx="4288790" cy="690245"/>
            <wp:effectExtent l="0" t="0" r="16510" b="14605"/>
            <wp:wrapNone/>
            <wp:docPr id="1" name="图片 2" descr="86619fd34e89ba868d862bb3661be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86619fd34e89ba868d862bb3661be41"/>
                    <pic:cNvPicPr>
                      <a:picLocks noChangeAspect="1"/>
                    </pic:cNvPicPr>
                  </pic:nvPicPr>
                  <pic:blipFill>
                    <a:blip r:embed="rId10"/>
                    <a:stretch>
                      <a:fillRect/>
                    </a:stretch>
                  </pic:blipFill>
                  <pic:spPr>
                    <a:xfrm>
                      <a:off x="0" y="0"/>
                      <a:ext cx="4288790" cy="690245"/>
                    </a:xfrm>
                    <a:prstGeom prst="rect">
                      <a:avLst/>
                    </a:prstGeom>
                    <a:noFill/>
                    <a:ln>
                      <a:noFill/>
                    </a:ln>
                  </pic:spPr>
                </pic:pic>
              </a:graphicData>
            </a:graphic>
          </wp:anchor>
        </w:drawing>
      </w:r>
    </w:p>
    <w:p w14:paraId="633C92C3">
      <w:pPr>
        <w:keepNext w:val="0"/>
        <w:keepLines w:val="0"/>
        <w:pageBreakBefore w:val="0"/>
        <w:shd w:val="clear" w:color="auto" w:fill="auto"/>
        <w:kinsoku/>
        <w:wordWrap/>
        <w:overflowPunct/>
        <w:topLinePunct w:val="0"/>
        <w:autoSpaceDE/>
        <w:autoSpaceDN/>
        <w:bidi w:val="0"/>
        <w:adjustRightInd/>
        <w:snapToGrid w:val="0"/>
        <w:spacing w:line="360" w:lineRule="auto"/>
        <w:ind w:firstLine="1294" w:firstLineChars="179"/>
        <w:jc w:val="center"/>
        <w:rPr>
          <w:rFonts w:hint="eastAsia" w:ascii="仿宋" w:hAnsi="仿宋" w:eastAsia="仿宋" w:cs="仿宋"/>
          <w:b/>
          <w:color w:val="auto"/>
          <w:sz w:val="72"/>
          <w:highlight w:val="none"/>
          <w:lang w:val="en-US" w:eastAsia="zh-CN"/>
        </w:rPr>
      </w:pPr>
    </w:p>
    <w:p w14:paraId="513AD072">
      <w:pPr>
        <w:pStyle w:val="16"/>
        <w:keepNext w:val="0"/>
        <w:keepLines w:val="0"/>
        <w:pageBreakBefore w:val="0"/>
        <w:overflowPunct/>
        <w:topLinePunct w:val="0"/>
        <w:bidi w:val="0"/>
        <w:snapToGrid w:val="0"/>
        <w:spacing w:line="360" w:lineRule="auto"/>
        <w:ind w:firstLine="501" w:firstLineChars="179"/>
        <w:rPr>
          <w:rFonts w:hint="eastAsia"/>
          <w:color w:val="auto"/>
          <w:highlight w:val="none"/>
          <w:lang w:val="en-US" w:eastAsia="zh-CN"/>
        </w:rPr>
      </w:pPr>
    </w:p>
    <w:p w14:paraId="270AE225">
      <w:pPr>
        <w:keepNext w:val="0"/>
        <w:keepLines w:val="0"/>
        <w:pageBreakBefore w:val="0"/>
        <w:widowControl w:val="0"/>
        <w:shd w:val="clear" w:color="auto" w:fill="auto"/>
        <w:kinsoku/>
        <w:wordWrap/>
        <w:overflowPunct/>
        <w:topLinePunct w:val="0"/>
        <w:autoSpaceDE/>
        <w:autoSpaceDN/>
        <w:bidi w:val="0"/>
        <w:adjustRightInd/>
        <w:snapToGrid w:val="0"/>
        <w:spacing w:line="360" w:lineRule="auto"/>
        <w:jc w:val="center"/>
        <w:textAlignment w:val="auto"/>
        <w:outlineLvl w:val="0"/>
        <w:rPr>
          <w:rFonts w:hint="default" w:ascii="仿宋" w:hAnsi="仿宋" w:eastAsia="仿宋" w:cs="仿宋"/>
          <w:b/>
          <w:color w:val="auto"/>
          <w:sz w:val="52"/>
          <w:szCs w:val="52"/>
          <w:highlight w:val="none"/>
          <w:u w:val="single"/>
          <w:lang w:val="en-US" w:eastAsia="zh-CN"/>
        </w:rPr>
      </w:pPr>
      <w:r>
        <w:rPr>
          <w:rFonts w:hint="eastAsia" w:ascii="仿宋" w:hAnsi="仿宋" w:eastAsia="仿宋" w:cs="仿宋"/>
          <w:b/>
          <w:color w:val="auto"/>
          <w:sz w:val="52"/>
          <w:szCs w:val="52"/>
          <w:highlight w:val="none"/>
          <w:u w:val="none"/>
          <w:lang w:val="en-US" w:eastAsia="zh-CN"/>
        </w:rPr>
        <w:t>玉林（福绵）节能环保产业园南部污水处理厂及中水回用设施建设项目（一期二标段5万吨/天）污泥脱水间及事故应急池管桩基础工程</w:t>
      </w:r>
    </w:p>
    <w:p w14:paraId="3447D456">
      <w:pPr>
        <w:keepNext w:val="0"/>
        <w:keepLines w:val="0"/>
        <w:pageBreakBefore w:val="0"/>
        <w:widowControl w:val="0"/>
        <w:shd w:val="clear" w:color="auto" w:fill="auto"/>
        <w:kinsoku/>
        <w:wordWrap/>
        <w:overflowPunct/>
        <w:topLinePunct w:val="0"/>
        <w:autoSpaceDE/>
        <w:autoSpaceDN/>
        <w:bidi w:val="0"/>
        <w:adjustRightInd/>
        <w:snapToGrid w:val="0"/>
        <w:spacing w:line="360" w:lineRule="auto"/>
        <w:jc w:val="center"/>
        <w:textAlignment w:val="auto"/>
        <w:outlineLvl w:val="0"/>
        <w:rPr>
          <w:rFonts w:hint="eastAsia" w:ascii="仿宋" w:hAnsi="仿宋" w:eastAsia="仿宋" w:cs="仿宋"/>
          <w:b/>
          <w:bCs w:val="0"/>
          <w:color w:val="auto"/>
          <w:sz w:val="52"/>
          <w:szCs w:val="52"/>
          <w:highlight w:val="none"/>
          <w:u w:val="none"/>
          <w:lang w:val="en-US" w:eastAsia="zh-CN"/>
        </w:rPr>
      </w:pPr>
      <w:bookmarkStart w:id="0" w:name="_Toc18193"/>
      <w:bookmarkStart w:id="1" w:name="_Toc8615"/>
      <w:bookmarkStart w:id="2" w:name="_Toc19490"/>
      <w:bookmarkStart w:id="3" w:name="_Toc18261"/>
      <w:bookmarkStart w:id="4" w:name="_Toc27796"/>
      <w:bookmarkStart w:id="5" w:name="_Toc28644"/>
      <w:r>
        <w:rPr>
          <w:rFonts w:hint="eastAsia" w:ascii="仿宋" w:hAnsi="仿宋" w:eastAsia="仿宋" w:cs="仿宋"/>
          <w:b/>
          <w:bCs w:val="0"/>
          <w:color w:val="auto"/>
          <w:sz w:val="52"/>
          <w:szCs w:val="52"/>
          <w:highlight w:val="none"/>
          <w:u w:val="none"/>
          <w:lang w:val="en-US" w:eastAsia="zh-CN"/>
        </w:rPr>
        <w:t>施</w:t>
      </w:r>
      <w:bookmarkEnd w:id="0"/>
      <w:bookmarkEnd w:id="1"/>
      <w:bookmarkEnd w:id="2"/>
      <w:bookmarkEnd w:id="3"/>
      <w:bookmarkEnd w:id="4"/>
      <w:bookmarkEnd w:id="5"/>
    </w:p>
    <w:p w14:paraId="2176B16F">
      <w:pPr>
        <w:keepNext w:val="0"/>
        <w:keepLines w:val="0"/>
        <w:pageBreakBefore w:val="0"/>
        <w:widowControl w:val="0"/>
        <w:shd w:val="clear" w:color="auto" w:fill="auto"/>
        <w:kinsoku/>
        <w:wordWrap/>
        <w:overflowPunct/>
        <w:topLinePunct w:val="0"/>
        <w:autoSpaceDE/>
        <w:autoSpaceDN/>
        <w:bidi w:val="0"/>
        <w:adjustRightInd/>
        <w:snapToGrid w:val="0"/>
        <w:spacing w:line="360" w:lineRule="auto"/>
        <w:jc w:val="center"/>
        <w:textAlignment w:val="auto"/>
        <w:outlineLvl w:val="0"/>
        <w:rPr>
          <w:rFonts w:hint="default" w:ascii="仿宋" w:hAnsi="仿宋" w:eastAsia="仿宋" w:cs="仿宋"/>
          <w:b/>
          <w:bCs w:val="0"/>
          <w:color w:val="auto"/>
          <w:sz w:val="52"/>
          <w:szCs w:val="52"/>
          <w:highlight w:val="none"/>
          <w:u w:val="none"/>
          <w:lang w:val="en-US" w:eastAsia="zh-CN"/>
        </w:rPr>
      </w:pPr>
      <w:bookmarkStart w:id="6" w:name="_Toc28032"/>
      <w:bookmarkStart w:id="7" w:name="_Toc7915"/>
      <w:bookmarkStart w:id="8" w:name="_Toc19523"/>
      <w:bookmarkStart w:id="9" w:name="_Toc13064"/>
      <w:bookmarkStart w:id="10" w:name="_Toc29861"/>
      <w:bookmarkStart w:id="11" w:name="_Toc25253"/>
      <w:r>
        <w:rPr>
          <w:rFonts w:hint="eastAsia" w:ascii="仿宋" w:hAnsi="仿宋" w:eastAsia="仿宋" w:cs="仿宋"/>
          <w:b/>
          <w:bCs w:val="0"/>
          <w:color w:val="auto"/>
          <w:sz w:val="52"/>
          <w:szCs w:val="52"/>
          <w:highlight w:val="none"/>
          <w:u w:val="none"/>
          <w:lang w:val="en-US" w:eastAsia="zh-CN"/>
        </w:rPr>
        <w:t>工</w:t>
      </w:r>
      <w:bookmarkEnd w:id="6"/>
      <w:bookmarkEnd w:id="7"/>
      <w:bookmarkEnd w:id="8"/>
      <w:bookmarkEnd w:id="9"/>
      <w:bookmarkEnd w:id="10"/>
      <w:bookmarkEnd w:id="11"/>
    </w:p>
    <w:p w14:paraId="013FB39B">
      <w:pPr>
        <w:keepNext w:val="0"/>
        <w:keepLines w:val="0"/>
        <w:pageBreakBefore w:val="0"/>
        <w:widowControl w:val="0"/>
        <w:shd w:val="clear" w:color="auto" w:fill="auto"/>
        <w:kinsoku/>
        <w:wordWrap/>
        <w:overflowPunct/>
        <w:topLinePunct w:val="0"/>
        <w:autoSpaceDE/>
        <w:autoSpaceDN/>
        <w:bidi w:val="0"/>
        <w:adjustRightInd/>
        <w:snapToGrid w:val="0"/>
        <w:spacing w:line="360" w:lineRule="auto"/>
        <w:jc w:val="center"/>
        <w:textAlignment w:val="auto"/>
        <w:outlineLvl w:val="0"/>
        <w:rPr>
          <w:rFonts w:hint="eastAsia" w:ascii="仿宋" w:hAnsi="仿宋" w:eastAsia="仿宋" w:cs="仿宋"/>
          <w:b/>
          <w:color w:val="auto"/>
          <w:sz w:val="52"/>
          <w:szCs w:val="52"/>
          <w:highlight w:val="none"/>
          <w:lang w:val="en-US" w:eastAsia="zh-CN"/>
        </w:rPr>
      </w:pPr>
      <w:bookmarkStart w:id="12" w:name="_Toc14710"/>
      <w:bookmarkStart w:id="13" w:name="_Toc29957"/>
      <w:bookmarkStart w:id="14" w:name="_Toc21539"/>
      <w:bookmarkStart w:id="15" w:name="_Toc25976"/>
      <w:bookmarkStart w:id="16" w:name="_Toc9299"/>
      <w:r>
        <w:rPr>
          <w:rFonts w:hint="eastAsia" w:ascii="仿宋" w:hAnsi="仿宋" w:eastAsia="仿宋" w:cs="仿宋"/>
          <w:b/>
          <w:color w:val="auto"/>
          <w:sz w:val="52"/>
          <w:szCs w:val="52"/>
          <w:highlight w:val="none"/>
          <w:lang w:val="en-US" w:eastAsia="zh-CN"/>
        </w:rPr>
        <w:t>合</w:t>
      </w:r>
      <w:bookmarkEnd w:id="12"/>
      <w:bookmarkEnd w:id="13"/>
      <w:bookmarkEnd w:id="14"/>
      <w:bookmarkEnd w:id="15"/>
      <w:bookmarkEnd w:id="16"/>
    </w:p>
    <w:p w14:paraId="76B01BA4">
      <w:pPr>
        <w:keepNext w:val="0"/>
        <w:keepLines w:val="0"/>
        <w:pageBreakBefore w:val="0"/>
        <w:widowControl w:val="0"/>
        <w:shd w:val="clear" w:color="auto" w:fill="auto"/>
        <w:kinsoku/>
        <w:wordWrap/>
        <w:overflowPunct/>
        <w:topLinePunct w:val="0"/>
        <w:autoSpaceDE/>
        <w:autoSpaceDN/>
        <w:bidi w:val="0"/>
        <w:adjustRightInd/>
        <w:snapToGrid w:val="0"/>
        <w:spacing w:line="360" w:lineRule="auto"/>
        <w:jc w:val="center"/>
        <w:textAlignment w:val="auto"/>
        <w:outlineLvl w:val="0"/>
        <w:rPr>
          <w:rFonts w:hint="eastAsia" w:ascii="仿宋" w:hAnsi="仿宋" w:eastAsia="仿宋" w:cs="仿宋"/>
          <w:b/>
          <w:color w:val="auto"/>
          <w:sz w:val="52"/>
          <w:szCs w:val="52"/>
          <w:highlight w:val="none"/>
          <w:lang w:val="en-US" w:eastAsia="zh-CN"/>
        </w:rPr>
      </w:pPr>
      <w:bookmarkStart w:id="17" w:name="_Toc24854"/>
      <w:bookmarkStart w:id="18" w:name="_Toc24"/>
      <w:bookmarkStart w:id="19" w:name="_Toc3655"/>
      <w:bookmarkStart w:id="20" w:name="_Toc17573"/>
      <w:bookmarkStart w:id="21" w:name="_Toc31161"/>
      <w:bookmarkStart w:id="22" w:name="_Toc15511"/>
      <w:r>
        <w:rPr>
          <w:rFonts w:hint="eastAsia" w:ascii="仿宋" w:hAnsi="仿宋" w:eastAsia="仿宋" w:cs="仿宋"/>
          <w:b/>
          <w:color w:val="auto"/>
          <w:sz w:val="52"/>
          <w:szCs w:val="52"/>
          <w:highlight w:val="none"/>
          <w:lang w:val="en-US" w:eastAsia="zh-CN"/>
        </w:rPr>
        <w:t>同</w:t>
      </w:r>
      <w:bookmarkEnd w:id="17"/>
      <w:bookmarkEnd w:id="18"/>
      <w:bookmarkEnd w:id="19"/>
      <w:bookmarkEnd w:id="20"/>
      <w:bookmarkEnd w:id="21"/>
      <w:bookmarkEnd w:id="22"/>
    </w:p>
    <w:p w14:paraId="302D1BAD">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1960" w:firstLineChars="700"/>
        <w:jc w:val="both"/>
        <w:textAlignment w:val="auto"/>
        <w:rPr>
          <w:rFonts w:hint="eastAsia" w:ascii="仿宋" w:hAnsi="仿宋" w:eastAsia="仿宋" w:cs="仿宋"/>
          <w:b w:val="0"/>
          <w:bCs w:val="0"/>
          <w:color w:val="auto"/>
          <w:sz w:val="28"/>
          <w:szCs w:val="28"/>
          <w:highlight w:val="none"/>
          <w:u w:val="single"/>
          <w:lang w:val="en-US" w:eastAsia="zh-CN"/>
        </w:rPr>
      </w:pPr>
      <w:r>
        <w:rPr>
          <w:rFonts w:hint="eastAsia" w:ascii="仿宋" w:hAnsi="仿宋" w:eastAsia="仿宋" w:cs="仿宋"/>
          <w:b w:val="0"/>
          <w:bCs w:val="0"/>
          <w:color w:val="auto"/>
          <w:sz w:val="28"/>
          <w:szCs w:val="28"/>
          <w:highlight w:val="none"/>
          <w:lang w:val="en-US" w:eastAsia="zh-CN"/>
        </w:rPr>
        <w:t>合同编号：</w:t>
      </w:r>
    </w:p>
    <w:p w14:paraId="043C4595">
      <w:pPr>
        <w:keepNext w:val="0"/>
        <w:keepLines w:val="0"/>
        <w:pageBreakBefore w:val="0"/>
        <w:widowControl w:val="0"/>
        <w:shd w:val="clear" w:color="auto" w:fill="auto"/>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val="0"/>
          <w:bCs w:val="0"/>
          <w:color w:val="auto"/>
          <w:sz w:val="28"/>
          <w:szCs w:val="28"/>
          <w:highlight w:val="none"/>
          <w:u w:val="single"/>
          <w:lang w:val="en-US" w:eastAsia="zh-CN"/>
        </w:rPr>
      </w:pPr>
      <w:r>
        <w:rPr>
          <w:rFonts w:hint="eastAsia" w:ascii="仿宋" w:hAnsi="仿宋" w:eastAsia="仿宋" w:cs="仿宋"/>
          <w:b w:val="0"/>
          <w:bCs w:val="0"/>
          <w:color w:val="auto"/>
          <w:sz w:val="28"/>
          <w:szCs w:val="28"/>
          <w:highlight w:val="none"/>
          <w:lang w:val="en-US" w:eastAsia="zh-CN"/>
        </w:rPr>
        <w:t>甲方（发包方）：东莞市中泰建安工程有限公司</w:t>
      </w:r>
    </w:p>
    <w:p w14:paraId="318BC41A">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1960" w:firstLineChars="700"/>
        <w:jc w:val="both"/>
        <w:textAlignment w:val="auto"/>
        <w:rPr>
          <w:rFonts w:hint="eastAsia" w:ascii="仿宋" w:hAnsi="仿宋" w:eastAsia="宋体" w:cs="仿宋"/>
          <w:b w:val="0"/>
          <w:bCs w:val="0"/>
          <w:color w:val="auto"/>
          <w:sz w:val="28"/>
          <w:szCs w:val="28"/>
          <w:highlight w:val="none"/>
          <w:u w:val="single"/>
          <w:lang w:val="en-US" w:eastAsia="zh-CN"/>
        </w:rPr>
      </w:pPr>
      <w:r>
        <w:rPr>
          <w:rFonts w:hint="eastAsia" w:ascii="仿宋" w:hAnsi="仿宋" w:eastAsia="仿宋" w:cs="仿宋"/>
          <w:b w:val="0"/>
          <w:bCs w:val="0"/>
          <w:color w:val="auto"/>
          <w:sz w:val="28"/>
          <w:szCs w:val="28"/>
          <w:highlight w:val="none"/>
          <w:lang w:val="en-US" w:eastAsia="zh-CN"/>
        </w:rPr>
        <w:t xml:space="preserve">乙方（承包方）： </w:t>
      </w:r>
    </w:p>
    <w:p w14:paraId="418F649D">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1960" w:firstLineChars="700"/>
        <w:jc w:val="both"/>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签订日期：202</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年</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月</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日</w:t>
      </w:r>
    </w:p>
    <w:p w14:paraId="5CCD7672">
      <w:pPr>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1960" w:firstLineChars="700"/>
        <w:jc w:val="both"/>
        <w:textAlignment w:val="auto"/>
        <w:rPr>
          <w:rFonts w:hint="eastAsia" w:ascii="仿宋" w:hAnsi="仿宋" w:eastAsia="仿宋" w:cs="仿宋"/>
          <w:b/>
          <w:bCs/>
          <w:color w:val="auto"/>
          <w:kern w:val="2"/>
          <w:sz w:val="32"/>
          <w:szCs w:val="32"/>
          <w:highlight w:val="none"/>
          <w:u w:val="none"/>
          <w:lang w:val="en-US" w:eastAsia="zh-CN" w:bidi="ar-SA"/>
        </w:rPr>
        <w:sectPr>
          <w:headerReference r:id="rId3" w:type="default"/>
          <w:footerReference r:id="rId4" w:type="default"/>
          <w:pgSz w:w="11906" w:h="16838"/>
          <w:pgMar w:top="1440" w:right="1026" w:bottom="1440" w:left="1080" w:header="737" w:footer="624" w:gutter="0"/>
          <w:pgBorders>
            <w:top w:val="single" w:color="auto" w:sz="4" w:space="1"/>
            <w:left w:val="single" w:color="auto" w:sz="4" w:space="4"/>
            <w:bottom w:val="single" w:color="auto" w:sz="4" w:space="1"/>
            <w:right w:val="single" w:color="auto" w:sz="4" w:space="4"/>
          </w:pgBorders>
          <w:pgNumType w:fmt="decimal"/>
          <w:cols w:space="720" w:num="1"/>
          <w:docGrid w:type="lines" w:linePitch="312" w:charSpace="0"/>
        </w:sectPr>
      </w:pPr>
      <w:r>
        <w:rPr>
          <w:rFonts w:hint="eastAsia" w:ascii="仿宋" w:hAnsi="仿宋" w:eastAsia="仿宋" w:cs="仿宋"/>
          <w:b w:val="0"/>
          <w:bCs w:val="0"/>
          <w:color w:val="auto"/>
          <w:sz w:val="28"/>
          <w:szCs w:val="28"/>
          <w:highlight w:val="none"/>
          <w:u w:val="none"/>
          <w:lang w:val="en-US" w:eastAsia="zh-CN"/>
        </w:rPr>
        <w:t>签订地点：广东东莞南城。</w:t>
      </w:r>
    </w:p>
    <w:sdt>
      <w:sdtPr>
        <w:rPr>
          <w:rFonts w:ascii="宋体" w:hAnsi="宋体" w:eastAsia="宋体" w:cs="Times New Roman"/>
          <w:kern w:val="2"/>
          <w:sz w:val="20"/>
          <w:szCs w:val="18"/>
          <w:highlight w:val="none"/>
          <w:lang w:val="en-US" w:eastAsia="zh-CN" w:bidi="ar-SA"/>
        </w:rPr>
        <w:id w:val="147452857"/>
        <w15:color w:val="DBDBDB"/>
        <w:docPartObj>
          <w:docPartGallery w:val="Table of Contents"/>
          <w:docPartUnique/>
        </w:docPartObj>
      </w:sdtPr>
      <w:sdtEndPr>
        <w:rPr>
          <w:rFonts w:ascii="宋体" w:hAnsi="宋体" w:eastAsia="宋体" w:cs="Times New Roman"/>
          <w:b/>
          <w:kern w:val="2"/>
          <w:sz w:val="32"/>
          <w:szCs w:val="32"/>
          <w:highlight w:val="none"/>
          <w:lang w:val="en-US" w:eastAsia="zh-CN" w:bidi="ar-SA"/>
        </w:rPr>
      </w:sdtEndPr>
      <w:sdtContent>
        <w:p w14:paraId="4250CF5A">
          <w:pPr>
            <w:keepNext w:val="0"/>
            <w:keepLines w:val="0"/>
            <w:pageBreakBefore w:val="0"/>
            <w:kinsoku/>
            <w:wordWrap/>
            <w:overflowPunct/>
            <w:topLinePunct w:val="0"/>
            <w:autoSpaceDE/>
            <w:autoSpaceDN/>
            <w:bidi w:val="0"/>
            <w:adjustRightInd/>
            <w:snapToGrid w:val="0"/>
            <w:spacing w:before="0" w:beforeLines="0" w:after="0" w:afterLines="0" w:line="288" w:lineRule="auto"/>
            <w:ind w:left="0" w:leftChars="0" w:right="0" w:rightChars="0" w:firstLine="0" w:firstLineChars="0"/>
            <w:jc w:val="center"/>
            <w:textAlignment w:val="auto"/>
            <w:rPr>
              <w:b/>
              <w:bCs/>
              <w:sz w:val="44"/>
              <w:szCs w:val="28"/>
              <w:highlight w:val="none"/>
            </w:rPr>
          </w:pPr>
          <w:bookmarkStart w:id="23" w:name="_Toc17539"/>
          <w:bookmarkStart w:id="24" w:name="_Toc17907"/>
          <w:r>
            <w:rPr>
              <w:rFonts w:ascii="宋体" w:hAnsi="宋体" w:eastAsia="宋体"/>
              <w:b/>
              <w:bCs/>
              <w:sz w:val="32"/>
              <w:szCs w:val="28"/>
              <w:highlight w:val="none"/>
            </w:rPr>
            <w:t>目录</w:t>
          </w:r>
        </w:p>
        <w:p w14:paraId="0EC77910">
          <w:pPr>
            <w:pStyle w:val="25"/>
            <w:keepNext w:val="0"/>
            <w:keepLines w:val="0"/>
            <w:pageBreakBefore w:val="0"/>
            <w:tabs>
              <w:tab w:val="right" w:leader="dot" w:pos="9072"/>
            </w:tabs>
            <w:kinsoku/>
            <w:wordWrap/>
            <w:overflowPunct/>
            <w:topLinePunct w:val="0"/>
            <w:autoSpaceDE/>
            <w:autoSpaceDN/>
            <w:bidi w:val="0"/>
            <w:adjustRightInd/>
            <w:snapToGrid w:val="0"/>
            <w:spacing w:line="288" w:lineRule="auto"/>
            <w:textAlignment w:val="auto"/>
            <w:rPr>
              <w:b/>
              <w:sz w:val="28"/>
              <w:szCs w:val="28"/>
              <w:highlight w:val="none"/>
            </w:rPr>
          </w:pPr>
          <w:r>
            <w:rPr>
              <w:sz w:val="28"/>
              <w:szCs w:val="28"/>
              <w:highlight w:val="none"/>
            </w:rPr>
            <w:fldChar w:fldCharType="begin"/>
          </w:r>
          <w:r>
            <w:rPr>
              <w:sz w:val="28"/>
              <w:szCs w:val="28"/>
              <w:highlight w:val="none"/>
            </w:rPr>
            <w:instrText xml:space="preserve">TOC \o "1-2" \h \u </w:instrText>
          </w:r>
          <w:r>
            <w:rPr>
              <w:sz w:val="28"/>
              <w:szCs w:val="28"/>
              <w:highlight w:val="none"/>
            </w:rPr>
            <w:fldChar w:fldCharType="separate"/>
          </w:r>
          <w:r>
            <w:rPr>
              <w:b/>
              <w:sz w:val="28"/>
              <w:szCs w:val="28"/>
              <w:highlight w:val="none"/>
            </w:rPr>
            <w:fldChar w:fldCharType="begin"/>
          </w:r>
          <w:r>
            <w:rPr>
              <w:b/>
              <w:sz w:val="28"/>
              <w:szCs w:val="28"/>
              <w:highlight w:val="none"/>
            </w:rPr>
            <w:instrText xml:space="preserve"> HYPERLINK \l _Toc8352 </w:instrText>
          </w:r>
          <w:r>
            <w:rPr>
              <w:b/>
              <w:sz w:val="28"/>
              <w:szCs w:val="28"/>
              <w:highlight w:val="none"/>
            </w:rPr>
            <w:fldChar w:fldCharType="separate"/>
          </w:r>
          <w:r>
            <w:rPr>
              <w:rFonts w:hint="eastAsia" w:ascii="仿宋_GB2312" w:hAnsi="仿宋_GB2312" w:eastAsia="仿宋_GB2312" w:cs="仿宋_GB2312"/>
              <w:b/>
              <w:bCs/>
              <w:i w:val="0"/>
              <w:iCs w:val="0"/>
              <w:kern w:val="0"/>
              <w:sz w:val="28"/>
              <w:szCs w:val="44"/>
              <w:highlight w:val="none"/>
              <w:shd w:val="clear" w:fill="auto"/>
              <w:lang w:val="en-US" w:eastAsia="zh-CN" w:bidi="ar-SA"/>
            </w:rPr>
            <w:t xml:space="preserve">第一部分 </w:t>
          </w:r>
          <w:r>
            <w:rPr>
              <w:rFonts w:hint="eastAsia" w:ascii="仿宋_GB2312" w:hAnsi="仿宋_GB2312" w:eastAsia="仿宋_GB2312" w:cs="仿宋_GB2312"/>
              <w:b/>
              <w:bCs/>
              <w:i w:val="0"/>
              <w:iCs w:val="0"/>
              <w:kern w:val="0"/>
              <w:sz w:val="28"/>
              <w:szCs w:val="44"/>
              <w:highlight w:val="none"/>
              <w:shd w:val="clear" w:color="auto" w:fill="auto"/>
              <w:lang w:val="en-US" w:eastAsia="zh-CN"/>
            </w:rPr>
            <w:t>合同专用条款</w:t>
          </w:r>
          <w:r>
            <w:rPr>
              <w:b/>
              <w:sz w:val="28"/>
              <w:szCs w:val="28"/>
              <w:highlight w:val="none"/>
            </w:rPr>
            <w:tab/>
          </w:r>
          <w:r>
            <w:rPr>
              <w:b/>
              <w:sz w:val="28"/>
              <w:szCs w:val="28"/>
              <w:highlight w:val="none"/>
            </w:rPr>
            <w:fldChar w:fldCharType="begin"/>
          </w:r>
          <w:r>
            <w:rPr>
              <w:b/>
              <w:sz w:val="28"/>
              <w:szCs w:val="28"/>
              <w:highlight w:val="none"/>
            </w:rPr>
            <w:instrText xml:space="preserve"> PAGEREF _Toc8352 \h </w:instrText>
          </w:r>
          <w:r>
            <w:rPr>
              <w:b/>
              <w:sz w:val="28"/>
              <w:szCs w:val="28"/>
              <w:highlight w:val="none"/>
            </w:rPr>
            <w:fldChar w:fldCharType="separate"/>
          </w:r>
          <w:r>
            <w:rPr>
              <w:b/>
              <w:sz w:val="28"/>
              <w:szCs w:val="28"/>
              <w:highlight w:val="none"/>
            </w:rPr>
            <w:t>1</w:t>
          </w:r>
          <w:r>
            <w:rPr>
              <w:b/>
              <w:sz w:val="28"/>
              <w:szCs w:val="28"/>
              <w:highlight w:val="none"/>
            </w:rPr>
            <w:fldChar w:fldCharType="end"/>
          </w:r>
          <w:r>
            <w:rPr>
              <w:b/>
              <w:sz w:val="28"/>
              <w:szCs w:val="28"/>
              <w:highlight w:val="none"/>
            </w:rPr>
            <w:fldChar w:fldCharType="end"/>
          </w:r>
        </w:p>
        <w:p w14:paraId="71C13E6B">
          <w:pPr>
            <w:pStyle w:val="26"/>
            <w:keepNext w:val="0"/>
            <w:keepLines w:val="0"/>
            <w:pageBreakBefore w:val="0"/>
            <w:tabs>
              <w:tab w:val="right" w:leader="dot" w:pos="9072"/>
            </w:tabs>
            <w:kinsoku/>
            <w:wordWrap/>
            <w:overflowPunct/>
            <w:topLinePunct w:val="0"/>
            <w:autoSpaceDE/>
            <w:autoSpaceDN/>
            <w:bidi w:val="0"/>
            <w:adjustRightInd/>
            <w:snapToGrid w:val="0"/>
            <w:spacing w:line="288" w:lineRule="auto"/>
            <w:textAlignment w:val="auto"/>
            <w:rPr>
              <w:sz w:val="28"/>
              <w:szCs w:val="28"/>
              <w:highlight w:val="none"/>
            </w:rPr>
          </w:pPr>
          <w:r>
            <w:rPr>
              <w:sz w:val="28"/>
              <w:szCs w:val="28"/>
              <w:highlight w:val="none"/>
            </w:rPr>
            <w:fldChar w:fldCharType="begin"/>
          </w:r>
          <w:r>
            <w:rPr>
              <w:sz w:val="28"/>
              <w:szCs w:val="28"/>
              <w:highlight w:val="none"/>
            </w:rPr>
            <w:instrText xml:space="preserve"> HYPERLINK \l _Toc29681 </w:instrText>
          </w:r>
          <w:r>
            <w:rPr>
              <w:sz w:val="28"/>
              <w:szCs w:val="28"/>
              <w:highlight w:val="none"/>
            </w:rPr>
            <w:fldChar w:fldCharType="separate"/>
          </w:r>
          <w:r>
            <w:rPr>
              <w:rFonts w:hint="eastAsia" w:ascii="仿宋" w:hAnsi="仿宋" w:eastAsia="仿宋" w:cs="仿宋"/>
              <w:bCs/>
              <w:i w:val="0"/>
              <w:iCs w:val="0"/>
              <w:sz w:val="28"/>
              <w:szCs w:val="44"/>
              <w:highlight w:val="none"/>
              <w:lang w:val="en-US" w:eastAsia="zh-CN"/>
            </w:rPr>
            <w:t>第一章、项目概况</w:t>
          </w:r>
          <w:r>
            <w:rPr>
              <w:rFonts w:hint="eastAsia" w:ascii="仿宋" w:hAnsi="仿宋" w:eastAsia="仿宋" w:cs="仿宋"/>
              <w:bCs/>
              <w:sz w:val="28"/>
              <w:szCs w:val="44"/>
              <w:highlight w:val="none"/>
              <w:lang w:val="en-US" w:eastAsia="zh-CN"/>
            </w:rPr>
            <w:t xml:space="preserve"> </w:t>
          </w:r>
          <w:r>
            <w:rPr>
              <w:sz w:val="28"/>
              <w:szCs w:val="28"/>
              <w:highlight w:val="none"/>
            </w:rPr>
            <w:tab/>
          </w:r>
          <w:r>
            <w:rPr>
              <w:sz w:val="28"/>
              <w:szCs w:val="28"/>
              <w:highlight w:val="none"/>
            </w:rPr>
            <w:fldChar w:fldCharType="begin"/>
          </w:r>
          <w:r>
            <w:rPr>
              <w:sz w:val="28"/>
              <w:szCs w:val="28"/>
              <w:highlight w:val="none"/>
            </w:rPr>
            <w:instrText xml:space="preserve"> PAGEREF _Toc29681 \h </w:instrText>
          </w:r>
          <w:r>
            <w:rPr>
              <w:sz w:val="28"/>
              <w:szCs w:val="28"/>
              <w:highlight w:val="none"/>
            </w:rPr>
            <w:fldChar w:fldCharType="separate"/>
          </w:r>
          <w:r>
            <w:rPr>
              <w:sz w:val="28"/>
              <w:szCs w:val="28"/>
              <w:highlight w:val="none"/>
            </w:rPr>
            <w:t>1</w:t>
          </w:r>
          <w:r>
            <w:rPr>
              <w:sz w:val="28"/>
              <w:szCs w:val="28"/>
              <w:highlight w:val="none"/>
            </w:rPr>
            <w:fldChar w:fldCharType="end"/>
          </w:r>
          <w:r>
            <w:rPr>
              <w:sz w:val="28"/>
              <w:szCs w:val="28"/>
              <w:highlight w:val="none"/>
            </w:rPr>
            <w:fldChar w:fldCharType="end"/>
          </w:r>
        </w:p>
        <w:p w14:paraId="59649966">
          <w:pPr>
            <w:pStyle w:val="26"/>
            <w:keepNext w:val="0"/>
            <w:keepLines w:val="0"/>
            <w:pageBreakBefore w:val="0"/>
            <w:tabs>
              <w:tab w:val="right" w:leader="dot" w:pos="9072"/>
            </w:tabs>
            <w:kinsoku/>
            <w:wordWrap/>
            <w:overflowPunct/>
            <w:topLinePunct w:val="0"/>
            <w:autoSpaceDE/>
            <w:autoSpaceDN/>
            <w:bidi w:val="0"/>
            <w:adjustRightInd/>
            <w:snapToGrid w:val="0"/>
            <w:spacing w:line="288" w:lineRule="auto"/>
            <w:textAlignment w:val="auto"/>
            <w:rPr>
              <w:sz w:val="28"/>
              <w:szCs w:val="28"/>
              <w:highlight w:val="none"/>
            </w:rPr>
          </w:pPr>
          <w:r>
            <w:rPr>
              <w:sz w:val="28"/>
              <w:szCs w:val="28"/>
              <w:highlight w:val="none"/>
            </w:rPr>
            <w:fldChar w:fldCharType="begin"/>
          </w:r>
          <w:r>
            <w:rPr>
              <w:sz w:val="28"/>
              <w:szCs w:val="28"/>
              <w:highlight w:val="none"/>
            </w:rPr>
            <w:instrText xml:space="preserve"> HYPERLINK \l _Toc25766 </w:instrText>
          </w:r>
          <w:r>
            <w:rPr>
              <w:sz w:val="28"/>
              <w:szCs w:val="28"/>
              <w:highlight w:val="none"/>
            </w:rPr>
            <w:fldChar w:fldCharType="separate"/>
          </w:r>
          <w:r>
            <w:rPr>
              <w:rFonts w:hint="eastAsia" w:ascii="仿宋" w:hAnsi="仿宋" w:eastAsia="仿宋" w:cs="仿宋"/>
              <w:bCs/>
              <w:i w:val="0"/>
              <w:iCs w:val="0"/>
              <w:kern w:val="2"/>
              <w:sz w:val="28"/>
              <w:szCs w:val="44"/>
              <w:highlight w:val="none"/>
              <w:shd w:val="clear" w:color="auto" w:fill="auto"/>
              <w:lang w:val="en-US" w:eastAsia="zh-CN" w:bidi="ar-SA"/>
            </w:rPr>
            <w:t>第二章、</w:t>
          </w:r>
          <w:r>
            <w:rPr>
              <w:rFonts w:hint="eastAsia" w:ascii="仿宋" w:hAnsi="仿宋" w:eastAsia="仿宋" w:cs="仿宋"/>
              <w:bCs/>
              <w:i w:val="0"/>
              <w:iCs w:val="0"/>
              <w:sz w:val="28"/>
              <w:szCs w:val="44"/>
              <w:highlight w:val="none"/>
              <w:shd w:val="clear" w:color="auto" w:fill="auto"/>
              <w:lang w:val="en-US" w:eastAsia="zh-CN"/>
            </w:rPr>
            <w:t>承包方式</w:t>
          </w:r>
          <w:r>
            <w:rPr>
              <w:sz w:val="28"/>
              <w:szCs w:val="28"/>
              <w:highlight w:val="none"/>
            </w:rPr>
            <w:tab/>
          </w:r>
          <w:r>
            <w:rPr>
              <w:sz w:val="28"/>
              <w:szCs w:val="28"/>
              <w:highlight w:val="none"/>
            </w:rPr>
            <w:fldChar w:fldCharType="begin"/>
          </w:r>
          <w:r>
            <w:rPr>
              <w:sz w:val="28"/>
              <w:szCs w:val="28"/>
              <w:highlight w:val="none"/>
            </w:rPr>
            <w:instrText xml:space="preserve"> PAGEREF _Toc25766 \h </w:instrText>
          </w:r>
          <w:r>
            <w:rPr>
              <w:sz w:val="28"/>
              <w:szCs w:val="28"/>
              <w:highlight w:val="none"/>
            </w:rPr>
            <w:fldChar w:fldCharType="separate"/>
          </w:r>
          <w:r>
            <w:rPr>
              <w:sz w:val="28"/>
              <w:szCs w:val="28"/>
              <w:highlight w:val="none"/>
            </w:rPr>
            <w:t>1</w:t>
          </w:r>
          <w:r>
            <w:rPr>
              <w:sz w:val="28"/>
              <w:szCs w:val="28"/>
              <w:highlight w:val="none"/>
            </w:rPr>
            <w:fldChar w:fldCharType="end"/>
          </w:r>
          <w:r>
            <w:rPr>
              <w:sz w:val="28"/>
              <w:szCs w:val="28"/>
              <w:highlight w:val="none"/>
            </w:rPr>
            <w:fldChar w:fldCharType="end"/>
          </w:r>
        </w:p>
        <w:p w14:paraId="5674C899">
          <w:pPr>
            <w:pStyle w:val="26"/>
            <w:keepNext w:val="0"/>
            <w:keepLines w:val="0"/>
            <w:pageBreakBefore w:val="0"/>
            <w:tabs>
              <w:tab w:val="right" w:leader="dot" w:pos="9072"/>
            </w:tabs>
            <w:kinsoku/>
            <w:wordWrap/>
            <w:overflowPunct/>
            <w:topLinePunct w:val="0"/>
            <w:autoSpaceDE/>
            <w:autoSpaceDN/>
            <w:bidi w:val="0"/>
            <w:adjustRightInd/>
            <w:snapToGrid w:val="0"/>
            <w:spacing w:line="288" w:lineRule="auto"/>
            <w:textAlignment w:val="auto"/>
            <w:rPr>
              <w:sz w:val="28"/>
              <w:szCs w:val="28"/>
              <w:highlight w:val="none"/>
            </w:rPr>
          </w:pPr>
          <w:r>
            <w:rPr>
              <w:sz w:val="28"/>
              <w:szCs w:val="28"/>
              <w:highlight w:val="none"/>
            </w:rPr>
            <w:fldChar w:fldCharType="begin"/>
          </w:r>
          <w:r>
            <w:rPr>
              <w:sz w:val="28"/>
              <w:szCs w:val="28"/>
              <w:highlight w:val="none"/>
            </w:rPr>
            <w:instrText xml:space="preserve"> HYPERLINK \l _Toc27160 </w:instrText>
          </w:r>
          <w:r>
            <w:rPr>
              <w:sz w:val="28"/>
              <w:szCs w:val="28"/>
              <w:highlight w:val="none"/>
            </w:rPr>
            <w:fldChar w:fldCharType="separate"/>
          </w:r>
          <w:r>
            <w:rPr>
              <w:rFonts w:hint="eastAsia" w:ascii="仿宋" w:hAnsi="仿宋" w:eastAsia="仿宋" w:cs="仿宋"/>
              <w:bCs/>
              <w:i w:val="0"/>
              <w:iCs w:val="0"/>
              <w:kern w:val="2"/>
              <w:sz w:val="28"/>
              <w:szCs w:val="44"/>
              <w:highlight w:val="none"/>
              <w:shd w:val="clear" w:color="auto" w:fill="auto"/>
              <w:lang w:val="en-US" w:eastAsia="zh-CN" w:bidi="ar-SA"/>
            </w:rPr>
            <w:t>第三章、</w:t>
          </w:r>
          <w:r>
            <w:rPr>
              <w:rFonts w:hint="eastAsia" w:ascii="仿宋" w:hAnsi="仿宋" w:eastAsia="仿宋" w:cs="仿宋"/>
              <w:bCs/>
              <w:i w:val="0"/>
              <w:iCs w:val="0"/>
              <w:sz w:val="28"/>
              <w:szCs w:val="44"/>
              <w:highlight w:val="none"/>
              <w:shd w:val="clear" w:color="auto" w:fill="auto"/>
              <w:lang w:val="en-US" w:eastAsia="zh-CN"/>
            </w:rPr>
            <w:t>乙方承包范围及主要工程内容</w:t>
          </w:r>
          <w:r>
            <w:rPr>
              <w:sz w:val="28"/>
              <w:szCs w:val="28"/>
              <w:highlight w:val="none"/>
            </w:rPr>
            <w:tab/>
          </w:r>
          <w:r>
            <w:rPr>
              <w:sz w:val="28"/>
              <w:szCs w:val="28"/>
              <w:highlight w:val="none"/>
            </w:rPr>
            <w:fldChar w:fldCharType="begin"/>
          </w:r>
          <w:r>
            <w:rPr>
              <w:sz w:val="28"/>
              <w:szCs w:val="28"/>
              <w:highlight w:val="none"/>
            </w:rPr>
            <w:instrText xml:space="preserve"> PAGEREF _Toc27160 \h </w:instrText>
          </w:r>
          <w:r>
            <w:rPr>
              <w:sz w:val="28"/>
              <w:szCs w:val="28"/>
              <w:highlight w:val="none"/>
            </w:rPr>
            <w:fldChar w:fldCharType="separate"/>
          </w:r>
          <w:r>
            <w:rPr>
              <w:sz w:val="28"/>
              <w:szCs w:val="28"/>
              <w:highlight w:val="none"/>
            </w:rPr>
            <w:t>2</w:t>
          </w:r>
          <w:r>
            <w:rPr>
              <w:sz w:val="28"/>
              <w:szCs w:val="28"/>
              <w:highlight w:val="none"/>
            </w:rPr>
            <w:fldChar w:fldCharType="end"/>
          </w:r>
          <w:r>
            <w:rPr>
              <w:sz w:val="28"/>
              <w:szCs w:val="28"/>
              <w:highlight w:val="none"/>
            </w:rPr>
            <w:fldChar w:fldCharType="end"/>
          </w:r>
        </w:p>
        <w:p w14:paraId="11924D55">
          <w:pPr>
            <w:pStyle w:val="26"/>
            <w:keepNext w:val="0"/>
            <w:keepLines w:val="0"/>
            <w:pageBreakBefore w:val="0"/>
            <w:tabs>
              <w:tab w:val="right" w:leader="dot" w:pos="9072"/>
            </w:tabs>
            <w:kinsoku/>
            <w:wordWrap/>
            <w:overflowPunct/>
            <w:topLinePunct w:val="0"/>
            <w:autoSpaceDE/>
            <w:autoSpaceDN/>
            <w:bidi w:val="0"/>
            <w:adjustRightInd/>
            <w:snapToGrid w:val="0"/>
            <w:spacing w:line="288" w:lineRule="auto"/>
            <w:textAlignment w:val="auto"/>
            <w:rPr>
              <w:sz w:val="28"/>
              <w:szCs w:val="28"/>
              <w:highlight w:val="none"/>
            </w:rPr>
          </w:pPr>
          <w:r>
            <w:rPr>
              <w:sz w:val="28"/>
              <w:szCs w:val="28"/>
              <w:highlight w:val="none"/>
            </w:rPr>
            <w:fldChar w:fldCharType="begin"/>
          </w:r>
          <w:r>
            <w:rPr>
              <w:sz w:val="28"/>
              <w:szCs w:val="28"/>
              <w:highlight w:val="none"/>
            </w:rPr>
            <w:instrText xml:space="preserve"> HYPERLINK \l _Toc12906 </w:instrText>
          </w:r>
          <w:r>
            <w:rPr>
              <w:sz w:val="28"/>
              <w:szCs w:val="28"/>
              <w:highlight w:val="none"/>
            </w:rPr>
            <w:fldChar w:fldCharType="separate"/>
          </w:r>
          <w:r>
            <w:rPr>
              <w:rFonts w:hint="eastAsia" w:ascii="仿宋" w:hAnsi="仿宋" w:eastAsia="仿宋" w:cs="仿宋"/>
              <w:bCs/>
              <w:i w:val="0"/>
              <w:iCs w:val="0"/>
              <w:sz w:val="28"/>
              <w:szCs w:val="44"/>
              <w:highlight w:val="none"/>
              <w:lang w:val="en-US" w:eastAsia="zh-CN"/>
            </w:rPr>
            <w:t>第四章、工期</w:t>
          </w:r>
          <w:r>
            <w:rPr>
              <w:sz w:val="28"/>
              <w:szCs w:val="28"/>
              <w:highlight w:val="none"/>
            </w:rPr>
            <w:tab/>
          </w:r>
          <w:r>
            <w:rPr>
              <w:sz w:val="28"/>
              <w:szCs w:val="28"/>
              <w:highlight w:val="none"/>
            </w:rPr>
            <w:fldChar w:fldCharType="begin"/>
          </w:r>
          <w:r>
            <w:rPr>
              <w:sz w:val="28"/>
              <w:szCs w:val="28"/>
              <w:highlight w:val="none"/>
            </w:rPr>
            <w:instrText xml:space="preserve"> PAGEREF _Toc12906 \h </w:instrText>
          </w:r>
          <w:r>
            <w:rPr>
              <w:sz w:val="28"/>
              <w:szCs w:val="28"/>
              <w:highlight w:val="none"/>
            </w:rPr>
            <w:fldChar w:fldCharType="separate"/>
          </w:r>
          <w:r>
            <w:rPr>
              <w:sz w:val="28"/>
              <w:szCs w:val="28"/>
              <w:highlight w:val="none"/>
            </w:rPr>
            <w:t>3</w:t>
          </w:r>
          <w:r>
            <w:rPr>
              <w:sz w:val="28"/>
              <w:szCs w:val="28"/>
              <w:highlight w:val="none"/>
            </w:rPr>
            <w:fldChar w:fldCharType="end"/>
          </w:r>
          <w:r>
            <w:rPr>
              <w:sz w:val="28"/>
              <w:szCs w:val="28"/>
              <w:highlight w:val="none"/>
            </w:rPr>
            <w:fldChar w:fldCharType="end"/>
          </w:r>
        </w:p>
        <w:p w14:paraId="6135EFC9">
          <w:pPr>
            <w:pStyle w:val="26"/>
            <w:keepNext w:val="0"/>
            <w:keepLines w:val="0"/>
            <w:pageBreakBefore w:val="0"/>
            <w:tabs>
              <w:tab w:val="right" w:leader="dot" w:pos="9072"/>
            </w:tabs>
            <w:kinsoku/>
            <w:wordWrap/>
            <w:overflowPunct/>
            <w:topLinePunct w:val="0"/>
            <w:autoSpaceDE/>
            <w:autoSpaceDN/>
            <w:bidi w:val="0"/>
            <w:adjustRightInd/>
            <w:snapToGrid w:val="0"/>
            <w:spacing w:line="288" w:lineRule="auto"/>
            <w:textAlignment w:val="auto"/>
            <w:rPr>
              <w:sz w:val="28"/>
              <w:szCs w:val="28"/>
              <w:highlight w:val="none"/>
            </w:rPr>
          </w:pPr>
          <w:r>
            <w:rPr>
              <w:sz w:val="28"/>
              <w:szCs w:val="28"/>
              <w:highlight w:val="none"/>
            </w:rPr>
            <w:fldChar w:fldCharType="begin"/>
          </w:r>
          <w:r>
            <w:rPr>
              <w:sz w:val="28"/>
              <w:szCs w:val="28"/>
              <w:highlight w:val="none"/>
            </w:rPr>
            <w:instrText xml:space="preserve"> HYPERLINK \l _Toc26751 </w:instrText>
          </w:r>
          <w:r>
            <w:rPr>
              <w:sz w:val="28"/>
              <w:szCs w:val="28"/>
              <w:highlight w:val="none"/>
            </w:rPr>
            <w:fldChar w:fldCharType="separate"/>
          </w:r>
          <w:r>
            <w:rPr>
              <w:rFonts w:hint="eastAsia" w:ascii="仿宋" w:hAnsi="仿宋" w:eastAsia="仿宋" w:cs="仿宋"/>
              <w:bCs/>
              <w:i w:val="0"/>
              <w:iCs w:val="0"/>
              <w:kern w:val="2"/>
              <w:sz w:val="28"/>
              <w:szCs w:val="44"/>
              <w:highlight w:val="none"/>
              <w:lang w:val="en-US" w:eastAsia="zh-CN" w:bidi="ar-SA"/>
            </w:rPr>
            <w:t>第五章、</w:t>
          </w:r>
          <w:r>
            <w:rPr>
              <w:rFonts w:hint="eastAsia" w:ascii="仿宋" w:hAnsi="仿宋" w:eastAsia="仿宋" w:cs="仿宋"/>
              <w:bCs/>
              <w:i w:val="0"/>
              <w:iCs w:val="0"/>
              <w:sz w:val="28"/>
              <w:szCs w:val="44"/>
              <w:highlight w:val="none"/>
              <w:lang w:val="en-US" w:eastAsia="zh-CN"/>
            </w:rPr>
            <w:t>合同价款</w:t>
          </w:r>
          <w:r>
            <w:rPr>
              <w:sz w:val="28"/>
              <w:szCs w:val="28"/>
              <w:highlight w:val="none"/>
            </w:rPr>
            <w:tab/>
          </w:r>
          <w:r>
            <w:rPr>
              <w:sz w:val="28"/>
              <w:szCs w:val="28"/>
              <w:highlight w:val="none"/>
            </w:rPr>
            <w:fldChar w:fldCharType="begin"/>
          </w:r>
          <w:r>
            <w:rPr>
              <w:sz w:val="28"/>
              <w:szCs w:val="28"/>
              <w:highlight w:val="none"/>
            </w:rPr>
            <w:instrText xml:space="preserve"> PAGEREF _Toc26751 \h </w:instrText>
          </w:r>
          <w:r>
            <w:rPr>
              <w:sz w:val="28"/>
              <w:szCs w:val="28"/>
              <w:highlight w:val="none"/>
            </w:rPr>
            <w:fldChar w:fldCharType="separate"/>
          </w:r>
          <w:r>
            <w:rPr>
              <w:sz w:val="28"/>
              <w:szCs w:val="28"/>
              <w:highlight w:val="none"/>
            </w:rPr>
            <w:t>4</w:t>
          </w:r>
          <w:r>
            <w:rPr>
              <w:sz w:val="28"/>
              <w:szCs w:val="28"/>
              <w:highlight w:val="none"/>
            </w:rPr>
            <w:fldChar w:fldCharType="end"/>
          </w:r>
          <w:r>
            <w:rPr>
              <w:sz w:val="28"/>
              <w:szCs w:val="28"/>
              <w:highlight w:val="none"/>
            </w:rPr>
            <w:fldChar w:fldCharType="end"/>
          </w:r>
        </w:p>
        <w:p w14:paraId="325FEF37">
          <w:pPr>
            <w:pStyle w:val="26"/>
            <w:keepNext w:val="0"/>
            <w:keepLines w:val="0"/>
            <w:pageBreakBefore w:val="0"/>
            <w:tabs>
              <w:tab w:val="right" w:pos="5600"/>
              <w:tab w:val="right" w:leader="dot" w:pos="9072"/>
            </w:tabs>
            <w:kinsoku/>
            <w:wordWrap/>
            <w:overflowPunct/>
            <w:topLinePunct w:val="0"/>
            <w:autoSpaceDE/>
            <w:autoSpaceDN/>
            <w:bidi w:val="0"/>
            <w:adjustRightInd/>
            <w:snapToGrid w:val="0"/>
            <w:spacing w:line="288" w:lineRule="auto"/>
            <w:textAlignment w:val="auto"/>
            <w:rPr>
              <w:sz w:val="28"/>
              <w:szCs w:val="28"/>
              <w:highlight w:val="none"/>
            </w:rPr>
          </w:pPr>
          <w:r>
            <w:rPr>
              <w:sz w:val="28"/>
              <w:szCs w:val="28"/>
              <w:highlight w:val="none"/>
            </w:rPr>
            <w:fldChar w:fldCharType="begin"/>
          </w:r>
          <w:r>
            <w:rPr>
              <w:sz w:val="28"/>
              <w:szCs w:val="28"/>
              <w:highlight w:val="none"/>
            </w:rPr>
            <w:instrText xml:space="preserve"> HYPERLINK \l _Toc30735 </w:instrText>
          </w:r>
          <w:r>
            <w:rPr>
              <w:sz w:val="28"/>
              <w:szCs w:val="28"/>
              <w:highlight w:val="none"/>
            </w:rPr>
            <w:fldChar w:fldCharType="separate"/>
          </w:r>
          <w:r>
            <w:rPr>
              <w:rFonts w:hint="eastAsia" w:ascii="仿宋" w:hAnsi="仿宋" w:eastAsia="仿宋" w:cs="仿宋"/>
              <w:bCs/>
              <w:i w:val="0"/>
              <w:iCs w:val="0"/>
              <w:kern w:val="2"/>
              <w:sz w:val="28"/>
              <w:szCs w:val="44"/>
              <w:highlight w:val="none"/>
              <w:lang w:val="en-US" w:eastAsia="zh-CN" w:bidi="ar-SA"/>
            </w:rPr>
            <w:t>第六章、</w:t>
          </w:r>
          <w:r>
            <w:rPr>
              <w:rFonts w:hint="eastAsia" w:ascii="仿宋" w:hAnsi="仿宋" w:eastAsia="仿宋" w:cs="仿宋"/>
              <w:bCs/>
              <w:i w:val="0"/>
              <w:iCs w:val="0"/>
              <w:sz w:val="28"/>
              <w:szCs w:val="44"/>
              <w:highlight w:val="none"/>
              <w:lang w:val="en-US" w:eastAsia="zh-CN"/>
            </w:rPr>
            <w:t>计量计价方式及结算方式</w:t>
          </w:r>
          <w:r>
            <w:rPr>
              <w:rFonts w:hint="eastAsia" w:ascii="仿宋" w:hAnsi="仿宋" w:eastAsia="仿宋" w:cs="仿宋"/>
              <w:bCs/>
              <w:i w:val="0"/>
              <w:iCs w:val="0"/>
              <w:sz w:val="28"/>
              <w:szCs w:val="44"/>
              <w:highlight w:val="none"/>
              <w:lang w:val="en-US" w:eastAsia="zh-CN"/>
            </w:rPr>
            <w:tab/>
          </w:r>
          <w:r>
            <w:rPr>
              <w:sz w:val="28"/>
              <w:szCs w:val="28"/>
              <w:highlight w:val="none"/>
            </w:rPr>
            <w:tab/>
          </w:r>
          <w:r>
            <w:rPr>
              <w:sz w:val="28"/>
              <w:szCs w:val="28"/>
              <w:highlight w:val="none"/>
            </w:rPr>
            <w:fldChar w:fldCharType="begin"/>
          </w:r>
          <w:r>
            <w:rPr>
              <w:sz w:val="28"/>
              <w:szCs w:val="28"/>
              <w:highlight w:val="none"/>
            </w:rPr>
            <w:instrText xml:space="preserve"> PAGEREF _Toc30735 \h </w:instrText>
          </w:r>
          <w:r>
            <w:rPr>
              <w:sz w:val="28"/>
              <w:szCs w:val="28"/>
              <w:highlight w:val="none"/>
            </w:rPr>
            <w:fldChar w:fldCharType="separate"/>
          </w:r>
          <w:r>
            <w:rPr>
              <w:sz w:val="28"/>
              <w:szCs w:val="28"/>
              <w:highlight w:val="none"/>
            </w:rPr>
            <w:t>5</w:t>
          </w:r>
          <w:r>
            <w:rPr>
              <w:sz w:val="28"/>
              <w:szCs w:val="28"/>
              <w:highlight w:val="none"/>
            </w:rPr>
            <w:fldChar w:fldCharType="end"/>
          </w:r>
          <w:r>
            <w:rPr>
              <w:sz w:val="28"/>
              <w:szCs w:val="28"/>
              <w:highlight w:val="none"/>
            </w:rPr>
            <w:fldChar w:fldCharType="end"/>
          </w:r>
        </w:p>
        <w:p w14:paraId="3603F3BB">
          <w:pPr>
            <w:pStyle w:val="26"/>
            <w:keepNext w:val="0"/>
            <w:keepLines w:val="0"/>
            <w:pageBreakBefore w:val="0"/>
            <w:tabs>
              <w:tab w:val="right" w:leader="dot" w:pos="9072"/>
            </w:tabs>
            <w:kinsoku/>
            <w:wordWrap/>
            <w:overflowPunct/>
            <w:topLinePunct w:val="0"/>
            <w:autoSpaceDE/>
            <w:autoSpaceDN/>
            <w:bidi w:val="0"/>
            <w:adjustRightInd/>
            <w:snapToGrid w:val="0"/>
            <w:spacing w:line="288" w:lineRule="auto"/>
            <w:textAlignment w:val="auto"/>
            <w:rPr>
              <w:sz w:val="28"/>
              <w:szCs w:val="28"/>
              <w:highlight w:val="none"/>
            </w:rPr>
          </w:pPr>
          <w:r>
            <w:rPr>
              <w:sz w:val="28"/>
              <w:szCs w:val="28"/>
              <w:highlight w:val="none"/>
            </w:rPr>
            <w:fldChar w:fldCharType="begin"/>
          </w:r>
          <w:r>
            <w:rPr>
              <w:sz w:val="28"/>
              <w:szCs w:val="28"/>
              <w:highlight w:val="none"/>
            </w:rPr>
            <w:instrText xml:space="preserve"> HYPERLINK \l _Toc22307 </w:instrText>
          </w:r>
          <w:r>
            <w:rPr>
              <w:sz w:val="28"/>
              <w:szCs w:val="28"/>
              <w:highlight w:val="none"/>
            </w:rPr>
            <w:fldChar w:fldCharType="separate"/>
          </w:r>
          <w:r>
            <w:rPr>
              <w:rFonts w:hint="eastAsia" w:ascii="仿宋" w:hAnsi="仿宋" w:eastAsia="仿宋" w:cs="仿宋"/>
              <w:bCs/>
              <w:i w:val="0"/>
              <w:iCs w:val="0"/>
              <w:kern w:val="2"/>
              <w:sz w:val="28"/>
              <w:szCs w:val="44"/>
              <w:highlight w:val="none"/>
              <w:lang w:val="en-US" w:eastAsia="zh-CN" w:bidi="ar-SA"/>
            </w:rPr>
            <w:t>第七章、付款方式</w:t>
          </w:r>
          <w:r>
            <w:rPr>
              <w:sz w:val="28"/>
              <w:szCs w:val="28"/>
              <w:highlight w:val="none"/>
            </w:rPr>
            <w:tab/>
          </w:r>
          <w:r>
            <w:rPr>
              <w:sz w:val="28"/>
              <w:szCs w:val="28"/>
              <w:highlight w:val="none"/>
            </w:rPr>
            <w:fldChar w:fldCharType="begin"/>
          </w:r>
          <w:r>
            <w:rPr>
              <w:sz w:val="28"/>
              <w:szCs w:val="28"/>
              <w:highlight w:val="none"/>
            </w:rPr>
            <w:instrText xml:space="preserve"> PAGEREF _Toc22307 \h </w:instrText>
          </w:r>
          <w:r>
            <w:rPr>
              <w:sz w:val="28"/>
              <w:szCs w:val="28"/>
              <w:highlight w:val="none"/>
            </w:rPr>
            <w:fldChar w:fldCharType="separate"/>
          </w:r>
          <w:r>
            <w:rPr>
              <w:sz w:val="28"/>
              <w:szCs w:val="28"/>
              <w:highlight w:val="none"/>
            </w:rPr>
            <w:t>7</w:t>
          </w:r>
          <w:r>
            <w:rPr>
              <w:sz w:val="28"/>
              <w:szCs w:val="28"/>
              <w:highlight w:val="none"/>
            </w:rPr>
            <w:fldChar w:fldCharType="end"/>
          </w:r>
          <w:r>
            <w:rPr>
              <w:sz w:val="28"/>
              <w:szCs w:val="28"/>
              <w:highlight w:val="none"/>
            </w:rPr>
            <w:fldChar w:fldCharType="end"/>
          </w:r>
        </w:p>
        <w:p w14:paraId="67FDA476">
          <w:pPr>
            <w:pStyle w:val="26"/>
            <w:keepNext w:val="0"/>
            <w:keepLines w:val="0"/>
            <w:pageBreakBefore w:val="0"/>
            <w:tabs>
              <w:tab w:val="right" w:leader="dot" w:pos="9072"/>
            </w:tabs>
            <w:kinsoku/>
            <w:wordWrap/>
            <w:overflowPunct/>
            <w:topLinePunct w:val="0"/>
            <w:autoSpaceDE/>
            <w:autoSpaceDN/>
            <w:bidi w:val="0"/>
            <w:adjustRightInd/>
            <w:snapToGrid w:val="0"/>
            <w:spacing w:line="288" w:lineRule="auto"/>
            <w:textAlignment w:val="auto"/>
            <w:rPr>
              <w:sz w:val="28"/>
              <w:szCs w:val="28"/>
              <w:highlight w:val="none"/>
            </w:rPr>
          </w:pPr>
          <w:r>
            <w:rPr>
              <w:sz w:val="28"/>
              <w:szCs w:val="28"/>
              <w:highlight w:val="none"/>
            </w:rPr>
            <w:fldChar w:fldCharType="begin"/>
          </w:r>
          <w:r>
            <w:rPr>
              <w:sz w:val="28"/>
              <w:szCs w:val="28"/>
              <w:highlight w:val="none"/>
            </w:rPr>
            <w:instrText xml:space="preserve"> HYPERLINK \l _Toc26381 </w:instrText>
          </w:r>
          <w:r>
            <w:rPr>
              <w:sz w:val="28"/>
              <w:szCs w:val="28"/>
              <w:highlight w:val="none"/>
            </w:rPr>
            <w:fldChar w:fldCharType="separate"/>
          </w:r>
          <w:r>
            <w:rPr>
              <w:rFonts w:hint="eastAsia" w:ascii="仿宋" w:hAnsi="仿宋" w:eastAsia="仿宋" w:cs="仿宋"/>
              <w:bCs/>
              <w:i w:val="0"/>
              <w:iCs w:val="0"/>
              <w:kern w:val="2"/>
              <w:sz w:val="28"/>
              <w:szCs w:val="44"/>
              <w:highlight w:val="none"/>
              <w:lang w:val="en-US" w:eastAsia="zh-CN" w:bidi="ar-SA"/>
            </w:rPr>
            <w:t>第八章、双方责任和权利</w:t>
          </w:r>
          <w:r>
            <w:rPr>
              <w:sz w:val="28"/>
              <w:szCs w:val="28"/>
              <w:highlight w:val="none"/>
            </w:rPr>
            <w:tab/>
          </w:r>
          <w:r>
            <w:rPr>
              <w:sz w:val="28"/>
              <w:szCs w:val="28"/>
              <w:highlight w:val="none"/>
            </w:rPr>
            <w:fldChar w:fldCharType="begin"/>
          </w:r>
          <w:r>
            <w:rPr>
              <w:sz w:val="28"/>
              <w:szCs w:val="28"/>
              <w:highlight w:val="none"/>
            </w:rPr>
            <w:instrText xml:space="preserve"> PAGEREF _Toc26381 \h </w:instrText>
          </w:r>
          <w:r>
            <w:rPr>
              <w:sz w:val="28"/>
              <w:szCs w:val="28"/>
              <w:highlight w:val="none"/>
            </w:rPr>
            <w:fldChar w:fldCharType="separate"/>
          </w:r>
          <w:r>
            <w:rPr>
              <w:sz w:val="28"/>
              <w:szCs w:val="28"/>
              <w:highlight w:val="none"/>
            </w:rPr>
            <w:t>8</w:t>
          </w:r>
          <w:r>
            <w:rPr>
              <w:sz w:val="28"/>
              <w:szCs w:val="28"/>
              <w:highlight w:val="none"/>
            </w:rPr>
            <w:fldChar w:fldCharType="end"/>
          </w:r>
          <w:r>
            <w:rPr>
              <w:sz w:val="28"/>
              <w:szCs w:val="28"/>
              <w:highlight w:val="none"/>
            </w:rPr>
            <w:fldChar w:fldCharType="end"/>
          </w:r>
        </w:p>
        <w:p w14:paraId="169FD730">
          <w:pPr>
            <w:pStyle w:val="26"/>
            <w:keepNext w:val="0"/>
            <w:keepLines w:val="0"/>
            <w:pageBreakBefore w:val="0"/>
            <w:tabs>
              <w:tab w:val="right" w:leader="dot" w:pos="9072"/>
            </w:tabs>
            <w:kinsoku/>
            <w:wordWrap/>
            <w:overflowPunct/>
            <w:topLinePunct w:val="0"/>
            <w:autoSpaceDE/>
            <w:autoSpaceDN/>
            <w:bidi w:val="0"/>
            <w:adjustRightInd/>
            <w:snapToGrid w:val="0"/>
            <w:spacing w:line="288" w:lineRule="auto"/>
            <w:textAlignment w:val="auto"/>
            <w:rPr>
              <w:sz w:val="28"/>
              <w:szCs w:val="28"/>
              <w:highlight w:val="none"/>
            </w:rPr>
          </w:pPr>
          <w:r>
            <w:rPr>
              <w:sz w:val="28"/>
              <w:szCs w:val="28"/>
              <w:highlight w:val="none"/>
            </w:rPr>
            <w:fldChar w:fldCharType="begin"/>
          </w:r>
          <w:r>
            <w:rPr>
              <w:sz w:val="28"/>
              <w:szCs w:val="28"/>
              <w:highlight w:val="none"/>
            </w:rPr>
            <w:instrText xml:space="preserve"> HYPERLINK \l _Toc18010 </w:instrText>
          </w:r>
          <w:r>
            <w:rPr>
              <w:sz w:val="28"/>
              <w:szCs w:val="28"/>
              <w:highlight w:val="none"/>
            </w:rPr>
            <w:fldChar w:fldCharType="separate"/>
          </w:r>
          <w:r>
            <w:rPr>
              <w:rFonts w:hint="eastAsia" w:ascii="仿宋" w:hAnsi="仿宋" w:eastAsia="仿宋" w:cs="仿宋"/>
              <w:bCs/>
              <w:i w:val="0"/>
              <w:iCs w:val="0"/>
              <w:kern w:val="2"/>
              <w:sz w:val="28"/>
              <w:szCs w:val="44"/>
              <w:highlight w:val="none"/>
              <w:lang w:val="en-US" w:eastAsia="zh-CN" w:bidi="ar-SA"/>
            </w:rPr>
            <w:t>第九章、验收与保修</w:t>
          </w:r>
          <w:r>
            <w:rPr>
              <w:sz w:val="28"/>
              <w:szCs w:val="28"/>
              <w:highlight w:val="none"/>
            </w:rPr>
            <w:tab/>
          </w:r>
          <w:r>
            <w:rPr>
              <w:sz w:val="28"/>
              <w:szCs w:val="28"/>
              <w:highlight w:val="none"/>
            </w:rPr>
            <w:fldChar w:fldCharType="begin"/>
          </w:r>
          <w:r>
            <w:rPr>
              <w:sz w:val="28"/>
              <w:szCs w:val="28"/>
              <w:highlight w:val="none"/>
            </w:rPr>
            <w:instrText xml:space="preserve"> PAGEREF _Toc18010 \h </w:instrText>
          </w:r>
          <w:r>
            <w:rPr>
              <w:sz w:val="28"/>
              <w:szCs w:val="28"/>
              <w:highlight w:val="none"/>
            </w:rPr>
            <w:fldChar w:fldCharType="separate"/>
          </w:r>
          <w:r>
            <w:rPr>
              <w:sz w:val="28"/>
              <w:szCs w:val="28"/>
              <w:highlight w:val="none"/>
            </w:rPr>
            <w:t>9</w:t>
          </w:r>
          <w:r>
            <w:rPr>
              <w:sz w:val="28"/>
              <w:szCs w:val="28"/>
              <w:highlight w:val="none"/>
            </w:rPr>
            <w:fldChar w:fldCharType="end"/>
          </w:r>
          <w:r>
            <w:rPr>
              <w:sz w:val="28"/>
              <w:szCs w:val="28"/>
              <w:highlight w:val="none"/>
            </w:rPr>
            <w:fldChar w:fldCharType="end"/>
          </w:r>
        </w:p>
        <w:p w14:paraId="1AA76F0E">
          <w:pPr>
            <w:pStyle w:val="26"/>
            <w:keepNext w:val="0"/>
            <w:keepLines w:val="0"/>
            <w:pageBreakBefore w:val="0"/>
            <w:tabs>
              <w:tab w:val="right" w:leader="dot" w:pos="9072"/>
            </w:tabs>
            <w:kinsoku/>
            <w:wordWrap/>
            <w:overflowPunct/>
            <w:topLinePunct w:val="0"/>
            <w:autoSpaceDE/>
            <w:autoSpaceDN/>
            <w:bidi w:val="0"/>
            <w:adjustRightInd/>
            <w:snapToGrid w:val="0"/>
            <w:spacing w:line="288" w:lineRule="auto"/>
            <w:textAlignment w:val="auto"/>
            <w:rPr>
              <w:sz w:val="28"/>
              <w:szCs w:val="28"/>
              <w:highlight w:val="none"/>
            </w:rPr>
          </w:pPr>
          <w:r>
            <w:rPr>
              <w:sz w:val="28"/>
              <w:szCs w:val="28"/>
              <w:highlight w:val="none"/>
            </w:rPr>
            <w:fldChar w:fldCharType="begin"/>
          </w:r>
          <w:r>
            <w:rPr>
              <w:sz w:val="28"/>
              <w:szCs w:val="28"/>
              <w:highlight w:val="none"/>
            </w:rPr>
            <w:instrText xml:space="preserve"> HYPERLINK \l _Toc7246 </w:instrText>
          </w:r>
          <w:r>
            <w:rPr>
              <w:sz w:val="28"/>
              <w:szCs w:val="28"/>
              <w:highlight w:val="none"/>
            </w:rPr>
            <w:fldChar w:fldCharType="separate"/>
          </w:r>
          <w:r>
            <w:rPr>
              <w:rFonts w:hint="eastAsia" w:ascii="仿宋" w:hAnsi="仿宋" w:eastAsia="仿宋" w:cs="仿宋"/>
              <w:bCs/>
              <w:i w:val="0"/>
              <w:iCs w:val="0"/>
              <w:kern w:val="2"/>
              <w:sz w:val="28"/>
              <w:szCs w:val="44"/>
              <w:highlight w:val="none"/>
              <w:lang w:val="en-US" w:eastAsia="zh-CN" w:bidi="ar-SA"/>
            </w:rPr>
            <w:t>第十章、其他</w:t>
          </w:r>
          <w:r>
            <w:rPr>
              <w:sz w:val="28"/>
              <w:szCs w:val="28"/>
              <w:highlight w:val="none"/>
            </w:rPr>
            <w:tab/>
          </w:r>
          <w:r>
            <w:rPr>
              <w:sz w:val="28"/>
              <w:szCs w:val="28"/>
              <w:highlight w:val="none"/>
            </w:rPr>
            <w:fldChar w:fldCharType="begin"/>
          </w:r>
          <w:r>
            <w:rPr>
              <w:sz w:val="28"/>
              <w:szCs w:val="28"/>
              <w:highlight w:val="none"/>
            </w:rPr>
            <w:instrText xml:space="preserve"> PAGEREF _Toc7246 \h </w:instrText>
          </w:r>
          <w:r>
            <w:rPr>
              <w:sz w:val="28"/>
              <w:szCs w:val="28"/>
              <w:highlight w:val="none"/>
            </w:rPr>
            <w:fldChar w:fldCharType="separate"/>
          </w:r>
          <w:r>
            <w:rPr>
              <w:sz w:val="28"/>
              <w:szCs w:val="28"/>
              <w:highlight w:val="none"/>
            </w:rPr>
            <w:t>10</w:t>
          </w:r>
          <w:r>
            <w:rPr>
              <w:sz w:val="28"/>
              <w:szCs w:val="28"/>
              <w:highlight w:val="none"/>
            </w:rPr>
            <w:fldChar w:fldCharType="end"/>
          </w:r>
          <w:r>
            <w:rPr>
              <w:sz w:val="28"/>
              <w:szCs w:val="28"/>
              <w:highlight w:val="none"/>
            </w:rPr>
            <w:fldChar w:fldCharType="end"/>
          </w:r>
        </w:p>
        <w:p w14:paraId="743036B7">
          <w:pPr>
            <w:pStyle w:val="25"/>
            <w:keepNext w:val="0"/>
            <w:keepLines w:val="0"/>
            <w:pageBreakBefore w:val="0"/>
            <w:tabs>
              <w:tab w:val="right" w:leader="dot" w:pos="9072"/>
            </w:tabs>
            <w:kinsoku/>
            <w:wordWrap/>
            <w:overflowPunct/>
            <w:topLinePunct w:val="0"/>
            <w:autoSpaceDE/>
            <w:autoSpaceDN/>
            <w:bidi w:val="0"/>
            <w:adjustRightInd/>
            <w:snapToGrid w:val="0"/>
            <w:spacing w:line="288" w:lineRule="auto"/>
            <w:textAlignment w:val="auto"/>
            <w:rPr>
              <w:b/>
              <w:sz w:val="28"/>
              <w:szCs w:val="28"/>
              <w:highlight w:val="none"/>
            </w:rPr>
          </w:pPr>
          <w:r>
            <w:rPr>
              <w:b/>
              <w:sz w:val="28"/>
              <w:szCs w:val="28"/>
              <w:highlight w:val="none"/>
            </w:rPr>
            <w:fldChar w:fldCharType="begin"/>
          </w:r>
          <w:r>
            <w:rPr>
              <w:b/>
              <w:sz w:val="28"/>
              <w:szCs w:val="28"/>
              <w:highlight w:val="none"/>
            </w:rPr>
            <w:instrText xml:space="preserve"> HYPERLINK \l _Toc26522 </w:instrText>
          </w:r>
          <w:r>
            <w:rPr>
              <w:b/>
              <w:sz w:val="28"/>
              <w:szCs w:val="28"/>
              <w:highlight w:val="none"/>
            </w:rPr>
            <w:fldChar w:fldCharType="separate"/>
          </w:r>
          <w:r>
            <w:rPr>
              <w:rFonts w:hint="eastAsia" w:ascii="仿宋_GB2312" w:hAnsi="仿宋_GB2312" w:eastAsia="仿宋_GB2312" w:cs="仿宋_GB2312"/>
              <w:b/>
              <w:bCs/>
              <w:i w:val="0"/>
              <w:iCs w:val="0"/>
              <w:kern w:val="0"/>
              <w:sz w:val="28"/>
              <w:szCs w:val="44"/>
              <w:highlight w:val="none"/>
              <w:shd w:val="clear" w:fill="auto"/>
              <w:lang w:val="en-US" w:eastAsia="zh-CN" w:bidi="ar-SA"/>
            </w:rPr>
            <w:t xml:space="preserve">第二部分 </w:t>
          </w:r>
          <w:r>
            <w:rPr>
              <w:rFonts w:hint="eastAsia" w:ascii="仿宋_GB2312" w:hAnsi="仿宋_GB2312" w:eastAsia="仿宋_GB2312" w:cs="仿宋_GB2312"/>
              <w:b/>
              <w:bCs/>
              <w:i w:val="0"/>
              <w:iCs w:val="0"/>
              <w:kern w:val="0"/>
              <w:sz w:val="28"/>
              <w:szCs w:val="44"/>
              <w:highlight w:val="none"/>
              <w:shd w:val="clear" w:color="auto" w:fill="auto"/>
              <w:lang w:val="en-US" w:eastAsia="zh-CN"/>
            </w:rPr>
            <w:t>合同通用条款</w:t>
          </w:r>
          <w:r>
            <w:rPr>
              <w:b/>
              <w:sz w:val="28"/>
              <w:szCs w:val="28"/>
              <w:highlight w:val="none"/>
            </w:rPr>
            <w:tab/>
          </w:r>
          <w:r>
            <w:rPr>
              <w:b/>
              <w:sz w:val="28"/>
              <w:szCs w:val="28"/>
              <w:highlight w:val="none"/>
            </w:rPr>
            <w:fldChar w:fldCharType="begin"/>
          </w:r>
          <w:r>
            <w:rPr>
              <w:b/>
              <w:sz w:val="28"/>
              <w:szCs w:val="28"/>
              <w:highlight w:val="none"/>
            </w:rPr>
            <w:instrText xml:space="preserve"> PAGEREF _Toc26522 \h </w:instrText>
          </w:r>
          <w:r>
            <w:rPr>
              <w:b/>
              <w:sz w:val="28"/>
              <w:szCs w:val="28"/>
              <w:highlight w:val="none"/>
            </w:rPr>
            <w:fldChar w:fldCharType="separate"/>
          </w:r>
          <w:r>
            <w:rPr>
              <w:b/>
              <w:sz w:val="28"/>
              <w:szCs w:val="28"/>
              <w:highlight w:val="none"/>
            </w:rPr>
            <w:t>12</w:t>
          </w:r>
          <w:r>
            <w:rPr>
              <w:b/>
              <w:sz w:val="28"/>
              <w:szCs w:val="28"/>
              <w:highlight w:val="none"/>
            </w:rPr>
            <w:fldChar w:fldCharType="end"/>
          </w:r>
          <w:r>
            <w:rPr>
              <w:b/>
              <w:sz w:val="28"/>
              <w:szCs w:val="28"/>
              <w:highlight w:val="none"/>
            </w:rPr>
            <w:fldChar w:fldCharType="end"/>
          </w:r>
        </w:p>
        <w:p w14:paraId="3BF1FC84">
          <w:pPr>
            <w:pStyle w:val="26"/>
            <w:keepNext w:val="0"/>
            <w:keepLines w:val="0"/>
            <w:pageBreakBefore w:val="0"/>
            <w:tabs>
              <w:tab w:val="right" w:leader="dot" w:pos="9072"/>
            </w:tabs>
            <w:kinsoku/>
            <w:wordWrap/>
            <w:overflowPunct/>
            <w:topLinePunct w:val="0"/>
            <w:autoSpaceDE/>
            <w:autoSpaceDN/>
            <w:bidi w:val="0"/>
            <w:adjustRightInd/>
            <w:snapToGrid w:val="0"/>
            <w:spacing w:line="288" w:lineRule="auto"/>
            <w:textAlignment w:val="auto"/>
            <w:rPr>
              <w:sz w:val="28"/>
              <w:szCs w:val="28"/>
              <w:highlight w:val="none"/>
            </w:rPr>
          </w:pPr>
          <w:r>
            <w:rPr>
              <w:sz w:val="28"/>
              <w:szCs w:val="28"/>
              <w:highlight w:val="none"/>
            </w:rPr>
            <w:fldChar w:fldCharType="begin"/>
          </w:r>
          <w:r>
            <w:rPr>
              <w:sz w:val="28"/>
              <w:szCs w:val="28"/>
              <w:highlight w:val="none"/>
            </w:rPr>
            <w:instrText xml:space="preserve"> HYPERLINK \l _Toc16558 </w:instrText>
          </w:r>
          <w:r>
            <w:rPr>
              <w:sz w:val="28"/>
              <w:szCs w:val="28"/>
              <w:highlight w:val="none"/>
            </w:rPr>
            <w:fldChar w:fldCharType="separate"/>
          </w:r>
          <w:r>
            <w:rPr>
              <w:rFonts w:hint="eastAsia" w:ascii="仿宋_GB2312" w:hAnsi="仿宋_GB2312" w:eastAsia="仿宋_GB2312" w:cs="仿宋_GB2312"/>
              <w:bCs/>
              <w:i w:val="0"/>
              <w:iCs w:val="0"/>
              <w:sz w:val="28"/>
              <w:szCs w:val="44"/>
              <w:highlight w:val="none"/>
              <w:shd w:val="clear" w:color="auto" w:fill="auto"/>
              <w:lang w:val="en-US" w:eastAsia="zh-CN"/>
            </w:rPr>
            <w:t>第一章、乙方承包范围及主要工程内容</w:t>
          </w:r>
          <w:r>
            <w:rPr>
              <w:sz w:val="28"/>
              <w:szCs w:val="28"/>
              <w:highlight w:val="none"/>
            </w:rPr>
            <w:tab/>
          </w:r>
          <w:r>
            <w:rPr>
              <w:sz w:val="28"/>
              <w:szCs w:val="28"/>
              <w:highlight w:val="none"/>
            </w:rPr>
            <w:fldChar w:fldCharType="begin"/>
          </w:r>
          <w:r>
            <w:rPr>
              <w:sz w:val="28"/>
              <w:szCs w:val="28"/>
              <w:highlight w:val="none"/>
            </w:rPr>
            <w:instrText xml:space="preserve"> PAGEREF _Toc16558 \h </w:instrText>
          </w:r>
          <w:r>
            <w:rPr>
              <w:sz w:val="28"/>
              <w:szCs w:val="28"/>
              <w:highlight w:val="none"/>
            </w:rPr>
            <w:fldChar w:fldCharType="separate"/>
          </w:r>
          <w:r>
            <w:rPr>
              <w:sz w:val="28"/>
              <w:szCs w:val="28"/>
              <w:highlight w:val="none"/>
            </w:rPr>
            <w:t>12</w:t>
          </w:r>
          <w:r>
            <w:rPr>
              <w:sz w:val="28"/>
              <w:szCs w:val="28"/>
              <w:highlight w:val="none"/>
            </w:rPr>
            <w:fldChar w:fldCharType="end"/>
          </w:r>
          <w:r>
            <w:rPr>
              <w:sz w:val="28"/>
              <w:szCs w:val="28"/>
              <w:highlight w:val="none"/>
            </w:rPr>
            <w:fldChar w:fldCharType="end"/>
          </w:r>
        </w:p>
        <w:p w14:paraId="373058CB">
          <w:pPr>
            <w:pStyle w:val="26"/>
            <w:keepNext w:val="0"/>
            <w:keepLines w:val="0"/>
            <w:pageBreakBefore w:val="0"/>
            <w:tabs>
              <w:tab w:val="right" w:leader="dot" w:pos="9072"/>
            </w:tabs>
            <w:kinsoku/>
            <w:wordWrap/>
            <w:overflowPunct/>
            <w:topLinePunct w:val="0"/>
            <w:autoSpaceDE/>
            <w:autoSpaceDN/>
            <w:bidi w:val="0"/>
            <w:adjustRightInd/>
            <w:snapToGrid w:val="0"/>
            <w:spacing w:line="288" w:lineRule="auto"/>
            <w:textAlignment w:val="auto"/>
            <w:rPr>
              <w:sz w:val="28"/>
              <w:szCs w:val="28"/>
              <w:highlight w:val="none"/>
            </w:rPr>
          </w:pPr>
          <w:r>
            <w:rPr>
              <w:sz w:val="28"/>
              <w:szCs w:val="28"/>
              <w:highlight w:val="none"/>
            </w:rPr>
            <w:fldChar w:fldCharType="begin"/>
          </w:r>
          <w:r>
            <w:rPr>
              <w:sz w:val="28"/>
              <w:szCs w:val="28"/>
              <w:highlight w:val="none"/>
            </w:rPr>
            <w:instrText xml:space="preserve"> HYPERLINK \l _Toc28153 </w:instrText>
          </w:r>
          <w:r>
            <w:rPr>
              <w:sz w:val="28"/>
              <w:szCs w:val="28"/>
              <w:highlight w:val="none"/>
            </w:rPr>
            <w:fldChar w:fldCharType="separate"/>
          </w:r>
          <w:r>
            <w:rPr>
              <w:rFonts w:hint="eastAsia" w:ascii="仿宋_GB2312" w:hAnsi="仿宋_GB2312" w:eastAsia="仿宋_GB2312" w:cs="仿宋_GB2312"/>
              <w:bCs/>
              <w:i w:val="0"/>
              <w:iCs w:val="0"/>
              <w:sz w:val="28"/>
              <w:szCs w:val="44"/>
              <w:highlight w:val="none"/>
              <w:shd w:val="clear" w:color="auto" w:fill="auto"/>
              <w:lang w:val="en-US" w:eastAsia="zh-CN"/>
            </w:rPr>
            <w:t>第二章、工期</w:t>
          </w:r>
          <w:r>
            <w:rPr>
              <w:sz w:val="28"/>
              <w:szCs w:val="28"/>
              <w:highlight w:val="none"/>
            </w:rPr>
            <w:tab/>
          </w:r>
          <w:r>
            <w:rPr>
              <w:sz w:val="28"/>
              <w:szCs w:val="28"/>
              <w:highlight w:val="none"/>
            </w:rPr>
            <w:fldChar w:fldCharType="begin"/>
          </w:r>
          <w:r>
            <w:rPr>
              <w:sz w:val="28"/>
              <w:szCs w:val="28"/>
              <w:highlight w:val="none"/>
            </w:rPr>
            <w:instrText xml:space="preserve"> PAGEREF _Toc28153 \h </w:instrText>
          </w:r>
          <w:r>
            <w:rPr>
              <w:sz w:val="28"/>
              <w:szCs w:val="28"/>
              <w:highlight w:val="none"/>
            </w:rPr>
            <w:fldChar w:fldCharType="separate"/>
          </w:r>
          <w:r>
            <w:rPr>
              <w:sz w:val="28"/>
              <w:szCs w:val="28"/>
              <w:highlight w:val="none"/>
            </w:rPr>
            <w:t>13</w:t>
          </w:r>
          <w:r>
            <w:rPr>
              <w:sz w:val="28"/>
              <w:szCs w:val="28"/>
              <w:highlight w:val="none"/>
            </w:rPr>
            <w:fldChar w:fldCharType="end"/>
          </w:r>
          <w:r>
            <w:rPr>
              <w:sz w:val="28"/>
              <w:szCs w:val="28"/>
              <w:highlight w:val="none"/>
            </w:rPr>
            <w:fldChar w:fldCharType="end"/>
          </w:r>
        </w:p>
        <w:p w14:paraId="25DE9DB9">
          <w:pPr>
            <w:pStyle w:val="26"/>
            <w:keepNext w:val="0"/>
            <w:keepLines w:val="0"/>
            <w:pageBreakBefore w:val="0"/>
            <w:tabs>
              <w:tab w:val="right" w:leader="dot" w:pos="9072"/>
            </w:tabs>
            <w:kinsoku/>
            <w:wordWrap/>
            <w:overflowPunct/>
            <w:topLinePunct w:val="0"/>
            <w:autoSpaceDE/>
            <w:autoSpaceDN/>
            <w:bidi w:val="0"/>
            <w:adjustRightInd/>
            <w:snapToGrid w:val="0"/>
            <w:spacing w:line="288" w:lineRule="auto"/>
            <w:textAlignment w:val="auto"/>
            <w:rPr>
              <w:sz w:val="28"/>
              <w:szCs w:val="28"/>
              <w:highlight w:val="none"/>
            </w:rPr>
          </w:pPr>
          <w:r>
            <w:rPr>
              <w:sz w:val="28"/>
              <w:szCs w:val="28"/>
              <w:highlight w:val="none"/>
            </w:rPr>
            <w:fldChar w:fldCharType="begin"/>
          </w:r>
          <w:r>
            <w:rPr>
              <w:sz w:val="28"/>
              <w:szCs w:val="28"/>
              <w:highlight w:val="none"/>
            </w:rPr>
            <w:instrText xml:space="preserve"> HYPERLINK \l _Toc2287 </w:instrText>
          </w:r>
          <w:r>
            <w:rPr>
              <w:sz w:val="28"/>
              <w:szCs w:val="28"/>
              <w:highlight w:val="none"/>
            </w:rPr>
            <w:fldChar w:fldCharType="separate"/>
          </w:r>
          <w:r>
            <w:rPr>
              <w:rFonts w:hint="eastAsia" w:ascii="仿宋_GB2312" w:hAnsi="仿宋_GB2312" w:eastAsia="仿宋_GB2312" w:cs="仿宋_GB2312"/>
              <w:bCs/>
              <w:i w:val="0"/>
              <w:iCs w:val="0"/>
              <w:sz w:val="28"/>
              <w:szCs w:val="44"/>
              <w:highlight w:val="none"/>
              <w:shd w:val="clear" w:fill="auto"/>
              <w:lang w:val="en-US" w:eastAsia="zh-CN"/>
            </w:rPr>
            <w:t>第三章、</w:t>
          </w:r>
          <w:r>
            <w:rPr>
              <w:rFonts w:hint="eastAsia" w:ascii="仿宋_GB2312" w:hAnsi="仿宋_GB2312" w:eastAsia="仿宋_GB2312" w:cs="仿宋_GB2312"/>
              <w:bCs/>
              <w:i w:val="0"/>
              <w:iCs w:val="0"/>
              <w:sz w:val="28"/>
              <w:szCs w:val="44"/>
              <w:highlight w:val="none"/>
              <w:shd w:val="clear" w:color="auto" w:fill="auto"/>
              <w:lang w:val="en-US" w:eastAsia="zh-CN"/>
            </w:rPr>
            <w:t>工程质量标准</w:t>
          </w:r>
          <w:r>
            <w:rPr>
              <w:sz w:val="28"/>
              <w:szCs w:val="28"/>
              <w:highlight w:val="none"/>
            </w:rPr>
            <w:tab/>
          </w:r>
          <w:r>
            <w:rPr>
              <w:sz w:val="28"/>
              <w:szCs w:val="28"/>
              <w:highlight w:val="none"/>
            </w:rPr>
            <w:fldChar w:fldCharType="begin"/>
          </w:r>
          <w:r>
            <w:rPr>
              <w:sz w:val="28"/>
              <w:szCs w:val="28"/>
              <w:highlight w:val="none"/>
            </w:rPr>
            <w:instrText xml:space="preserve"> PAGEREF _Toc2287 \h </w:instrText>
          </w:r>
          <w:r>
            <w:rPr>
              <w:sz w:val="28"/>
              <w:szCs w:val="28"/>
              <w:highlight w:val="none"/>
            </w:rPr>
            <w:fldChar w:fldCharType="separate"/>
          </w:r>
          <w:r>
            <w:rPr>
              <w:sz w:val="28"/>
              <w:szCs w:val="28"/>
              <w:highlight w:val="none"/>
            </w:rPr>
            <w:t>14</w:t>
          </w:r>
          <w:r>
            <w:rPr>
              <w:sz w:val="28"/>
              <w:szCs w:val="28"/>
              <w:highlight w:val="none"/>
            </w:rPr>
            <w:fldChar w:fldCharType="end"/>
          </w:r>
          <w:r>
            <w:rPr>
              <w:sz w:val="28"/>
              <w:szCs w:val="28"/>
              <w:highlight w:val="none"/>
            </w:rPr>
            <w:fldChar w:fldCharType="end"/>
          </w:r>
        </w:p>
        <w:p w14:paraId="05C91FD1">
          <w:pPr>
            <w:pStyle w:val="26"/>
            <w:keepNext w:val="0"/>
            <w:keepLines w:val="0"/>
            <w:pageBreakBefore w:val="0"/>
            <w:tabs>
              <w:tab w:val="right" w:leader="dot" w:pos="9072"/>
            </w:tabs>
            <w:kinsoku/>
            <w:wordWrap/>
            <w:overflowPunct/>
            <w:topLinePunct w:val="0"/>
            <w:autoSpaceDE/>
            <w:autoSpaceDN/>
            <w:bidi w:val="0"/>
            <w:adjustRightInd/>
            <w:snapToGrid w:val="0"/>
            <w:spacing w:line="288" w:lineRule="auto"/>
            <w:textAlignment w:val="auto"/>
            <w:rPr>
              <w:sz w:val="28"/>
              <w:szCs w:val="28"/>
              <w:highlight w:val="none"/>
            </w:rPr>
          </w:pPr>
          <w:r>
            <w:rPr>
              <w:sz w:val="28"/>
              <w:szCs w:val="28"/>
              <w:highlight w:val="none"/>
            </w:rPr>
            <w:fldChar w:fldCharType="begin"/>
          </w:r>
          <w:r>
            <w:rPr>
              <w:sz w:val="28"/>
              <w:szCs w:val="28"/>
              <w:highlight w:val="none"/>
            </w:rPr>
            <w:instrText xml:space="preserve"> HYPERLINK \l _Toc10809 </w:instrText>
          </w:r>
          <w:r>
            <w:rPr>
              <w:sz w:val="28"/>
              <w:szCs w:val="28"/>
              <w:highlight w:val="none"/>
            </w:rPr>
            <w:fldChar w:fldCharType="separate"/>
          </w:r>
          <w:r>
            <w:rPr>
              <w:rFonts w:hint="eastAsia" w:ascii="仿宋_GB2312" w:hAnsi="仿宋_GB2312" w:eastAsia="仿宋_GB2312" w:cs="仿宋_GB2312"/>
              <w:bCs/>
              <w:i w:val="0"/>
              <w:iCs w:val="0"/>
              <w:sz w:val="28"/>
              <w:szCs w:val="44"/>
              <w:highlight w:val="none"/>
              <w:shd w:val="clear" w:color="auto" w:fill="auto"/>
              <w:lang w:val="en-US" w:eastAsia="zh-CN"/>
            </w:rPr>
            <w:t>第四章、合同价款</w:t>
          </w:r>
          <w:r>
            <w:rPr>
              <w:sz w:val="28"/>
              <w:szCs w:val="28"/>
              <w:highlight w:val="none"/>
            </w:rPr>
            <w:tab/>
          </w:r>
          <w:r>
            <w:rPr>
              <w:sz w:val="28"/>
              <w:szCs w:val="28"/>
              <w:highlight w:val="none"/>
            </w:rPr>
            <w:fldChar w:fldCharType="begin"/>
          </w:r>
          <w:r>
            <w:rPr>
              <w:sz w:val="28"/>
              <w:szCs w:val="28"/>
              <w:highlight w:val="none"/>
            </w:rPr>
            <w:instrText xml:space="preserve"> PAGEREF _Toc10809 \h </w:instrText>
          </w:r>
          <w:r>
            <w:rPr>
              <w:sz w:val="28"/>
              <w:szCs w:val="28"/>
              <w:highlight w:val="none"/>
            </w:rPr>
            <w:fldChar w:fldCharType="separate"/>
          </w:r>
          <w:r>
            <w:rPr>
              <w:sz w:val="28"/>
              <w:szCs w:val="28"/>
              <w:highlight w:val="none"/>
            </w:rPr>
            <w:t>17</w:t>
          </w:r>
          <w:r>
            <w:rPr>
              <w:sz w:val="28"/>
              <w:szCs w:val="28"/>
              <w:highlight w:val="none"/>
            </w:rPr>
            <w:fldChar w:fldCharType="end"/>
          </w:r>
          <w:r>
            <w:rPr>
              <w:sz w:val="28"/>
              <w:szCs w:val="28"/>
              <w:highlight w:val="none"/>
            </w:rPr>
            <w:fldChar w:fldCharType="end"/>
          </w:r>
        </w:p>
        <w:p w14:paraId="078E405B">
          <w:pPr>
            <w:pStyle w:val="26"/>
            <w:keepNext w:val="0"/>
            <w:keepLines w:val="0"/>
            <w:pageBreakBefore w:val="0"/>
            <w:tabs>
              <w:tab w:val="right" w:leader="dot" w:pos="9072"/>
            </w:tabs>
            <w:kinsoku/>
            <w:wordWrap/>
            <w:overflowPunct/>
            <w:topLinePunct w:val="0"/>
            <w:autoSpaceDE/>
            <w:autoSpaceDN/>
            <w:bidi w:val="0"/>
            <w:adjustRightInd/>
            <w:snapToGrid w:val="0"/>
            <w:spacing w:line="288" w:lineRule="auto"/>
            <w:textAlignment w:val="auto"/>
            <w:rPr>
              <w:sz w:val="28"/>
              <w:szCs w:val="28"/>
              <w:highlight w:val="none"/>
            </w:rPr>
          </w:pPr>
          <w:r>
            <w:rPr>
              <w:sz w:val="28"/>
              <w:szCs w:val="28"/>
              <w:highlight w:val="none"/>
            </w:rPr>
            <w:fldChar w:fldCharType="begin"/>
          </w:r>
          <w:r>
            <w:rPr>
              <w:sz w:val="28"/>
              <w:szCs w:val="28"/>
              <w:highlight w:val="none"/>
            </w:rPr>
            <w:instrText xml:space="preserve"> HYPERLINK \l _Toc8137 </w:instrText>
          </w:r>
          <w:r>
            <w:rPr>
              <w:sz w:val="28"/>
              <w:szCs w:val="28"/>
              <w:highlight w:val="none"/>
            </w:rPr>
            <w:fldChar w:fldCharType="separate"/>
          </w:r>
          <w:r>
            <w:rPr>
              <w:rFonts w:hint="eastAsia" w:ascii="仿宋_GB2312" w:hAnsi="仿宋_GB2312" w:eastAsia="仿宋_GB2312" w:cs="仿宋_GB2312"/>
              <w:bCs/>
              <w:i w:val="0"/>
              <w:iCs w:val="0"/>
              <w:sz w:val="28"/>
              <w:szCs w:val="44"/>
              <w:highlight w:val="none"/>
              <w:shd w:val="clear" w:color="auto" w:fill="auto"/>
              <w:lang w:val="en-US" w:eastAsia="zh-CN"/>
            </w:rPr>
            <w:t>第五章、计量计价方式及结算方式</w:t>
          </w:r>
          <w:r>
            <w:rPr>
              <w:sz w:val="28"/>
              <w:szCs w:val="28"/>
              <w:highlight w:val="none"/>
            </w:rPr>
            <w:tab/>
          </w:r>
          <w:r>
            <w:rPr>
              <w:sz w:val="28"/>
              <w:szCs w:val="28"/>
              <w:highlight w:val="none"/>
            </w:rPr>
            <w:fldChar w:fldCharType="begin"/>
          </w:r>
          <w:r>
            <w:rPr>
              <w:sz w:val="28"/>
              <w:szCs w:val="28"/>
              <w:highlight w:val="none"/>
            </w:rPr>
            <w:instrText xml:space="preserve"> PAGEREF _Toc8137 \h </w:instrText>
          </w:r>
          <w:r>
            <w:rPr>
              <w:sz w:val="28"/>
              <w:szCs w:val="28"/>
              <w:highlight w:val="none"/>
            </w:rPr>
            <w:fldChar w:fldCharType="separate"/>
          </w:r>
          <w:r>
            <w:rPr>
              <w:sz w:val="28"/>
              <w:szCs w:val="28"/>
              <w:highlight w:val="none"/>
            </w:rPr>
            <w:t>18</w:t>
          </w:r>
          <w:r>
            <w:rPr>
              <w:sz w:val="28"/>
              <w:szCs w:val="28"/>
              <w:highlight w:val="none"/>
            </w:rPr>
            <w:fldChar w:fldCharType="end"/>
          </w:r>
          <w:r>
            <w:rPr>
              <w:sz w:val="28"/>
              <w:szCs w:val="28"/>
              <w:highlight w:val="none"/>
            </w:rPr>
            <w:fldChar w:fldCharType="end"/>
          </w:r>
        </w:p>
        <w:p w14:paraId="1EC5A964">
          <w:pPr>
            <w:pStyle w:val="26"/>
            <w:keepNext w:val="0"/>
            <w:keepLines w:val="0"/>
            <w:pageBreakBefore w:val="0"/>
            <w:tabs>
              <w:tab w:val="right" w:leader="dot" w:pos="9072"/>
            </w:tabs>
            <w:kinsoku/>
            <w:wordWrap/>
            <w:overflowPunct/>
            <w:topLinePunct w:val="0"/>
            <w:autoSpaceDE/>
            <w:autoSpaceDN/>
            <w:bidi w:val="0"/>
            <w:adjustRightInd/>
            <w:snapToGrid w:val="0"/>
            <w:spacing w:line="288" w:lineRule="auto"/>
            <w:textAlignment w:val="auto"/>
            <w:rPr>
              <w:sz w:val="28"/>
              <w:szCs w:val="28"/>
              <w:highlight w:val="none"/>
            </w:rPr>
          </w:pPr>
          <w:r>
            <w:rPr>
              <w:sz w:val="28"/>
              <w:szCs w:val="28"/>
              <w:highlight w:val="none"/>
            </w:rPr>
            <w:fldChar w:fldCharType="begin"/>
          </w:r>
          <w:r>
            <w:rPr>
              <w:sz w:val="28"/>
              <w:szCs w:val="28"/>
              <w:highlight w:val="none"/>
            </w:rPr>
            <w:instrText xml:space="preserve"> HYPERLINK \l _Toc25342 </w:instrText>
          </w:r>
          <w:r>
            <w:rPr>
              <w:sz w:val="28"/>
              <w:szCs w:val="28"/>
              <w:highlight w:val="none"/>
            </w:rPr>
            <w:fldChar w:fldCharType="separate"/>
          </w:r>
          <w:r>
            <w:rPr>
              <w:rFonts w:hint="eastAsia" w:ascii="仿宋_GB2312" w:hAnsi="仿宋_GB2312" w:eastAsia="仿宋_GB2312" w:cs="仿宋_GB2312"/>
              <w:bCs/>
              <w:i w:val="0"/>
              <w:iCs w:val="0"/>
              <w:sz w:val="28"/>
              <w:szCs w:val="44"/>
              <w:highlight w:val="none"/>
              <w:shd w:val="clear" w:color="auto" w:fill="auto"/>
              <w:lang w:val="en-US" w:eastAsia="zh-CN"/>
            </w:rPr>
            <w:t>第六章、付款方式</w:t>
          </w:r>
          <w:r>
            <w:rPr>
              <w:sz w:val="28"/>
              <w:szCs w:val="28"/>
              <w:highlight w:val="none"/>
            </w:rPr>
            <w:tab/>
          </w:r>
          <w:r>
            <w:rPr>
              <w:sz w:val="28"/>
              <w:szCs w:val="28"/>
              <w:highlight w:val="none"/>
            </w:rPr>
            <w:fldChar w:fldCharType="begin"/>
          </w:r>
          <w:r>
            <w:rPr>
              <w:sz w:val="28"/>
              <w:szCs w:val="28"/>
              <w:highlight w:val="none"/>
            </w:rPr>
            <w:instrText xml:space="preserve"> PAGEREF _Toc25342 \h </w:instrText>
          </w:r>
          <w:r>
            <w:rPr>
              <w:sz w:val="28"/>
              <w:szCs w:val="28"/>
              <w:highlight w:val="none"/>
            </w:rPr>
            <w:fldChar w:fldCharType="separate"/>
          </w:r>
          <w:r>
            <w:rPr>
              <w:sz w:val="28"/>
              <w:szCs w:val="28"/>
              <w:highlight w:val="none"/>
            </w:rPr>
            <w:t>22</w:t>
          </w:r>
          <w:r>
            <w:rPr>
              <w:sz w:val="28"/>
              <w:szCs w:val="28"/>
              <w:highlight w:val="none"/>
            </w:rPr>
            <w:fldChar w:fldCharType="end"/>
          </w:r>
          <w:r>
            <w:rPr>
              <w:sz w:val="28"/>
              <w:szCs w:val="28"/>
              <w:highlight w:val="none"/>
            </w:rPr>
            <w:fldChar w:fldCharType="end"/>
          </w:r>
        </w:p>
        <w:p w14:paraId="28849872">
          <w:pPr>
            <w:pStyle w:val="26"/>
            <w:keepNext w:val="0"/>
            <w:keepLines w:val="0"/>
            <w:pageBreakBefore w:val="0"/>
            <w:tabs>
              <w:tab w:val="right" w:leader="dot" w:pos="9072"/>
            </w:tabs>
            <w:kinsoku/>
            <w:wordWrap/>
            <w:overflowPunct/>
            <w:topLinePunct w:val="0"/>
            <w:autoSpaceDE/>
            <w:autoSpaceDN/>
            <w:bidi w:val="0"/>
            <w:adjustRightInd/>
            <w:snapToGrid w:val="0"/>
            <w:spacing w:line="288" w:lineRule="auto"/>
            <w:textAlignment w:val="auto"/>
            <w:rPr>
              <w:sz w:val="28"/>
              <w:szCs w:val="28"/>
              <w:highlight w:val="none"/>
            </w:rPr>
          </w:pPr>
          <w:r>
            <w:rPr>
              <w:sz w:val="28"/>
              <w:szCs w:val="28"/>
              <w:highlight w:val="none"/>
            </w:rPr>
            <w:fldChar w:fldCharType="begin"/>
          </w:r>
          <w:r>
            <w:rPr>
              <w:sz w:val="28"/>
              <w:szCs w:val="28"/>
              <w:highlight w:val="none"/>
            </w:rPr>
            <w:instrText xml:space="preserve"> HYPERLINK \l _Toc23840 </w:instrText>
          </w:r>
          <w:r>
            <w:rPr>
              <w:sz w:val="28"/>
              <w:szCs w:val="28"/>
              <w:highlight w:val="none"/>
            </w:rPr>
            <w:fldChar w:fldCharType="separate"/>
          </w:r>
          <w:r>
            <w:rPr>
              <w:rFonts w:hint="eastAsia" w:ascii="仿宋_GB2312" w:hAnsi="仿宋_GB2312" w:eastAsia="仿宋_GB2312" w:cs="仿宋_GB2312"/>
              <w:bCs/>
              <w:i w:val="0"/>
              <w:iCs w:val="0"/>
              <w:sz w:val="28"/>
              <w:szCs w:val="44"/>
              <w:highlight w:val="none"/>
              <w:shd w:val="clear" w:color="auto" w:fill="auto"/>
              <w:lang w:val="en-US" w:eastAsia="zh-CN"/>
            </w:rPr>
            <w:t>第七章、双方责任和权利</w:t>
          </w:r>
          <w:r>
            <w:rPr>
              <w:sz w:val="28"/>
              <w:szCs w:val="28"/>
              <w:highlight w:val="none"/>
            </w:rPr>
            <w:tab/>
          </w:r>
          <w:r>
            <w:rPr>
              <w:sz w:val="28"/>
              <w:szCs w:val="28"/>
              <w:highlight w:val="none"/>
            </w:rPr>
            <w:fldChar w:fldCharType="begin"/>
          </w:r>
          <w:r>
            <w:rPr>
              <w:sz w:val="28"/>
              <w:szCs w:val="28"/>
              <w:highlight w:val="none"/>
            </w:rPr>
            <w:instrText xml:space="preserve"> PAGEREF _Toc23840 \h </w:instrText>
          </w:r>
          <w:r>
            <w:rPr>
              <w:sz w:val="28"/>
              <w:szCs w:val="28"/>
              <w:highlight w:val="none"/>
            </w:rPr>
            <w:fldChar w:fldCharType="separate"/>
          </w:r>
          <w:r>
            <w:rPr>
              <w:sz w:val="28"/>
              <w:szCs w:val="28"/>
              <w:highlight w:val="none"/>
            </w:rPr>
            <w:t>25</w:t>
          </w:r>
          <w:r>
            <w:rPr>
              <w:sz w:val="28"/>
              <w:szCs w:val="28"/>
              <w:highlight w:val="none"/>
            </w:rPr>
            <w:fldChar w:fldCharType="end"/>
          </w:r>
          <w:r>
            <w:rPr>
              <w:sz w:val="28"/>
              <w:szCs w:val="28"/>
              <w:highlight w:val="none"/>
            </w:rPr>
            <w:fldChar w:fldCharType="end"/>
          </w:r>
        </w:p>
        <w:p w14:paraId="735AD461">
          <w:pPr>
            <w:pStyle w:val="26"/>
            <w:keepNext w:val="0"/>
            <w:keepLines w:val="0"/>
            <w:pageBreakBefore w:val="0"/>
            <w:tabs>
              <w:tab w:val="right" w:leader="dot" w:pos="9072"/>
            </w:tabs>
            <w:kinsoku/>
            <w:wordWrap/>
            <w:overflowPunct/>
            <w:topLinePunct w:val="0"/>
            <w:autoSpaceDE/>
            <w:autoSpaceDN/>
            <w:bidi w:val="0"/>
            <w:adjustRightInd/>
            <w:snapToGrid w:val="0"/>
            <w:spacing w:line="288" w:lineRule="auto"/>
            <w:textAlignment w:val="auto"/>
            <w:rPr>
              <w:sz w:val="28"/>
              <w:szCs w:val="28"/>
              <w:highlight w:val="none"/>
            </w:rPr>
          </w:pPr>
          <w:r>
            <w:rPr>
              <w:sz w:val="28"/>
              <w:szCs w:val="28"/>
              <w:highlight w:val="none"/>
            </w:rPr>
            <w:fldChar w:fldCharType="begin"/>
          </w:r>
          <w:r>
            <w:rPr>
              <w:sz w:val="28"/>
              <w:szCs w:val="28"/>
              <w:highlight w:val="none"/>
            </w:rPr>
            <w:instrText xml:space="preserve"> HYPERLINK \l _Toc21799 </w:instrText>
          </w:r>
          <w:r>
            <w:rPr>
              <w:sz w:val="28"/>
              <w:szCs w:val="28"/>
              <w:highlight w:val="none"/>
            </w:rPr>
            <w:fldChar w:fldCharType="separate"/>
          </w:r>
          <w:r>
            <w:rPr>
              <w:rFonts w:hint="eastAsia" w:ascii="仿宋_GB2312" w:hAnsi="仿宋_GB2312" w:eastAsia="仿宋_GB2312" w:cs="仿宋_GB2312"/>
              <w:bCs/>
              <w:i w:val="0"/>
              <w:iCs w:val="0"/>
              <w:sz w:val="28"/>
              <w:szCs w:val="44"/>
              <w:highlight w:val="none"/>
              <w:shd w:val="clear" w:color="auto" w:fill="auto"/>
              <w:lang w:val="en-US" w:eastAsia="zh-CN"/>
            </w:rPr>
            <w:t>第八章、安全生产、文明施工要求</w:t>
          </w:r>
          <w:r>
            <w:rPr>
              <w:sz w:val="28"/>
              <w:szCs w:val="28"/>
              <w:highlight w:val="none"/>
            </w:rPr>
            <w:tab/>
          </w:r>
          <w:r>
            <w:rPr>
              <w:sz w:val="28"/>
              <w:szCs w:val="28"/>
              <w:highlight w:val="none"/>
            </w:rPr>
            <w:fldChar w:fldCharType="begin"/>
          </w:r>
          <w:r>
            <w:rPr>
              <w:sz w:val="28"/>
              <w:szCs w:val="28"/>
              <w:highlight w:val="none"/>
            </w:rPr>
            <w:instrText xml:space="preserve"> PAGEREF _Toc21799 \h </w:instrText>
          </w:r>
          <w:r>
            <w:rPr>
              <w:sz w:val="28"/>
              <w:szCs w:val="28"/>
              <w:highlight w:val="none"/>
            </w:rPr>
            <w:fldChar w:fldCharType="separate"/>
          </w:r>
          <w:r>
            <w:rPr>
              <w:sz w:val="28"/>
              <w:szCs w:val="28"/>
              <w:highlight w:val="none"/>
            </w:rPr>
            <w:t>32</w:t>
          </w:r>
          <w:r>
            <w:rPr>
              <w:sz w:val="28"/>
              <w:szCs w:val="28"/>
              <w:highlight w:val="none"/>
            </w:rPr>
            <w:fldChar w:fldCharType="end"/>
          </w:r>
          <w:r>
            <w:rPr>
              <w:sz w:val="28"/>
              <w:szCs w:val="28"/>
              <w:highlight w:val="none"/>
            </w:rPr>
            <w:fldChar w:fldCharType="end"/>
          </w:r>
        </w:p>
        <w:p w14:paraId="07C8B2DE">
          <w:pPr>
            <w:pStyle w:val="26"/>
            <w:keepNext w:val="0"/>
            <w:keepLines w:val="0"/>
            <w:pageBreakBefore w:val="0"/>
            <w:tabs>
              <w:tab w:val="right" w:leader="dot" w:pos="9072"/>
            </w:tabs>
            <w:kinsoku/>
            <w:wordWrap/>
            <w:overflowPunct/>
            <w:topLinePunct w:val="0"/>
            <w:autoSpaceDE/>
            <w:autoSpaceDN/>
            <w:bidi w:val="0"/>
            <w:adjustRightInd/>
            <w:snapToGrid w:val="0"/>
            <w:spacing w:line="288" w:lineRule="auto"/>
            <w:textAlignment w:val="auto"/>
            <w:rPr>
              <w:sz w:val="28"/>
              <w:szCs w:val="28"/>
              <w:highlight w:val="none"/>
            </w:rPr>
          </w:pPr>
          <w:r>
            <w:rPr>
              <w:sz w:val="28"/>
              <w:szCs w:val="28"/>
              <w:highlight w:val="none"/>
            </w:rPr>
            <w:fldChar w:fldCharType="begin"/>
          </w:r>
          <w:r>
            <w:rPr>
              <w:sz w:val="28"/>
              <w:szCs w:val="28"/>
              <w:highlight w:val="none"/>
            </w:rPr>
            <w:instrText xml:space="preserve"> HYPERLINK \l _Toc25785 </w:instrText>
          </w:r>
          <w:r>
            <w:rPr>
              <w:sz w:val="28"/>
              <w:szCs w:val="28"/>
              <w:highlight w:val="none"/>
            </w:rPr>
            <w:fldChar w:fldCharType="separate"/>
          </w:r>
          <w:r>
            <w:rPr>
              <w:rFonts w:hint="eastAsia" w:ascii="仿宋_GB2312" w:hAnsi="仿宋_GB2312" w:eastAsia="仿宋_GB2312" w:cs="仿宋_GB2312"/>
              <w:bCs/>
              <w:i w:val="0"/>
              <w:iCs w:val="0"/>
              <w:sz w:val="28"/>
              <w:szCs w:val="44"/>
              <w:highlight w:val="none"/>
              <w:shd w:val="clear" w:fill="auto"/>
              <w:lang w:val="en-US" w:eastAsia="zh-CN"/>
            </w:rPr>
            <w:t xml:space="preserve">第九章、 </w:t>
          </w:r>
          <w:r>
            <w:rPr>
              <w:rFonts w:hint="eastAsia" w:ascii="仿宋_GB2312" w:hAnsi="仿宋_GB2312" w:eastAsia="仿宋_GB2312" w:cs="仿宋_GB2312"/>
              <w:bCs/>
              <w:i w:val="0"/>
              <w:iCs w:val="0"/>
              <w:sz w:val="28"/>
              <w:szCs w:val="44"/>
              <w:highlight w:val="none"/>
              <w:shd w:val="clear" w:color="auto" w:fill="auto"/>
              <w:lang w:val="en-US" w:eastAsia="zh-CN"/>
            </w:rPr>
            <w:t>验收及保修</w:t>
          </w:r>
          <w:r>
            <w:rPr>
              <w:sz w:val="28"/>
              <w:szCs w:val="28"/>
              <w:highlight w:val="none"/>
            </w:rPr>
            <w:tab/>
          </w:r>
          <w:r>
            <w:rPr>
              <w:sz w:val="28"/>
              <w:szCs w:val="28"/>
              <w:highlight w:val="none"/>
            </w:rPr>
            <w:fldChar w:fldCharType="begin"/>
          </w:r>
          <w:r>
            <w:rPr>
              <w:sz w:val="28"/>
              <w:szCs w:val="28"/>
              <w:highlight w:val="none"/>
            </w:rPr>
            <w:instrText xml:space="preserve"> PAGEREF _Toc25785 \h </w:instrText>
          </w:r>
          <w:r>
            <w:rPr>
              <w:sz w:val="28"/>
              <w:szCs w:val="28"/>
              <w:highlight w:val="none"/>
            </w:rPr>
            <w:fldChar w:fldCharType="separate"/>
          </w:r>
          <w:r>
            <w:rPr>
              <w:sz w:val="28"/>
              <w:szCs w:val="28"/>
              <w:highlight w:val="none"/>
            </w:rPr>
            <w:t>33</w:t>
          </w:r>
          <w:r>
            <w:rPr>
              <w:sz w:val="28"/>
              <w:szCs w:val="28"/>
              <w:highlight w:val="none"/>
            </w:rPr>
            <w:fldChar w:fldCharType="end"/>
          </w:r>
          <w:r>
            <w:rPr>
              <w:sz w:val="28"/>
              <w:szCs w:val="28"/>
              <w:highlight w:val="none"/>
            </w:rPr>
            <w:fldChar w:fldCharType="end"/>
          </w:r>
        </w:p>
        <w:p w14:paraId="5DBA73C7">
          <w:pPr>
            <w:pStyle w:val="26"/>
            <w:keepNext w:val="0"/>
            <w:keepLines w:val="0"/>
            <w:pageBreakBefore w:val="0"/>
            <w:tabs>
              <w:tab w:val="right" w:leader="dot" w:pos="9072"/>
            </w:tabs>
            <w:kinsoku/>
            <w:wordWrap/>
            <w:overflowPunct/>
            <w:topLinePunct w:val="0"/>
            <w:autoSpaceDE/>
            <w:autoSpaceDN/>
            <w:bidi w:val="0"/>
            <w:adjustRightInd/>
            <w:snapToGrid w:val="0"/>
            <w:spacing w:line="288" w:lineRule="auto"/>
            <w:textAlignment w:val="auto"/>
            <w:rPr>
              <w:sz w:val="28"/>
              <w:szCs w:val="28"/>
              <w:highlight w:val="none"/>
            </w:rPr>
          </w:pPr>
          <w:r>
            <w:rPr>
              <w:sz w:val="28"/>
              <w:szCs w:val="28"/>
              <w:highlight w:val="none"/>
            </w:rPr>
            <w:fldChar w:fldCharType="begin"/>
          </w:r>
          <w:r>
            <w:rPr>
              <w:sz w:val="28"/>
              <w:szCs w:val="28"/>
              <w:highlight w:val="none"/>
            </w:rPr>
            <w:instrText xml:space="preserve"> HYPERLINK \l _Toc3649 </w:instrText>
          </w:r>
          <w:r>
            <w:rPr>
              <w:sz w:val="28"/>
              <w:szCs w:val="28"/>
              <w:highlight w:val="none"/>
            </w:rPr>
            <w:fldChar w:fldCharType="separate"/>
          </w:r>
          <w:r>
            <w:rPr>
              <w:rFonts w:hint="eastAsia" w:ascii="仿宋_GB2312" w:hAnsi="仿宋_GB2312" w:eastAsia="仿宋_GB2312" w:cs="仿宋_GB2312"/>
              <w:bCs/>
              <w:i w:val="0"/>
              <w:iCs w:val="0"/>
              <w:sz w:val="28"/>
              <w:szCs w:val="44"/>
              <w:highlight w:val="none"/>
              <w:shd w:val="clear" w:color="auto" w:fill="auto"/>
              <w:lang w:val="en-US" w:eastAsia="zh-CN"/>
            </w:rPr>
            <w:t>第十章、保险</w:t>
          </w:r>
          <w:r>
            <w:rPr>
              <w:sz w:val="28"/>
              <w:szCs w:val="28"/>
              <w:highlight w:val="none"/>
            </w:rPr>
            <w:tab/>
          </w:r>
          <w:r>
            <w:rPr>
              <w:sz w:val="28"/>
              <w:szCs w:val="28"/>
              <w:highlight w:val="none"/>
            </w:rPr>
            <w:fldChar w:fldCharType="begin"/>
          </w:r>
          <w:r>
            <w:rPr>
              <w:sz w:val="28"/>
              <w:szCs w:val="28"/>
              <w:highlight w:val="none"/>
            </w:rPr>
            <w:instrText xml:space="preserve"> PAGEREF _Toc3649 \h </w:instrText>
          </w:r>
          <w:r>
            <w:rPr>
              <w:sz w:val="28"/>
              <w:szCs w:val="28"/>
              <w:highlight w:val="none"/>
            </w:rPr>
            <w:fldChar w:fldCharType="separate"/>
          </w:r>
          <w:r>
            <w:rPr>
              <w:sz w:val="28"/>
              <w:szCs w:val="28"/>
              <w:highlight w:val="none"/>
            </w:rPr>
            <w:t>33</w:t>
          </w:r>
          <w:r>
            <w:rPr>
              <w:sz w:val="28"/>
              <w:szCs w:val="28"/>
              <w:highlight w:val="none"/>
            </w:rPr>
            <w:fldChar w:fldCharType="end"/>
          </w:r>
          <w:r>
            <w:rPr>
              <w:sz w:val="28"/>
              <w:szCs w:val="28"/>
              <w:highlight w:val="none"/>
            </w:rPr>
            <w:fldChar w:fldCharType="end"/>
          </w:r>
        </w:p>
        <w:p w14:paraId="5A27F958">
          <w:pPr>
            <w:pStyle w:val="26"/>
            <w:keepNext w:val="0"/>
            <w:keepLines w:val="0"/>
            <w:pageBreakBefore w:val="0"/>
            <w:tabs>
              <w:tab w:val="right" w:leader="dot" w:pos="9072"/>
            </w:tabs>
            <w:kinsoku/>
            <w:wordWrap/>
            <w:overflowPunct/>
            <w:topLinePunct w:val="0"/>
            <w:autoSpaceDE/>
            <w:autoSpaceDN/>
            <w:bidi w:val="0"/>
            <w:adjustRightInd/>
            <w:snapToGrid w:val="0"/>
            <w:spacing w:line="288" w:lineRule="auto"/>
            <w:textAlignment w:val="auto"/>
            <w:rPr>
              <w:sz w:val="28"/>
              <w:szCs w:val="28"/>
              <w:highlight w:val="none"/>
            </w:rPr>
          </w:pPr>
          <w:r>
            <w:rPr>
              <w:sz w:val="28"/>
              <w:szCs w:val="28"/>
              <w:highlight w:val="none"/>
            </w:rPr>
            <w:fldChar w:fldCharType="begin"/>
          </w:r>
          <w:r>
            <w:rPr>
              <w:sz w:val="28"/>
              <w:szCs w:val="28"/>
              <w:highlight w:val="none"/>
            </w:rPr>
            <w:instrText xml:space="preserve"> HYPERLINK \l _Toc2911 </w:instrText>
          </w:r>
          <w:r>
            <w:rPr>
              <w:sz w:val="28"/>
              <w:szCs w:val="28"/>
              <w:highlight w:val="none"/>
            </w:rPr>
            <w:fldChar w:fldCharType="separate"/>
          </w:r>
          <w:r>
            <w:rPr>
              <w:rFonts w:hint="eastAsia" w:ascii="仿宋_GB2312" w:hAnsi="仿宋_GB2312" w:eastAsia="仿宋_GB2312" w:cs="仿宋_GB2312"/>
              <w:bCs/>
              <w:i w:val="0"/>
              <w:iCs w:val="0"/>
              <w:sz w:val="28"/>
              <w:szCs w:val="44"/>
              <w:highlight w:val="none"/>
              <w:shd w:val="clear" w:color="auto" w:fill="auto"/>
              <w:lang w:val="en-US" w:eastAsia="zh-CN"/>
            </w:rPr>
            <w:t>第十一章、奖罚条款</w:t>
          </w:r>
          <w:r>
            <w:rPr>
              <w:sz w:val="28"/>
              <w:szCs w:val="28"/>
              <w:highlight w:val="none"/>
            </w:rPr>
            <w:tab/>
          </w:r>
          <w:r>
            <w:rPr>
              <w:sz w:val="28"/>
              <w:szCs w:val="28"/>
              <w:highlight w:val="none"/>
            </w:rPr>
            <w:fldChar w:fldCharType="begin"/>
          </w:r>
          <w:r>
            <w:rPr>
              <w:sz w:val="28"/>
              <w:szCs w:val="28"/>
              <w:highlight w:val="none"/>
            </w:rPr>
            <w:instrText xml:space="preserve"> PAGEREF _Toc2911 \h </w:instrText>
          </w:r>
          <w:r>
            <w:rPr>
              <w:sz w:val="28"/>
              <w:szCs w:val="28"/>
              <w:highlight w:val="none"/>
            </w:rPr>
            <w:fldChar w:fldCharType="separate"/>
          </w:r>
          <w:r>
            <w:rPr>
              <w:sz w:val="28"/>
              <w:szCs w:val="28"/>
              <w:highlight w:val="none"/>
            </w:rPr>
            <w:t>34</w:t>
          </w:r>
          <w:r>
            <w:rPr>
              <w:sz w:val="28"/>
              <w:szCs w:val="28"/>
              <w:highlight w:val="none"/>
            </w:rPr>
            <w:fldChar w:fldCharType="end"/>
          </w:r>
          <w:r>
            <w:rPr>
              <w:sz w:val="28"/>
              <w:szCs w:val="28"/>
              <w:highlight w:val="none"/>
            </w:rPr>
            <w:fldChar w:fldCharType="end"/>
          </w:r>
        </w:p>
        <w:p w14:paraId="4A88D649">
          <w:pPr>
            <w:pStyle w:val="26"/>
            <w:keepNext w:val="0"/>
            <w:keepLines w:val="0"/>
            <w:pageBreakBefore w:val="0"/>
            <w:tabs>
              <w:tab w:val="right" w:leader="dot" w:pos="9072"/>
            </w:tabs>
            <w:kinsoku/>
            <w:wordWrap/>
            <w:overflowPunct/>
            <w:topLinePunct w:val="0"/>
            <w:autoSpaceDE/>
            <w:autoSpaceDN/>
            <w:bidi w:val="0"/>
            <w:adjustRightInd/>
            <w:snapToGrid w:val="0"/>
            <w:spacing w:line="288" w:lineRule="auto"/>
            <w:textAlignment w:val="auto"/>
            <w:rPr>
              <w:sz w:val="28"/>
              <w:szCs w:val="28"/>
              <w:highlight w:val="none"/>
            </w:rPr>
          </w:pPr>
          <w:r>
            <w:rPr>
              <w:sz w:val="28"/>
              <w:szCs w:val="28"/>
              <w:highlight w:val="none"/>
            </w:rPr>
            <w:fldChar w:fldCharType="begin"/>
          </w:r>
          <w:r>
            <w:rPr>
              <w:sz w:val="28"/>
              <w:szCs w:val="28"/>
              <w:highlight w:val="none"/>
            </w:rPr>
            <w:instrText xml:space="preserve"> HYPERLINK \l _Toc24467 </w:instrText>
          </w:r>
          <w:r>
            <w:rPr>
              <w:sz w:val="28"/>
              <w:szCs w:val="28"/>
              <w:highlight w:val="none"/>
            </w:rPr>
            <w:fldChar w:fldCharType="separate"/>
          </w:r>
          <w:r>
            <w:rPr>
              <w:rFonts w:hint="eastAsia" w:ascii="仿宋_GB2312" w:hAnsi="仿宋_GB2312" w:eastAsia="仿宋_GB2312" w:cs="仿宋_GB2312"/>
              <w:bCs/>
              <w:i w:val="0"/>
              <w:iCs w:val="0"/>
              <w:sz w:val="28"/>
              <w:szCs w:val="44"/>
              <w:highlight w:val="none"/>
              <w:shd w:val="clear" w:color="auto" w:fill="auto"/>
              <w:lang w:val="en-US" w:eastAsia="zh-CN"/>
            </w:rPr>
            <w:t>第十二章、违约条款</w:t>
          </w:r>
          <w:r>
            <w:rPr>
              <w:sz w:val="28"/>
              <w:szCs w:val="28"/>
              <w:highlight w:val="none"/>
            </w:rPr>
            <w:tab/>
          </w:r>
          <w:r>
            <w:rPr>
              <w:sz w:val="28"/>
              <w:szCs w:val="28"/>
              <w:highlight w:val="none"/>
            </w:rPr>
            <w:fldChar w:fldCharType="begin"/>
          </w:r>
          <w:r>
            <w:rPr>
              <w:sz w:val="28"/>
              <w:szCs w:val="28"/>
              <w:highlight w:val="none"/>
            </w:rPr>
            <w:instrText xml:space="preserve"> PAGEREF _Toc24467 \h </w:instrText>
          </w:r>
          <w:r>
            <w:rPr>
              <w:sz w:val="28"/>
              <w:szCs w:val="28"/>
              <w:highlight w:val="none"/>
            </w:rPr>
            <w:fldChar w:fldCharType="separate"/>
          </w:r>
          <w:r>
            <w:rPr>
              <w:sz w:val="28"/>
              <w:szCs w:val="28"/>
              <w:highlight w:val="none"/>
            </w:rPr>
            <w:t>36</w:t>
          </w:r>
          <w:r>
            <w:rPr>
              <w:sz w:val="28"/>
              <w:szCs w:val="28"/>
              <w:highlight w:val="none"/>
            </w:rPr>
            <w:fldChar w:fldCharType="end"/>
          </w:r>
          <w:r>
            <w:rPr>
              <w:sz w:val="28"/>
              <w:szCs w:val="28"/>
              <w:highlight w:val="none"/>
            </w:rPr>
            <w:fldChar w:fldCharType="end"/>
          </w:r>
        </w:p>
        <w:p w14:paraId="2E23A567">
          <w:pPr>
            <w:pStyle w:val="26"/>
            <w:keepNext w:val="0"/>
            <w:keepLines w:val="0"/>
            <w:pageBreakBefore w:val="0"/>
            <w:tabs>
              <w:tab w:val="right" w:leader="dot" w:pos="9072"/>
            </w:tabs>
            <w:kinsoku/>
            <w:wordWrap/>
            <w:overflowPunct/>
            <w:topLinePunct w:val="0"/>
            <w:autoSpaceDE/>
            <w:autoSpaceDN/>
            <w:bidi w:val="0"/>
            <w:adjustRightInd/>
            <w:snapToGrid w:val="0"/>
            <w:spacing w:line="288" w:lineRule="auto"/>
            <w:textAlignment w:val="auto"/>
            <w:rPr>
              <w:sz w:val="28"/>
              <w:szCs w:val="28"/>
              <w:highlight w:val="none"/>
            </w:rPr>
          </w:pPr>
          <w:r>
            <w:rPr>
              <w:sz w:val="28"/>
              <w:szCs w:val="28"/>
              <w:highlight w:val="none"/>
            </w:rPr>
            <w:fldChar w:fldCharType="begin"/>
          </w:r>
          <w:r>
            <w:rPr>
              <w:sz w:val="28"/>
              <w:szCs w:val="28"/>
              <w:highlight w:val="none"/>
            </w:rPr>
            <w:instrText xml:space="preserve"> HYPERLINK \l _Toc5697 </w:instrText>
          </w:r>
          <w:r>
            <w:rPr>
              <w:sz w:val="28"/>
              <w:szCs w:val="28"/>
              <w:highlight w:val="none"/>
            </w:rPr>
            <w:fldChar w:fldCharType="separate"/>
          </w:r>
          <w:r>
            <w:rPr>
              <w:rFonts w:hint="eastAsia" w:ascii="仿宋_GB2312" w:hAnsi="仿宋_GB2312" w:eastAsia="仿宋_GB2312" w:cs="仿宋_GB2312"/>
              <w:bCs/>
              <w:i w:val="0"/>
              <w:iCs w:val="0"/>
              <w:sz w:val="28"/>
              <w:szCs w:val="44"/>
              <w:highlight w:val="none"/>
              <w:shd w:val="clear" w:color="auto" w:fill="auto"/>
              <w:lang w:val="en-US" w:eastAsia="zh-CN"/>
            </w:rPr>
            <w:t>第十三章、廉洁条款</w:t>
          </w:r>
          <w:r>
            <w:rPr>
              <w:sz w:val="28"/>
              <w:szCs w:val="28"/>
              <w:highlight w:val="none"/>
            </w:rPr>
            <w:tab/>
          </w:r>
          <w:r>
            <w:rPr>
              <w:sz w:val="28"/>
              <w:szCs w:val="28"/>
              <w:highlight w:val="none"/>
            </w:rPr>
            <w:fldChar w:fldCharType="begin"/>
          </w:r>
          <w:r>
            <w:rPr>
              <w:sz w:val="28"/>
              <w:szCs w:val="28"/>
              <w:highlight w:val="none"/>
            </w:rPr>
            <w:instrText xml:space="preserve"> PAGEREF _Toc5697 \h </w:instrText>
          </w:r>
          <w:r>
            <w:rPr>
              <w:sz w:val="28"/>
              <w:szCs w:val="28"/>
              <w:highlight w:val="none"/>
            </w:rPr>
            <w:fldChar w:fldCharType="separate"/>
          </w:r>
          <w:r>
            <w:rPr>
              <w:sz w:val="28"/>
              <w:szCs w:val="28"/>
              <w:highlight w:val="none"/>
            </w:rPr>
            <w:t>39</w:t>
          </w:r>
          <w:r>
            <w:rPr>
              <w:sz w:val="28"/>
              <w:szCs w:val="28"/>
              <w:highlight w:val="none"/>
            </w:rPr>
            <w:fldChar w:fldCharType="end"/>
          </w:r>
          <w:r>
            <w:rPr>
              <w:sz w:val="28"/>
              <w:szCs w:val="28"/>
              <w:highlight w:val="none"/>
            </w:rPr>
            <w:fldChar w:fldCharType="end"/>
          </w:r>
        </w:p>
        <w:p w14:paraId="633F9B14">
          <w:pPr>
            <w:pStyle w:val="26"/>
            <w:keepNext w:val="0"/>
            <w:keepLines w:val="0"/>
            <w:pageBreakBefore w:val="0"/>
            <w:tabs>
              <w:tab w:val="right" w:leader="dot" w:pos="9072"/>
            </w:tabs>
            <w:kinsoku/>
            <w:wordWrap/>
            <w:overflowPunct/>
            <w:topLinePunct w:val="0"/>
            <w:autoSpaceDE/>
            <w:autoSpaceDN/>
            <w:bidi w:val="0"/>
            <w:adjustRightInd/>
            <w:snapToGrid w:val="0"/>
            <w:spacing w:line="288" w:lineRule="auto"/>
            <w:textAlignment w:val="auto"/>
            <w:rPr>
              <w:b/>
              <w:sz w:val="28"/>
              <w:szCs w:val="28"/>
              <w:highlight w:val="none"/>
            </w:rPr>
          </w:pPr>
          <w:r>
            <w:rPr>
              <w:sz w:val="28"/>
              <w:szCs w:val="28"/>
              <w:highlight w:val="none"/>
            </w:rPr>
            <w:fldChar w:fldCharType="begin"/>
          </w:r>
          <w:r>
            <w:rPr>
              <w:sz w:val="28"/>
              <w:szCs w:val="28"/>
              <w:highlight w:val="none"/>
            </w:rPr>
            <w:instrText xml:space="preserve"> HYPERLINK \l _Toc22153 </w:instrText>
          </w:r>
          <w:r>
            <w:rPr>
              <w:sz w:val="28"/>
              <w:szCs w:val="28"/>
              <w:highlight w:val="none"/>
            </w:rPr>
            <w:fldChar w:fldCharType="separate"/>
          </w:r>
          <w:r>
            <w:rPr>
              <w:rFonts w:hint="eastAsia" w:ascii="仿宋_GB2312" w:hAnsi="仿宋_GB2312" w:eastAsia="仿宋_GB2312" w:cs="仿宋_GB2312"/>
              <w:bCs/>
              <w:i w:val="0"/>
              <w:iCs w:val="0"/>
              <w:sz w:val="28"/>
              <w:szCs w:val="44"/>
              <w:highlight w:val="none"/>
              <w:shd w:val="clear" w:color="auto" w:fill="auto"/>
              <w:lang w:val="en-US" w:eastAsia="zh-CN"/>
            </w:rPr>
            <w:t>第十四章、其他</w:t>
          </w:r>
          <w:r>
            <w:rPr>
              <w:sz w:val="28"/>
              <w:szCs w:val="28"/>
              <w:highlight w:val="none"/>
            </w:rPr>
            <w:tab/>
          </w:r>
          <w:r>
            <w:rPr>
              <w:sz w:val="28"/>
              <w:szCs w:val="28"/>
              <w:highlight w:val="none"/>
            </w:rPr>
            <w:fldChar w:fldCharType="begin"/>
          </w:r>
          <w:r>
            <w:rPr>
              <w:sz w:val="28"/>
              <w:szCs w:val="28"/>
              <w:highlight w:val="none"/>
            </w:rPr>
            <w:instrText xml:space="preserve"> PAGEREF _Toc22153 \h </w:instrText>
          </w:r>
          <w:r>
            <w:rPr>
              <w:sz w:val="28"/>
              <w:szCs w:val="28"/>
              <w:highlight w:val="none"/>
            </w:rPr>
            <w:fldChar w:fldCharType="separate"/>
          </w:r>
          <w:r>
            <w:rPr>
              <w:sz w:val="28"/>
              <w:szCs w:val="28"/>
              <w:highlight w:val="none"/>
            </w:rPr>
            <w:t>40</w:t>
          </w:r>
          <w:r>
            <w:rPr>
              <w:sz w:val="28"/>
              <w:szCs w:val="28"/>
              <w:highlight w:val="none"/>
            </w:rPr>
            <w:fldChar w:fldCharType="end"/>
          </w:r>
          <w:r>
            <w:rPr>
              <w:sz w:val="28"/>
              <w:szCs w:val="28"/>
              <w:highlight w:val="none"/>
            </w:rPr>
            <w:fldChar w:fldCharType="end"/>
          </w:r>
        </w:p>
        <w:p w14:paraId="012DBA63">
          <w:pPr>
            <w:keepNext w:val="0"/>
            <w:keepLines w:val="0"/>
            <w:pageBreakBefore w:val="0"/>
            <w:kinsoku/>
            <w:wordWrap/>
            <w:overflowPunct/>
            <w:topLinePunct w:val="0"/>
            <w:autoSpaceDE/>
            <w:autoSpaceDN/>
            <w:bidi w:val="0"/>
            <w:adjustRightInd/>
            <w:snapToGrid w:val="0"/>
            <w:spacing w:line="288" w:lineRule="auto"/>
            <w:textAlignment w:val="auto"/>
            <w:rPr>
              <w:b/>
              <w:sz w:val="32"/>
              <w:szCs w:val="32"/>
              <w:highlight w:val="none"/>
            </w:rPr>
          </w:pPr>
          <w:r>
            <w:rPr>
              <w:b/>
              <w:sz w:val="28"/>
              <w:szCs w:val="28"/>
              <w:highlight w:val="none"/>
            </w:rPr>
            <w:fldChar w:fldCharType="end"/>
          </w:r>
        </w:p>
      </w:sdtContent>
    </w:sdt>
    <w:p w14:paraId="4892B40B">
      <w:pPr>
        <w:rPr>
          <w:b/>
          <w:highlight w:val="none"/>
        </w:rPr>
      </w:pPr>
    </w:p>
    <w:p w14:paraId="36CC3B1D">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left="-140" w:leftChars="-50" w:right="-770" w:rightChars="-275"/>
        <w:jc w:val="center"/>
        <w:textAlignment w:val="auto"/>
        <w:outlineLvl w:val="0"/>
        <w:rPr>
          <w:rFonts w:hint="eastAsia" w:ascii="仿宋_GB2312" w:hAnsi="仿宋_GB2312" w:eastAsia="仿宋_GB2312" w:cs="仿宋_GB2312"/>
          <w:b/>
          <w:bCs/>
          <w:i w:val="0"/>
          <w:iCs w:val="0"/>
          <w:color w:val="auto"/>
          <w:kern w:val="0"/>
          <w:sz w:val="28"/>
          <w:szCs w:val="28"/>
          <w:highlight w:val="none"/>
          <w:shd w:val="clear" w:fill="auto"/>
          <w:lang w:val="en-US" w:eastAsia="zh-CN" w:bidi="ar-SA"/>
        </w:rPr>
      </w:pPr>
      <w:bookmarkStart w:id="25" w:name="_Toc8352"/>
    </w:p>
    <w:p w14:paraId="13C38D8E">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left="-140" w:leftChars="-50" w:right="-770" w:rightChars="-275"/>
        <w:jc w:val="center"/>
        <w:textAlignment w:val="auto"/>
        <w:outlineLvl w:val="0"/>
        <w:rPr>
          <w:rFonts w:hint="eastAsia" w:ascii="仿宋_GB2312" w:hAnsi="仿宋_GB2312" w:eastAsia="仿宋_GB2312" w:cs="仿宋_GB2312"/>
          <w:b/>
          <w:bCs/>
          <w:i w:val="0"/>
          <w:iCs w:val="0"/>
          <w:color w:val="auto"/>
          <w:kern w:val="0"/>
          <w:sz w:val="28"/>
          <w:szCs w:val="28"/>
          <w:highlight w:val="none"/>
          <w:shd w:val="clear" w:fill="auto"/>
          <w:lang w:val="en-US" w:eastAsia="zh-CN" w:bidi="ar-SA"/>
        </w:rPr>
      </w:pPr>
    </w:p>
    <w:p w14:paraId="72F2E2EA">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left="-140" w:leftChars="-50" w:right="-770" w:rightChars="-275"/>
        <w:jc w:val="center"/>
        <w:textAlignment w:val="auto"/>
        <w:outlineLvl w:val="0"/>
        <w:rPr>
          <w:rFonts w:hint="eastAsia" w:ascii="仿宋_GB2312" w:hAnsi="仿宋_GB2312" w:eastAsia="仿宋_GB2312" w:cs="仿宋_GB2312"/>
          <w:b/>
          <w:bCs/>
          <w:i w:val="0"/>
          <w:iCs w:val="0"/>
          <w:color w:val="auto"/>
          <w:kern w:val="0"/>
          <w:sz w:val="28"/>
          <w:szCs w:val="28"/>
          <w:highlight w:val="none"/>
          <w:shd w:val="clear" w:fill="auto"/>
          <w:lang w:val="en-US" w:eastAsia="zh-CN" w:bidi="ar-SA"/>
        </w:rPr>
        <w:sectPr>
          <w:footerReference r:id="rId5" w:type="default"/>
          <w:pgSz w:w="11906" w:h="16838"/>
          <w:pgMar w:top="1327" w:right="1080" w:bottom="1270" w:left="1080" w:header="964" w:footer="567" w:gutter="0"/>
          <w:pgBorders>
            <w:top w:val="none" w:sz="0" w:space="0"/>
            <w:left w:val="none" w:sz="0" w:space="0"/>
            <w:bottom w:val="none" w:sz="0" w:space="0"/>
            <w:right w:val="none" w:sz="0" w:space="0"/>
          </w:pgBorders>
          <w:pgNumType w:fmt="decimal" w:start="1"/>
          <w:cols w:space="720" w:num="1"/>
          <w:docGrid w:type="lines" w:linePitch="293" w:charSpace="0"/>
        </w:sectPr>
      </w:pPr>
    </w:p>
    <w:p w14:paraId="295045EE">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left="-140" w:leftChars="-50" w:right="-770" w:rightChars="-275"/>
        <w:jc w:val="center"/>
        <w:textAlignment w:val="auto"/>
        <w:outlineLvl w:val="0"/>
        <w:rPr>
          <w:rFonts w:hint="eastAsia" w:ascii="仿宋" w:hAnsi="仿宋" w:eastAsia="仿宋" w:cs="仿宋"/>
          <w:i w:val="0"/>
          <w:iCs w:val="0"/>
          <w:color w:val="auto"/>
          <w:kern w:val="0"/>
          <w:sz w:val="28"/>
          <w:szCs w:val="28"/>
          <w:highlight w:val="none"/>
        </w:rPr>
      </w:pPr>
      <w:r>
        <w:rPr>
          <w:rFonts w:hint="eastAsia" w:ascii="仿宋_GB2312" w:hAnsi="仿宋_GB2312" w:eastAsia="仿宋_GB2312" w:cs="仿宋_GB2312"/>
          <w:b/>
          <w:bCs/>
          <w:i w:val="0"/>
          <w:iCs w:val="0"/>
          <w:color w:val="auto"/>
          <w:kern w:val="0"/>
          <w:sz w:val="28"/>
          <w:szCs w:val="28"/>
          <w:highlight w:val="none"/>
          <w:shd w:val="clear" w:fill="auto"/>
          <w:lang w:val="en-US" w:eastAsia="zh-CN" w:bidi="ar-SA"/>
        </w:rPr>
        <w:t xml:space="preserve">第一部分 </w:t>
      </w:r>
      <w:r>
        <w:rPr>
          <w:rFonts w:hint="eastAsia" w:ascii="仿宋_GB2312" w:hAnsi="仿宋_GB2312" w:eastAsia="仿宋_GB2312" w:cs="仿宋_GB2312"/>
          <w:b/>
          <w:bCs/>
          <w:i w:val="0"/>
          <w:iCs w:val="0"/>
          <w:color w:val="auto"/>
          <w:kern w:val="0"/>
          <w:sz w:val="28"/>
          <w:szCs w:val="28"/>
          <w:highlight w:val="none"/>
          <w:u w:val="none"/>
          <w:shd w:val="clear" w:color="auto" w:fill="auto"/>
          <w:lang w:val="en-US" w:eastAsia="zh-CN"/>
        </w:rPr>
        <w:t>合同专用条款</w:t>
      </w:r>
      <w:bookmarkEnd w:id="23"/>
      <w:bookmarkEnd w:id="24"/>
      <w:bookmarkEnd w:id="25"/>
    </w:p>
    <w:p w14:paraId="3C037E5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i w:val="0"/>
          <w:iCs w:val="0"/>
          <w:color w:val="auto"/>
          <w:kern w:val="0"/>
          <w:sz w:val="28"/>
          <w:szCs w:val="28"/>
          <w:highlight w:val="none"/>
          <w:shd w:val="clear" w:color="auto" w:fill="auto"/>
          <w:lang w:eastAsia="zh-CN"/>
        </w:rPr>
      </w:pPr>
      <w:r>
        <w:rPr>
          <w:rFonts w:hint="eastAsia" w:ascii="仿宋" w:hAnsi="仿宋" w:eastAsia="仿宋" w:cs="仿宋"/>
          <w:i w:val="0"/>
          <w:iCs w:val="0"/>
          <w:color w:val="auto"/>
          <w:kern w:val="0"/>
          <w:sz w:val="28"/>
          <w:szCs w:val="28"/>
          <w:highlight w:val="none"/>
        </w:rPr>
        <w:t>根据《中华人民共</w:t>
      </w:r>
      <w:r>
        <w:rPr>
          <w:rFonts w:hint="eastAsia" w:ascii="仿宋" w:hAnsi="仿宋" w:eastAsia="仿宋" w:cs="仿宋"/>
          <w:i w:val="0"/>
          <w:iCs w:val="0"/>
          <w:color w:val="auto"/>
          <w:kern w:val="0"/>
          <w:sz w:val="28"/>
          <w:szCs w:val="28"/>
          <w:highlight w:val="none"/>
          <w:shd w:val="clear" w:color="auto" w:fill="auto"/>
        </w:rPr>
        <w:t>和国民法典》《中华人民共和国建筑法》《建设工程质量管理条例》及有关法律、法规，</w:t>
      </w:r>
      <w:r>
        <w:rPr>
          <w:rFonts w:hint="eastAsia" w:ascii="仿宋" w:hAnsi="仿宋" w:eastAsia="仿宋" w:cs="仿宋"/>
          <w:i w:val="0"/>
          <w:iCs w:val="0"/>
          <w:color w:val="auto"/>
          <w:kern w:val="0"/>
          <w:sz w:val="28"/>
          <w:szCs w:val="28"/>
          <w:highlight w:val="none"/>
          <w:shd w:val="clear" w:color="auto" w:fill="auto"/>
          <w:lang w:val="en-US" w:eastAsia="zh-CN"/>
        </w:rPr>
        <w:t>在</w:t>
      </w:r>
      <w:r>
        <w:rPr>
          <w:rFonts w:hint="eastAsia" w:ascii="仿宋" w:hAnsi="仿宋" w:eastAsia="仿宋" w:cs="仿宋"/>
          <w:i w:val="0"/>
          <w:iCs w:val="0"/>
          <w:color w:val="auto"/>
          <w:kern w:val="0"/>
          <w:sz w:val="28"/>
          <w:szCs w:val="28"/>
          <w:highlight w:val="none"/>
          <w:shd w:val="clear" w:color="auto" w:fill="auto"/>
        </w:rPr>
        <w:t>乙方确认并承诺满足本项目所在地住建主管部门</w:t>
      </w:r>
      <w:r>
        <w:rPr>
          <w:rFonts w:hint="eastAsia" w:ascii="仿宋" w:hAnsi="仿宋" w:eastAsia="仿宋" w:cs="仿宋"/>
          <w:i w:val="0"/>
          <w:iCs w:val="0"/>
          <w:color w:val="auto"/>
          <w:kern w:val="0"/>
          <w:sz w:val="28"/>
          <w:szCs w:val="28"/>
          <w:highlight w:val="none"/>
          <w:shd w:val="clear" w:color="auto" w:fill="auto"/>
          <w:lang w:val="en-US" w:eastAsia="zh-CN"/>
        </w:rPr>
        <w:t>要求（如</w:t>
      </w:r>
      <w:r>
        <w:rPr>
          <w:rFonts w:hint="eastAsia" w:ascii="仿宋" w:hAnsi="仿宋" w:eastAsia="仿宋" w:cs="仿宋"/>
          <w:i w:val="0"/>
          <w:iCs w:val="0"/>
          <w:color w:val="auto"/>
          <w:kern w:val="0"/>
          <w:sz w:val="28"/>
          <w:szCs w:val="28"/>
          <w:highlight w:val="none"/>
          <w:shd w:val="clear" w:color="auto" w:fill="auto"/>
        </w:rPr>
        <w:t>资质</w:t>
      </w:r>
      <w:r>
        <w:rPr>
          <w:rFonts w:hint="eastAsia" w:ascii="仿宋" w:hAnsi="仿宋" w:eastAsia="仿宋" w:cs="仿宋"/>
          <w:i w:val="0"/>
          <w:iCs w:val="0"/>
          <w:color w:val="auto"/>
          <w:kern w:val="0"/>
          <w:sz w:val="28"/>
          <w:szCs w:val="28"/>
          <w:highlight w:val="none"/>
          <w:shd w:val="clear" w:color="auto" w:fill="auto"/>
          <w:lang w:eastAsia="zh-CN"/>
        </w:rPr>
        <w:t>、</w:t>
      </w:r>
      <w:r>
        <w:rPr>
          <w:rFonts w:hint="eastAsia" w:ascii="仿宋" w:hAnsi="仿宋" w:eastAsia="仿宋" w:cs="仿宋"/>
          <w:i w:val="0"/>
          <w:iCs w:val="0"/>
          <w:color w:val="auto"/>
          <w:kern w:val="0"/>
          <w:sz w:val="28"/>
          <w:szCs w:val="28"/>
          <w:highlight w:val="none"/>
          <w:shd w:val="clear" w:color="auto" w:fill="auto"/>
          <w:lang w:val="en-US" w:eastAsia="zh-CN"/>
        </w:rPr>
        <w:t>资格）</w:t>
      </w:r>
      <w:r>
        <w:rPr>
          <w:rFonts w:hint="eastAsia" w:ascii="仿宋" w:hAnsi="仿宋" w:eastAsia="仿宋" w:cs="仿宋"/>
          <w:i w:val="0"/>
          <w:iCs w:val="0"/>
          <w:color w:val="auto"/>
          <w:kern w:val="0"/>
          <w:sz w:val="28"/>
          <w:szCs w:val="28"/>
          <w:highlight w:val="none"/>
          <w:shd w:val="clear" w:color="auto" w:fill="auto"/>
        </w:rPr>
        <w:t>的前提下，甲乙双方在平等、自愿、公平和诚实信用的基础上，就乙方承包</w:t>
      </w:r>
      <w:r>
        <w:rPr>
          <w:rFonts w:hint="eastAsia" w:ascii="仿宋" w:hAnsi="仿宋" w:eastAsia="仿宋" w:cs="仿宋"/>
          <w:i w:val="0"/>
          <w:iCs w:val="0"/>
          <w:color w:val="auto"/>
          <w:sz w:val="28"/>
          <w:szCs w:val="28"/>
          <w:highlight w:val="none"/>
          <w:u w:val="single"/>
          <w:shd w:val="clear" w:color="auto" w:fill="auto"/>
          <w:lang w:val="en-US" w:eastAsia="zh-CN"/>
        </w:rPr>
        <w:t>玉林（福绵）节能环保产业园南部污水处理厂及中水回用设施建设项目（一期二标段5万吨/天）污泥脱水间及事故应急池管桩基础工程</w:t>
      </w:r>
      <w:r>
        <w:rPr>
          <w:rFonts w:hint="eastAsia" w:ascii="仿宋" w:hAnsi="仿宋" w:eastAsia="仿宋" w:cs="仿宋"/>
          <w:i w:val="0"/>
          <w:iCs w:val="0"/>
          <w:color w:val="auto"/>
          <w:kern w:val="0"/>
          <w:sz w:val="28"/>
          <w:szCs w:val="28"/>
          <w:highlight w:val="none"/>
          <w:shd w:val="clear" w:color="auto" w:fill="auto"/>
        </w:rPr>
        <w:t>（以下简称“本工程”）有关事项协商一致，特签订本合同以共同遵守。</w:t>
      </w:r>
      <w:r>
        <w:rPr>
          <w:rFonts w:hint="eastAsia" w:ascii="仿宋" w:hAnsi="仿宋" w:eastAsia="仿宋" w:cs="仿宋"/>
          <w:i w:val="0"/>
          <w:iCs w:val="0"/>
          <w:color w:val="auto"/>
          <w:kern w:val="0"/>
          <w:sz w:val="28"/>
          <w:szCs w:val="28"/>
          <w:highlight w:val="none"/>
          <w:shd w:val="clear" w:color="auto" w:fill="auto"/>
          <w:lang w:eastAsia="zh-CN"/>
        </w:rPr>
        <w:t>（</w:t>
      </w:r>
      <w:r>
        <w:rPr>
          <w:rFonts w:hint="eastAsia" w:ascii="仿宋" w:hAnsi="仿宋" w:eastAsia="仿宋" w:cs="仿宋"/>
          <w:i w:val="0"/>
          <w:iCs w:val="0"/>
          <w:color w:val="auto"/>
          <w:kern w:val="0"/>
          <w:sz w:val="28"/>
          <w:szCs w:val="28"/>
          <w:highlight w:val="none"/>
          <w:shd w:val="clear" w:color="auto" w:fill="auto"/>
          <w:lang w:val="en-US" w:eastAsia="zh-CN"/>
        </w:rPr>
        <w:t>本合同范围内，对</w:t>
      </w:r>
      <w:r>
        <w:rPr>
          <w:rFonts w:hint="eastAsia" w:ascii="仿宋" w:hAnsi="仿宋" w:eastAsia="仿宋" w:cs="仿宋"/>
          <w:i w:val="0"/>
          <w:iCs w:val="0"/>
          <w:color w:val="auto"/>
          <w:kern w:val="0"/>
          <w:sz w:val="28"/>
          <w:szCs w:val="28"/>
          <w:highlight w:val="none"/>
          <w:u w:val="none"/>
          <w:shd w:val="clear" w:color="auto" w:fill="auto"/>
          <w:lang w:val="en-US" w:eastAsia="zh-CN"/>
        </w:rPr>
        <w:t>以</w:t>
      </w:r>
      <w:r>
        <w:rPr>
          <w:rFonts w:hint="eastAsia" w:ascii="仿宋" w:hAnsi="仿宋" w:eastAsia="仿宋" w:cs="仿宋"/>
          <w:b/>
          <w:bCs/>
          <w:i w:val="0"/>
          <w:iCs w:val="0"/>
          <w:color w:val="auto"/>
          <w:sz w:val="28"/>
          <w:szCs w:val="28"/>
          <w:highlight w:val="none"/>
          <w:u w:val="none"/>
          <w:lang w:val="en-US" w:eastAsia="zh-CN"/>
        </w:rPr>
        <w:sym w:font="Wingdings" w:char="00FE"/>
      </w:r>
      <w:r>
        <w:rPr>
          <w:rFonts w:hint="eastAsia" w:ascii="仿宋" w:hAnsi="仿宋" w:eastAsia="仿宋" w:cs="仿宋"/>
          <w:i w:val="0"/>
          <w:iCs w:val="0"/>
          <w:color w:val="auto"/>
          <w:kern w:val="0"/>
          <w:sz w:val="28"/>
          <w:szCs w:val="28"/>
          <w:highlight w:val="none"/>
          <w:u w:val="none"/>
          <w:shd w:val="clear" w:color="auto" w:fill="auto"/>
          <w:lang w:val="en-US" w:eastAsia="zh-CN"/>
        </w:rPr>
        <w:t>或</w:t>
      </w:r>
      <w:r>
        <w:rPr>
          <w:rFonts w:hint="eastAsia" w:ascii="仿宋" w:hAnsi="仿宋" w:eastAsia="仿宋" w:cs="仿宋"/>
          <w:b/>
          <w:bCs/>
          <w:i w:val="0"/>
          <w:iCs w:val="0"/>
          <w:color w:val="auto"/>
          <w:kern w:val="0"/>
          <w:sz w:val="28"/>
          <w:szCs w:val="28"/>
          <w:highlight w:val="none"/>
          <w:u w:val="none"/>
          <w:shd w:val="clear" w:color="auto" w:fill="auto"/>
          <w:lang w:val="en-US" w:eastAsia="zh-CN"/>
        </w:rPr>
        <w:sym w:font="Wingdings" w:char="00A8"/>
      </w:r>
      <w:r>
        <w:rPr>
          <w:rFonts w:hint="eastAsia" w:ascii="仿宋" w:hAnsi="仿宋" w:eastAsia="仿宋" w:cs="仿宋"/>
          <w:i w:val="0"/>
          <w:iCs w:val="0"/>
          <w:color w:val="auto"/>
          <w:kern w:val="0"/>
          <w:sz w:val="28"/>
          <w:szCs w:val="28"/>
          <w:highlight w:val="none"/>
          <w:u w:val="none"/>
          <w:shd w:val="clear" w:color="auto" w:fill="auto"/>
          <w:lang w:val="en-US" w:eastAsia="zh-CN"/>
        </w:rPr>
        <w:t>开头的内容，以</w:t>
      </w:r>
      <w:r>
        <w:rPr>
          <w:rFonts w:hint="eastAsia" w:ascii="仿宋" w:hAnsi="仿宋" w:eastAsia="仿宋" w:cs="仿宋"/>
          <w:b/>
          <w:bCs/>
          <w:i w:val="0"/>
          <w:iCs w:val="0"/>
          <w:color w:val="auto"/>
          <w:kern w:val="0"/>
          <w:sz w:val="28"/>
          <w:szCs w:val="28"/>
          <w:highlight w:val="none"/>
          <w:u w:val="none"/>
          <w:shd w:val="clear" w:color="auto" w:fill="auto"/>
          <w:lang w:val="en-US" w:eastAsia="zh-CN"/>
        </w:rPr>
        <w:sym w:font="Wingdings" w:char="00FE"/>
      </w:r>
      <w:r>
        <w:rPr>
          <w:rFonts w:hint="eastAsia" w:ascii="仿宋" w:hAnsi="仿宋" w:eastAsia="仿宋" w:cs="仿宋"/>
          <w:i w:val="0"/>
          <w:iCs w:val="0"/>
          <w:color w:val="auto"/>
          <w:kern w:val="0"/>
          <w:sz w:val="28"/>
          <w:szCs w:val="28"/>
          <w:highlight w:val="none"/>
          <w:shd w:val="clear" w:color="auto" w:fill="auto"/>
          <w:lang w:val="en-US" w:eastAsia="zh-CN"/>
        </w:rPr>
        <w:t>开头的内容为准。</w:t>
      </w:r>
      <w:r>
        <w:rPr>
          <w:rFonts w:hint="eastAsia" w:ascii="仿宋" w:hAnsi="仿宋" w:eastAsia="仿宋" w:cs="仿宋"/>
          <w:i w:val="0"/>
          <w:iCs w:val="0"/>
          <w:color w:val="auto"/>
          <w:kern w:val="0"/>
          <w:sz w:val="28"/>
          <w:szCs w:val="28"/>
          <w:highlight w:val="none"/>
          <w:shd w:val="clear" w:color="auto" w:fill="auto"/>
          <w:lang w:eastAsia="zh-CN"/>
        </w:rPr>
        <w:t>）</w:t>
      </w:r>
    </w:p>
    <w:p w14:paraId="27107B16">
      <w:pPr>
        <w:keepNext w:val="0"/>
        <w:keepLines w:val="0"/>
        <w:pageBreakBefore w:val="0"/>
        <w:widowControl w:val="0"/>
        <w:shd w:val="clear" w:color="auto" w:fill="auto"/>
        <w:tabs>
          <w:tab w:val="left" w:pos="2205"/>
          <w:tab w:val="left" w:pos="2760"/>
        </w:tabs>
        <w:kinsoku/>
        <w:wordWrap/>
        <w:overflowPunct/>
        <w:topLinePunct w:val="0"/>
        <w:autoSpaceDE/>
        <w:autoSpaceDN/>
        <w:bidi w:val="0"/>
        <w:adjustRightInd w:val="0"/>
        <w:snapToGrid w:val="0"/>
        <w:spacing w:line="360" w:lineRule="auto"/>
        <w:ind w:left="-140" w:leftChars="-50" w:right="-20" w:rightChars="-7" w:firstLine="503" w:firstLineChars="179"/>
        <w:textAlignment w:val="auto"/>
        <w:outlineLvl w:val="1"/>
        <w:rPr>
          <w:rFonts w:hint="eastAsia" w:ascii="仿宋" w:hAnsi="仿宋" w:eastAsia="仿宋" w:cs="仿宋"/>
          <w:b/>
          <w:bCs/>
          <w:i w:val="0"/>
          <w:iCs w:val="0"/>
          <w:color w:val="auto"/>
          <w:sz w:val="28"/>
          <w:szCs w:val="28"/>
          <w:highlight w:val="none"/>
          <w:lang w:val="en-US" w:eastAsia="zh-CN"/>
        </w:rPr>
      </w:pPr>
      <w:bookmarkStart w:id="26" w:name="_Toc22421"/>
      <w:bookmarkStart w:id="27" w:name="_Toc26146"/>
      <w:bookmarkStart w:id="28" w:name="_Toc1208"/>
      <w:bookmarkStart w:id="29" w:name="_Toc20382"/>
      <w:bookmarkStart w:id="30" w:name="_Toc13255"/>
      <w:bookmarkStart w:id="31" w:name="_Toc6787"/>
      <w:bookmarkStart w:id="32" w:name="_Toc29681"/>
      <w:r>
        <w:rPr>
          <w:rFonts w:hint="eastAsia" w:ascii="仿宋" w:hAnsi="仿宋" w:eastAsia="仿宋" w:cs="仿宋"/>
          <w:b/>
          <w:bCs/>
          <w:i w:val="0"/>
          <w:iCs w:val="0"/>
          <w:color w:val="auto"/>
          <w:sz w:val="28"/>
          <w:szCs w:val="28"/>
          <w:highlight w:val="none"/>
          <w:lang w:val="en-US" w:eastAsia="zh-CN"/>
        </w:rPr>
        <w:t>第一章、项目概况</w:t>
      </w:r>
      <w:bookmarkEnd w:id="26"/>
      <w:bookmarkEnd w:id="27"/>
      <w:bookmarkEnd w:id="28"/>
      <w:bookmarkEnd w:id="29"/>
      <w:bookmarkEnd w:id="30"/>
      <w:bookmarkEnd w:id="31"/>
      <w:r>
        <w:rPr>
          <w:rFonts w:hint="eastAsia" w:ascii="仿宋" w:hAnsi="仿宋" w:eastAsia="仿宋" w:cs="仿宋"/>
          <w:b/>
          <w:bCs/>
          <w:color w:val="auto"/>
          <w:sz w:val="28"/>
          <w:szCs w:val="28"/>
          <w:highlight w:val="none"/>
          <w:lang w:val="en-US" w:eastAsia="zh-CN"/>
        </w:rPr>
        <w:t xml:space="preserve"> </w:t>
      </w:r>
      <w:bookmarkEnd w:id="32"/>
    </w:p>
    <w:p w14:paraId="14593C8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u w:val="single"/>
          <w:shd w:val="clear" w:color="auto" w:fill="auto"/>
          <w:lang w:eastAsia="zh-CN"/>
        </w:rPr>
      </w:pPr>
      <w:r>
        <w:rPr>
          <w:rFonts w:hint="eastAsia" w:ascii="仿宋" w:hAnsi="仿宋" w:eastAsia="仿宋" w:cs="仿宋"/>
          <w:i w:val="0"/>
          <w:iCs w:val="0"/>
          <w:color w:val="auto"/>
          <w:sz w:val="28"/>
          <w:szCs w:val="28"/>
          <w:highlight w:val="none"/>
          <w:shd w:val="clear" w:color="auto" w:fill="auto"/>
        </w:rPr>
        <w:t>1.1项目名称：</w:t>
      </w:r>
      <w:r>
        <w:rPr>
          <w:rFonts w:hint="eastAsia" w:ascii="仿宋" w:hAnsi="仿宋" w:eastAsia="仿宋" w:cs="仿宋"/>
          <w:i w:val="0"/>
          <w:iCs w:val="0"/>
          <w:color w:val="auto"/>
          <w:sz w:val="28"/>
          <w:szCs w:val="28"/>
          <w:highlight w:val="none"/>
          <w:u w:val="single"/>
          <w:shd w:val="clear" w:color="auto" w:fill="auto"/>
          <w:lang w:val="en-US" w:eastAsia="zh-CN"/>
        </w:rPr>
        <w:t xml:space="preserve"> 玉林（福绵）节能环保产业园南部污水处理厂及中水回用设施建设项目（一期二标段5万吨/天）</w:t>
      </w:r>
      <w:r>
        <w:rPr>
          <w:rFonts w:hint="eastAsia" w:ascii="仿宋" w:hAnsi="仿宋" w:eastAsia="仿宋" w:cs="仿宋"/>
          <w:b/>
          <w:bCs/>
          <w:i w:val="0"/>
          <w:iCs w:val="0"/>
          <w:color w:val="auto"/>
          <w:sz w:val="28"/>
          <w:szCs w:val="28"/>
          <w:highlight w:val="none"/>
          <w:u w:val="single"/>
          <w:shd w:val="clear" w:color="auto" w:fill="auto"/>
          <w:lang w:eastAsia="zh-CN"/>
        </w:rPr>
        <w:t>（</w:t>
      </w:r>
      <w:r>
        <w:rPr>
          <w:rFonts w:hint="eastAsia" w:ascii="仿宋" w:hAnsi="仿宋" w:eastAsia="仿宋" w:cs="仿宋"/>
          <w:b w:val="0"/>
          <w:bCs w:val="0"/>
          <w:i w:val="0"/>
          <w:iCs w:val="0"/>
          <w:color w:val="auto"/>
          <w:sz w:val="28"/>
          <w:szCs w:val="28"/>
          <w:highlight w:val="none"/>
          <w:u w:val="single"/>
          <w:shd w:val="clear" w:color="auto" w:fill="auto"/>
          <w:lang w:val="en-US" w:eastAsia="zh-CN"/>
        </w:rPr>
        <w:t>以下简称“本项目”</w:t>
      </w:r>
      <w:r>
        <w:rPr>
          <w:rFonts w:hint="eastAsia" w:ascii="仿宋" w:hAnsi="仿宋" w:eastAsia="仿宋" w:cs="仿宋"/>
          <w:b w:val="0"/>
          <w:bCs w:val="0"/>
          <w:i w:val="0"/>
          <w:iCs w:val="0"/>
          <w:color w:val="auto"/>
          <w:sz w:val="28"/>
          <w:szCs w:val="28"/>
          <w:highlight w:val="none"/>
          <w:u w:val="single"/>
          <w:shd w:val="clear" w:color="auto" w:fill="auto"/>
          <w:lang w:eastAsia="zh-CN"/>
        </w:rPr>
        <w:t>）。</w:t>
      </w:r>
    </w:p>
    <w:p w14:paraId="231E8FD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default" w:ascii="仿宋" w:hAnsi="仿宋" w:eastAsia="仿宋" w:cs="仿宋"/>
          <w:i w:val="0"/>
          <w:iCs w:val="0"/>
          <w:color w:val="auto"/>
          <w:sz w:val="28"/>
          <w:szCs w:val="28"/>
          <w:highlight w:val="none"/>
          <w:u w:val="single"/>
          <w:shd w:val="clear" w:color="auto" w:fill="auto"/>
          <w:lang w:val="en-US" w:eastAsia="zh-CN"/>
        </w:rPr>
      </w:pPr>
      <w:r>
        <w:rPr>
          <w:rFonts w:hint="eastAsia" w:ascii="仿宋" w:hAnsi="仿宋" w:eastAsia="仿宋" w:cs="仿宋"/>
          <w:i w:val="0"/>
          <w:iCs w:val="0"/>
          <w:color w:val="auto"/>
          <w:sz w:val="28"/>
          <w:szCs w:val="28"/>
          <w:highlight w:val="none"/>
          <w:shd w:val="clear" w:color="auto" w:fill="auto"/>
        </w:rPr>
        <w:t>1.2</w:t>
      </w:r>
      <w:r>
        <w:rPr>
          <w:rFonts w:hint="eastAsia" w:ascii="仿宋" w:hAnsi="仿宋" w:eastAsia="仿宋" w:cs="仿宋"/>
          <w:i w:val="0"/>
          <w:iCs w:val="0"/>
          <w:color w:val="auto"/>
          <w:sz w:val="28"/>
          <w:szCs w:val="28"/>
          <w:highlight w:val="none"/>
          <w:shd w:val="clear" w:color="auto" w:fill="auto"/>
          <w:lang w:val="en-US" w:eastAsia="zh-CN"/>
        </w:rPr>
        <w:t>本</w:t>
      </w:r>
      <w:r>
        <w:rPr>
          <w:rFonts w:hint="eastAsia" w:ascii="仿宋" w:hAnsi="仿宋" w:eastAsia="仿宋" w:cs="仿宋"/>
          <w:i w:val="0"/>
          <w:iCs w:val="0"/>
          <w:color w:val="auto"/>
          <w:sz w:val="28"/>
          <w:szCs w:val="28"/>
          <w:highlight w:val="none"/>
          <w:shd w:val="clear" w:color="auto" w:fill="auto"/>
        </w:rPr>
        <w:t>项目地址：</w:t>
      </w:r>
      <w:r>
        <w:rPr>
          <w:rFonts w:hint="eastAsia" w:ascii="仿宋" w:hAnsi="仿宋" w:eastAsia="仿宋" w:cs="仿宋"/>
          <w:i w:val="0"/>
          <w:iCs w:val="0"/>
          <w:color w:val="auto"/>
          <w:sz w:val="28"/>
          <w:szCs w:val="28"/>
          <w:highlight w:val="none"/>
          <w:u w:val="single"/>
          <w:shd w:val="clear" w:color="auto" w:fill="auto"/>
          <w:lang w:val="en-US" w:eastAsia="zh-CN"/>
        </w:rPr>
        <w:t xml:space="preserve"> 广西玉林市福绵区樟木镇节能环保产业园内。</w:t>
      </w:r>
    </w:p>
    <w:p w14:paraId="4BEB96F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default"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1.3本工程的甲供材：</w:t>
      </w:r>
      <w:r>
        <w:rPr>
          <w:rFonts w:hint="eastAsia" w:ascii="仿宋" w:hAnsi="仿宋" w:eastAsia="仿宋" w:cs="仿宋"/>
          <w:i w:val="0"/>
          <w:iCs w:val="0"/>
          <w:color w:val="auto"/>
          <w:sz w:val="28"/>
          <w:szCs w:val="28"/>
          <w:highlight w:val="none"/>
          <w:u w:val="single"/>
          <w:shd w:val="clear" w:color="auto" w:fill="auto"/>
          <w:lang w:val="en-US" w:eastAsia="zh-CN"/>
        </w:rPr>
        <w:t xml:space="preserve"> 详见附件的《招标清单》。 </w:t>
      </w:r>
      <w:r>
        <w:rPr>
          <w:rFonts w:hint="eastAsia" w:ascii="仿宋" w:hAnsi="仿宋" w:eastAsia="仿宋" w:cs="仿宋"/>
          <w:i w:val="0"/>
          <w:iCs w:val="0"/>
          <w:color w:val="auto"/>
          <w:sz w:val="28"/>
          <w:szCs w:val="28"/>
          <w:highlight w:val="none"/>
          <w:u w:val="none"/>
          <w:shd w:val="clear" w:color="auto" w:fill="auto"/>
          <w:lang w:val="en-US" w:eastAsia="zh-CN"/>
        </w:rPr>
        <w:t xml:space="preserve">                </w:t>
      </w:r>
    </w:p>
    <w:p w14:paraId="2395A5C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default" w:ascii="仿宋" w:hAnsi="仿宋" w:eastAsia="仿宋" w:cs="仿宋"/>
          <w:b/>
          <w:bCs/>
          <w:i w:val="0"/>
          <w:iCs w:val="0"/>
          <w:color w:val="auto"/>
          <w:sz w:val="28"/>
          <w:szCs w:val="28"/>
          <w:highlight w:val="none"/>
          <w:u w:val="none"/>
          <w:shd w:val="clear" w:color="auto" w:fill="auto"/>
          <w:lang w:val="en-US" w:eastAsia="zh-CN"/>
        </w:rPr>
      </w:pPr>
      <w:bookmarkStart w:id="33" w:name="_Toc7717"/>
      <w:bookmarkStart w:id="34" w:name="_Toc27213"/>
      <w:bookmarkStart w:id="35" w:name="_Toc9670"/>
      <w:r>
        <w:rPr>
          <w:rFonts w:hint="eastAsia" w:ascii="仿宋" w:hAnsi="仿宋" w:eastAsia="仿宋" w:cs="仿宋"/>
          <w:i w:val="0"/>
          <w:iCs w:val="0"/>
          <w:color w:val="auto"/>
          <w:sz w:val="28"/>
          <w:szCs w:val="28"/>
          <w:highlight w:val="yellow"/>
          <w:u w:val="none"/>
          <w:shd w:val="clear" w:color="auto" w:fill="auto"/>
          <w:lang w:val="en-US" w:eastAsia="zh-CN"/>
        </w:rPr>
        <w:t>1.4甲方提供施工基础条件及主要设施：</w:t>
      </w:r>
      <w:r>
        <w:rPr>
          <w:rFonts w:hint="eastAsia" w:ascii="仿宋" w:hAnsi="仿宋" w:eastAsia="仿宋" w:cs="仿宋"/>
          <w:i w:val="0"/>
          <w:iCs w:val="0"/>
          <w:color w:val="auto"/>
          <w:sz w:val="28"/>
          <w:szCs w:val="28"/>
          <w:highlight w:val="yellow"/>
          <w:u w:val="single"/>
          <w:shd w:val="clear" w:color="auto" w:fill="auto"/>
          <w:lang w:val="en-US" w:eastAsia="zh-CN"/>
        </w:rPr>
        <w:t>乙方施工期间可使用甲方现场已有设施，甲方不另提供其他设施。本工程施工的水费、电费由甲方承担（水电接线由乙方负责）。甲方提供饭堂及宿舍，乙方人员的生活电费、餐费由乙方承担且已含于合同单价中，不另行单列计费。</w:t>
      </w:r>
    </w:p>
    <w:p w14:paraId="565A6040">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147" w:beforeLines="50" w:line="360" w:lineRule="auto"/>
        <w:ind w:left="-140" w:leftChars="-50" w:right="-20" w:rightChars="-7" w:firstLine="503" w:firstLineChars="179"/>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36" w:name="_Toc21896"/>
      <w:bookmarkStart w:id="37" w:name="_Toc18772"/>
      <w:bookmarkStart w:id="38" w:name="_Toc2920"/>
      <w:bookmarkStart w:id="39" w:name="_Toc25766"/>
      <w:r>
        <w:rPr>
          <w:rFonts w:hint="eastAsia" w:ascii="仿宋" w:hAnsi="仿宋" w:eastAsia="仿宋" w:cs="仿宋"/>
          <w:b/>
          <w:bCs/>
          <w:i w:val="0"/>
          <w:iCs w:val="0"/>
          <w:color w:val="auto"/>
          <w:kern w:val="2"/>
          <w:sz w:val="28"/>
          <w:szCs w:val="28"/>
          <w:highlight w:val="none"/>
          <w:shd w:val="clear" w:color="auto" w:fill="auto"/>
          <w:lang w:val="en-US" w:eastAsia="zh-CN" w:bidi="ar-SA"/>
        </w:rPr>
        <w:t>第二章、</w:t>
      </w:r>
      <w:r>
        <w:rPr>
          <w:rFonts w:hint="eastAsia" w:ascii="仿宋" w:hAnsi="仿宋" w:eastAsia="仿宋" w:cs="仿宋"/>
          <w:b/>
          <w:bCs/>
          <w:i w:val="0"/>
          <w:iCs w:val="0"/>
          <w:color w:val="auto"/>
          <w:sz w:val="28"/>
          <w:szCs w:val="28"/>
          <w:highlight w:val="none"/>
          <w:shd w:val="clear" w:color="auto" w:fill="auto"/>
          <w:lang w:val="en-US" w:eastAsia="zh-CN"/>
        </w:rPr>
        <w:t>承包方式</w:t>
      </w:r>
      <w:bookmarkEnd w:id="33"/>
      <w:bookmarkEnd w:id="36"/>
      <w:bookmarkEnd w:id="37"/>
      <w:bookmarkEnd w:id="38"/>
      <w:bookmarkEnd w:id="39"/>
    </w:p>
    <w:p w14:paraId="3A779752">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ind w:left="-140" w:leftChars="-50" w:right="-20" w:rightChars="-7" w:firstLine="618" w:firstLineChars="221"/>
        <w:textAlignment w:val="auto"/>
        <w:outlineLvl w:val="0"/>
        <w:rPr>
          <w:rFonts w:hint="eastAsia" w:ascii="仿宋" w:hAnsi="仿宋" w:eastAsia="仿宋" w:cs="仿宋"/>
          <w:i w:val="0"/>
          <w:iCs w:val="0"/>
          <w:color w:val="auto"/>
          <w:kern w:val="0"/>
          <w:sz w:val="28"/>
          <w:szCs w:val="28"/>
          <w:highlight w:val="none"/>
          <w:shd w:val="clear" w:color="auto" w:fill="auto"/>
          <w:lang w:val="en-US" w:eastAsia="zh-CN"/>
        </w:rPr>
      </w:pPr>
      <w:bookmarkStart w:id="40" w:name="_Toc7503"/>
      <w:bookmarkStart w:id="41" w:name="_Toc13008"/>
      <w:bookmarkStart w:id="42" w:name="_Toc16964"/>
      <w:bookmarkStart w:id="43" w:name="_Toc14349"/>
      <w:bookmarkStart w:id="44" w:name="_Toc28113"/>
      <w:bookmarkStart w:id="45" w:name="_Toc12606"/>
      <w:bookmarkStart w:id="46" w:name="_Toc16680"/>
      <w:r>
        <w:rPr>
          <w:rFonts w:hint="eastAsia" w:ascii="仿宋" w:hAnsi="仿宋" w:eastAsia="仿宋" w:cs="仿宋"/>
          <w:i w:val="0"/>
          <w:iCs w:val="0"/>
          <w:color w:val="auto"/>
          <w:sz w:val="28"/>
          <w:szCs w:val="28"/>
          <w:highlight w:val="none"/>
          <w:u w:val="none"/>
          <w:shd w:val="clear" w:color="auto" w:fill="auto"/>
          <w:lang w:val="en-US" w:eastAsia="zh-CN"/>
        </w:rPr>
        <w:t>2.1乙方对本工程</w:t>
      </w:r>
      <w:r>
        <w:rPr>
          <w:rFonts w:hint="eastAsia" w:ascii="仿宋" w:hAnsi="仿宋" w:eastAsia="仿宋" w:cs="仿宋"/>
          <w:b/>
          <w:bCs/>
          <w:i w:val="0"/>
          <w:iCs w:val="0"/>
          <w:color w:val="auto"/>
          <w:kern w:val="0"/>
          <w:sz w:val="28"/>
          <w:szCs w:val="28"/>
          <w:highlight w:val="none"/>
          <w:u w:val="none"/>
          <w:shd w:val="clear" w:color="auto" w:fill="auto"/>
          <w:lang w:val="en-US" w:eastAsia="zh-CN"/>
        </w:rPr>
        <w:sym w:font="Wingdings" w:char="00FE"/>
      </w:r>
      <w:r>
        <w:rPr>
          <w:rFonts w:hint="eastAsia" w:ascii="仿宋" w:hAnsi="仿宋" w:eastAsia="仿宋" w:cs="仿宋"/>
          <w:b/>
          <w:bCs/>
          <w:color w:val="auto"/>
          <w:sz w:val="28"/>
          <w:szCs w:val="28"/>
          <w:highlight w:val="none"/>
          <w:u w:val="none"/>
          <w:lang w:val="en-US" w:eastAsia="zh-CN"/>
        </w:rPr>
        <w:t>包工包料</w:t>
      </w:r>
      <w:r>
        <w:rPr>
          <w:rFonts w:hint="eastAsia" w:ascii="仿宋" w:hAnsi="仿宋" w:eastAsia="仿宋" w:cs="仿宋"/>
          <w:i w:val="0"/>
          <w:iCs w:val="0"/>
          <w:color w:val="auto"/>
          <w:kern w:val="0"/>
          <w:sz w:val="28"/>
          <w:szCs w:val="28"/>
          <w:highlight w:val="none"/>
          <w:shd w:val="clear" w:color="auto" w:fill="auto"/>
          <w:lang w:val="en-US" w:eastAsia="zh-CN"/>
        </w:rPr>
        <w:t>/</w:t>
      </w:r>
      <w:r>
        <w:rPr>
          <w:rFonts w:hint="eastAsia" w:ascii="仿宋" w:hAnsi="仿宋" w:eastAsia="仿宋" w:cs="仿宋"/>
          <w:b/>
          <w:bCs/>
          <w:i w:val="0"/>
          <w:iCs w:val="0"/>
          <w:color w:val="auto"/>
          <w:kern w:val="0"/>
          <w:sz w:val="28"/>
          <w:szCs w:val="28"/>
          <w:highlight w:val="none"/>
          <w:u w:val="none"/>
          <w:shd w:val="clear" w:color="auto" w:fill="auto"/>
          <w:lang w:val="en-US" w:eastAsia="zh-CN"/>
        </w:rPr>
        <w:sym w:font="Wingdings" w:char="00A8"/>
      </w:r>
      <w:r>
        <w:rPr>
          <w:rFonts w:hint="eastAsia" w:ascii="仿宋" w:hAnsi="仿宋" w:eastAsia="仿宋" w:cs="仿宋"/>
          <w:b/>
          <w:bCs/>
          <w:i w:val="0"/>
          <w:iCs w:val="0"/>
          <w:color w:val="auto"/>
          <w:kern w:val="0"/>
          <w:sz w:val="28"/>
          <w:szCs w:val="28"/>
          <w:highlight w:val="none"/>
          <w:u w:val="none"/>
          <w:shd w:val="clear" w:color="auto" w:fill="auto"/>
          <w:lang w:val="en-US" w:eastAsia="zh-CN"/>
        </w:rPr>
        <w:t>包工部分材料（仅不含甲供材），</w:t>
      </w:r>
      <w:r>
        <w:rPr>
          <w:rFonts w:hint="eastAsia" w:ascii="仿宋" w:hAnsi="仿宋" w:eastAsia="仿宋" w:cs="仿宋"/>
          <w:i w:val="0"/>
          <w:iCs w:val="0"/>
          <w:color w:val="auto"/>
          <w:kern w:val="0"/>
          <w:sz w:val="28"/>
          <w:szCs w:val="28"/>
          <w:highlight w:val="none"/>
          <w:shd w:val="clear" w:color="auto" w:fill="auto"/>
          <w:lang w:val="en-US" w:eastAsia="zh-CN"/>
        </w:rPr>
        <w:t>包所有机械设备及进退场，包材料场内转运，包检测人员接待，包工期，包一切措施，包质量，包各种风险，包保险，包断桩处理，</w:t>
      </w:r>
      <w:r>
        <w:rPr>
          <w:rFonts w:hint="eastAsia" w:ascii="仿宋" w:hAnsi="仿宋" w:eastAsia="仿宋" w:cs="仿宋"/>
          <w:b/>
          <w:bCs/>
          <w:i w:val="0"/>
          <w:iCs w:val="0"/>
          <w:color w:val="auto"/>
          <w:kern w:val="0"/>
          <w:sz w:val="28"/>
          <w:szCs w:val="28"/>
          <w:highlight w:val="none"/>
          <w:shd w:val="clear" w:color="auto" w:fill="auto"/>
          <w:lang w:val="en-US" w:eastAsia="zh-CN"/>
        </w:rPr>
        <w:t>包试桩（开工前、后），包配合桩基检测，</w:t>
      </w:r>
      <w:r>
        <w:rPr>
          <w:rFonts w:hint="eastAsia" w:ascii="仿宋" w:hAnsi="仿宋" w:eastAsia="仿宋" w:cs="仿宋"/>
          <w:i w:val="0"/>
          <w:iCs w:val="0"/>
          <w:color w:val="auto"/>
          <w:kern w:val="0"/>
          <w:sz w:val="28"/>
          <w:szCs w:val="28"/>
          <w:highlight w:val="none"/>
          <w:shd w:val="clear" w:color="auto" w:fill="auto"/>
          <w:lang w:val="en-US" w:eastAsia="zh-CN"/>
        </w:rPr>
        <w:t>包现场记录资料，包测量放线，包安全，包锯凿桩头及垃圾外运，包桩长度不够时接桩（含接桩产生的所有费用），包因为桩长度达不到设计要求而导致的降低承台等处理措施所需的所有费用，包验收合格，包桩基检测通过（包括所有第三方材料检测），包质量问题的处理，包管理，包利润，包税金，包材料、人工价格上涨风险，包其他工种配合可能产生的降效及所涉费用，包配置管桩长度，包进行管桩材料验收，包协调处理本工程涉及的各类关系（包括但不限于政府主管部门、周边居民等关系）和费用，包本工程施工过程中所涉及的一切风险因素、全部内容及费用。</w:t>
      </w:r>
      <w:bookmarkEnd w:id="40"/>
      <w:bookmarkEnd w:id="41"/>
      <w:bookmarkEnd w:id="42"/>
      <w:bookmarkEnd w:id="43"/>
      <w:bookmarkEnd w:id="44"/>
      <w:bookmarkEnd w:id="45"/>
    </w:p>
    <w:p w14:paraId="2E0D385C">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ind w:left="-140" w:leftChars="-50" w:right="-20" w:rightChars="-7" w:firstLine="618" w:firstLineChars="221"/>
        <w:textAlignment w:val="auto"/>
        <w:outlineLvl w:val="0"/>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2.2本工程竣工图由</w:t>
      </w:r>
      <w:r>
        <w:rPr>
          <w:rFonts w:hint="eastAsia" w:ascii="仿宋" w:hAnsi="仿宋" w:eastAsia="仿宋" w:cs="仿宋"/>
          <w:i w:val="0"/>
          <w:iCs w:val="0"/>
          <w:color w:val="auto"/>
          <w:sz w:val="28"/>
          <w:szCs w:val="28"/>
          <w:highlight w:val="none"/>
          <w:u w:val="none"/>
          <w:shd w:val="clear" w:color="auto" w:fill="auto"/>
          <w:lang w:val="en-US" w:eastAsia="zh-CN"/>
        </w:rPr>
        <w:sym w:font="Wingdings 2" w:char="0052"/>
      </w:r>
      <w:r>
        <w:rPr>
          <w:rFonts w:hint="eastAsia" w:ascii="仿宋" w:hAnsi="仿宋" w:eastAsia="仿宋" w:cs="仿宋"/>
          <w:i w:val="0"/>
          <w:iCs w:val="0"/>
          <w:color w:val="auto"/>
          <w:sz w:val="28"/>
          <w:szCs w:val="28"/>
          <w:highlight w:val="none"/>
          <w:u w:val="none"/>
          <w:shd w:val="clear" w:color="auto" w:fill="auto"/>
          <w:lang w:val="en-US" w:eastAsia="zh-CN"/>
        </w:rPr>
        <w:t>甲方绘制/</w:t>
      </w:r>
      <w:r>
        <w:rPr>
          <w:rFonts w:hint="eastAsia" w:ascii="仿宋" w:hAnsi="仿宋" w:eastAsia="仿宋" w:cs="仿宋"/>
          <w:i w:val="0"/>
          <w:iCs w:val="0"/>
          <w:color w:val="auto"/>
          <w:sz w:val="28"/>
          <w:szCs w:val="28"/>
          <w:highlight w:val="none"/>
          <w:u w:val="none"/>
          <w:shd w:val="clear" w:color="auto" w:fill="auto"/>
          <w:lang w:val="en-US" w:eastAsia="zh-CN"/>
        </w:rPr>
        <w:sym w:font="Wingdings 2" w:char="00A3"/>
      </w:r>
      <w:r>
        <w:rPr>
          <w:rFonts w:hint="eastAsia" w:ascii="仿宋" w:hAnsi="仿宋" w:eastAsia="仿宋" w:cs="仿宋"/>
          <w:i w:val="0"/>
          <w:iCs w:val="0"/>
          <w:color w:val="auto"/>
          <w:sz w:val="28"/>
          <w:szCs w:val="28"/>
          <w:highlight w:val="none"/>
          <w:u w:val="none"/>
          <w:shd w:val="clear" w:color="auto" w:fill="auto"/>
          <w:lang w:val="en-US" w:eastAsia="zh-CN"/>
        </w:rPr>
        <w:t>乙方绘制</w:t>
      </w:r>
    </w:p>
    <w:bookmarkEnd w:id="46"/>
    <w:p w14:paraId="615CCC34">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ind w:left="-140" w:leftChars="-50" w:right="-20" w:rightChars="-7" w:firstLine="618" w:firstLineChars="221"/>
        <w:textAlignment w:val="auto"/>
        <w:outlineLvl w:val="0"/>
        <w:rPr>
          <w:rFonts w:hint="default" w:ascii="仿宋" w:hAnsi="仿宋" w:eastAsia="仿宋" w:cs="仿宋"/>
          <w:i w:val="0"/>
          <w:iCs w:val="0"/>
          <w:color w:val="auto"/>
          <w:sz w:val="28"/>
          <w:szCs w:val="28"/>
          <w:highlight w:val="none"/>
          <w:u w:val="single"/>
          <w:shd w:val="clear" w:color="auto" w:fill="auto"/>
          <w:lang w:val="en-US" w:eastAsia="zh-CN"/>
        </w:rPr>
      </w:pPr>
      <w:bookmarkStart w:id="47" w:name="_Toc4926"/>
      <w:bookmarkStart w:id="48" w:name="_Toc24928"/>
      <w:bookmarkStart w:id="49" w:name="_Toc23729"/>
      <w:bookmarkStart w:id="50" w:name="_Toc28974"/>
      <w:bookmarkStart w:id="51" w:name="_Toc15219"/>
      <w:r>
        <w:rPr>
          <w:rFonts w:hint="eastAsia" w:ascii="仿宋" w:hAnsi="仿宋" w:eastAsia="仿宋" w:cs="仿宋"/>
          <w:i w:val="0"/>
          <w:iCs w:val="0"/>
          <w:color w:val="auto"/>
          <w:sz w:val="28"/>
          <w:szCs w:val="28"/>
          <w:highlight w:val="none"/>
          <w:u w:val="none"/>
          <w:shd w:val="clear" w:color="auto" w:fill="auto"/>
          <w:lang w:val="en-US" w:eastAsia="zh-CN"/>
        </w:rPr>
        <w:t>2.3管桩品牌：</w:t>
      </w:r>
      <w:bookmarkEnd w:id="47"/>
      <w:r>
        <w:rPr>
          <w:rFonts w:hint="eastAsia" w:ascii="仿宋" w:hAnsi="仿宋" w:eastAsia="仿宋" w:cs="仿宋"/>
          <w:i w:val="0"/>
          <w:iCs w:val="0"/>
          <w:color w:val="auto"/>
          <w:sz w:val="28"/>
          <w:szCs w:val="28"/>
          <w:highlight w:val="yellow"/>
          <w:u w:val="single"/>
          <w:shd w:val="clear" w:color="auto" w:fill="auto"/>
          <w:lang w:val="en-US" w:eastAsia="zh-CN"/>
        </w:rPr>
        <w:t>（投标单位在报价文件中自行提供所报品牌，签约时以定标结果为准）</w:t>
      </w:r>
      <w:r>
        <w:rPr>
          <w:rFonts w:hint="eastAsia" w:ascii="仿宋" w:hAnsi="仿宋" w:eastAsia="仿宋" w:cs="仿宋"/>
          <w:i w:val="0"/>
          <w:iCs w:val="0"/>
          <w:color w:val="auto"/>
          <w:sz w:val="28"/>
          <w:szCs w:val="28"/>
          <w:highlight w:val="none"/>
          <w:u w:val="single"/>
          <w:shd w:val="clear" w:color="auto" w:fill="auto"/>
          <w:lang w:val="en-US" w:eastAsia="zh-CN"/>
        </w:rPr>
        <w:t>。</w:t>
      </w:r>
    </w:p>
    <w:p w14:paraId="5F50E8C4">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147" w:beforeLines="50" w:line="360" w:lineRule="auto"/>
        <w:ind w:left="-140" w:leftChars="-50" w:right="-20" w:rightChars="-7" w:firstLine="503" w:firstLineChars="179"/>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52" w:name="_Toc27160"/>
      <w:r>
        <w:rPr>
          <w:rFonts w:hint="eastAsia" w:ascii="仿宋" w:hAnsi="仿宋" w:eastAsia="仿宋" w:cs="仿宋"/>
          <w:b/>
          <w:bCs/>
          <w:i w:val="0"/>
          <w:iCs w:val="0"/>
          <w:color w:val="auto"/>
          <w:kern w:val="2"/>
          <w:sz w:val="28"/>
          <w:szCs w:val="28"/>
          <w:highlight w:val="none"/>
          <w:shd w:val="clear" w:color="auto" w:fill="auto"/>
          <w:lang w:val="en-US" w:eastAsia="zh-CN" w:bidi="ar-SA"/>
        </w:rPr>
        <w:t>第三章、</w:t>
      </w:r>
      <w:r>
        <w:rPr>
          <w:rFonts w:hint="eastAsia" w:ascii="仿宋" w:hAnsi="仿宋" w:eastAsia="仿宋" w:cs="仿宋"/>
          <w:b/>
          <w:bCs/>
          <w:i w:val="0"/>
          <w:iCs w:val="0"/>
          <w:color w:val="auto"/>
          <w:sz w:val="28"/>
          <w:szCs w:val="28"/>
          <w:highlight w:val="none"/>
          <w:shd w:val="clear" w:color="auto" w:fill="auto"/>
          <w:lang w:val="en-US" w:eastAsia="zh-CN"/>
        </w:rPr>
        <w:t>乙方承包范围及主要工程内容</w:t>
      </w:r>
      <w:bookmarkEnd w:id="48"/>
      <w:bookmarkEnd w:id="49"/>
      <w:bookmarkEnd w:id="50"/>
      <w:bookmarkEnd w:id="51"/>
      <w:bookmarkEnd w:id="52"/>
    </w:p>
    <w:bookmarkEnd w:id="34"/>
    <w:bookmarkEnd w:id="35"/>
    <w:p w14:paraId="7A33BC9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default"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3.1乙方负责承包范围包括并严格按照经过甲方权限审批的本工程施工方案执行，同时，乙方负责施工的内容包括本项目用地红线范围内桩基础工程内容和本工程图纸（即甲方确认的广州中大环境治理工程有限公司设计的二0二五年八月版本工程施工图，详见附件《图纸目录清单》）里的内容及相关工作由乙方承包，具体包括但不限于</w:t>
      </w:r>
      <w:r>
        <w:rPr>
          <w:rFonts w:hint="eastAsia" w:ascii="仿宋" w:hAnsi="仿宋" w:eastAsia="仿宋" w:cs="仿宋"/>
          <w:b w:val="0"/>
          <w:bCs w:val="0"/>
          <w:i w:val="0"/>
          <w:iCs w:val="0"/>
          <w:color w:val="auto"/>
          <w:sz w:val="28"/>
          <w:szCs w:val="28"/>
          <w:highlight w:val="none"/>
          <w:u w:val="none"/>
          <w:lang w:val="en-US" w:eastAsia="zh-CN"/>
        </w:rPr>
        <w:t>：</w:t>
      </w:r>
      <w:r>
        <w:rPr>
          <w:rFonts w:hint="eastAsia" w:ascii="仿宋" w:hAnsi="仿宋" w:eastAsia="仿宋" w:cs="仿宋"/>
          <w:b w:val="0"/>
          <w:bCs w:val="0"/>
          <w:i w:val="0"/>
          <w:iCs w:val="0"/>
          <w:color w:val="auto"/>
          <w:sz w:val="28"/>
          <w:szCs w:val="28"/>
          <w:highlight w:val="none"/>
          <w:u w:val="single"/>
          <w:lang w:val="en-US" w:eastAsia="zh-CN"/>
        </w:rPr>
        <w:t>本项目所有建构筑物的管桩施工</w:t>
      </w:r>
      <w:r>
        <w:rPr>
          <w:rFonts w:hint="eastAsia" w:ascii="仿宋" w:hAnsi="仿宋" w:eastAsia="仿宋" w:cs="仿宋"/>
          <w:b w:val="0"/>
          <w:bCs w:val="0"/>
          <w:i w:val="0"/>
          <w:iCs w:val="0"/>
          <w:color w:val="auto"/>
          <w:sz w:val="28"/>
          <w:szCs w:val="28"/>
          <w:highlight w:val="none"/>
          <w:lang w:val="en-US" w:eastAsia="zh-CN"/>
        </w:rPr>
        <w:t>。本工程施工过程中产生的全部人员报酬、</w:t>
      </w:r>
      <w:bookmarkStart w:id="609" w:name="_GoBack"/>
      <w:bookmarkEnd w:id="609"/>
      <w:r>
        <w:rPr>
          <w:rFonts w:hint="eastAsia" w:ascii="仿宋" w:hAnsi="仿宋" w:eastAsia="仿宋" w:cs="仿宋"/>
          <w:b w:val="0"/>
          <w:bCs w:val="0"/>
          <w:i w:val="0"/>
          <w:iCs w:val="0"/>
          <w:color w:val="auto"/>
          <w:sz w:val="28"/>
          <w:szCs w:val="28"/>
          <w:highlight w:val="none"/>
          <w:lang w:val="en-US" w:eastAsia="zh-CN"/>
        </w:rPr>
        <w:t>材料（本合同约定的甲供材除外）、机械设备（含进退场费、材料设备装卸搬运及保管等）、机具、安全文明施工措施、施工管理等由乙方解决。乙方承包范围还包括以下条款所述内容：</w:t>
      </w:r>
    </w:p>
    <w:p w14:paraId="0AF84A9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3.1.1预应力管桩基础 Φ500（PHC-AB500(120)），以强风化泥岩为桩端持力层。桩号ZH1；有效桩长9～12m，单桩竖向抗压承载力特征值1300KN 。</w:t>
      </w:r>
    </w:p>
    <w:p w14:paraId="53344F3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3.1.2要求入桩持力层深度≥5.5m。</w:t>
      </w:r>
    </w:p>
    <w:p w14:paraId="0FFB9BF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3.1.3桩身砼强度C80 。</w:t>
      </w:r>
    </w:p>
    <w:p w14:paraId="76D89BC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3.1.4本工程采用锤击法管桩施工。</w:t>
      </w:r>
    </w:p>
    <w:p w14:paraId="2216578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3.1.5管桩施打后应立即往桩管内浇灌C30微膨胀混凝土进行封底，混凝土在桩管内的高度2米。</w:t>
      </w:r>
    </w:p>
    <w:p w14:paraId="108888B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yellow"/>
          <w:lang w:val="en-US" w:eastAsia="zh-CN"/>
        </w:rPr>
      </w:pPr>
      <w:r>
        <w:rPr>
          <w:rFonts w:hint="eastAsia" w:ascii="仿宋" w:hAnsi="仿宋" w:eastAsia="仿宋" w:cs="仿宋"/>
          <w:b w:val="0"/>
          <w:bCs w:val="0"/>
          <w:i w:val="0"/>
          <w:iCs w:val="0"/>
          <w:color w:val="auto"/>
          <w:sz w:val="28"/>
          <w:szCs w:val="28"/>
          <w:highlight w:val="yellow"/>
          <w:lang w:val="en-US" w:eastAsia="zh-CN"/>
        </w:rPr>
        <w:t>3.1.6本工程地质比较复杂，打桩采用引孔，孔径约480mm,孔深度应进入强风化页岩不少于3.5m,施工时应随钻随打。</w:t>
      </w:r>
    </w:p>
    <w:p w14:paraId="2189123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yellow"/>
          <w:lang w:val="en-US" w:eastAsia="zh-CN"/>
        </w:rPr>
      </w:pPr>
      <w:r>
        <w:rPr>
          <w:rFonts w:hint="eastAsia" w:ascii="仿宋" w:hAnsi="仿宋" w:eastAsia="仿宋" w:cs="仿宋"/>
          <w:b w:val="0"/>
          <w:bCs w:val="0"/>
          <w:i w:val="0"/>
          <w:iCs w:val="0"/>
          <w:color w:val="auto"/>
          <w:sz w:val="28"/>
          <w:szCs w:val="28"/>
          <w:highlight w:val="yellow"/>
          <w:lang w:val="en-US" w:eastAsia="zh-CN"/>
        </w:rPr>
        <w:t xml:space="preserve">3.1.7特殊施工措施：根据设计图纸，试桩时，若采用引孔480mm出现吊脚，可调整采用植桩方案:即引孔孔径改为550mm，采用M20水泥砂浆灌入孔内(灌浆量0.05L,L为引孔长度)，再打桩并按正常收锤标准收桩。 </w:t>
      </w:r>
    </w:p>
    <w:p w14:paraId="245DD19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yellow"/>
          <w:lang w:val="en-US" w:eastAsia="zh-CN"/>
        </w:rPr>
      </w:pPr>
      <w:r>
        <w:rPr>
          <w:rFonts w:hint="eastAsia" w:ascii="仿宋" w:hAnsi="仿宋" w:eastAsia="仿宋" w:cs="仿宋"/>
          <w:b w:val="0"/>
          <w:bCs w:val="0"/>
          <w:i w:val="0"/>
          <w:iCs w:val="0"/>
          <w:color w:val="auto"/>
          <w:sz w:val="28"/>
          <w:szCs w:val="28"/>
          <w:highlight w:val="yellow"/>
          <w:lang w:val="en-US" w:eastAsia="zh-CN"/>
        </w:rPr>
        <w:t>3.1.8上述第3.1.1-3.1.7条内容仅供参考，具体施工范围、内容以图纸、规范及甲方书面要求为准。</w:t>
      </w:r>
    </w:p>
    <w:p w14:paraId="12D45D2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3.2乙方保证用于本工程的</w:t>
      </w:r>
      <w:r>
        <w:rPr>
          <w:rFonts w:hint="eastAsia" w:ascii="仿宋" w:hAnsi="仿宋" w:eastAsia="仿宋" w:cs="仿宋"/>
          <w:b/>
          <w:bCs/>
          <w:i w:val="0"/>
          <w:iCs w:val="0"/>
          <w:color w:val="auto"/>
          <w:sz w:val="28"/>
          <w:szCs w:val="28"/>
          <w:highlight w:val="none"/>
          <w:u w:val="single"/>
          <w:lang w:val="en-US" w:eastAsia="zh-CN"/>
        </w:rPr>
        <w:t>HHP-16液压</w:t>
      </w:r>
      <w:r>
        <w:rPr>
          <w:rFonts w:hint="eastAsia" w:ascii="仿宋" w:hAnsi="仿宋" w:eastAsia="仿宋" w:cs="仿宋"/>
          <w:b w:val="0"/>
          <w:bCs w:val="0"/>
          <w:i w:val="0"/>
          <w:iCs w:val="0"/>
          <w:color w:val="auto"/>
          <w:sz w:val="28"/>
          <w:szCs w:val="28"/>
          <w:highlight w:val="none"/>
          <w:lang w:val="en-US" w:eastAsia="zh-CN"/>
        </w:rPr>
        <w:t>打桩机不少于</w:t>
      </w:r>
      <w:r>
        <w:rPr>
          <w:rFonts w:hint="eastAsia" w:ascii="仿宋" w:hAnsi="仿宋" w:eastAsia="仿宋" w:cs="仿宋"/>
          <w:b w:val="0"/>
          <w:bCs w:val="0"/>
          <w:i w:val="0"/>
          <w:iCs w:val="0"/>
          <w:color w:val="auto"/>
          <w:sz w:val="28"/>
          <w:szCs w:val="28"/>
          <w:highlight w:val="none"/>
          <w:u w:val="single"/>
          <w:lang w:val="en-US" w:eastAsia="zh-CN"/>
        </w:rPr>
        <w:t>1</w:t>
      </w:r>
      <w:r>
        <w:rPr>
          <w:rFonts w:hint="eastAsia" w:ascii="仿宋" w:hAnsi="仿宋" w:eastAsia="仿宋" w:cs="仿宋"/>
          <w:b w:val="0"/>
          <w:bCs w:val="0"/>
          <w:i w:val="0"/>
          <w:iCs w:val="0"/>
          <w:color w:val="auto"/>
          <w:sz w:val="28"/>
          <w:szCs w:val="28"/>
          <w:highlight w:val="none"/>
          <w:lang w:val="en-US" w:eastAsia="zh-CN"/>
        </w:rPr>
        <w:t>台（采用环保液压锤，相关参数为：提锤高度600mm，最后贯入度不宜大于30mm/10击），且以满足甲方工期为准，并可随时增加、减少桩机及配套设备，机械设备型号必须满足本工程设计要求。</w:t>
      </w:r>
    </w:p>
    <w:p w14:paraId="1691665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bookmarkStart w:id="53" w:name="_Toc15468"/>
      <w:bookmarkStart w:id="54" w:name="_Toc15548"/>
      <w:r>
        <w:rPr>
          <w:rFonts w:hint="eastAsia" w:ascii="仿宋" w:hAnsi="仿宋" w:eastAsia="仿宋" w:cs="仿宋"/>
          <w:b w:val="0"/>
          <w:bCs w:val="0"/>
          <w:i w:val="0"/>
          <w:iCs w:val="0"/>
          <w:color w:val="auto"/>
          <w:sz w:val="28"/>
          <w:szCs w:val="28"/>
          <w:highlight w:val="none"/>
          <w:lang w:val="en-US" w:eastAsia="zh-CN"/>
        </w:rPr>
        <w:t>3.3桩机等施工机械设备从工地大门进入工地各点位时，乙方自备钢板铺路等，相关费用已包含在</w:t>
      </w:r>
      <w:r>
        <w:rPr>
          <w:rFonts w:hint="eastAsia" w:ascii="仿宋" w:hAnsi="仿宋" w:eastAsia="仿宋" w:cs="仿宋"/>
          <w:b w:val="0"/>
          <w:bCs w:val="0"/>
          <w:i w:val="0"/>
          <w:iCs w:val="0"/>
          <w:color w:val="auto"/>
          <w:sz w:val="28"/>
          <w:szCs w:val="28"/>
          <w:highlight w:val="none"/>
          <w:lang w:val="en-US" w:eastAsia="zh-CN"/>
        </w:rPr>
        <w:sym w:font="Wingdings 2" w:char="0052"/>
      </w:r>
      <w:r>
        <w:rPr>
          <w:rFonts w:hint="eastAsia" w:ascii="仿宋" w:hAnsi="仿宋" w:eastAsia="仿宋" w:cs="仿宋"/>
          <w:b w:val="0"/>
          <w:bCs w:val="0"/>
          <w:i w:val="0"/>
          <w:iCs w:val="0"/>
          <w:color w:val="auto"/>
          <w:sz w:val="28"/>
          <w:szCs w:val="28"/>
          <w:highlight w:val="none"/>
          <w:lang w:val="en-US" w:eastAsia="zh-CN"/>
        </w:rPr>
        <w:t>合同单价</w:t>
      </w:r>
      <w:r>
        <w:rPr>
          <w:rFonts w:hint="eastAsia" w:ascii="仿宋" w:hAnsi="仿宋" w:eastAsia="仿宋" w:cs="仿宋"/>
          <w:b w:val="0"/>
          <w:bCs w:val="0"/>
          <w:i w:val="0"/>
          <w:iCs w:val="0"/>
          <w:color w:val="auto"/>
          <w:sz w:val="28"/>
          <w:szCs w:val="28"/>
          <w:highlight w:val="none"/>
          <w:lang w:val="en-US" w:eastAsia="zh-CN"/>
        </w:rPr>
        <w:sym w:font="Wingdings 2" w:char="00A3"/>
      </w:r>
      <w:r>
        <w:rPr>
          <w:rFonts w:hint="eastAsia" w:ascii="仿宋" w:hAnsi="仿宋" w:eastAsia="仿宋" w:cs="仿宋"/>
          <w:b w:val="0"/>
          <w:bCs w:val="0"/>
          <w:i w:val="0"/>
          <w:iCs w:val="0"/>
          <w:color w:val="auto"/>
          <w:sz w:val="28"/>
          <w:szCs w:val="28"/>
          <w:highlight w:val="none"/>
          <w:lang w:val="en-US" w:eastAsia="zh-CN"/>
        </w:rPr>
        <w:t>合同总价内，不另行计取。</w:t>
      </w:r>
    </w:p>
    <w:p w14:paraId="467E912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3.4桩机等施工机械设备行走过程中，如遇地面塌陷由乙方自行解决，相关费用已包含在</w:t>
      </w:r>
      <w:r>
        <w:rPr>
          <w:rFonts w:hint="eastAsia" w:ascii="仿宋" w:hAnsi="仿宋" w:eastAsia="仿宋" w:cs="仿宋"/>
          <w:b w:val="0"/>
          <w:bCs w:val="0"/>
          <w:i w:val="0"/>
          <w:iCs w:val="0"/>
          <w:color w:val="auto"/>
          <w:sz w:val="28"/>
          <w:szCs w:val="28"/>
          <w:highlight w:val="none"/>
          <w:lang w:val="en-US" w:eastAsia="zh-CN"/>
        </w:rPr>
        <w:sym w:font="Wingdings 2" w:char="0052"/>
      </w:r>
      <w:r>
        <w:rPr>
          <w:rFonts w:hint="eastAsia" w:ascii="仿宋" w:hAnsi="仿宋" w:eastAsia="仿宋" w:cs="仿宋"/>
          <w:b w:val="0"/>
          <w:bCs w:val="0"/>
          <w:i w:val="0"/>
          <w:iCs w:val="0"/>
          <w:color w:val="auto"/>
          <w:sz w:val="28"/>
          <w:szCs w:val="28"/>
          <w:highlight w:val="none"/>
          <w:lang w:val="en-US" w:eastAsia="zh-CN"/>
        </w:rPr>
        <w:t>合同单价</w:t>
      </w:r>
      <w:r>
        <w:rPr>
          <w:rFonts w:hint="eastAsia" w:ascii="仿宋" w:hAnsi="仿宋" w:eastAsia="仿宋" w:cs="仿宋"/>
          <w:b w:val="0"/>
          <w:bCs w:val="0"/>
          <w:i w:val="0"/>
          <w:iCs w:val="0"/>
          <w:color w:val="auto"/>
          <w:sz w:val="28"/>
          <w:szCs w:val="28"/>
          <w:highlight w:val="none"/>
          <w:lang w:val="en-US" w:eastAsia="zh-CN"/>
        </w:rPr>
        <w:sym w:font="Wingdings 2" w:char="00A3"/>
      </w:r>
      <w:r>
        <w:rPr>
          <w:rFonts w:hint="eastAsia" w:ascii="仿宋" w:hAnsi="仿宋" w:eastAsia="仿宋" w:cs="仿宋"/>
          <w:b w:val="0"/>
          <w:bCs w:val="0"/>
          <w:i w:val="0"/>
          <w:iCs w:val="0"/>
          <w:color w:val="auto"/>
          <w:sz w:val="28"/>
          <w:szCs w:val="28"/>
          <w:highlight w:val="none"/>
          <w:lang w:val="en-US" w:eastAsia="zh-CN"/>
        </w:rPr>
        <w:t>合同总价内，不另行计取。</w:t>
      </w:r>
    </w:p>
    <w:p w14:paraId="42E2C6D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3.5乙方必须采用专门送桩器，不得采用桩送桩，相关费用已包含在合同单价内，不另行计取。</w:t>
      </w:r>
    </w:p>
    <w:p w14:paraId="5BFE3F6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3.6爆桩产生的费用已综合考虑在合同</w:t>
      </w:r>
      <w:r>
        <w:rPr>
          <w:rFonts w:hint="eastAsia" w:ascii="仿宋" w:hAnsi="仿宋" w:eastAsia="仿宋" w:cs="仿宋"/>
          <w:b w:val="0"/>
          <w:bCs w:val="0"/>
          <w:i w:val="0"/>
          <w:iCs w:val="0"/>
          <w:color w:val="auto"/>
          <w:sz w:val="28"/>
          <w:szCs w:val="28"/>
          <w:highlight w:val="none"/>
          <w:u w:val="single"/>
          <w:lang w:val="en-US" w:eastAsia="zh-CN"/>
        </w:rPr>
        <w:t>单</w:t>
      </w:r>
      <w:r>
        <w:rPr>
          <w:rFonts w:hint="eastAsia" w:ascii="仿宋" w:hAnsi="仿宋" w:eastAsia="仿宋" w:cs="仿宋"/>
          <w:b w:val="0"/>
          <w:bCs w:val="0"/>
          <w:i w:val="0"/>
          <w:iCs w:val="0"/>
          <w:color w:val="auto"/>
          <w:sz w:val="28"/>
          <w:szCs w:val="28"/>
          <w:highlight w:val="none"/>
          <w:lang w:val="en-US" w:eastAsia="zh-CN"/>
        </w:rPr>
        <w:t>价内，不另行计取。合同</w:t>
      </w:r>
      <w:r>
        <w:rPr>
          <w:rFonts w:hint="eastAsia" w:ascii="仿宋" w:hAnsi="仿宋" w:eastAsia="仿宋" w:cs="仿宋"/>
          <w:b w:val="0"/>
          <w:bCs w:val="0"/>
          <w:i w:val="0"/>
          <w:iCs w:val="0"/>
          <w:color w:val="auto"/>
          <w:sz w:val="28"/>
          <w:szCs w:val="28"/>
          <w:highlight w:val="none"/>
          <w:u w:val="single"/>
          <w:lang w:val="en-US" w:eastAsia="zh-CN"/>
        </w:rPr>
        <w:t>单</w:t>
      </w:r>
      <w:r>
        <w:rPr>
          <w:rFonts w:hint="eastAsia" w:ascii="仿宋" w:hAnsi="仿宋" w:eastAsia="仿宋" w:cs="仿宋"/>
          <w:b w:val="0"/>
          <w:bCs w:val="0"/>
          <w:i w:val="0"/>
          <w:iCs w:val="0"/>
          <w:color w:val="auto"/>
          <w:sz w:val="28"/>
          <w:szCs w:val="28"/>
          <w:highlight w:val="none"/>
          <w:lang w:val="en-US" w:eastAsia="zh-CN"/>
        </w:rPr>
        <w:t>价包括现场施工损坏的防尘网再次覆盖（防尘网再次覆盖至本工程施工结束）费用，包括截桩头费用。</w:t>
      </w:r>
    </w:p>
    <w:p w14:paraId="7D54B46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3.7合同</w:t>
      </w:r>
      <w:r>
        <w:rPr>
          <w:rFonts w:hint="eastAsia" w:ascii="仿宋" w:hAnsi="仿宋" w:eastAsia="仿宋" w:cs="仿宋"/>
          <w:b w:val="0"/>
          <w:bCs w:val="0"/>
          <w:i w:val="0"/>
          <w:iCs w:val="0"/>
          <w:color w:val="auto"/>
          <w:sz w:val="28"/>
          <w:szCs w:val="28"/>
          <w:highlight w:val="none"/>
          <w:u w:val="single"/>
          <w:lang w:val="en-US" w:eastAsia="zh-CN"/>
        </w:rPr>
        <w:t>单</w:t>
      </w:r>
      <w:r>
        <w:rPr>
          <w:rFonts w:hint="eastAsia" w:ascii="仿宋" w:hAnsi="仿宋" w:eastAsia="仿宋" w:cs="仿宋"/>
          <w:b w:val="0"/>
          <w:bCs w:val="0"/>
          <w:i w:val="0"/>
          <w:iCs w:val="0"/>
          <w:color w:val="auto"/>
          <w:sz w:val="28"/>
          <w:szCs w:val="28"/>
          <w:highlight w:val="none"/>
          <w:lang w:val="en-US" w:eastAsia="zh-CN"/>
        </w:rPr>
        <w:t>价</w:t>
      </w:r>
      <w:r>
        <w:rPr>
          <w:rFonts w:hint="eastAsia" w:ascii="仿宋" w:hAnsi="仿宋" w:eastAsia="仿宋" w:cs="仿宋"/>
          <w:color w:val="auto"/>
          <w:sz w:val="28"/>
          <w:szCs w:val="28"/>
          <w:highlight w:val="none"/>
          <w:lang w:val="en-US" w:eastAsia="zh-CN"/>
        </w:rPr>
        <w:t>包括管桩因卸货不到位导致的二次转运费用，包括乙方自行解决管桩等材料的卸货、二次转运的费用。</w:t>
      </w:r>
    </w:p>
    <w:p w14:paraId="3A142BD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3" w:firstLineChars="179"/>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3.8本工程全部抽水属乙方责任，费用已包含在合同单价内，不另计费。</w:t>
      </w:r>
    </w:p>
    <w:p w14:paraId="17C1431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3" w:firstLineChars="179"/>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3.9乙方提供管桩进场验收所需的混凝土回弹仪，桩底封混凝土由乙方负责。</w:t>
      </w:r>
    </w:p>
    <w:p w14:paraId="236AE6DB">
      <w:pPr>
        <w:keepNext w:val="0"/>
        <w:keepLines w:val="0"/>
        <w:pageBreakBefore w:val="0"/>
        <w:widowControl w:val="0"/>
        <w:numPr>
          <w:ilvl w:val="0"/>
          <w:numId w:val="1"/>
        </w:numPr>
        <w:shd w:val="clear" w:color="auto" w:fill="auto"/>
        <w:kinsoku/>
        <w:wordWrap/>
        <w:overflowPunct/>
        <w:topLinePunct w:val="0"/>
        <w:autoSpaceDE/>
        <w:autoSpaceDN/>
        <w:bidi w:val="0"/>
        <w:adjustRightInd w:val="0"/>
        <w:snapToGrid w:val="0"/>
        <w:spacing w:line="360" w:lineRule="auto"/>
        <w:ind w:left="-140" w:leftChars="-50" w:right="-20" w:rightChars="-7" w:firstLine="503" w:firstLineChars="179"/>
        <w:textAlignment w:val="auto"/>
        <w:outlineLvl w:val="1"/>
        <w:rPr>
          <w:rFonts w:hint="eastAsia" w:ascii="仿宋" w:hAnsi="仿宋" w:eastAsia="仿宋" w:cs="仿宋"/>
          <w:b/>
          <w:bCs/>
          <w:i w:val="0"/>
          <w:iCs w:val="0"/>
          <w:color w:val="auto"/>
          <w:sz w:val="28"/>
          <w:szCs w:val="28"/>
          <w:highlight w:val="none"/>
          <w:lang w:val="en-US" w:eastAsia="zh-CN"/>
        </w:rPr>
      </w:pPr>
      <w:bookmarkStart w:id="55" w:name="_Toc13666"/>
      <w:bookmarkStart w:id="56" w:name="_Toc29520"/>
      <w:bookmarkStart w:id="57" w:name="_Toc14197"/>
      <w:bookmarkStart w:id="58" w:name="_Toc12906"/>
      <w:bookmarkStart w:id="59" w:name="_Toc27260"/>
      <w:r>
        <w:rPr>
          <w:rFonts w:hint="eastAsia" w:ascii="仿宋" w:hAnsi="仿宋" w:eastAsia="仿宋" w:cs="仿宋"/>
          <w:b/>
          <w:bCs/>
          <w:i w:val="0"/>
          <w:iCs w:val="0"/>
          <w:color w:val="auto"/>
          <w:sz w:val="28"/>
          <w:szCs w:val="28"/>
          <w:highlight w:val="none"/>
          <w:lang w:val="en-US" w:eastAsia="zh-CN"/>
        </w:rPr>
        <w:t>工期</w:t>
      </w:r>
      <w:bookmarkEnd w:id="53"/>
      <w:bookmarkEnd w:id="54"/>
      <w:bookmarkEnd w:id="55"/>
      <w:bookmarkEnd w:id="56"/>
      <w:bookmarkEnd w:id="57"/>
      <w:bookmarkEnd w:id="58"/>
      <w:bookmarkEnd w:id="59"/>
    </w:p>
    <w:p w14:paraId="760DBC6C">
      <w:pPr>
        <w:keepNext w:val="0"/>
        <w:keepLines w:val="0"/>
        <w:pageBreakBefore w:val="0"/>
        <w:widowControl w:val="0"/>
        <w:kinsoku/>
        <w:wordWrap/>
        <w:overflowPunct/>
        <w:topLinePunct w:val="0"/>
        <w:autoSpaceDE/>
        <w:autoSpaceDN/>
        <w:bidi w:val="0"/>
        <w:adjustRightInd w:val="0"/>
        <w:snapToGrid w:val="0"/>
        <w:spacing w:line="360" w:lineRule="auto"/>
        <w:ind w:left="-140" w:leftChars="-50" w:firstLine="560" w:firstLineChars="200"/>
        <w:textAlignment w:val="auto"/>
        <w:rPr>
          <w:rFonts w:hint="eastAsia" w:ascii="仿宋" w:hAnsi="仿宋" w:eastAsia="仿宋" w:cs="仿宋"/>
          <w:color w:val="auto"/>
          <w:sz w:val="28"/>
          <w:szCs w:val="28"/>
          <w:highlight w:val="none"/>
        </w:rPr>
      </w:pPr>
      <w:bookmarkStart w:id="60" w:name="_Toc11275"/>
      <w:bookmarkStart w:id="61" w:name="_Toc10976"/>
      <w:bookmarkStart w:id="62" w:name="_Toc9456"/>
      <w:bookmarkStart w:id="63" w:name="_Toc9090"/>
      <w:bookmarkStart w:id="64" w:name="_Toc19252"/>
      <w:bookmarkStart w:id="65" w:name="_Toc2060"/>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本工程</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工期</w:t>
      </w:r>
      <w:r>
        <w:rPr>
          <w:rFonts w:hint="eastAsia" w:ascii="仿宋" w:hAnsi="仿宋" w:eastAsia="仿宋" w:cs="仿宋"/>
          <w:color w:val="auto"/>
          <w:sz w:val="28"/>
          <w:szCs w:val="28"/>
          <w:highlight w:val="none"/>
          <w:lang w:val="en-US" w:eastAsia="zh-CN"/>
        </w:rPr>
        <w:t>详见下表</w:t>
      </w:r>
    </w:p>
    <w:tbl>
      <w:tblPr>
        <w:tblStyle w:val="17"/>
        <w:tblW w:w="507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62"/>
        <w:gridCol w:w="1250"/>
        <w:gridCol w:w="1956"/>
        <w:gridCol w:w="1916"/>
        <w:gridCol w:w="1844"/>
      </w:tblGrid>
      <w:tr w14:paraId="137D2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jc w:val="center"/>
        </w:trPr>
        <w:tc>
          <w:tcPr>
            <w:tcW w:w="1491" w:type="pct"/>
            <w:tcBorders>
              <w:tl2br w:val="nil"/>
              <w:tr2bl w:val="nil"/>
            </w:tcBorders>
            <w:noWrap/>
            <w:tcMar>
              <w:top w:w="15" w:type="dxa"/>
              <w:left w:w="15" w:type="dxa"/>
              <w:right w:w="15" w:type="dxa"/>
            </w:tcMar>
            <w:vAlign w:val="center"/>
          </w:tcPr>
          <w:p w14:paraId="26DD191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工程名称</w:t>
            </w:r>
          </w:p>
        </w:tc>
        <w:tc>
          <w:tcPr>
            <w:tcW w:w="629" w:type="pct"/>
            <w:tcBorders>
              <w:tl2br w:val="nil"/>
              <w:tr2bl w:val="nil"/>
            </w:tcBorders>
            <w:noWrap/>
            <w:tcMar>
              <w:top w:w="15" w:type="dxa"/>
              <w:left w:w="15" w:type="dxa"/>
              <w:right w:w="15" w:type="dxa"/>
            </w:tcMar>
            <w:vAlign w:val="center"/>
          </w:tcPr>
          <w:p w14:paraId="2AD8FFB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工期天数</w:t>
            </w:r>
          </w:p>
        </w:tc>
        <w:tc>
          <w:tcPr>
            <w:tcW w:w="985" w:type="pct"/>
            <w:tcBorders>
              <w:tl2br w:val="nil"/>
              <w:tr2bl w:val="nil"/>
            </w:tcBorders>
            <w:noWrap/>
            <w:tcMar>
              <w:top w:w="15" w:type="dxa"/>
              <w:left w:w="15" w:type="dxa"/>
              <w:right w:w="15" w:type="dxa"/>
            </w:tcMar>
            <w:vAlign w:val="center"/>
          </w:tcPr>
          <w:p w14:paraId="5914C28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暂定进场开工日期</w:t>
            </w:r>
          </w:p>
        </w:tc>
        <w:tc>
          <w:tcPr>
            <w:tcW w:w="964" w:type="pct"/>
            <w:tcBorders>
              <w:tl2br w:val="nil"/>
              <w:tr2bl w:val="nil"/>
            </w:tcBorders>
            <w:noWrap/>
            <w:tcMar>
              <w:top w:w="15" w:type="dxa"/>
              <w:left w:w="15" w:type="dxa"/>
              <w:right w:w="15" w:type="dxa"/>
            </w:tcMar>
            <w:vAlign w:val="center"/>
          </w:tcPr>
          <w:p w14:paraId="6E1818F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暂定竣工日期</w:t>
            </w:r>
          </w:p>
        </w:tc>
        <w:tc>
          <w:tcPr>
            <w:tcW w:w="928" w:type="pct"/>
            <w:tcBorders>
              <w:tl2br w:val="nil"/>
              <w:tr2bl w:val="nil"/>
            </w:tcBorders>
            <w:noWrap/>
            <w:tcMar>
              <w:top w:w="15" w:type="dxa"/>
              <w:left w:w="15" w:type="dxa"/>
              <w:right w:w="15" w:type="dxa"/>
            </w:tcMar>
            <w:vAlign w:val="center"/>
          </w:tcPr>
          <w:p w14:paraId="077D989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备 注</w:t>
            </w:r>
          </w:p>
        </w:tc>
      </w:tr>
      <w:tr w14:paraId="4A9EC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1491" w:type="pct"/>
            <w:vMerge w:val="restart"/>
            <w:tcBorders>
              <w:tl2br w:val="nil"/>
              <w:tr2bl w:val="nil"/>
            </w:tcBorders>
            <w:noWrap/>
            <w:tcMar>
              <w:top w:w="15" w:type="dxa"/>
              <w:left w:w="15" w:type="dxa"/>
              <w:right w:w="15" w:type="dxa"/>
            </w:tcMar>
            <w:vAlign w:val="center"/>
          </w:tcPr>
          <w:p w14:paraId="7D74DA0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yellow"/>
                <w:lang w:val="en-US" w:eastAsia="zh-CN"/>
              </w:rPr>
              <w:t>玉林（福绵）节能环保产业园南部污水处理厂及中水回用设施建设项目（一期二标段5万吨/天）污泥脱水间及事故应急池桩基础工程</w:t>
            </w:r>
          </w:p>
        </w:tc>
        <w:tc>
          <w:tcPr>
            <w:tcW w:w="629" w:type="pct"/>
            <w:tcBorders>
              <w:tl2br w:val="nil"/>
              <w:tr2bl w:val="nil"/>
            </w:tcBorders>
            <w:noWrap/>
            <w:tcMar>
              <w:top w:w="15" w:type="dxa"/>
              <w:left w:w="15" w:type="dxa"/>
              <w:right w:w="15" w:type="dxa"/>
            </w:tcMar>
            <w:vAlign w:val="center"/>
          </w:tcPr>
          <w:p w14:paraId="0BF5305B">
            <w:pPr>
              <w:keepNext w:val="0"/>
              <w:keepLines w:val="0"/>
              <w:pageBreakBefore w:val="0"/>
              <w:widowControl w:val="0"/>
              <w:tabs>
                <w:tab w:val="left" w:pos="2160"/>
              </w:tabs>
              <w:kinsoku/>
              <w:wordWrap/>
              <w:overflowPunct/>
              <w:topLinePunct/>
              <w:autoSpaceDE w:val="0"/>
              <w:autoSpaceDN/>
              <w:bidi w:val="0"/>
              <w:adjustRightInd/>
              <w:spacing w:line="240" w:lineRule="auto"/>
              <w:ind w:left="0" w:leftChars="0" w:right="0" w:right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bCs/>
                <w:sz w:val="24"/>
                <w:highlight w:val="yellow"/>
                <w:lang w:val="en-US" w:eastAsia="zh-CN"/>
              </w:rPr>
              <w:t>7日历天</w:t>
            </w:r>
          </w:p>
        </w:tc>
        <w:tc>
          <w:tcPr>
            <w:tcW w:w="985" w:type="pct"/>
            <w:tcBorders>
              <w:tl2br w:val="nil"/>
              <w:tr2bl w:val="nil"/>
            </w:tcBorders>
            <w:noWrap/>
            <w:tcMar>
              <w:top w:w="15" w:type="dxa"/>
              <w:left w:w="15" w:type="dxa"/>
              <w:right w:w="15" w:type="dxa"/>
            </w:tcMar>
            <w:vAlign w:val="center"/>
          </w:tcPr>
          <w:p w14:paraId="165B925B">
            <w:pPr>
              <w:keepNext w:val="0"/>
              <w:keepLines w:val="0"/>
              <w:pageBreakBefore w:val="0"/>
              <w:widowControl w:val="0"/>
              <w:tabs>
                <w:tab w:val="left" w:pos="2160"/>
              </w:tabs>
              <w:kinsoku/>
              <w:wordWrap/>
              <w:overflowPunct/>
              <w:topLinePunct/>
              <w:autoSpaceDE w:val="0"/>
              <w:autoSpaceDN/>
              <w:bidi w:val="0"/>
              <w:adjustRightInd/>
              <w:spacing w:line="240" w:lineRule="auto"/>
              <w:ind w:left="0" w:leftChars="0" w:right="0" w:right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bCs/>
                <w:sz w:val="24"/>
                <w:highlight w:val="yellow"/>
              </w:rPr>
              <w:t>20</w:t>
            </w:r>
            <w:r>
              <w:rPr>
                <w:rFonts w:hint="eastAsia" w:ascii="仿宋" w:hAnsi="仿宋" w:eastAsia="仿宋" w:cs="仿宋"/>
                <w:bCs/>
                <w:sz w:val="24"/>
                <w:highlight w:val="yellow"/>
                <w:lang w:val="en-US" w:eastAsia="zh-CN"/>
              </w:rPr>
              <w:t>25年11月1日</w:t>
            </w:r>
          </w:p>
        </w:tc>
        <w:tc>
          <w:tcPr>
            <w:tcW w:w="964" w:type="pct"/>
            <w:tcBorders>
              <w:tl2br w:val="nil"/>
              <w:tr2bl w:val="nil"/>
            </w:tcBorders>
            <w:noWrap/>
            <w:tcMar>
              <w:top w:w="15" w:type="dxa"/>
              <w:left w:w="15" w:type="dxa"/>
              <w:right w:w="15" w:type="dxa"/>
            </w:tcMar>
            <w:vAlign w:val="center"/>
          </w:tcPr>
          <w:p w14:paraId="14EE79EB">
            <w:pPr>
              <w:keepNext w:val="0"/>
              <w:keepLines w:val="0"/>
              <w:pageBreakBefore w:val="0"/>
              <w:widowControl w:val="0"/>
              <w:tabs>
                <w:tab w:val="left" w:pos="2160"/>
              </w:tabs>
              <w:kinsoku/>
              <w:wordWrap/>
              <w:overflowPunct/>
              <w:topLinePunct/>
              <w:autoSpaceDE w:val="0"/>
              <w:autoSpaceDN/>
              <w:bidi w:val="0"/>
              <w:adjustRightInd/>
              <w:spacing w:line="240" w:lineRule="auto"/>
              <w:ind w:left="0" w:leftChars="0" w:right="0" w:right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bCs/>
                <w:sz w:val="24"/>
                <w:highlight w:val="yellow"/>
              </w:rPr>
              <w:t>20</w:t>
            </w:r>
            <w:r>
              <w:rPr>
                <w:rFonts w:hint="eastAsia" w:ascii="仿宋" w:hAnsi="仿宋" w:eastAsia="仿宋" w:cs="仿宋"/>
                <w:bCs/>
                <w:sz w:val="24"/>
                <w:highlight w:val="yellow"/>
                <w:lang w:val="en-US" w:eastAsia="zh-CN"/>
              </w:rPr>
              <w:t>25年11月7日</w:t>
            </w:r>
          </w:p>
        </w:tc>
        <w:tc>
          <w:tcPr>
            <w:tcW w:w="928" w:type="pct"/>
            <w:tcBorders>
              <w:tl2br w:val="nil"/>
              <w:tr2bl w:val="nil"/>
            </w:tcBorders>
            <w:noWrap/>
            <w:tcMar>
              <w:top w:w="15" w:type="dxa"/>
              <w:left w:w="15" w:type="dxa"/>
              <w:right w:w="15" w:type="dxa"/>
            </w:tcMar>
            <w:vAlign w:val="center"/>
          </w:tcPr>
          <w:p w14:paraId="630E9047">
            <w:pPr>
              <w:keepNext w:val="0"/>
              <w:keepLines w:val="0"/>
              <w:pageBreakBefore w:val="0"/>
              <w:widowControl w:val="0"/>
              <w:tabs>
                <w:tab w:val="left" w:pos="2160"/>
              </w:tabs>
              <w:kinsoku/>
              <w:wordWrap/>
              <w:overflowPunct/>
              <w:topLinePunct/>
              <w:autoSpaceDE w:val="0"/>
              <w:autoSpaceDN/>
              <w:bidi w:val="0"/>
              <w:adjustRightInd/>
              <w:spacing w:line="240" w:lineRule="auto"/>
              <w:ind w:left="0" w:leftChars="0" w:right="0" w:rightChars="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bCs/>
                <w:sz w:val="24"/>
                <w:highlight w:val="yellow"/>
                <w:lang w:eastAsia="zh-CN"/>
              </w:rPr>
              <w:t>试验桩有</w:t>
            </w:r>
            <w:r>
              <w:rPr>
                <w:rFonts w:hint="eastAsia" w:ascii="仿宋" w:hAnsi="仿宋" w:eastAsia="仿宋" w:cs="仿宋"/>
                <w:bCs/>
                <w:sz w:val="24"/>
                <w:highlight w:val="yellow"/>
                <w:lang w:val="en-US" w:eastAsia="zh-CN"/>
              </w:rPr>
              <w:t>3根工程桩和2根非工程桩，</w:t>
            </w:r>
          </w:p>
        </w:tc>
      </w:tr>
      <w:tr w14:paraId="3CF9B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1491" w:type="pct"/>
            <w:vMerge w:val="continue"/>
            <w:tcBorders>
              <w:tl2br w:val="nil"/>
              <w:tr2bl w:val="nil"/>
            </w:tcBorders>
            <w:noWrap/>
            <w:tcMar>
              <w:top w:w="15" w:type="dxa"/>
              <w:left w:w="15" w:type="dxa"/>
              <w:right w:w="15" w:type="dxa"/>
            </w:tcMar>
            <w:vAlign w:val="center"/>
          </w:tcPr>
          <w:p w14:paraId="39C4FB65">
            <w:pPr>
              <w:keepNext w:val="0"/>
              <w:keepLines w:val="0"/>
              <w:pageBreakBefore w:val="0"/>
              <w:widowControl w:val="0"/>
              <w:tabs>
                <w:tab w:val="left" w:pos="2160"/>
              </w:tabs>
              <w:kinsoku/>
              <w:wordWrap/>
              <w:overflowPunct/>
              <w:topLinePunct/>
              <w:autoSpaceDE w:val="0"/>
              <w:autoSpaceDN/>
              <w:bidi w:val="0"/>
              <w:adjustRightInd/>
              <w:spacing w:line="240" w:lineRule="auto"/>
              <w:ind w:left="0" w:leftChars="0" w:right="0" w:rightChars="0"/>
              <w:jc w:val="center"/>
              <w:textAlignment w:val="auto"/>
              <w:rPr>
                <w:rFonts w:hint="eastAsia" w:ascii="仿宋" w:hAnsi="仿宋" w:eastAsia="仿宋" w:cs="仿宋"/>
                <w:color w:val="auto"/>
                <w:sz w:val="24"/>
                <w:szCs w:val="24"/>
                <w:highlight w:val="none"/>
                <w:lang w:val="en-US" w:eastAsia="zh-CN"/>
              </w:rPr>
            </w:pPr>
            <w:bookmarkStart w:id="66" w:name="_Toc27495"/>
            <w:bookmarkStart w:id="67" w:name="_Toc26751"/>
            <w:bookmarkStart w:id="68" w:name="_Toc14717"/>
            <w:bookmarkStart w:id="69" w:name="_Toc14649"/>
            <w:bookmarkStart w:id="70" w:name="_Toc9392"/>
          </w:p>
        </w:tc>
        <w:tc>
          <w:tcPr>
            <w:tcW w:w="629" w:type="pct"/>
            <w:tcBorders>
              <w:tl2br w:val="nil"/>
              <w:tr2bl w:val="nil"/>
            </w:tcBorders>
            <w:noWrap/>
            <w:tcMar>
              <w:top w:w="15" w:type="dxa"/>
              <w:left w:w="15" w:type="dxa"/>
              <w:right w:w="15" w:type="dxa"/>
            </w:tcMar>
            <w:vAlign w:val="center"/>
          </w:tcPr>
          <w:p w14:paraId="0B26143E">
            <w:pPr>
              <w:keepNext w:val="0"/>
              <w:keepLines w:val="0"/>
              <w:pageBreakBefore w:val="0"/>
              <w:widowControl w:val="0"/>
              <w:tabs>
                <w:tab w:val="left" w:pos="2160"/>
              </w:tabs>
              <w:kinsoku/>
              <w:wordWrap/>
              <w:overflowPunct/>
              <w:topLinePunct/>
              <w:autoSpaceDE w:val="0"/>
              <w:autoSpaceDN/>
              <w:bidi w:val="0"/>
              <w:adjustRightInd/>
              <w:spacing w:line="240" w:lineRule="auto"/>
              <w:ind w:left="0" w:leftChars="0" w:right="0" w:righ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Cs/>
                <w:sz w:val="24"/>
                <w:highlight w:val="yellow"/>
                <w:lang w:val="en-US" w:eastAsia="zh-CN"/>
              </w:rPr>
              <w:t>26日历天</w:t>
            </w:r>
          </w:p>
        </w:tc>
        <w:tc>
          <w:tcPr>
            <w:tcW w:w="985" w:type="pct"/>
            <w:tcBorders>
              <w:tl2br w:val="nil"/>
              <w:tr2bl w:val="nil"/>
            </w:tcBorders>
            <w:noWrap/>
            <w:tcMar>
              <w:top w:w="15" w:type="dxa"/>
              <w:left w:w="15" w:type="dxa"/>
              <w:right w:w="15" w:type="dxa"/>
            </w:tcMar>
            <w:vAlign w:val="center"/>
          </w:tcPr>
          <w:p w14:paraId="094B4953">
            <w:pPr>
              <w:keepNext w:val="0"/>
              <w:keepLines w:val="0"/>
              <w:pageBreakBefore w:val="0"/>
              <w:widowControl w:val="0"/>
              <w:tabs>
                <w:tab w:val="left" w:pos="2160"/>
              </w:tabs>
              <w:kinsoku/>
              <w:wordWrap/>
              <w:overflowPunct/>
              <w:topLinePunct/>
              <w:autoSpaceDE w:val="0"/>
              <w:autoSpaceDN/>
              <w:bidi w:val="0"/>
              <w:adjustRightInd/>
              <w:spacing w:line="240" w:lineRule="auto"/>
              <w:ind w:left="0" w:leftChars="0" w:right="0" w:rightChars="0"/>
              <w:jc w:val="center"/>
              <w:textAlignment w:val="auto"/>
              <w:rPr>
                <w:rFonts w:hint="default" w:ascii="仿宋" w:hAnsi="仿宋" w:eastAsia="仿宋" w:cs="仿宋"/>
                <w:color w:val="auto"/>
                <w:sz w:val="24"/>
                <w:szCs w:val="24"/>
                <w:highlight w:val="none"/>
                <w:lang w:val="en-US"/>
              </w:rPr>
            </w:pPr>
            <w:r>
              <w:rPr>
                <w:rFonts w:hint="eastAsia" w:ascii="仿宋" w:hAnsi="仿宋" w:eastAsia="仿宋" w:cs="仿宋"/>
                <w:bCs/>
                <w:sz w:val="24"/>
                <w:highlight w:val="yellow"/>
                <w:lang w:val="en-US" w:eastAsia="zh-CN"/>
              </w:rPr>
              <w:t>2025年12月11日</w:t>
            </w:r>
          </w:p>
        </w:tc>
        <w:tc>
          <w:tcPr>
            <w:tcW w:w="964" w:type="pct"/>
            <w:tcBorders>
              <w:tl2br w:val="nil"/>
              <w:tr2bl w:val="nil"/>
            </w:tcBorders>
            <w:noWrap/>
            <w:tcMar>
              <w:top w:w="15" w:type="dxa"/>
              <w:left w:w="15" w:type="dxa"/>
              <w:right w:w="15" w:type="dxa"/>
            </w:tcMar>
            <w:vAlign w:val="center"/>
          </w:tcPr>
          <w:p w14:paraId="127F2514">
            <w:pPr>
              <w:keepNext w:val="0"/>
              <w:keepLines w:val="0"/>
              <w:pageBreakBefore w:val="0"/>
              <w:widowControl w:val="0"/>
              <w:tabs>
                <w:tab w:val="left" w:pos="2160"/>
              </w:tabs>
              <w:kinsoku/>
              <w:wordWrap/>
              <w:overflowPunct/>
              <w:topLinePunct/>
              <w:autoSpaceDE w:val="0"/>
              <w:autoSpaceDN/>
              <w:bidi w:val="0"/>
              <w:adjustRightInd/>
              <w:spacing w:line="240" w:lineRule="auto"/>
              <w:ind w:left="0" w:leftChars="0" w:right="0" w:rightChars="0"/>
              <w:jc w:val="center"/>
              <w:textAlignment w:val="auto"/>
              <w:rPr>
                <w:rFonts w:hint="default" w:ascii="仿宋" w:hAnsi="仿宋" w:eastAsia="仿宋" w:cs="仿宋"/>
                <w:color w:val="auto"/>
                <w:sz w:val="24"/>
                <w:szCs w:val="24"/>
                <w:highlight w:val="none"/>
                <w:lang w:val="en-US"/>
              </w:rPr>
            </w:pPr>
            <w:r>
              <w:rPr>
                <w:rFonts w:hint="eastAsia" w:ascii="仿宋" w:hAnsi="仿宋" w:eastAsia="仿宋" w:cs="仿宋"/>
                <w:bCs/>
                <w:sz w:val="24"/>
                <w:highlight w:val="yellow"/>
              </w:rPr>
              <w:t>20</w:t>
            </w:r>
            <w:r>
              <w:rPr>
                <w:rFonts w:hint="eastAsia" w:ascii="仿宋" w:hAnsi="仿宋" w:eastAsia="仿宋" w:cs="仿宋"/>
                <w:bCs/>
                <w:sz w:val="24"/>
                <w:highlight w:val="yellow"/>
                <w:lang w:val="en-US" w:eastAsia="zh-CN"/>
              </w:rPr>
              <w:t>26年1月5日</w:t>
            </w:r>
          </w:p>
        </w:tc>
        <w:tc>
          <w:tcPr>
            <w:tcW w:w="928" w:type="pct"/>
            <w:tcBorders>
              <w:tl2br w:val="nil"/>
              <w:tr2bl w:val="nil"/>
            </w:tcBorders>
            <w:noWrap/>
            <w:tcMar>
              <w:top w:w="15" w:type="dxa"/>
              <w:left w:w="15" w:type="dxa"/>
              <w:right w:w="15" w:type="dxa"/>
            </w:tcMar>
            <w:vAlign w:val="center"/>
          </w:tcPr>
          <w:p w14:paraId="0F132BBF">
            <w:pPr>
              <w:keepNext w:val="0"/>
              <w:keepLines w:val="0"/>
              <w:pageBreakBefore w:val="0"/>
              <w:widowControl w:val="0"/>
              <w:tabs>
                <w:tab w:val="left" w:pos="2160"/>
              </w:tabs>
              <w:kinsoku/>
              <w:wordWrap/>
              <w:overflowPunct/>
              <w:topLinePunct/>
              <w:autoSpaceDE w:val="0"/>
              <w:autoSpaceDN/>
              <w:bidi w:val="0"/>
              <w:adjustRightInd/>
              <w:spacing w:line="240" w:lineRule="auto"/>
              <w:ind w:left="0" w:leftChars="0" w:right="0" w:rightChars="0"/>
              <w:jc w:val="center"/>
              <w:textAlignment w:val="auto"/>
              <w:rPr>
                <w:rFonts w:hint="eastAsia" w:ascii="仿宋" w:hAnsi="仿宋" w:eastAsia="仿宋" w:cs="仿宋"/>
                <w:color w:val="auto"/>
                <w:sz w:val="24"/>
                <w:szCs w:val="24"/>
                <w:highlight w:val="none"/>
                <w:lang w:val="en-US" w:eastAsia="zh-CN"/>
              </w:rPr>
            </w:pPr>
          </w:p>
        </w:tc>
      </w:tr>
      <w:bookmarkEnd w:id="60"/>
      <w:bookmarkEnd w:id="61"/>
      <w:bookmarkEnd w:id="62"/>
      <w:bookmarkEnd w:id="63"/>
    </w:tbl>
    <w:p w14:paraId="41E8246D">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147" w:beforeLines="50" w:line="360" w:lineRule="auto"/>
        <w:ind w:left="-140" w:leftChars="-50" w:right="-20" w:rightChars="-7" w:firstLine="501" w:firstLineChars="179"/>
        <w:textAlignment w:val="auto"/>
        <w:outlineLvl w:val="1"/>
        <w:rPr>
          <w:rFonts w:hint="eastAsia" w:ascii="仿宋" w:hAnsi="仿宋" w:eastAsia="仿宋" w:cs="仿宋"/>
          <w:b w:val="0"/>
          <w:bCs w:val="0"/>
          <w:color w:val="auto"/>
          <w:szCs w:val="28"/>
          <w:highlight w:val="yellow"/>
          <w:lang w:val="en-US" w:eastAsia="zh-CN"/>
        </w:rPr>
      </w:pPr>
      <w:r>
        <w:rPr>
          <w:rFonts w:hint="eastAsia" w:ascii="仿宋" w:hAnsi="仿宋" w:eastAsia="仿宋" w:cs="仿宋"/>
          <w:b w:val="0"/>
          <w:bCs w:val="0"/>
          <w:color w:val="auto"/>
          <w:szCs w:val="28"/>
          <w:highlight w:val="yellow"/>
          <w:lang w:val="en-US" w:eastAsia="zh-CN"/>
        </w:rPr>
        <w:t>4.1.1桩检测含桩身完整性的检测和单桩竖向抗压承载力的检测，先完成桩身完整性的检测，再进行单桩竖向抗压承载力的检测。沉桩完成后至承载力检测间休止时间为25天，休止时间完成后，进行桩身完整性和单桩竖向抗压承载力检测，休止期和桩检测期内人员设备可能处于等待阶段。</w:t>
      </w:r>
    </w:p>
    <w:p w14:paraId="652D62A4">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147" w:beforeLines="50" w:line="360" w:lineRule="auto"/>
        <w:ind w:left="-140" w:leftChars="-50" w:right="-20" w:rightChars="-7" w:firstLine="501" w:firstLineChars="179"/>
        <w:textAlignment w:val="auto"/>
        <w:outlineLvl w:val="1"/>
        <w:rPr>
          <w:rFonts w:hint="eastAsia" w:ascii="仿宋" w:hAnsi="仿宋" w:eastAsia="仿宋" w:cs="仿宋"/>
          <w:b w:val="0"/>
          <w:bCs w:val="0"/>
          <w:color w:val="auto"/>
          <w:szCs w:val="28"/>
          <w:highlight w:val="yellow"/>
          <w:lang w:val="en-US" w:eastAsia="zh-CN"/>
        </w:rPr>
      </w:pPr>
      <w:r>
        <w:rPr>
          <w:rFonts w:hint="eastAsia" w:ascii="仿宋" w:hAnsi="仿宋" w:eastAsia="仿宋" w:cs="仿宋"/>
          <w:b w:val="0"/>
          <w:bCs w:val="0"/>
          <w:color w:val="auto"/>
          <w:szCs w:val="28"/>
          <w:highlight w:val="yellow"/>
          <w:lang w:val="en-US" w:eastAsia="zh-CN"/>
        </w:rPr>
        <w:t>4.1.2试验桩检测合格并经建设单位和设计单位确定具体施工技术参数等相关工作确定后才正式大面积施工桩基础工程。</w:t>
      </w:r>
    </w:p>
    <w:p w14:paraId="08489909">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147" w:beforeLines="50" w:line="360" w:lineRule="auto"/>
        <w:ind w:left="-140" w:leftChars="-50" w:right="-20" w:rightChars="-7" w:firstLine="503" w:firstLineChars="179"/>
        <w:textAlignment w:val="auto"/>
        <w:outlineLvl w:val="1"/>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lang w:val="en-US" w:eastAsia="zh-CN"/>
        </w:rPr>
        <w:t>以上工期</w:t>
      </w:r>
      <w:r>
        <w:rPr>
          <w:rFonts w:hint="eastAsia" w:ascii="仿宋" w:hAnsi="仿宋" w:eastAsia="仿宋" w:cs="仿宋"/>
          <w:b/>
          <w:bCs/>
          <w:color w:val="auto"/>
          <w:szCs w:val="28"/>
          <w:highlight w:val="none"/>
        </w:rPr>
        <w:t>包含乙</w:t>
      </w:r>
      <w:r>
        <w:rPr>
          <w:rFonts w:hint="eastAsia" w:ascii="仿宋" w:hAnsi="仿宋" w:eastAsia="仿宋" w:cs="仿宋"/>
          <w:b/>
          <w:bCs/>
          <w:color w:val="auto"/>
          <w:szCs w:val="28"/>
          <w:highlight w:val="none"/>
          <w:lang w:val="en-US" w:eastAsia="zh-CN"/>
        </w:rPr>
        <w:t>方采购</w:t>
      </w:r>
      <w:r>
        <w:rPr>
          <w:rFonts w:hint="eastAsia" w:ascii="仿宋" w:hAnsi="仿宋" w:eastAsia="仿宋" w:cs="仿宋"/>
          <w:b/>
          <w:bCs/>
          <w:color w:val="auto"/>
          <w:szCs w:val="28"/>
          <w:highlight w:val="none"/>
        </w:rPr>
        <w:t>材料、设备的货期，</w:t>
      </w:r>
      <w:r>
        <w:rPr>
          <w:rFonts w:hint="eastAsia" w:ascii="仿宋" w:hAnsi="仿宋" w:eastAsia="仿宋" w:cs="仿宋"/>
          <w:b/>
          <w:bCs/>
          <w:color w:val="auto"/>
          <w:szCs w:val="28"/>
          <w:highlight w:val="none"/>
          <w:lang w:val="en-US" w:eastAsia="zh-CN"/>
        </w:rPr>
        <w:t>实际</w:t>
      </w:r>
      <w:r>
        <w:rPr>
          <w:rFonts w:hint="eastAsia" w:ascii="仿宋" w:hAnsi="仿宋" w:eastAsia="仿宋" w:cs="仿宋"/>
          <w:b/>
          <w:bCs/>
          <w:color w:val="auto"/>
          <w:szCs w:val="28"/>
          <w:highlight w:val="none"/>
        </w:rPr>
        <w:t>工期以全面满足甲方要求为准。甲方通知后24小时内，乙方项目现场负责人及主要工作人员须进场开始工作，具体</w:t>
      </w:r>
      <w:r>
        <w:rPr>
          <w:rFonts w:hint="eastAsia" w:ascii="仿宋" w:hAnsi="仿宋" w:eastAsia="仿宋" w:cs="仿宋"/>
          <w:b/>
          <w:bCs/>
          <w:color w:val="auto"/>
          <w:szCs w:val="28"/>
          <w:highlight w:val="none"/>
          <w:lang w:val="en-US" w:eastAsia="zh-CN"/>
        </w:rPr>
        <w:t>以</w:t>
      </w:r>
      <w:r>
        <w:rPr>
          <w:rFonts w:hint="eastAsia" w:ascii="仿宋" w:hAnsi="仿宋" w:eastAsia="仿宋" w:cs="仿宋"/>
          <w:b/>
          <w:bCs/>
          <w:color w:val="auto"/>
          <w:szCs w:val="28"/>
          <w:highlight w:val="none"/>
        </w:rPr>
        <w:t>甲方要求为准，</w:t>
      </w:r>
      <w:r>
        <w:rPr>
          <w:rFonts w:hint="eastAsia" w:ascii="仿宋" w:hAnsi="仿宋" w:eastAsia="仿宋" w:cs="仿宋"/>
          <w:b/>
          <w:bCs/>
          <w:color w:val="auto"/>
          <w:szCs w:val="28"/>
          <w:highlight w:val="none"/>
          <w:lang w:val="en-US" w:eastAsia="zh-CN"/>
        </w:rPr>
        <w:t>乙方</w:t>
      </w:r>
      <w:r>
        <w:rPr>
          <w:rFonts w:hint="eastAsia" w:ascii="仿宋" w:hAnsi="仿宋" w:eastAsia="仿宋" w:cs="仿宋"/>
          <w:b/>
          <w:bCs/>
          <w:color w:val="auto"/>
          <w:szCs w:val="28"/>
          <w:highlight w:val="none"/>
        </w:rPr>
        <w:t>必须满足甲方项目工期要求。</w:t>
      </w:r>
    </w:p>
    <w:p w14:paraId="30E5BA69">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147" w:beforeLines="50" w:line="360" w:lineRule="auto"/>
        <w:ind w:left="-140" w:leftChars="-50" w:right="-20" w:rightChars="-7" w:firstLine="503" w:firstLineChars="179"/>
        <w:textAlignment w:val="auto"/>
        <w:outlineLvl w:val="1"/>
        <w:rPr>
          <w:rFonts w:hint="eastAsia" w:ascii="仿宋" w:hAnsi="仿宋" w:eastAsia="仿宋" w:cs="仿宋"/>
          <w:b/>
          <w:bCs/>
          <w:i w:val="0"/>
          <w:iCs w:val="0"/>
          <w:color w:val="auto"/>
          <w:kern w:val="2"/>
          <w:sz w:val="28"/>
          <w:szCs w:val="28"/>
          <w:highlight w:val="none"/>
          <w:lang w:val="en-US" w:eastAsia="zh-CN" w:bidi="ar-SA"/>
        </w:rPr>
      </w:pPr>
      <w:r>
        <w:rPr>
          <w:rFonts w:hint="eastAsia" w:ascii="仿宋" w:hAnsi="仿宋" w:eastAsia="仿宋" w:cs="仿宋"/>
          <w:b/>
          <w:bCs/>
          <w:color w:val="auto"/>
          <w:szCs w:val="28"/>
          <w:highlight w:val="none"/>
        </w:rPr>
        <w:t>4.2 因甲方原因引起的工期延误（无论时间长短）导致的相关费用和损失，乙方已综合考虑在合同单价里，不向甲方索赔也不要求甲方承担责任。</w:t>
      </w:r>
    </w:p>
    <w:p w14:paraId="78366159">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147" w:beforeLines="50" w:line="360" w:lineRule="auto"/>
        <w:ind w:left="-140" w:leftChars="-50" w:right="-20" w:rightChars="-7" w:firstLine="503" w:firstLineChars="179"/>
        <w:textAlignment w:val="auto"/>
        <w:outlineLvl w:val="1"/>
        <w:rPr>
          <w:rFonts w:hint="eastAsia" w:ascii="仿宋" w:hAnsi="仿宋" w:eastAsia="仿宋" w:cs="仿宋"/>
          <w:b/>
          <w:bCs/>
          <w:i w:val="0"/>
          <w:iCs w:val="0"/>
          <w:color w:val="auto"/>
          <w:sz w:val="28"/>
          <w:szCs w:val="28"/>
          <w:highlight w:val="none"/>
          <w:lang w:val="en-US" w:eastAsia="zh-CN"/>
        </w:rPr>
      </w:pPr>
      <w:r>
        <w:rPr>
          <w:rFonts w:hint="eastAsia" w:ascii="仿宋" w:hAnsi="仿宋" w:eastAsia="仿宋" w:cs="仿宋"/>
          <w:b/>
          <w:bCs/>
          <w:i w:val="0"/>
          <w:iCs w:val="0"/>
          <w:color w:val="auto"/>
          <w:kern w:val="2"/>
          <w:sz w:val="28"/>
          <w:szCs w:val="28"/>
          <w:highlight w:val="none"/>
          <w:lang w:val="en-US" w:eastAsia="zh-CN" w:bidi="ar-SA"/>
        </w:rPr>
        <w:t>第五章、</w:t>
      </w:r>
      <w:r>
        <w:rPr>
          <w:rFonts w:hint="eastAsia" w:ascii="仿宋" w:hAnsi="仿宋" w:eastAsia="仿宋" w:cs="仿宋"/>
          <w:b/>
          <w:bCs/>
          <w:i w:val="0"/>
          <w:iCs w:val="0"/>
          <w:color w:val="auto"/>
          <w:sz w:val="28"/>
          <w:szCs w:val="28"/>
          <w:highlight w:val="none"/>
          <w:lang w:val="en-US" w:eastAsia="zh-CN"/>
        </w:rPr>
        <w:t>合同价款</w:t>
      </w:r>
      <w:bookmarkEnd w:id="64"/>
      <w:bookmarkEnd w:id="65"/>
      <w:bookmarkEnd w:id="66"/>
      <w:bookmarkEnd w:id="67"/>
      <w:bookmarkEnd w:id="68"/>
      <w:bookmarkEnd w:id="69"/>
      <w:bookmarkEnd w:id="70"/>
    </w:p>
    <w:p w14:paraId="11A3C30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5.1乙方完成本合同第一部分 合同专用条款第三章所述工作、实现第一部分 合同专用条款第四章工期要求及承担合同义务、责任、风险的费用已包括在下列合同价中（以打</w:t>
      </w:r>
      <w:r>
        <w:rPr>
          <w:rFonts w:hint="eastAsia" w:ascii="仿宋" w:hAnsi="仿宋" w:eastAsia="仿宋" w:cs="仿宋"/>
          <w:b w:val="0"/>
          <w:bCs w:val="0"/>
          <w:i w:val="0"/>
          <w:iCs w:val="0"/>
          <w:color w:val="auto"/>
          <w:sz w:val="28"/>
          <w:szCs w:val="28"/>
          <w:highlight w:val="none"/>
          <w:lang w:val="en-US" w:eastAsia="zh-CN"/>
        </w:rPr>
        <w:sym w:font="Wingdings 2" w:char="0052"/>
      </w:r>
      <w:r>
        <w:rPr>
          <w:rFonts w:hint="eastAsia" w:ascii="仿宋" w:hAnsi="仿宋" w:eastAsia="仿宋" w:cs="仿宋"/>
          <w:b w:val="0"/>
          <w:bCs w:val="0"/>
          <w:i w:val="0"/>
          <w:iCs w:val="0"/>
          <w:color w:val="auto"/>
          <w:sz w:val="28"/>
          <w:szCs w:val="28"/>
          <w:highlight w:val="none"/>
          <w:lang w:val="en-US" w:eastAsia="zh-CN"/>
        </w:rPr>
        <w:t>为准）。</w:t>
      </w:r>
    </w:p>
    <w:p w14:paraId="25F56C0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sym w:font="Wingdings 2" w:char="00A3"/>
      </w:r>
      <w:r>
        <w:rPr>
          <w:rFonts w:hint="eastAsia" w:ascii="仿宋" w:hAnsi="仿宋" w:eastAsia="仿宋" w:cs="仿宋"/>
          <w:b w:val="0"/>
          <w:bCs w:val="0"/>
          <w:i w:val="0"/>
          <w:iCs w:val="0"/>
          <w:color w:val="auto"/>
          <w:sz w:val="28"/>
          <w:szCs w:val="28"/>
          <w:highlight w:val="none"/>
          <w:lang w:val="en-US" w:eastAsia="zh-CN"/>
        </w:rPr>
        <w:t>本合同为固定总价合同，合同总价为人民币</w:t>
      </w:r>
      <w:r>
        <w:rPr>
          <w:rFonts w:hint="eastAsia" w:ascii="仿宋" w:hAnsi="仿宋" w:eastAsia="仿宋" w:cs="仿宋"/>
          <w:b w:val="0"/>
          <w:bCs w:val="0"/>
          <w:i w:val="0"/>
          <w:iCs w:val="0"/>
          <w:color w:val="auto"/>
          <w:sz w:val="28"/>
          <w:szCs w:val="28"/>
          <w:highlight w:val="none"/>
          <w:u w:val="single"/>
          <w:lang w:val="en-US" w:eastAsia="zh-CN"/>
        </w:rPr>
        <w:t xml:space="preserve"> / </w:t>
      </w:r>
      <w:r>
        <w:rPr>
          <w:rFonts w:hint="eastAsia" w:ascii="仿宋" w:hAnsi="仿宋" w:eastAsia="仿宋" w:cs="仿宋"/>
          <w:b w:val="0"/>
          <w:bCs w:val="0"/>
          <w:i w:val="0"/>
          <w:iCs w:val="0"/>
          <w:color w:val="auto"/>
          <w:sz w:val="28"/>
          <w:szCs w:val="28"/>
          <w:highlight w:val="none"/>
          <w:lang w:val="en-US" w:eastAsia="zh-CN"/>
        </w:rPr>
        <w:t>元整，此价含税，乙方开具税率</w:t>
      </w:r>
      <w:r>
        <w:rPr>
          <w:rFonts w:hint="eastAsia" w:ascii="仿宋" w:hAnsi="仿宋" w:eastAsia="仿宋" w:cs="仿宋"/>
          <w:b w:val="0"/>
          <w:bCs w:val="0"/>
          <w:i w:val="0"/>
          <w:iCs w:val="0"/>
          <w:color w:val="auto"/>
          <w:sz w:val="28"/>
          <w:szCs w:val="28"/>
          <w:highlight w:val="none"/>
          <w:u w:val="single"/>
          <w:lang w:val="en-US" w:eastAsia="zh-CN"/>
        </w:rPr>
        <w:t xml:space="preserve">  / %</w:t>
      </w:r>
      <w:r>
        <w:rPr>
          <w:rFonts w:hint="eastAsia" w:ascii="仿宋" w:hAnsi="仿宋" w:eastAsia="仿宋" w:cs="仿宋"/>
          <w:b w:val="0"/>
          <w:bCs w:val="0"/>
          <w:i w:val="0"/>
          <w:iCs w:val="0"/>
          <w:color w:val="auto"/>
          <w:sz w:val="28"/>
          <w:szCs w:val="28"/>
          <w:highlight w:val="none"/>
          <w:lang w:val="en-US" w:eastAsia="zh-CN"/>
        </w:rPr>
        <w:t>的增值税专用发票（税率按国家政策执行，如税率调整，合同总价随之调整）。合同总价包含乙方完成合同附件所述内容的费用，除合同另有约定外，不作调整。</w:t>
      </w:r>
    </w:p>
    <w:p w14:paraId="50A9055F">
      <w:pPr>
        <w:keepNext w:val="0"/>
        <w:keepLines w:val="0"/>
        <w:pageBreakBefore w:val="0"/>
        <w:widowControl w:val="0"/>
        <w:shd w:val="clear" w:color="auto" w:fill="auto"/>
        <w:kinsoku/>
        <w:wordWrap w:val="0"/>
        <w:overflowPunct/>
        <w:topLinePunct w:val="0"/>
        <w:autoSpaceDE/>
        <w:autoSpaceDN/>
        <w:bidi w:val="0"/>
        <w:adjustRightInd w:val="0"/>
        <w:snapToGrid w:val="0"/>
        <w:spacing w:line="360" w:lineRule="auto"/>
        <w:ind w:left="-140" w:leftChars="-50" w:right="-20" w:rightChars="-7" w:firstLine="503" w:firstLineChars="179"/>
        <w:jc w:val="left"/>
        <w:textAlignment w:val="auto"/>
        <w:rPr>
          <w:rFonts w:hint="eastAsia" w:ascii="仿宋" w:hAnsi="仿宋" w:eastAsia="仿宋" w:cs="仿宋"/>
          <w:b/>
          <w:bCs/>
          <w:i w:val="0"/>
          <w:iCs w:val="0"/>
          <w:color w:val="auto"/>
          <w:sz w:val="28"/>
          <w:szCs w:val="28"/>
          <w:highlight w:val="none"/>
          <w:lang w:val="en-US" w:eastAsia="zh-CN"/>
        </w:rPr>
      </w:pPr>
      <w:r>
        <w:rPr>
          <w:rFonts w:hint="eastAsia" w:ascii="仿宋" w:hAnsi="仿宋" w:eastAsia="仿宋" w:cs="仿宋"/>
          <w:b/>
          <w:bCs/>
          <w:i w:val="0"/>
          <w:iCs w:val="0"/>
          <w:color w:val="auto"/>
          <w:sz w:val="28"/>
          <w:szCs w:val="28"/>
          <w:highlight w:val="none"/>
          <w:lang w:val="en-US" w:eastAsia="zh-CN"/>
        </w:rPr>
        <w:sym w:font="Wingdings 2" w:char="0052"/>
      </w:r>
      <w:r>
        <w:rPr>
          <w:rFonts w:hint="eastAsia" w:ascii="仿宋" w:hAnsi="仿宋" w:eastAsia="仿宋" w:cs="仿宋"/>
          <w:b/>
          <w:bCs/>
          <w:i w:val="0"/>
          <w:iCs w:val="0"/>
          <w:color w:val="auto"/>
          <w:sz w:val="28"/>
          <w:szCs w:val="28"/>
          <w:highlight w:val="none"/>
          <w:lang w:val="en-US" w:eastAsia="zh-CN"/>
        </w:rPr>
        <w:t>本合同为固定单价合同，工程量按实结算。合同单价（详见附件《招标清单》）为全费用固定综合单价（仅不含增值税），包含乙方完成合同文件所述内容的全部费用，除合同另有约定外，不做任何调整。乙方开具税率</w:t>
      </w:r>
      <w:r>
        <w:rPr>
          <w:rFonts w:hint="eastAsia" w:ascii="仿宋" w:hAnsi="仿宋" w:eastAsia="仿宋" w:cs="仿宋"/>
          <w:b/>
          <w:bCs/>
          <w:i w:val="0"/>
          <w:iCs w:val="0"/>
          <w:color w:val="auto"/>
          <w:sz w:val="28"/>
          <w:szCs w:val="28"/>
          <w:highlight w:val="none"/>
          <w:u w:val="single"/>
          <w:lang w:val="en-US" w:eastAsia="zh-CN"/>
        </w:rPr>
        <w:t xml:space="preserve">   </w:t>
      </w:r>
      <w:r>
        <w:rPr>
          <w:rFonts w:hint="eastAsia" w:ascii="仿宋" w:hAnsi="仿宋" w:eastAsia="仿宋" w:cs="仿宋"/>
          <w:b/>
          <w:bCs/>
          <w:i w:val="0"/>
          <w:iCs w:val="0"/>
          <w:color w:val="auto"/>
          <w:sz w:val="28"/>
          <w:szCs w:val="28"/>
          <w:highlight w:val="none"/>
          <w:lang w:val="en-US" w:eastAsia="zh-CN"/>
        </w:rPr>
        <w:t>%的增值税专用发票，税率按国家政策执行，如税率调整，税金随之调整。本合同暂定总价为人民币</w:t>
      </w:r>
      <w:r>
        <w:rPr>
          <w:rFonts w:hint="eastAsia" w:ascii="仿宋" w:hAnsi="仿宋" w:eastAsia="仿宋" w:cs="仿宋"/>
          <w:b/>
          <w:bCs/>
          <w:i w:val="0"/>
          <w:iCs w:val="0"/>
          <w:color w:val="auto"/>
          <w:sz w:val="28"/>
          <w:szCs w:val="28"/>
          <w:highlight w:val="none"/>
          <w:u w:val="single"/>
          <w:lang w:val="en-US" w:eastAsia="zh-CN"/>
        </w:rPr>
        <w:t xml:space="preserve">   </w:t>
      </w:r>
      <w:r>
        <w:rPr>
          <w:rFonts w:hint="eastAsia" w:ascii="仿宋" w:hAnsi="仿宋" w:eastAsia="仿宋" w:cs="仿宋"/>
          <w:b/>
          <w:bCs/>
          <w:i w:val="0"/>
          <w:iCs w:val="0"/>
          <w:color w:val="auto"/>
          <w:sz w:val="28"/>
          <w:szCs w:val="28"/>
          <w:highlight w:val="none"/>
          <w:lang w:val="en-US" w:eastAsia="zh-CN"/>
        </w:rPr>
        <w:t>元，其中不含税价为人民币</w:t>
      </w:r>
      <w:r>
        <w:rPr>
          <w:rFonts w:hint="eastAsia" w:ascii="仿宋" w:hAnsi="仿宋" w:eastAsia="仿宋" w:cs="仿宋"/>
          <w:b/>
          <w:bCs/>
          <w:i w:val="0"/>
          <w:iCs w:val="0"/>
          <w:color w:val="auto"/>
          <w:sz w:val="28"/>
          <w:szCs w:val="28"/>
          <w:highlight w:val="none"/>
          <w:u w:val="single"/>
          <w:lang w:val="en-US" w:eastAsia="zh-CN"/>
        </w:rPr>
        <w:t xml:space="preserve">   </w:t>
      </w:r>
      <w:r>
        <w:rPr>
          <w:rFonts w:hint="eastAsia" w:ascii="仿宋" w:hAnsi="仿宋" w:eastAsia="仿宋" w:cs="仿宋"/>
          <w:b/>
          <w:bCs/>
          <w:i w:val="0"/>
          <w:iCs w:val="0"/>
          <w:color w:val="auto"/>
          <w:sz w:val="28"/>
          <w:szCs w:val="28"/>
          <w:highlight w:val="none"/>
          <w:lang w:val="en-US" w:eastAsia="zh-CN"/>
        </w:rPr>
        <w:t>元，增值税税金为人民币</w:t>
      </w:r>
      <w:r>
        <w:rPr>
          <w:rFonts w:hint="eastAsia" w:ascii="仿宋" w:hAnsi="仿宋" w:eastAsia="仿宋" w:cs="仿宋"/>
          <w:b/>
          <w:bCs/>
          <w:i w:val="0"/>
          <w:iCs w:val="0"/>
          <w:color w:val="auto"/>
          <w:sz w:val="28"/>
          <w:szCs w:val="28"/>
          <w:highlight w:val="none"/>
          <w:u w:val="single"/>
          <w:lang w:val="en-US" w:eastAsia="zh-CN"/>
        </w:rPr>
        <w:t xml:space="preserve">    </w:t>
      </w:r>
      <w:r>
        <w:rPr>
          <w:rFonts w:hint="eastAsia" w:ascii="仿宋" w:hAnsi="仿宋" w:eastAsia="仿宋" w:cs="仿宋"/>
          <w:b/>
          <w:bCs/>
          <w:i w:val="0"/>
          <w:iCs w:val="0"/>
          <w:color w:val="auto"/>
          <w:sz w:val="28"/>
          <w:szCs w:val="28"/>
          <w:highlight w:val="none"/>
          <w:lang w:val="en-US" w:eastAsia="zh-CN"/>
        </w:rPr>
        <w:t>元。合同暂定总价仅供参考，不作结算用途。</w:t>
      </w:r>
    </w:p>
    <w:p w14:paraId="21B588F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bookmarkStart w:id="71" w:name="_Toc5821"/>
      <w:r>
        <w:rPr>
          <w:rFonts w:hint="eastAsia" w:ascii="仿宋" w:hAnsi="仿宋" w:eastAsia="仿宋" w:cs="仿宋"/>
          <w:b w:val="0"/>
          <w:bCs w:val="0"/>
          <w:i w:val="0"/>
          <w:iCs w:val="0"/>
          <w:color w:val="auto"/>
          <w:sz w:val="28"/>
          <w:szCs w:val="28"/>
          <w:highlight w:val="none"/>
          <w:lang w:val="en-US" w:eastAsia="zh-CN"/>
        </w:rPr>
        <w:t>5.2合同单价适用于本项目用地红线范围内的全部本工程工作内容，已有价格的子目双方无需另行确定单价，均按已确定的合同价格执行。</w:t>
      </w:r>
      <w:bookmarkEnd w:id="71"/>
    </w:p>
    <w:p w14:paraId="2EC74F4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5.3在本合同对应的招标过程中，乙方对招标清单、图纸、施工方案、技术要求等招采文件内容未经甲方同意而擅自更改，删除等，无论是否在本合同正文、附件中有所体现、表述，属乙方欺瞒甲方的不诚信行为，该条款属无效条款，乙方须按甲方的招采要求（以甲方解释为准）执行，甲方不承担任何损失和费用，因此产生的损失、后果由乙方承担，给甲方造成的损失由乙方全额赔偿，同时甲方有权单方解除合同且不付款。</w:t>
      </w:r>
    </w:p>
    <w:p w14:paraId="02082D7C">
      <w:pPr>
        <w:keepNext w:val="0"/>
        <w:keepLines w:val="0"/>
        <w:pageBreakBefore w:val="0"/>
        <w:widowControl w:val="0"/>
        <w:numPr>
          <w:ilvl w:val="-1"/>
          <w:numId w:val="0"/>
        </w:numPr>
        <w:shd w:val="clear" w:color="auto" w:fill="auto"/>
        <w:kinsoku/>
        <w:wordWrap/>
        <w:overflowPunct/>
        <w:topLinePunct w:val="0"/>
        <w:autoSpaceDE/>
        <w:autoSpaceDN/>
        <w:bidi w:val="0"/>
        <w:adjustRightInd w:val="0"/>
        <w:snapToGrid w:val="0"/>
        <w:spacing w:before="0" w:beforeLines="-2147483648" w:line="360" w:lineRule="auto"/>
        <w:ind w:left="-140" w:leftChars="-50" w:right="-20" w:rightChars="-7" w:firstLine="503" w:firstLineChars="179"/>
        <w:textAlignment w:val="auto"/>
        <w:outlineLvl w:val="9"/>
        <w:rPr>
          <w:rFonts w:hint="eastAsia" w:ascii="仿宋" w:hAnsi="仿宋" w:eastAsia="仿宋" w:cs="仿宋"/>
          <w:b/>
          <w:bCs/>
          <w:i w:val="0"/>
          <w:iCs w:val="0"/>
          <w:color w:val="auto"/>
          <w:sz w:val="28"/>
          <w:szCs w:val="28"/>
          <w:highlight w:val="none"/>
          <w:lang w:val="en-US" w:eastAsia="zh-CN"/>
        </w:rPr>
      </w:pPr>
      <w:bookmarkStart w:id="72" w:name="_Toc12937"/>
      <w:bookmarkStart w:id="73" w:name="_Toc6457"/>
      <w:bookmarkStart w:id="74" w:name="_Toc32757"/>
      <w:bookmarkStart w:id="75" w:name="_Toc4378"/>
      <w:bookmarkStart w:id="76" w:name="_Toc9761"/>
      <w:bookmarkStart w:id="77" w:name="_Toc24638"/>
      <w:bookmarkStart w:id="78" w:name="_Toc30735"/>
      <w:r>
        <w:rPr>
          <w:rFonts w:hint="eastAsia" w:ascii="仿宋" w:hAnsi="仿宋" w:eastAsia="仿宋" w:cs="仿宋"/>
          <w:b/>
          <w:bCs/>
          <w:i w:val="0"/>
          <w:iCs w:val="0"/>
          <w:color w:val="auto"/>
          <w:kern w:val="2"/>
          <w:sz w:val="28"/>
          <w:szCs w:val="28"/>
          <w:highlight w:val="none"/>
          <w:lang w:val="en-US" w:eastAsia="zh-CN" w:bidi="ar-SA"/>
        </w:rPr>
        <w:t>第六章、</w:t>
      </w:r>
      <w:r>
        <w:rPr>
          <w:rFonts w:hint="eastAsia" w:ascii="仿宋" w:hAnsi="仿宋" w:eastAsia="仿宋" w:cs="仿宋"/>
          <w:b/>
          <w:bCs/>
          <w:i w:val="0"/>
          <w:iCs w:val="0"/>
          <w:color w:val="auto"/>
          <w:sz w:val="28"/>
          <w:szCs w:val="28"/>
          <w:highlight w:val="none"/>
          <w:lang w:val="en-US" w:eastAsia="zh-CN"/>
        </w:rPr>
        <w:t>计量计价方式及结算方式</w:t>
      </w:r>
      <w:bookmarkEnd w:id="72"/>
      <w:bookmarkEnd w:id="73"/>
      <w:bookmarkEnd w:id="74"/>
      <w:bookmarkEnd w:id="75"/>
      <w:bookmarkEnd w:id="76"/>
      <w:bookmarkEnd w:id="77"/>
      <w:r>
        <w:rPr>
          <w:rFonts w:hint="eastAsia" w:ascii="仿宋" w:hAnsi="仿宋" w:eastAsia="仿宋" w:cs="仿宋"/>
          <w:b/>
          <w:bCs/>
          <w:i w:val="0"/>
          <w:iCs w:val="0"/>
          <w:color w:val="auto"/>
          <w:sz w:val="28"/>
          <w:szCs w:val="28"/>
          <w:highlight w:val="none"/>
          <w:lang w:val="en-US" w:eastAsia="zh-CN"/>
        </w:rPr>
        <w:tab/>
      </w:r>
      <w:bookmarkEnd w:id="78"/>
    </w:p>
    <w:p w14:paraId="0147051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6.1工程量有竣工图纸部分，按甲方确认的竣工图计算，无图纸部分以甲方与建设单位签字确认的签证单工程量或按照甲方《分包单位签证管理制度》和《临时设施管理制度》等签证相关要求（如本合同第二部分 合同通用条款第五章第5.2条等）执行。经甲方项目部验收合格的工程，按合同约定的计价方式结算。</w:t>
      </w:r>
    </w:p>
    <w:p w14:paraId="6C26D9F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618" w:firstLineChars="221"/>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sym w:font="Wingdings 2" w:char="00A3"/>
      </w:r>
      <w:r>
        <w:rPr>
          <w:rFonts w:hint="eastAsia" w:ascii="仿宋" w:hAnsi="仿宋" w:eastAsia="仿宋" w:cs="仿宋"/>
          <w:color w:val="auto"/>
          <w:sz w:val="28"/>
          <w:szCs w:val="28"/>
          <w:highlight w:val="none"/>
        </w:rPr>
        <w:t>固定总价合同结算方式：结算总价=固定合同总价-合同内未施工内容+合同外增加内容（</w:t>
      </w:r>
      <w:r>
        <w:rPr>
          <w:rFonts w:hint="eastAsia" w:ascii="仿宋" w:hAnsi="仿宋" w:eastAsia="仿宋" w:cs="仿宋"/>
          <w:color w:val="auto"/>
          <w:sz w:val="28"/>
          <w:szCs w:val="28"/>
          <w:highlight w:val="none"/>
          <w:lang w:val="en-US" w:eastAsia="zh-CN"/>
        </w:rPr>
        <w:t>须</w:t>
      </w:r>
      <w:r>
        <w:rPr>
          <w:rFonts w:hint="eastAsia" w:ascii="仿宋" w:hAnsi="仿宋" w:eastAsia="仿宋" w:cs="仿宋"/>
          <w:color w:val="auto"/>
          <w:sz w:val="28"/>
          <w:szCs w:val="28"/>
          <w:highlight w:val="none"/>
        </w:rPr>
        <w:t>有</w:t>
      </w:r>
      <w:r>
        <w:rPr>
          <w:rFonts w:hint="eastAsia" w:ascii="仿宋" w:hAnsi="仿宋" w:eastAsia="仿宋" w:cs="仿宋"/>
          <w:color w:val="auto"/>
          <w:sz w:val="28"/>
          <w:szCs w:val="28"/>
          <w:highlight w:val="none"/>
          <w:lang w:val="en-US" w:eastAsia="zh-CN"/>
        </w:rPr>
        <w:t>建设单位与甲方的签证或</w:t>
      </w:r>
      <w:r>
        <w:rPr>
          <w:rFonts w:hint="eastAsia" w:ascii="仿宋" w:hAnsi="仿宋" w:eastAsia="仿宋" w:cs="仿宋"/>
          <w:color w:val="auto"/>
          <w:sz w:val="28"/>
          <w:szCs w:val="28"/>
          <w:highlight w:val="none"/>
        </w:rPr>
        <w:t>甲方</w:t>
      </w:r>
      <w:r>
        <w:rPr>
          <w:rFonts w:hint="eastAsia" w:ascii="仿宋" w:hAnsi="仿宋" w:eastAsia="仿宋" w:cs="仿宋"/>
          <w:color w:val="auto"/>
          <w:sz w:val="28"/>
          <w:szCs w:val="28"/>
          <w:highlight w:val="none"/>
          <w:lang w:val="en-US" w:eastAsia="zh-CN"/>
        </w:rPr>
        <w:t>确认的“分包签证确认单”和“分项工程/认质认价申报审批表”等定价文件</w:t>
      </w:r>
      <w:r>
        <w:rPr>
          <w:rFonts w:hint="eastAsia" w:ascii="仿宋" w:hAnsi="仿宋" w:eastAsia="仿宋" w:cs="仿宋"/>
          <w:color w:val="auto"/>
          <w:sz w:val="28"/>
          <w:szCs w:val="28"/>
          <w:highlight w:val="none"/>
        </w:rPr>
        <w:t>）-合同约定扣除费用。</w:t>
      </w:r>
    </w:p>
    <w:p w14:paraId="223319EA">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60" w:lineRule="auto"/>
        <w:ind w:left="-140" w:leftChars="-50" w:right="-20" w:rightChars="-7" w:firstLine="621" w:firstLineChars="221"/>
        <w:textAlignment w:val="auto"/>
        <w:rPr>
          <w:rFonts w:hint="eastAsia" w:ascii="仿宋" w:hAnsi="仿宋" w:eastAsia="仿宋" w:cs="仿宋"/>
          <w:b/>
          <w:bCs/>
          <w:i w:val="0"/>
          <w:iCs w:val="0"/>
          <w:color w:val="auto"/>
          <w:sz w:val="28"/>
          <w:szCs w:val="28"/>
          <w:highlight w:val="none"/>
          <w:lang w:val="en-US" w:eastAsia="zh-CN"/>
        </w:rPr>
      </w:pPr>
      <w:r>
        <w:rPr>
          <w:rFonts w:hint="eastAsia" w:ascii="仿宋" w:hAnsi="仿宋" w:eastAsia="仿宋" w:cs="仿宋"/>
          <w:b/>
          <w:bCs/>
          <w:color w:val="auto"/>
          <w:sz w:val="28"/>
          <w:szCs w:val="28"/>
          <w:highlight w:val="none"/>
        </w:rPr>
        <w:sym w:font="Wingdings 2" w:char="0052"/>
      </w:r>
      <w:r>
        <w:rPr>
          <w:rFonts w:hint="eastAsia" w:ascii="仿宋" w:hAnsi="仿宋" w:eastAsia="仿宋" w:cs="仿宋"/>
          <w:b/>
          <w:bCs/>
          <w:color w:val="auto"/>
          <w:sz w:val="28"/>
          <w:szCs w:val="28"/>
          <w:highlight w:val="none"/>
        </w:rPr>
        <w:t>固定单价合同结算方式：结算总价=完成并达到合同标准的实际工程量×合同单价-合同约定扣除费用。</w:t>
      </w:r>
    </w:p>
    <w:p w14:paraId="07FD1E1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6.2工程量计算原则</w:t>
      </w:r>
    </w:p>
    <w:p w14:paraId="29800E4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6.2.1本工程图纸以外的工程凭甲方认可的建设单位签证及相关依据办理结算。任何人的口头指示、通知不作为结算依据。经甲方验收合格的工程，按“完成施工并达到合同标准的实际工程量×相应合同单价”的方式结算。工程量计算规则如下：</w:t>
      </w:r>
    </w:p>
    <w:p w14:paraId="608E1B3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6.2.2预制混凝土管桩工程量按桩入土长度以“米”计算（桩尖长度不计），超出地面的桩长度不得计算；</w:t>
      </w:r>
    </w:p>
    <w:p w14:paraId="2D240B0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6.2.3送桩工程量按实际送桩长度以“米”计算；</w:t>
      </w:r>
    </w:p>
    <w:p w14:paraId="38F4F98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6.2.4桩尖工程量按实际完成个数计算；</w:t>
      </w:r>
    </w:p>
    <w:p w14:paraId="720A5ED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6.2.5预制混凝土管桩封底工程量，按竣工图标注长度乘以管内截面积以“m3”计算；</w:t>
      </w:r>
    </w:p>
    <w:p w14:paraId="0B9398A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6.2.6引孔工程量按实际完成长度以“米”计算；</w:t>
      </w:r>
    </w:p>
    <w:p w14:paraId="3E85799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6.2.7因乙方配桩或测量等乙方原因须补桩或承台加大或加深，属乙方责任，其费用由乙方承担；</w:t>
      </w:r>
    </w:p>
    <w:p w14:paraId="6927A7A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6.2.8断桩和破桩等不合格的桩不予计量（建设单位因地质原因同意签证的除外），同时，乙方须按甲方及设计要求完成补桩或其它满足要求方法处理，费用由乙方承担；当发生任意一条桩施工不正常时，乙方须立即向甲方报告且须甲方再次明确可施工后方可继续施工。</w:t>
      </w:r>
    </w:p>
    <w:p w14:paraId="59B4772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6.3计价依据</w:t>
      </w:r>
    </w:p>
    <w:p w14:paraId="44FA56B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6.3.1合同范围内的工程，按合同价格执行；</w:t>
      </w:r>
    </w:p>
    <w:p w14:paraId="63B6D44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6.3.2合同范围外的签证、变更、增加工程，按下述办法执行：</w:t>
      </w:r>
    </w:p>
    <w:p w14:paraId="242DF36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6.3.2.1合同中已有适用于该工程的价格时，按合同已有的价格执行；</w:t>
      </w:r>
    </w:p>
    <w:p w14:paraId="6611622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6.3.2.2合同中只有类似于该工程的价格时，可在合理范围内参照类似价格执行；</w:t>
      </w:r>
    </w:p>
    <w:p w14:paraId="3F9CFF0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6.3.2.3合同中没有适用或类似于该工程的价格时，按下述第6.4条规则执行。</w:t>
      </w:r>
    </w:p>
    <w:p w14:paraId="041B0DD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6.4计价规则</w:t>
      </w:r>
    </w:p>
    <w:p w14:paraId="405F57D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6.4.1本工程执行《建设工程工程量清单计价标准》（GB/T 50500-2024）、《房屋建筑与装饰工程工程量计算标准》（GB/T 50854-2024）、《通用安装工程工程量计算标准》（GB/T 50856-2024）、《市政工程工程量计算标准》（GB/T 50857-2024）、《园林绿化工程工程量计算标准》（GB/T 50858-2024）、《构筑物工程工程量计算标准》（GB/T 50860-2024）；同时执行《广东省建设工程计价依据（2018）》：《广东省房屋建筑与装饰工程综合定额(2018年)》、《广东省通用安装工程综合定额(2018年)》、《广东省市政工程综合定额(2018年)》、《广东省园林绿化工程综合定额(2018年)》、《广东省建设工程施工机具台班费用编制规则（2018）》、《工程量清单项目计量标准(2024-广东)》等以及国家行政主管部门颁布的相关规定文件，采用清单计价。</w:t>
      </w:r>
    </w:p>
    <w:p w14:paraId="1C36A7D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6.4.2执行粤标定函[2025]22号文，关于调整《广东省建设工程计价依据2018》计价规则的通知。</w:t>
      </w:r>
    </w:p>
    <w:p w14:paraId="77E9E2E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6.4.3执行粤标定函[2025]22号文，采用定额编制概算、预算、最高投标限价的计价程序表。</w:t>
      </w:r>
    </w:p>
    <w:p w14:paraId="59B65F3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6.4.4</w:t>
      </w:r>
      <w:r>
        <w:rPr>
          <w:rFonts w:hint="eastAsia" w:ascii="仿宋" w:hAnsi="仿宋" w:eastAsia="仿宋" w:cs="仿宋"/>
          <w:color w:val="auto"/>
          <w:sz w:val="28"/>
          <w:szCs w:val="28"/>
          <w:highlight w:val="none"/>
          <w:lang w:val="en-US" w:eastAsia="zh-CN"/>
        </w:rPr>
        <w:t>材料价、人工价：执行本项目所在地建设工程主管部门颁布的施工同期信息价。信息价上没有颁布的材料，由乙方按施工同期的市场价格合理报价给甲方作认质认价办理。报价文件须提供相关证明文件（含材料的厂家、品牌、型号、规格等），经甲方确认综合单价后作为独立费计入总价（计取税金），甲乙双方认质认价的材料不参与任何取费及上下浮</w:t>
      </w:r>
      <w:r>
        <w:rPr>
          <w:rFonts w:hint="eastAsia" w:ascii="仿宋" w:hAnsi="仿宋" w:eastAsia="仿宋" w:cs="仿宋"/>
          <w:b w:val="0"/>
          <w:bCs w:val="0"/>
          <w:color w:val="auto"/>
          <w:sz w:val="28"/>
          <w:szCs w:val="28"/>
          <w:highlight w:val="none"/>
          <w:lang w:val="en-US" w:eastAsia="zh-CN"/>
        </w:rPr>
        <w:t>。</w:t>
      </w:r>
    </w:p>
    <w:p w14:paraId="39CB0C4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6.4.3</w:t>
      </w:r>
      <w:r>
        <w:rPr>
          <w:rFonts w:hint="eastAsia" w:ascii="仿宋" w:hAnsi="仿宋" w:eastAsia="仿宋" w:cs="仿宋"/>
          <w:b w:val="0"/>
          <w:bCs w:val="0"/>
          <w:color w:val="auto"/>
          <w:sz w:val="28"/>
          <w:szCs w:val="28"/>
          <w:highlight w:val="none"/>
          <w:lang w:val="en-US" w:eastAsia="zh-CN"/>
        </w:rPr>
        <w:t>计价中除仅计取人工费、材料费、机具费作为直接工程费外，其余按系数计取的各类取费均不计取，其他所有措施费均不单独计取费用。</w:t>
      </w:r>
    </w:p>
    <w:p w14:paraId="0246A41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6.4.4税率：按国家建设行政主管部门及国家税务部门的最新规定执行。</w:t>
      </w:r>
    </w:p>
    <w:p w14:paraId="25D6DC9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bookmarkStart w:id="79" w:name="_Toc28257"/>
      <w:r>
        <w:rPr>
          <w:rFonts w:hint="eastAsia" w:ascii="仿宋" w:hAnsi="仿宋" w:eastAsia="仿宋" w:cs="仿宋"/>
          <w:b w:val="0"/>
          <w:bCs w:val="0"/>
          <w:i w:val="0"/>
          <w:iCs w:val="0"/>
          <w:color w:val="auto"/>
          <w:sz w:val="28"/>
          <w:szCs w:val="28"/>
          <w:highlight w:val="none"/>
          <w:lang w:val="en-US" w:eastAsia="zh-CN"/>
        </w:rPr>
        <w:t>6.4.5按上述计费方式得出的含税单价下浮后（下浮率按下表执行）作为最终价格（甲方直接确认的综合单价不参与上下浮的除外）：</w:t>
      </w:r>
    </w:p>
    <w:tbl>
      <w:tblPr>
        <w:tblStyle w:val="18"/>
        <w:tblW w:w="8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0" w:type="dxa"/>
          <w:left w:w="128" w:type="dxa"/>
          <w:bottom w:w="80" w:type="dxa"/>
          <w:right w:w="128" w:type="dxa"/>
        </w:tblCellMar>
      </w:tblPr>
      <w:tblGrid>
        <w:gridCol w:w="1118"/>
        <w:gridCol w:w="5042"/>
        <w:gridCol w:w="1429"/>
        <w:gridCol w:w="1079"/>
      </w:tblGrid>
      <w:tr w14:paraId="64408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1118" w:type="dxa"/>
            <w:tcBorders>
              <w:top w:val="single" w:color="auto" w:sz="12" w:space="0"/>
              <w:left w:val="single" w:color="auto" w:sz="12" w:space="0"/>
              <w:bottom w:val="single" w:color="auto" w:sz="4" w:space="0"/>
              <w:right w:val="single" w:color="auto" w:sz="4" w:space="0"/>
            </w:tcBorders>
            <w:vAlign w:val="center"/>
          </w:tcPr>
          <w:p w14:paraId="1467B2F7">
            <w:pPr>
              <w:keepNext/>
              <w:keepLines w:val="0"/>
              <w:pageBreakBefore w:val="0"/>
              <w:widowControl w:val="0"/>
              <w:tabs>
                <w:tab w:val="left" w:pos="835"/>
              </w:tabs>
              <w:kinsoku/>
              <w:wordWrap/>
              <w:overflowPunct/>
              <w:topLinePunct w:val="0"/>
              <w:autoSpaceDE/>
              <w:autoSpaceDN/>
              <w:bidi w:val="0"/>
              <w:adjustRightInd w:val="0"/>
              <w:snapToGrid w:val="0"/>
              <w:spacing w:line="360" w:lineRule="auto"/>
              <w:ind w:left="0" w:leftChars="0" w:right="0" w:rightChars="0" w:firstLine="0" w:firstLineChars="0"/>
              <w:jc w:val="center"/>
              <w:outlineLvl w:val="1"/>
              <w:rPr>
                <w:rFonts w:hint="eastAsia" w:ascii="仿宋" w:hAnsi="仿宋" w:eastAsia="仿宋" w:cs="仿宋"/>
                <w:b/>
                <w:bCs/>
                <w:i w:val="0"/>
                <w:iCs w:val="0"/>
                <w:color w:val="auto"/>
                <w:sz w:val="24"/>
                <w:szCs w:val="24"/>
                <w:highlight w:val="none"/>
                <w:lang w:val="en-US" w:eastAsia="zh-CN"/>
              </w:rPr>
            </w:pPr>
            <w:r>
              <w:rPr>
                <w:rFonts w:hint="eastAsia" w:ascii="仿宋" w:hAnsi="仿宋" w:eastAsia="仿宋" w:cs="仿宋"/>
                <w:b/>
                <w:bCs/>
                <w:i w:val="0"/>
                <w:iCs w:val="0"/>
                <w:color w:val="auto"/>
                <w:sz w:val="24"/>
                <w:szCs w:val="24"/>
                <w:highlight w:val="none"/>
                <w:lang w:val="en-US" w:eastAsia="zh-CN"/>
              </w:rPr>
              <w:t>序号</w:t>
            </w:r>
          </w:p>
        </w:tc>
        <w:tc>
          <w:tcPr>
            <w:tcW w:w="5042" w:type="dxa"/>
            <w:tcBorders>
              <w:top w:val="single" w:color="auto" w:sz="12" w:space="0"/>
              <w:left w:val="single" w:color="auto" w:sz="4" w:space="0"/>
              <w:bottom w:val="single" w:color="auto" w:sz="4" w:space="0"/>
              <w:right w:val="single" w:color="auto" w:sz="4" w:space="0"/>
            </w:tcBorders>
            <w:vAlign w:val="center"/>
          </w:tcPr>
          <w:p w14:paraId="02B211B6">
            <w:pPr>
              <w:keepNext/>
              <w:keepLines w:val="0"/>
              <w:pageBreakBefore w:val="0"/>
              <w:widowControl w:val="0"/>
              <w:tabs>
                <w:tab w:val="left" w:pos="835"/>
              </w:tabs>
              <w:kinsoku/>
              <w:wordWrap/>
              <w:overflowPunct/>
              <w:topLinePunct w:val="0"/>
              <w:autoSpaceDE/>
              <w:autoSpaceDN/>
              <w:bidi w:val="0"/>
              <w:adjustRightInd w:val="0"/>
              <w:snapToGrid w:val="0"/>
              <w:spacing w:line="360" w:lineRule="auto"/>
              <w:ind w:left="0" w:leftChars="0" w:right="0" w:rightChars="0" w:firstLine="482" w:firstLineChars="200"/>
              <w:jc w:val="center"/>
              <w:outlineLvl w:val="1"/>
              <w:rPr>
                <w:rFonts w:hint="eastAsia" w:ascii="仿宋" w:hAnsi="仿宋" w:eastAsia="仿宋" w:cs="仿宋"/>
                <w:b/>
                <w:bCs/>
                <w:i w:val="0"/>
                <w:iCs w:val="0"/>
                <w:color w:val="auto"/>
                <w:sz w:val="24"/>
                <w:szCs w:val="24"/>
                <w:highlight w:val="none"/>
                <w:lang w:val="en-US" w:eastAsia="zh-CN"/>
              </w:rPr>
            </w:pPr>
            <w:r>
              <w:rPr>
                <w:rFonts w:hint="eastAsia" w:ascii="仿宋" w:hAnsi="仿宋" w:eastAsia="仿宋" w:cs="仿宋"/>
                <w:b/>
                <w:bCs/>
                <w:i w:val="0"/>
                <w:iCs w:val="0"/>
                <w:color w:val="auto"/>
                <w:sz w:val="24"/>
                <w:szCs w:val="24"/>
                <w:highlight w:val="none"/>
                <w:lang w:val="en-US" w:eastAsia="zh-CN"/>
              </w:rPr>
              <w:t>承包方式</w:t>
            </w:r>
          </w:p>
        </w:tc>
        <w:tc>
          <w:tcPr>
            <w:tcW w:w="1429" w:type="dxa"/>
            <w:tcBorders>
              <w:top w:val="single" w:color="auto" w:sz="12" w:space="0"/>
              <w:left w:val="single" w:color="auto" w:sz="4" w:space="0"/>
              <w:bottom w:val="single" w:color="auto" w:sz="4" w:space="0"/>
              <w:right w:val="single" w:color="auto" w:sz="4" w:space="0"/>
            </w:tcBorders>
            <w:vAlign w:val="center"/>
          </w:tcPr>
          <w:p w14:paraId="22F5350A">
            <w:pPr>
              <w:keepNext/>
              <w:keepLines w:val="0"/>
              <w:pageBreakBefore w:val="0"/>
              <w:widowControl w:val="0"/>
              <w:tabs>
                <w:tab w:val="left" w:pos="835"/>
              </w:tabs>
              <w:kinsoku/>
              <w:wordWrap/>
              <w:overflowPunct/>
              <w:topLinePunct w:val="0"/>
              <w:autoSpaceDE/>
              <w:autoSpaceDN/>
              <w:bidi w:val="0"/>
              <w:adjustRightInd w:val="0"/>
              <w:snapToGrid w:val="0"/>
              <w:spacing w:line="360" w:lineRule="auto"/>
              <w:ind w:left="0" w:leftChars="0" w:right="0" w:rightChars="0" w:firstLine="0" w:firstLineChars="0"/>
              <w:jc w:val="center"/>
              <w:outlineLvl w:val="1"/>
              <w:rPr>
                <w:rFonts w:hint="eastAsia" w:ascii="仿宋" w:hAnsi="仿宋" w:eastAsia="仿宋" w:cs="仿宋"/>
                <w:b/>
                <w:bCs/>
                <w:i w:val="0"/>
                <w:iCs w:val="0"/>
                <w:color w:val="auto"/>
                <w:sz w:val="24"/>
                <w:szCs w:val="24"/>
                <w:highlight w:val="none"/>
                <w:lang w:val="en-US" w:eastAsia="zh-CN"/>
              </w:rPr>
            </w:pPr>
            <w:r>
              <w:rPr>
                <w:rFonts w:hint="eastAsia" w:ascii="仿宋" w:hAnsi="仿宋" w:eastAsia="仿宋" w:cs="仿宋"/>
                <w:b/>
                <w:bCs/>
                <w:i w:val="0"/>
                <w:iCs w:val="0"/>
                <w:color w:val="auto"/>
                <w:sz w:val="24"/>
                <w:szCs w:val="24"/>
                <w:highlight w:val="none"/>
                <w:lang w:val="en-US" w:eastAsia="zh-CN"/>
              </w:rPr>
              <w:t>下浮率</w:t>
            </w:r>
          </w:p>
        </w:tc>
        <w:tc>
          <w:tcPr>
            <w:tcW w:w="1079" w:type="dxa"/>
            <w:tcBorders>
              <w:top w:val="single" w:color="auto" w:sz="12" w:space="0"/>
              <w:left w:val="single" w:color="auto" w:sz="4" w:space="0"/>
              <w:bottom w:val="single" w:color="auto" w:sz="4" w:space="0"/>
              <w:right w:val="single" w:color="auto" w:sz="12" w:space="0"/>
            </w:tcBorders>
            <w:vAlign w:val="center"/>
          </w:tcPr>
          <w:p w14:paraId="0D58F1F0">
            <w:pPr>
              <w:keepNext/>
              <w:keepLines w:val="0"/>
              <w:pageBreakBefore w:val="0"/>
              <w:widowControl w:val="0"/>
              <w:tabs>
                <w:tab w:val="left" w:pos="835"/>
              </w:tabs>
              <w:kinsoku/>
              <w:wordWrap/>
              <w:overflowPunct/>
              <w:topLinePunct w:val="0"/>
              <w:autoSpaceDE/>
              <w:autoSpaceDN/>
              <w:bidi w:val="0"/>
              <w:adjustRightInd w:val="0"/>
              <w:snapToGrid w:val="0"/>
              <w:spacing w:line="360" w:lineRule="auto"/>
              <w:ind w:right="0" w:rightChars="0"/>
              <w:jc w:val="center"/>
              <w:outlineLvl w:val="1"/>
              <w:rPr>
                <w:rFonts w:hint="eastAsia" w:ascii="仿宋" w:hAnsi="仿宋" w:eastAsia="仿宋" w:cs="仿宋"/>
                <w:b/>
                <w:bCs/>
                <w:i w:val="0"/>
                <w:iCs w:val="0"/>
                <w:color w:val="auto"/>
                <w:sz w:val="24"/>
                <w:szCs w:val="24"/>
                <w:highlight w:val="none"/>
                <w:lang w:val="en-US" w:eastAsia="zh-CN"/>
              </w:rPr>
            </w:pPr>
            <w:r>
              <w:rPr>
                <w:rFonts w:hint="eastAsia" w:ascii="仿宋" w:hAnsi="仿宋" w:eastAsia="仿宋" w:cs="仿宋"/>
                <w:b/>
                <w:bCs/>
                <w:i w:val="0"/>
                <w:iCs w:val="0"/>
                <w:color w:val="auto"/>
                <w:sz w:val="24"/>
                <w:szCs w:val="24"/>
                <w:highlight w:val="none"/>
                <w:lang w:val="en-US" w:eastAsia="zh-CN"/>
              </w:rPr>
              <w:t>备注</w:t>
            </w:r>
          </w:p>
        </w:tc>
      </w:tr>
      <w:tr w14:paraId="68A25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1118" w:type="dxa"/>
            <w:tcBorders>
              <w:top w:val="single" w:color="auto" w:sz="4" w:space="0"/>
              <w:left w:val="single" w:color="auto" w:sz="12" w:space="0"/>
              <w:bottom w:val="single" w:color="auto" w:sz="4" w:space="0"/>
              <w:right w:val="single" w:color="auto" w:sz="4" w:space="0"/>
            </w:tcBorders>
            <w:vAlign w:val="center"/>
          </w:tcPr>
          <w:p w14:paraId="06A75162">
            <w:pPr>
              <w:keepNext/>
              <w:keepLines w:val="0"/>
              <w:pageBreakBefore w:val="0"/>
              <w:widowControl w:val="0"/>
              <w:tabs>
                <w:tab w:val="left" w:pos="835"/>
              </w:tabs>
              <w:kinsoku/>
              <w:wordWrap/>
              <w:overflowPunct/>
              <w:topLinePunct w:val="0"/>
              <w:autoSpaceDE/>
              <w:autoSpaceDN/>
              <w:bidi w:val="0"/>
              <w:adjustRightInd w:val="0"/>
              <w:snapToGrid w:val="0"/>
              <w:spacing w:line="360" w:lineRule="auto"/>
              <w:ind w:left="0" w:leftChars="0" w:right="0" w:rightChars="0" w:firstLine="240" w:firstLineChars="100"/>
              <w:jc w:val="center"/>
              <w:outlineLvl w:val="1"/>
              <w:rPr>
                <w:rFonts w:hint="eastAsia" w:ascii="仿宋" w:hAnsi="仿宋" w:eastAsia="仿宋" w:cs="仿宋"/>
                <w:b w:val="0"/>
                <w:bCs w:val="0"/>
                <w:i w:val="0"/>
                <w:iCs w:val="0"/>
                <w:color w:val="auto"/>
                <w:sz w:val="24"/>
                <w:szCs w:val="24"/>
                <w:highlight w:val="none"/>
                <w:lang w:val="en-US" w:eastAsia="zh-CN"/>
              </w:rPr>
            </w:pPr>
            <w:r>
              <w:rPr>
                <w:rFonts w:hint="eastAsia" w:ascii="仿宋" w:hAnsi="仿宋" w:eastAsia="仿宋" w:cs="仿宋"/>
                <w:b w:val="0"/>
                <w:bCs w:val="0"/>
                <w:i w:val="0"/>
                <w:iCs w:val="0"/>
                <w:color w:val="auto"/>
                <w:sz w:val="24"/>
                <w:szCs w:val="24"/>
                <w:highlight w:val="none"/>
                <w:lang w:val="en-US" w:eastAsia="zh-CN"/>
              </w:rPr>
              <w:t>1</w:t>
            </w:r>
          </w:p>
        </w:tc>
        <w:tc>
          <w:tcPr>
            <w:tcW w:w="5042" w:type="dxa"/>
            <w:tcBorders>
              <w:top w:val="single" w:color="auto" w:sz="4" w:space="0"/>
              <w:left w:val="single" w:color="auto" w:sz="4" w:space="0"/>
              <w:bottom w:val="single" w:color="auto" w:sz="4" w:space="0"/>
              <w:right w:val="single" w:color="auto" w:sz="4" w:space="0"/>
            </w:tcBorders>
            <w:vAlign w:val="center"/>
          </w:tcPr>
          <w:p w14:paraId="78645B5F">
            <w:pPr>
              <w:keepNext/>
              <w:keepLines w:val="0"/>
              <w:pageBreakBefore w:val="0"/>
              <w:widowControl w:val="0"/>
              <w:tabs>
                <w:tab w:val="left" w:pos="835"/>
              </w:tabs>
              <w:kinsoku/>
              <w:wordWrap/>
              <w:overflowPunct/>
              <w:topLinePunct w:val="0"/>
              <w:autoSpaceDE/>
              <w:autoSpaceDN/>
              <w:bidi w:val="0"/>
              <w:adjustRightInd w:val="0"/>
              <w:snapToGrid w:val="0"/>
              <w:spacing w:line="360" w:lineRule="auto"/>
              <w:ind w:left="0" w:leftChars="0" w:right="0" w:rightChars="0" w:firstLine="480" w:firstLineChars="200"/>
              <w:jc w:val="center"/>
              <w:outlineLvl w:val="1"/>
              <w:rPr>
                <w:rFonts w:hint="eastAsia" w:ascii="仿宋" w:hAnsi="仿宋" w:eastAsia="仿宋" w:cs="仿宋"/>
                <w:b w:val="0"/>
                <w:bCs w:val="0"/>
                <w:i w:val="0"/>
                <w:iCs w:val="0"/>
                <w:color w:val="auto"/>
                <w:sz w:val="24"/>
                <w:szCs w:val="24"/>
                <w:highlight w:val="none"/>
                <w:lang w:val="en-US" w:eastAsia="zh-CN"/>
              </w:rPr>
            </w:pPr>
            <w:r>
              <w:rPr>
                <w:rFonts w:hint="eastAsia" w:ascii="仿宋" w:hAnsi="仿宋" w:eastAsia="仿宋" w:cs="仿宋"/>
                <w:b w:val="0"/>
                <w:bCs w:val="0"/>
                <w:i w:val="0"/>
                <w:iCs w:val="0"/>
                <w:color w:val="auto"/>
                <w:sz w:val="24"/>
                <w:szCs w:val="24"/>
                <w:highlight w:val="none"/>
                <w:lang w:val="en-US" w:eastAsia="zh-CN"/>
              </w:rPr>
              <w:t>包工包料</w:t>
            </w:r>
          </w:p>
        </w:tc>
        <w:tc>
          <w:tcPr>
            <w:tcW w:w="1429" w:type="dxa"/>
            <w:tcBorders>
              <w:top w:val="single" w:color="auto" w:sz="4" w:space="0"/>
              <w:left w:val="single" w:color="auto" w:sz="4" w:space="0"/>
              <w:bottom w:val="single" w:color="auto" w:sz="4" w:space="0"/>
              <w:right w:val="single" w:color="auto" w:sz="4" w:space="0"/>
            </w:tcBorders>
            <w:vAlign w:val="center"/>
          </w:tcPr>
          <w:p w14:paraId="267BAE36">
            <w:pPr>
              <w:keepNext/>
              <w:keepLines w:val="0"/>
              <w:pageBreakBefore w:val="0"/>
              <w:widowControl w:val="0"/>
              <w:tabs>
                <w:tab w:val="left" w:pos="835"/>
              </w:tabs>
              <w:kinsoku/>
              <w:wordWrap/>
              <w:overflowPunct/>
              <w:topLinePunct w:val="0"/>
              <w:autoSpaceDE/>
              <w:autoSpaceDN/>
              <w:bidi w:val="0"/>
              <w:adjustRightInd w:val="0"/>
              <w:snapToGrid w:val="0"/>
              <w:spacing w:line="360" w:lineRule="auto"/>
              <w:ind w:right="0" w:rightChars="0"/>
              <w:jc w:val="center"/>
              <w:outlineLvl w:val="1"/>
              <w:rPr>
                <w:rFonts w:hint="default" w:ascii="仿宋" w:hAnsi="仿宋" w:eastAsia="仿宋" w:cs="仿宋"/>
                <w:b w:val="0"/>
                <w:bCs w:val="0"/>
                <w:i w:val="0"/>
                <w:iCs w:val="0"/>
                <w:color w:val="auto"/>
                <w:sz w:val="24"/>
                <w:szCs w:val="24"/>
                <w:highlight w:val="none"/>
                <w:lang w:val="en-US" w:eastAsia="zh-CN"/>
              </w:rPr>
            </w:pPr>
            <w:r>
              <w:rPr>
                <w:rFonts w:hint="eastAsia" w:ascii="仿宋" w:hAnsi="仿宋" w:eastAsia="仿宋" w:cs="仿宋"/>
                <w:b w:val="0"/>
                <w:bCs w:val="0"/>
                <w:i w:val="0"/>
                <w:iCs w:val="0"/>
                <w:color w:val="auto"/>
                <w:sz w:val="24"/>
                <w:szCs w:val="24"/>
                <w:highlight w:val="none"/>
                <w:lang w:val="en-US" w:eastAsia="zh-CN"/>
              </w:rPr>
              <w:t>28%</w:t>
            </w:r>
          </w:p>
        </w:tc>
        <w:tc>
          <w:tcPr>
            <w:tcW w:w="1079" w:type="dxa"/>
            <w:tcBorders>
              <w:top w:val="single" w:color="auto" w:sz="4" w:space="0"/>
              <w:left w:val="single" w:color="auto" w:sz="4" w:space="0"/>
              <w:bottom w:val="single" w:color="auto" w:sz="4" w:space="0"/>
              <w:right w:val="single" w:color="auto" w:sz="12" w:space="0"/>
            </w:tcBorders>
            <w:vAlign w:val="center"/>
          </w:tcPr>
          <w:p w14:paraId="18A54191">
            <w:pPr>
              <w:keepNext/>
              <w:keepLines w:val="0"/>
              <w:pageBreakBefore w:val="0"/>
              <w:widowControl w:val="0"/>
              <w:tabs>
                <w:tab w:val="left" w:pos="835"/>
              </w:tabs>
              <w:kinsoku/>
              <w:wordWrap/>
              <w:overflowPunct/>
              <w:topLinePunct w:val="0"/>
              <w:autoSpaceDE/>
              <w:autoSpaceDN/>
              <w:bidi w:val="0"/>
              <w:adjustRightInd w:val="0"/>
              <w:snapToGrid w:val="0"/>
              <w:spacing w:line="360" w:lineRule="auto"/>
              <w:ind w:left="0" w:leftChars="0" w:right="0" w:rightChars="0" w:firstLine="480" w:firstLineChars="200"/>
              <w:jc w:val="center"/>
              <w:outlineLvl w:val="1"/>
              <w:rPr>
                <w:rFonts w:hint="eastAsia" w:ascii="仿宋" w:hAnsi="仿宋" w:eastAsia="仿宋" w:cs="仿宋"/>
                <w:b w:val="0"/>
                <w:bCs w:val="0"/>
                <w:i w:val="0"/>
                <w:iCs w:val="0"/>
                <w:color w:val="auto"/>
                <w:sz w:val="24"/>
                <w:szCs w:val="24"/>
                <w:highlight w:val="none"/>
                <w:lang w:val="en-US" w:eastAsia="zh-CN"/>
              </w:rPr>
            </w:pPr>
          </w:p>
        </w:tc>
      </w:tr>
      <w:tr w14:paraId="5D85C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1118" w:type="dxa"/>
            <w:tcBorders>
              <w:top w:val="single" w:color="auto" w:sz="4" w:space="0"/>
              <w:left w:val="single" w:color="auto" w:sz="12" w:space="0"/>
              <w:bottom w:val="single" w:color="auto" w:sz="4" w:space="0"/>
              <w:right w:val="single" w:color="auto" w:sz="4" w:space="0"/>
            </w:tcBorders>
            <w:vAlign w:val="center"/>
          </w:tcPr>
          <w:p w14:paraId="16E43ADE">
            <w:pPr>
              <w:keepNext/>
              <w:keepLines w:val="0"/>
              <w:pageBreakBefore w:val="0"/>
              <w:widowControl w:val="0"/>
              <w:tabs>
                <w:tab w:val="left" w:pos="835"/>
              </w:tabs>
              <w:kinsoku/>
              <w:wordWrap/>
              <w:overflowPunct/>
              <w:topLinePunct w:val="0"/>
              <w:autoSpaceDE/>
              <w:autoSpaceDN/>
              <w:bidi w:val="0"/>
              <w:adjustRightInd w:val="0"/>
              <w:snapToGrid w:val="0"/>
              <w:spacing w:line="360" w:lineRule="auto"/>
              <w:ind w:left="0" w:leftChars="0" w:right="0" w:rightChars="0" w:firstLine="240" w:firstLineChars="100"/>
              <w:jc w:val="center"/>
              <w:outlineLvl w:val="1"/>
              <w:rPr>
                <w:rFonts w:hint="eastAsia" w:ascii="仿宋" w:hAnsi="仿宋" w:eastAsia="仿宋" w:cs="仿宋"/>
                <w:b w:val="0"/>
                <w:bCs w:val="0"/>
                <w:i w:val="0"/>
                <w:iCs w:val="0"/>
                <w:color w:val="auto"/>
                <w:sz w:val="24"/>
                <w:szCs w:val="24"/>
                <w:highlight w:val="none"/>
                <w:lang w:val="en-US" w:eastAsia="zh-CN"/>
              </w:rPr>
            </w:pPr>
            <w:r>
              <w:rPr>
                <w:rFonts w:hint="eastAsia" w:ascii="仿宋" w:hAnsi="仿宋" w:eastAsia="仿宋" w:cs="仿宋"/>
                <w:b w:val="0"/>
                <w:bCs w:val="0"/>
                <w:i w:val="0"/>
                <w:iCs w:val="0"/>
                <w:color w:val="auto"/>
                <w:sz w:val="24"/>
                <w:szCs w:val="24"/>
                <w:highlight w:val="none"/>
                <w:lang w:val="en-US" w:eastAsia="zh-CN"/>
              </w:rPr>
              <w:t>2</w:t>
            </w:r>
          </w:p>
        </w:tc>
        <w:tc>
          <w:tcPr>
            <w:tcW w:w="5042" w:type="dxa"/>
            <w:tcBorders>
              <w:top w:val="single" w:color="auto" w:sz="4" w:space="0"/>
              <w:left w:val="single" w:color="auto" w:sz="4" w:space="0"/>
              <w:bottom w:val="single" w:color="auto" w:sz="4" w:space="0"/>
              <w:right w:val="single" w:color="auto" w:sz="4" w:space="0"/>
            </w:tcBorders>
            <w:vAlign w:val="center"/>
          </w:tcPr>
          <w:p w14:paraId="7CA302DF">
            <w:pPr>
              <w:keepNext/>
              <w:keepLines w:val="0"/>
              <w:pageBreakBefore w:val="0"/>
              <w:widowControl w:val="0"/>
              <w:tabs>
                <w:tab w:val="left" w:pos="835"/>
              </w:tabs>
              <w:kinsoku/>
              <w:wordWrap/>
              <w:overflowPunct/>
              <w:topLinePunct w:val="0"/>
              <w:autoSpaceDE/>
              <w:autoSpaceDN/>
              <w:bidi w:val="0"/>
              <w:adjustRightInd w:val="0"/>
              <w:snapToGrid w:val="0"/>
              <w:spacing w:line="360" w:lineRule="auto"/>
              <w:ind w:left="0" w:leftChars="0" w:right="0" w:rightChars="0" w:firstLine="0" w:firstLineChars="0"/>
              <w:jc w:val="center"/>
              <w:outlineLvl w:val="1"/>
              <w:rPr>
                <w:rFonts w:hint="eastAsia" w:ascii="仿宋" w:hAnsi="仿宋" w:eastAsia="仿宋" w:cs="仿宋"/>
                <w:b w:val="0"/>
                <w:bCs w:val="0"/>
                <w:i w:val="0"/>
                <w:iCs w:val="0"/>
                <w:color w:val="auto"/>
                <w:sz w:val="24"/>
                <w:szCs w:val="24"/>
                <w:highlight w:val="none"/>
                <w:lang w:val="en-US" w:eastAsia="zh-CN"/>
              </w:rPr>
            </w:pPr>
            <w:r>
              <w:rPr>
                <w:rFonts w:hint="eastAsia" w:ascii="仿宋" w:hAnsi="仿宋" w:eastAsia="仿宋" w:cs="仿宋"/>
                <w:b w:val="0"/>
                <w:bCs w:val="0"/>
                <w:i w:val="0"/>
                <w:iCs w:val="0"/>
                <w:color w:val="auto"/>
                <w:sz w:val="24"/>
                <w:szCs w:val="24"/>
                <w:highlight w:val="none"/>
                <w:lang w:val="en-US" w:eastAsia="zh-CN"/>
              </w:rPr>
              <w:t>包工包部分材料（仅不含甲供材）</w:t>
            </w:r>
          </w:p>
        </w:tc>
        <w:tc>
          <w:tcPr>
            <w:tcW w:w="1429" w:type="dxa"/>
            <w:tcBorders>
              <w:top w:val="single" w:color="auto" w:sz="4" w:space="0"/>
              <w:left w:val="single" w:color="auto" w:sz="4" w:space="0"/>
              <w:bottom w:val="single" w:color="auto" w:sz="4" w:space="0"/>
              <w:right w:val="single" w:color="auto" w:sz="4" w:space="0"/>
            </w:tcBorders>
            <w:vAlign w:val="center"/>
          </w:tcPr>
          <w:p w14:paraId="16506046">
            <w:pPr>
              <w:keepNext/>
              <w:keepLines w:val="0"/>
              <w:pageBreakBefore w:val="0"/>
              <w:widowControl w:val="0"/>
              <w:tabs>
                <w:tab w:val="left" w:pos="835"/>
              </w:tabs>
              <w:kinsoku/>
              <w:wordWrap/>
              <w:overflowPunct/>
              <w:topLinePunct w:val="0"/>
              <w:autoSpaceDE/>
              <w:autoSpaceDN/>
              <w:bidi w:val="0"/>
              <w:adjustRightInd w:val="0"/>
              <w:snapToGrid w:val="0"/>
              <w:spacing w:line="360" w:lineRule="auto"/>
              <w:ind w:right="0" w:rightChars="0"/>
              <w:jc w:val="center"/>
              <w:outlineLvl w:val="1"/>
              <w:rPr>
                <w:rFonts w:hint="default" w:ascii="仿宋" w:hAnsi="仿宋" w:eastAsia="仿宋" w:cs="仿宋"/>
                <w:b w:val="0"/>
                <w:bCs w:val="0"/>
                <w:i w:val="0"/>
                <w:iCs w:val="0"/>
                <w:color w:val="auto"/>
                <w:sz w:val="24"/>
                <w:szCs w:val="24"/>
                <w:highlight w:val="none"/>
                <w:lang w:val="en-US" w:eastAsia="zh-CN"/>
              </w:rPr>
            </w:pPr>
            <w:r>
              <w:rPr>
                <w:rFonts w:hint="eastAsia" w:ascii="仿宋" w:hAnsi="仿宋" w:eastAsia="仿宋" w:cs="仿宋"/>
                <w:b w:val="0"/>
                <w:bCs w:val="0"/>
                <w:i w:val="0"/>
                <w:iCs w:val="0"/>
                <w:color w:val="auto"/>
                <w:sz w:val="24"/>
                <w:szCs w:val="24"/>
                <w:highlight w:val="none"/>
                <w:lang w:val="en-US" w:eastAsia="zh-CN"/>
              </w:rPr>
              <w:t>20%</w:t>
            </w:r>
          </w:p>
        </w:tc>
        <w:tc>
          <w:tcPr>
            <w:tcW w:w="1079" w:type="dxa"/>
            <w:tcBorders>
              <w:top w:val="single" w:color="auto" w:sz="4" w:space="0"/>
              <w:left w:val="single" w:color="auto" w:sz="4" w:space="0"/>
              <w:bottom w:val="single" w:color="auto" w:sz="4" w:space="0"/>
              <w:right w:val="single" w:color="auto" w:sz="12" w:space="0"/>
            </w:tcBorders>
            <w:vAlign w:val="center"/>
          </w:tcPr>
          <w:p w14:paraId="1015F7C0">
            <w:pPr>
              <w:keepNext/>
              <w:keepLines w:val="0"/>
              <w:pageBreakBefore w:val="0"/>
              <w:widowControl w:val="0"/>
              <w:tabs>
                <w:tab w:val="left" w:pos="835"/>
              </w:tabs>
              <w:kinsoku/>
              <w:wordWrap/>
              <w:overflowPunct/>
              <w:topLinePunct w:val="0"/>
              <w:autoSpaceDE/>
              <w:autoSpaceDN/>
              <w:bidi w:val="0"/>
              <w:adjustRightInd w:val="0"/>
              <w:snapToGrid w:val="0"/>
              <w:spacing w:line="360" w:lineRule="auto"/>
              <w:ind w:left="0" w:leftChars="0" w:right="0" w:rightChars="0" w:firstLine="480" w:firstLineChars="200"/>
              <w:jc w:val="center"/>
              <w:outlineLvl w:val="1"/>
              <w:rPr>
                <w:rFonts w:hint="eastAsia" w:ascii="仿宋" w:hAnsi="仿宋" w:eastAsia="仿宋" w:cs="仿宋"/>
                <w:b w:val="0"/>
                <w:bCs w:val="0"/>
                <w:i w:val="0"/>
                <w:iCs w:val="0"/>
                <w:color w:val="auto"/>
                <w:sz w:val="24"/>
                <w:szCs w:val="24"/>
                <w:highlight w:val="none"/>
                <w:lang w:val="en-US" w:eastAsia="zh-CN"/>
              </w:rPr>
            </w:pPr>
          </w:p>
        </w:tc>
      </w:tr>
      <w:tr w14:paraId="26A5B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1118" w:type="dxa"/>
            <w:tcBorders>
              <w:top w:val="single" w:color="auto" w:sz="4" w:space="0"/>
              <w:left w:val="single" w:color="auto" w:sz="12" w:space="0"/>
              <w:bottom w:val="single" w:color="auto" w:sz="12" w:space="0"/>
              <w:right w:val="single" w:color="auto" w:sz="4" w:space="0"/>
            </w:tcBorders>
            <w:vAlign w:val="center"/>
          </w:tcPr>
          <w:p w14:paraId="20AA527B">
            <w:pPr>
              <w:keepNext/>
              <w:keepLines w:val="0"/>
              <w:pageBreakBefore w:val="0"/>
              <w:widowControl w:val="0"/>
              <w:tabs>
                <w:tab w:val="left" w:pos="835"/>
              </w:tabs>
              <w:kinsoku/>
              <w:wordWrap/>
              <w:overflowPunct/>
              <w:topLinePunct w:val="0"/>
              <w:autoSpaceDE/>
              <w:autoSpaceDN/>
              <w:bidi w:val="0"/>
              <w:adjustRightInd w:val="0"/>
              <w:snapToGrid w:val="0"/>
              <w:spacing w:line="360" w:lineRule="auto"/>
              <w:ind w:left="0" w:leftChars="0" w:right="0" w:rightChars="0" w:firstLine="240" w:firstLineChars="100"/>
              <w:jc w:val="center"/>
              <w:outlineLvl w:val="1"/>
              <w:rPr>
                <w:rFonts w:hint="eastAsia" w:ascii="仿宋" w:hAnsi="仿宋" w:eastAsia="仿宋" w:cs="仿宋"/>
                <w:b w:val="0"/>
                <w:bCs w:val="0"/>
                <w:i w:val="0"/>
                <w:iCs w:val="0"/>
                <w:color w:val="auto"/>
                <w:sz w:val="24"/>
                <w:szCs w:val="24"/>
                <w:highlight w:val="none"/>
                <w:lang w:val="en-US" w:eastAsia="zh-CN"/>
              </w:rPr>
            </w:pPr>
            <w:r>
              <w:rPr>
                <w:rFonts w:hint="eastAsia" w:ascii="仿宋" w:hAnsi="仿宋" w:eastAsia="仿宋" w:cs="仿宋"/>
                <w:b w:val="0"/>
                <w:bCs w:val="0"/>
                <w:i w:val="0"/>
                <w:iCs w:val="0"/>
                <w:color w:val="auto"/>
                <w:sz w:val="24"/>
                <w:szCs w:val="24"/>
                <w:highlight w:val="none"/>
                <w:lang w:val="en-US" w:eastAsia="zh-CN"/>
              </w:rPr>
              <w:t>3</w:t>
            </w:r>
          </w:p>
        </w:tc>
        <w:tc>
          <w:tcPr>
            <w:tcW w:w="5042" w:type="dxa"/>
            <w:tcBorders>
              <w:top w:val="single" w:color="auto" w:sz="4" w:space="0"/>
              <w:left w:val="single" w:color="auto" w:sz="4" w:space="0"/>
              <w:bottom w:val="single" w:color="auto" w:sz="12" w:space="0"/>
              <w:right w:val="single" w:color="auto" w:sz="4" w:space="0"/>
            </w:tcBorders>
            <w:vAlign w:val="center"/>
          </w:tcPr>
          <w:p w14:paraId="0BD735A8">
            <w:pPr>
              <w:keepNext/>
              <w:keepLines w:val="0"/>
              <w:pageBreakBefore w:val="0"/>
              <w:widowControl w:val="0"/>
              <w:tabs>
                <w:tab w:val="left" w:pos="835"/>
              </w:tabs>
              <w:kinsoku/>
              <w:wordWrap/>
              <w:overflowPunct/>
              <w:topLinePunct w:val="0"/>
              <w:autoSpaceDE/>
              <w:autoSpaceDN/>
              <w:bidi w:val="0"/>
              <w:adjustRightInd w:val="0"/>
              <w:snapToGrid w:val="0"/>
              <w:spacing w:line="360" w:lineRule="auto"/>
              <w:ind w:right="0" w:rightChars="0"/>
              <w:jc w:val="center"/>
              <w:outlineLvl w:val="1"/>
              <w:rPr>
                <w:rFonts w:hint="eastAsia" w:ascii="仿宋" w:hAnsi="仿宋" w:eastAsia="仿宋" w:cs="仿宋"/>
                <w:b w:val="0"/>
                <w:bCs w:val="0"/>
                <w:i w:val="0"/>
                <w:iCs w:val="0"/>
                <w:color w:val="auto"/>
                <w:sz w:val="24"/>
                <w:szCs w:val="24"/>
                <w:highlight w:val="none"/>
                <w:lang w:val="en-US" w:eastAsia="zh-CN"/>
              </w:rPr>
            </w:pPr>
            <w:r>
              <w:rPr>
                <w:rFonts w:hint="eastAsia" w:ascii="仿宋" w:hAnsi="仿宋" w:eastAsia="仿宋" w:cs="仿宋"/>
                <w:b w:val="0"/>
                <w:bCs w:val="0"/>
                <w:i w:val="0"/>
                <w:iCs w:val="0"/>
                <w:color w:val="auto"/>
                <w:sz w:val="24"/>
                <w:szCs w:val="24"/>
                <w:highlight w:val="none"/>
                <w:lang w:val="en-US" w:eastAsia="zh-CN"/>
              </w:rPr>
              <w:t>包工</w:t>
            </w:r>
          </w:p>
        </w:tc>
        <w:tc>
          <w:tcPr>
            <w:tcW w:w="1429" w:type="dxa"/>
            <w:tcBorders>
              <w:top w:val="single" w:color="auto" w:sz="4" w:space="0"/>
              <w:left w:val="single" w:color="auto" w:sz="4" w:space="0"/>
              <w:bottom w:val="single" w:color="auto" w:sz="12" w:space="0"/>
              <w:right w:val="single" w:color="auto" w:sz="4" w:space="0"/>
            </w:tcBorders>
            <w:vAlign w:val="center"/>
          </w:tcPr>
          <w:p w14:paraId="450BA974">
            <w:pPr>
              <w:keepNext/>
              <w:keepLines w:val="0"/>
              <w:pageBreakBefore w:val="0"/>
              <w:widowControl w:val="0"/>
              <w:tabs>
                <w:tab w:val="left" w:pos="835"/>
              </w:tabs>
              <w:kinsoku/>
              <w:wordWrap/>
              <w:overflowPunct/>
              <w:topLinePunct w:val="0"/>
              <w:autoSpaceDE/>
              <w:autoSpaceDN/>
              <w:bidi w:val="0"/>
              <w:adjustRightInd w:val="0"/>
              <w:snapToGrid w:val="0"/>
              <w:spacing w:line="360" w:lineRule="auto"/>
              <w:ind w:right="0" w:rightChars="0"/>
              <w:jc w:val="center"/>
              <w:outlineLvl w:val="1"/>
              <w:rPr>
                <w:rFonts w:hint="default" w:ascii="仿宋" w:hAnsi="仿宋" w:eastAsia="仿宋" w:cs="仿宋"/>
                <w:b w:val="0"/>
                <w:bCs w:val="0"/>
                <w:i w:val="0"/>
                <w:iCs w:val="0"/>
                <w:color w:val="auto"/>
                <w:sz w:val="24"/>
                <w:szCs w:val="24"/>
                <w:highlight w:val="none"/>
                <w:lang w:val="en-US" w:eastAsia="zh-CN"/>
              </w:rPr>
            </w:pPr>
            <w:r>
              <w:rPr>
                <w:rFonts w:hint="eastAsia" w:ascii="仿宋" w:hAnsi="仿宋" w:eastAsia="仿宋" w:cs="仿宋"/>
                <w:b w:val="0"/>
                <w:bCs w:val="0"/>
                <w:i w:val="0"/>
                <w:iCs w:val="0"/>
                <w:color w:val="auto"/>
                <w:sz w:val="24"/>
                <w:szCs w:val="24"/>
                <w:highlight w:val="none"/>
                <w:lang w:val="en-US" w:eastAsia="zh-CN"/>
              </w:rPr>
              <w:t>15%</w:t>
            </w:r>
          </w:p>
        </w:tc>
        <w:tc>
          <w:tcPr>
            <w:tcW w:w="1079" w:type="dxa"/>
            <w:tcBorders>
              <w:top w:val="single" w:color="auto" w:sz="4" w:space="0"/>
              <w:left w:val="single" w:color="auto" w:sz="4" w:space="0"/>
              <w:bottom w:val="single" w:color="auto" w:sz="12" w:space="0"/>
              <w:right w:val="single" w:color="auto" w:sz="12" w:space="0"/>
            </w:tcBorders>
            <w:vAlign w:val="center"/>
          </w:tcPr>
          <w:p w14:paraId="2D2ED09A">
            <w:pPr>
              <w:keepNext/>
              <w:keepLines w:val="0"/>
              <w:pageBreakBefore w:val="0"/>
              <w:widowControl w:val="0"/>
              <w:tabs>
                <w:tab w:val="left" w:pos="835"/>
              </w:tabs>
              <w:kinsoku/>
              <w:wordWrap/>
              <w:overflowPunct/>
              <w:topLinePunct w:val="0"/>
              <w:autoSpaceDE/>
              <w:autoSpaceDN/>
              <w:bidi w:val="0"/>
              <w:adjustRightInd w:val="0"/>
              <w:snapToGrid w:val="0"/>
              <w:spacing w:line="360" w:lineRule="auto"/>
              <w:ind w:left="0" w:leftChars="0" w:right="0" w:rightChars="0" w:firstLine="480" w:firstLineChars="200"/>
              <w:jc w:val="center"/>
              <w:outlineLvl w:val="1"/>
              <w:rPr>
                <w:rFonts w:hint="eastAsia" w:ascii="仿宋" w:hAnsi="仿宋" w:eastAsia="仿宋" w:cs="仿宋"/>
                <w:b w:val="0"/>
                <w:bCs w:val="0"/>
                <w:i w:val="0"/>
                <w:iCs w:val="0"/>
                <w:color w:val="auto"/>
                <w:sz w:val="24"/>
                <w:szCs w:val="24"/>
                <w:highlight w:val="none"/>
                <w:lang w:val="en-US" w:eastAsia="zh-CN"/>
              </w:rPr>
            </w:pPr>
          </w:p>
        </w:tc>
      </w:tr>
    </w:tbl>
    <w:p w14:paraId="4628C1F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6.4.6</w:t>
      </w:r>
      <w:r>
        <w:rPr>
          <w:rFonts w:hint="eastAsia" w:ascii="仿宋" w:hAnsi="仿宋" w:eastAsia="仿宋" w:cs="仿宋"/>
          <w:b w:val="0"/>
          <w:bCs w:val="0"/>
          <w:i w:val="0"/>
          <w:iCs w:val="0"/>
          <w:color w:val="auto"/>
          <w:sz w:val="28"/>
          <w:szCs w:val="28"/>
          <w:highlight w:val="none"/>
          <w:shd w:val="clear" w:color="auto" w:fill="auto"/>
          <w:lang w:val="en-US" w:eastAsia="zh-CN"/>
        </w:rPr>
        <w:t>结算时，如乙方已请款部分开具的发票税率与合同约定不同时，须提供已请款金额及相应税率，且须甲方财务部负责人签字确认</w:t>
      </w:r>
      <w:r>
        <w:rPr>
          <w:rFonts w:hint="eastAsia" w:ascii="仿宋" w:hAnsi="仿宋" w:eastAsia="仿宋" w:cs="仿宋"/>
          <w:b w:val="0"/>
          <w:bCs w:val="0"/>
          <w:color w:val="auto"/>
          <w:sz w:val="28"/>
          <w:szCs w:val="28"/>
          <w:highlight w:val="none"/>
          <w:lang w:val="en-US" w:eastAsia="zh-CN"/>
        </w:rPr>
        <w:t>，否则不予结算及付款</w:t>
      </w:r>
      <w:r>
        <w:rPr>
          <w:rFonts w:hint="eastAsia" w:ascii="仿宋" w:hAnsi="仿宋" w:eastAsia="仿宋" w:cs="仿宋"/>
          <w:b w:val="0"/>
          <w:bCs w:val="0"/>
          <w:i w:val="0"/>
          <w:iCs w:val="0"/>
          <w:color w:val="auto"/>
          <w:sz w:val="28"/>
          <w:szCs w:val="28"/>
          <w:highlight w:val="none"/>
          <w:lang w:val="en-US" w:eastAsia="zh-CN"/>
        </w:rPr>
        <w:t>。</w:t>
      </w:r>
    </w:p>
    <w:p w14:paraId="4EF8CC92">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147" w:beforeLines="50" w:line="360" w:lineRule="auto"/>
        <w:ind w:left="-140" w:leftChars="-50" w:right="-20" w:rightChars="-7" w:firstLine="503" w:firstLineChars="179"/>
        <w:textAlignment w:val="auto"/>
        <w:outlineLvl w:val="1"/>
        <w:rPr>
          <w:rFonts w:hint="eastAsia" w:ascii="仿宋" w:hAnsi="仿宋" w:eastAsia="仿宋" w:cs="仿宋"/>
          <w:b/>
          <w:bCs/>
          <w:i w:val="0"/>
          <w:iCs w:val="0"/>
          <w:color w:val="auto"/>
          <w:kern w:val="2"/>
          <w:sz w:val="28"/>
          <w:szCs w:val="28"/>
          <w:highlight w:val="none"/>
          <w:lang w:val="en-US" w:eastAsia="zh-CN" w:bidi="ar-SA"/>
        </w:rPr>
      </w:pPr>
      <w:bookmarkStart w:id="80" w:name="_Toc22307"/>
      <w:r>
        <w:rPr>
          <w:rFonts w:hint="eastAsia" w:ascii="仿宋" w:hAnsi="仿宋" w:eastAsia="仿宋" w:cs="仿宋"/>
          <w:b/>
          <w:bCs/>
          <w:i w:val="0"/>
          <w:iCs w:val="0"/>
          <w:color w:val="auto"/>
          <w:kern w:val="2"/>
          <w:sz w:val="28"/>
          <w:szCs w:val="28"/>
          <w:highlight w:val="none"/>
          <w:lang w:val="en-US" w:eastAsia="zh-CN" w:bidi="ar-SA"/>
        </w:rPr>
        <w:t>第七章、付款方式</w:t>
      </w:r>
      <w:bookmarkEnd w:id="79"/>
      <w:bookmarkEnd w:id="80"/>
    </w:p>
    <w:p w14:paraId="2BCF733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3" w:firstLineChars="179"/>
        <w:jc w:val="left"/>
        <w:textAlignment w:val="auto"/>
        <w:rPr>
          <w:rFonts w:hint="eastAsia" w:ascii="仿宋" w:hAnsi="仿宋" w:eastAsia="仿宋" w:cs="仿宋"/>
          <w:b/>
          <w:bCs/>
          <w:i w:val="0"/>
          <w:iCs w:val="0"/>
          <w:color w:val="auto"/>
          <w:sz w:val="28"/>
          <w:szCs w:val="28"/>
          <w:highlight w:val="none"/>
          <w:lang w:val="en-US" w:eastAsia="zh-CN"/>
        </w:rPr>
      </w:pPr>
      <w:r>
        <w:rPr>
          <w:rFonts w:hint="eastAsia" w:ascii="仿宋" w:hAnsi="仿宋" w:eastAsia="仿宋" w:cs="仿宋"/>
          <w:b/>
          <w:bCs/>
          <w:i w:val="0"/>
          <w:iCs w:val="0"/>
          <w:color w:val="auto"/>
          <w:sz w:val="28"/>
          <w:szCs w:val="28"/>
          <w:highlight w:val="none"/>
          <w:lang w:val="en-US" w:eastAsia="zh-CN"/>
        </w:rPr>
        <w:sym w:font="Wingdings 2" w:char="0052"/>
      </w:r>
      <w:r>
        <w:rPr>
          <w:rFonts w:hint="eastAsia" w:ascii="仿宋" w:hAnsi="仿宋" w:eastAsia="仿宋" w:cs="仿宋"/>
          <w:b/>
          <w:bCs/>
          <w:i w:val="0"/>
          <w:iCs w:val="0"/>
          <w:color w:val="auto"/>
          <w:sz w:val="28"/>
          <w:szCs w:val="28"/>
          <w:highlight w:val="none"/>
          <w:lang w:val="en-US" w:eastAsia="zh-CN"/>
        </w:rPr>
        <w:t>7.1付款方式一</w:t>
      </w:r>
    </w:p>
    <w:p w14:paraId="24A83D8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color w:val="auto"/>
          <w:sz w:val="28"/>
          <w:szCs w:val="28"/>
          <w:highlight w:val="none"/>
        </w:rPr>
      </w:pPr>
      <w:r>
        <w:rPr>
          <w:rFonts w:hint="eastAsia" w:ascii="仿宋" w:hAnsi="仿宋" w:eastAsia="仿宋" w:cs="仿宋"/>
          <w:b w:val="0"/>
          <w:bCs w:val="0"/>
          <w:i w:val="0"/>
          <w:iCs w:val="0"/>
          <w:color w:val="auto"/>
          <w:sz w:val="28"/>
          <w:szCs w:val="28"/>
          <w:highlight w:val="none"/>
          <w:lang w:val="en-US" w:eastAsia="zh-CN"/>
        </w:rPr>
        <w:t>7.1.1本项目全部桩基础工程完工，乙方收集、整理并完善所有相关资料(包括打桩记录、工程桩检测合格报告等)给甲方且本项目桩基验评通过，乙方于次月10日前提供本月及次月实名制报备登记和打卡的《建筑工人工资表》等相关进度款审批文件给甲方并经甲方确认后，甲方付至本工程已完成合格工程量对应造价的80%（含甲方工人工资专用账户支付给乙方工人工资款额）。</w:t>
      </w:r>
    </w:p>
    <w:p w14:paraId="2227EBF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7.1.2本项目的所有增加工程、变更工程、签证工程等工程并入本工程竣工结算并在竣工结算完成一并支付。</w:t>
      </w:r>
    </w:p>
    <w:p w14:paraId="7B3DEA2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color w:val="auto"/>
          <w:sz w:val="28"/>
          <w:szCs w:val="28"/>
          <w:highlight w:val="none"/>
        </w:rPr>
      </w:pPr>
      <w:r>
        <w:rPr>
          <w:rFonts w:hint="eastAsia" w:ascii="仿宋" w:hAnsi="仿宋" w:eastAsia="仿宋" w:cs="仿宋"/>
          <w:b w:val="0"/>
          <w:bCs w:val="0"/>
          <w:i w:val="0"/>
          <w:iCs w:val="0"/>
          <w:color w:val="auto"/>
          <w:sz w:val="28"/>
          <w:szCs w:val="28"/>
          <w:highlight w:val="none"/>
          <w:lang w:val="en-US" w:eastAsia="zh-CN"/>
        </w:rPr>
        <w:t>7.1.3</w:t>
      </w:r>
      <w:r>
        <w:rPr>
          <w:rFonts w:hint="eastAsia" w:ascii="仿宋" w:hAnsi="仿宋" w:eastAsia="仿宋" w:cs="仿宋"/>
          <w:color w:val="auto"/>
          <w:sz w:val="28"/>
          <w:szCs w:val="28"/>
          <w:highlight w:val="none"/>
        </w:rPr>
        <w:t>本项目乙方承包范围内全部工作内容施工完成，并经政府主管部门竣工综合验收通过，乙方将验收通过的政府主管部</w:t>
      </w:r>
      <w:r>
        <w:rPr>
          <w:rFonts w:hint="eastAsia" w:ascii="仿宋" w:hAnsi="仿宋" w:eastAsia="仿宋" w:cs="仿宋"/>
          <w:color w:val="auto"/>
          <w:sz w:val="28"/>
          <w:szCs w:val="28"/>
          <w:highlight w:val="none"/>
          <w:lang w:val="en-US" w:eastAsia="zh-CN"/>
        </w:rPr>
        <w:t>门</w:t>
      </w:r>
      <w:r>
        <w:rPr>
          <w:rFonts w:hint="eastAsia" w:ascii="仿宋" w:hAnsi="仿宋" w:eastAsia="仿宋" w:cs="仿宋"/>
          <w:color w:val="auto"/>
          <w:sz w:val="28"/>
          <w:szCs w:val="28"/>
          <w:highlight w:val="none"/>
        </w:rPr>
        <w:t>文件、报告原件、所有本工程资料、报告等</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须</w:t>
      </w:r>
      <w:r>
        <w:rPr>
          <w:rFonts w:hint="eastAsia" w:ascii="仿宋" w:hAnsi="仿宋" w:eastAsia="仿宋" w:cs="仿宋"/>
          <w:color w:val="auto"/>
          <w:sz w:val="28"/>
          <w:szCs w:val="28"/>
          <w:highlight w:val="none"/>
        </w:rPr>
        <w:t>详列完整资料清单目录</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移交甲方签收，且</w:t>
      </w:r>
      <w:r>
        <w:rPr>
          <w:rFonts w:hint="eastAsia" w:ascii="仿宋" w:hAnsi="仿宋" w:eastAsia="仿宋" w:cs="仿宋"/>
          <w:color w:val="auto"/>
          <w:sz w:val="28"/>
          <w:szCs w:val="28"/>
          <w:highlight w:val="none"/>
          <w:lang w:val="en-US" w:eastAsia="zh-CN"/>
        </w:rPr>
        <w:t>本工程</w:t>
      </w:r>
      <w:r>
        <w:rPr>
          <w:rFonts w:hint="eastAsia" w:ascii="仿宋" w:hAnsi="仿宋" w:eastAsia="仿宋" w:cs="仿宋"/>
          <w:color w:val="auto"/>
          <w:sz w:val="28"/>
          <w:szCs w:val="28"/>
          <w:highlight w:val="none"/>
        </w:rPr>
        <w:t>经建设单位、监理</w:t>
      </w:r>
      <w:r>
        <w:rPr>
          <w:rFonts w:hint="eastAsia" w:ascii="仿宋" w:hAnsi="仿宋" w:eastAsia="仿宋" w:cs="仿宋"/>
          <w:color w:val="auto"/>
          <w:sz w:val="28"/>
          <w:szCs w:val="28"/>
          <w:highlight w:val="none"/>
          <w:lang w:val="en-US" w:eastAsia="zh-CN"/>
        </w:rPr>
        <w:t>单位</w:t>
      </w:r>
      <w:r>
        <w:rPr>
          <w:rFonts w:hint="eastAsia" w:ascii="仿宋" w:hAnsi="仿宋" w:eastAsia="仿宋" w:cs="仿宋"/>
          <w:color w:val="auto"/>
          <w:sz w:val="28"/>
          <w:szCs w:val="28"/>
          <w:highlight w:val="none"/>
        </w:rPr>
        <w:t>、甲方等验收通过并移交建设单位后，甲乙双方办理</w:t>
      </w:r>
      <w:r>
        <w:rPr>
          <w:rFonts w:hint="eastAsia" w:ascii="仿宋" w:hAnsi="仿宋" w:eastAsia="仿宋" w:cs="仿宋"/>
          <w:color w:val="auto"/>
          <w:sz w:val="28"/>
          <w:szCs w:val="28"/>
          <w:highlight w:val="none"/>
          <w:lang w:val="en-US" w:eastAsia="zh-CN"/>
        </w:rPr>
        <w:t>本</w:t>
      </w:r>
      <w:r>
        <w:rPr>
          <w:rFonts w:hint="eastAsia" w:ascii="仿宋" w:hAnsi="仿宋" w:eastAsia="仿宋" w:cs="仿宋"/>
          <w:color w:val="auto"/>
          <w:sz w:val="28"/>
          <w:szCs w:val="28"/>
          <w:highlight w:val="none"/>
        </w:rPr>
        <w:t>工程结算，双方就结算金额达成书面一致</w:t>
      </w:r>
      <w:r>
        <w:rPr>
          <w:rFonts w:hint="eastAsia" w:ascii="仿宋" w:hAnsi="仿宋" w:eastAsia="仿宋" w:cs="仿宋"/>
          <w:color w:val="auto"/>
          <w:sz w:val="28"/>
          <w:szCs w:val="28"/>
          <w:highlight w:val="none"/>
          <w:lang w:val="en-US" w:eastAsia="zh-CN"/>
        </w:rPr>
        <w:t>且乙方开具金额等于结算总价100%的发票给甲方</w:t>
      </w:r>
      <w:r>
        <w:rPr>
          <w:rFonts w:hint="eastAsia" w:ascii="仿宋" w:hAnsi="仿宋" w:eastAsia="仿宋" w:cs="仿宋"/>
          <w:color w:val="auto"/>
          <w:sz w:val="28"/>
          <w:szCs w:val="28"/>
          <w:highlight w:val="none"/>
        </w:rPr>
        <w:t>后，甲方付至结算总价的</w:t>
      </w:r>
      <w:r>
        <w:rPr>
          <w:rFonts w:hint="eastAsia" w:ascii="仿宋" w:hAnsi="仿宋" w:eastAsia="仿宋" w:cs="仿宋"/>
          <w:color w:val="auto"/>
          <w:sz w:val="28"/>
          <w:szCs w:val="28"/>
          <w:highlight w:val="none"/>
          <w:lang w:val="en-US" w:eastAsia="zh-CN"/>
        </w:rPr>
        <w:t>97</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含甲方工人工资专用账户支付给乙方工人工资款额）</w:t>
      </w:r>
      <w:r>
        <w:rPr>
          <w:rFonts w:hint="eastAsia" w:ascii="仿宋" w:hAnsi="仿宋" w:eastAsia="仿宋" w:cs="仿宋"/>
          <w:color w:val="auto"/>
          <w:sz w:val="28"/>
          <w:szCs w:val="28"/>
          <w:highlight w:val="none"/>
          <w:lang w:eastAsia="zh-CN"/>
        </w:rPr>
        <w:t>。</w:t>
      </w:r>
    </w:p>
    <w:p w14:paraId="5A04DC1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default"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w:t>
      </w:r>
      <w:r>
        <w:rPr>
          <w:rFonts w:hint="default" w:ascii="仿宋" w:hAnsi="仿宋" w:eastAsia="仿宋" w:cs="仿宋"/>
          <w:b w:val="0"/>
          <w:bCs w:val="0"/>
          <w:i w:val="0"/>
          <w:iCs w:val="0"/>
          <w:color w:val="auto"/>
          <w:sz w:val="28"/>
          <w:szCs w:val="28"/>
          <w:highlight w:val="none"/>
          <w:lang w:val="en-US" w:eastAsia="zh-CN"/>
        </w:rPr>
        <w:t>.1.</w:t>
      </w:r>
      <w:r>
        <w:rPr>
          <w:rFonts w:hint="eastAsia" w:ascii="仿宋" w:hAnsi="仿宋" w:eastAsia="仿宋" w:cs="仿宋"/>
          <w:b w:val="0"/>
          <w:bCs w:val="0"/>
          <w:i w:val="0"/>
          <w:iCs w:val="0"/>
          <w:color w:val="auto"/>
          <w:sz w:val="28"/>
          <w:szCs w:val="28"/>
          <w:highlight w:val="none"/>
          <w:lang w:val="en-US" w:eastAsia="zh-CN"/>
        </w:rPr>
        <w:t>4本工程结算总价的3%作为本工程保修金</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含甲方工人工资专用账户支付给乙方工人工资款额）</w:t>
      </w:r>
      <w:r>
        <w:rPr>
          <w:rFonts w:hint="default" w:ascii="仿宋" w:hAnsi="仿宋" w:eastAsia="仿宋" w:cs="仿宋"/>
          <w:b w:val="0"/>
          <w:bCs w:val="0"/>
          <w:i w:val="0"/>
          <w:iCs w:val="0"/>
          <w:color w:val="auto"/>
          <w:sz w:val="28"/>
          <w:szCs w:val="28"/>
          <w:highlight w:val="none"/>
          <w:lang w:val="en-US" w:eastAsia="zh-CN"/>
        </w:rPr>
        <w:t>，保修期满</w:t>
      </w:r>
      <w:r>
        <w:rPr>
          <w:rFonts w:hint="eastAsia" w:ascii="仿宋" w:hAnsi="仿宋" w:eastAsia="仿宋" w:cs="仿宋"/>
          <w:b w:val="0"/>
          <w:bCs w:val="0"/>
          <w:i w:val="0"/>
          <w:iCs w:val="0"/>
          <w:color w:val="auto"/>
          <w:sz w:val="28"/>
          <w:szCs w:val="28"/>
          <w:highlight w:val="none"/>
          <w:lang w:val="en-US" w:eastAsia="zh-CN"/>
        </w:rPr>
        <w:t>二年</w:t>
      </w:r>
      <w:r>
        <w:rPr>
          <w:rFonts w:hint="default" w:ascii="仿宋" w:hAnsi="仿宋" w:eastAsia="仿宋" w:cs="仿宋"/>
          <w:b w:val="0"/>
          <w:bCs w:val="0"/>
          <w:i w:val="0"/>
          <w:iCs w:val="0"/>
          <w:color w:val="auto"/>
          <w:sz w:val="28"/>
          <w:szCs w:val="28"/>
          <w:highlight w:val="none"/>
          <w:lang w:val="en-US" w:eastAsia="zh-CN"/>
        </w:rPr>
        <w:t>且乙方如实履行保修义务、责任后，甲乙双方无息结清保修金。甲方付清保修金后，乙方仍须如实履行合同约定的保修义务及责任。</w:t>
      </w:r>
    </w:p>
    <w:p w14:paraId="4F892F5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3" w:firstLineChars="179"/>
        <w:jc w:val="left"/>
        <w:textAlignment w:val="auto"/>
        <w:rPr>
          <w:rFonts w:hint="eastAsia" w:ascii="仿宋" w:hAnsi="仿宋" w:eastAsia="仿宋" w:cs="仿宋"/>
          <w:b/>
          <w:bCs/>
          <w:i w:val="0"/>
          <w:iCs w:val="0"/>
          <w:color w:val="auto"/>
          <w:sz w:val="28"/>
          <w:szCs w:val="28"/>
          <w:highlight w:val="none"/>
          <w:lang w:val="en-US" w:eastAsia="zh-CN"/>
        </w:rPr>
      </w:pPr>
      <w:r>
        <w:rPr>
          <w:rFonts w:hint="eastAsia" w:ascii="仿宋" w:hAnsi="仿宋" w:eastAsia="仿宋" w:cs="仿宋"/>
          <w:b/>
          <w:bCs/>
          <w:i w:val="0"/>
          <w:iCs w:val="0"/>
          <w:color w:val="auto"/>
          <w:sz w:val="28"/>
          <w:szCs w:val="28"/>
          <w:highlight w:val="none"/>
          <w:lang w:val="en-US" w:eastAsia="zh-CN"/>
        </w:rPr>
        <w:sym w:font="Wingdings 2" w:char="00A3"/>
      </w:r>
      <w:r>
        <w:rPr>
          <w:rFonts w:hint="eastAsia" w:ascii="仿宋" w:hAnsi="仿宋" w:eastAsia="仿宋" w:cs="仿宋"/>
          <w:b/>
          <w:bCs/>
          <w:i w:val="0"/>
          <w:iCs w:val="0"/>
          <w:color w:val="auto"/>
          <w:sz w:val="28"/>
          <w:szCs w:val="28"/>
          <w:highlight w:val="none"/>
          <w:lang w:val="en-US" w:eastAsia="zh-CN"/>
        </w:rPr>
        <w:t>7.1付款方式二</w:t>
      </w:r>
    </w:p>
    <w:p w14:paraId="45D7174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u w:val="single"/>
          <w:lang w:val="en-US" w:eastAsia="zh-CN"/>
        </w:rPr>
      </w:pPr>
      <w:r>
        <w:rPr>
          <w:rFonts w:hint="eastAsia" w:ascii="仿宋" w:hAnsi="仿宋" w:eastAsia="仿宋" w:cs="仿宋"/>
          <w:b w:val="0"/>
          <w:bCs w:val="0"/>
          <w:i w:val="0"/>
          <w:iCs w:val="0"/>
          <w:color w:val="auto"/>
          <w:sz w:val="28"/>
          <w:szCs w:val="28"/>
          <w:highlight w:val="none"/>
          <w:u w:val="single"/>
          <w:lang w:val="en-US" w:eastAsia="zh-CN"/>
        </w:rPr>
        <w:t xml:space="preserve">（如定标结果的付款方式与上述“7.1条付款方式一”不一致，则将定标结果的付款方式填写在此处作为合同付款方式） </w:t>
      </w:r>
      <w:bookmarkStart w:id="81" w:name="_Toc5757"/>
      <w:bookmarkStart w:id="82" w:name="_Toc5830"/>
      <w:bookmarkStart w:id="83" w:name="_Toc24215"/>
    </w:p>
    <w:p w14:paraId="23B9CB0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bookmarkStart w:id="84" w:name="_Toc3638"/>
      <w:r>
        <w:rPr>
          <w:rFonts w:hint="eastAsia" w:ascii="仿宋" w:hAnsi="仿宋" w:eastAsia="仿宋" w:cs="仿宋"/>
          <w:b w:val="0"/>
          <w:bCs w:val="0"/>
          <w:i w:val="0"/>
          <w:iCs w:val="0"/>
          <w:color w:val="auto"/>
          <w:sz w:val="28"/>
          <w:szCs w:val="28"/>
          <w:highlight w:val="none"/>
          <w:lang w:val="en-US" w:eastAsia="zh-CN"/>
        </w:rPr>
        <w:t>7.2合同履约保证金为人民币</w:t>
      </w:r>
      <w:r>
        <w:rPr>
          <w:rFonts w:hint="eastAsia" w:ascii="仿宋" w:hAnsi="仿宋" w:eastAsia="仿宋" w:cs="仿宋"/>
          <w:b w:val="0"/>
          <w:bCs w:val="0"/>
          <w:i w:val="0"/>
          <w:iCs w:val="0"/>
          <w:color w:val="auto"/>
          <w:sz w:val="28"/>
          <w:szCs w:val="28"/>
          <w:highlight w:val="none"/>
          <w:u w:val="single"/>
          <w:lang w:val="en-US" w:eastAsia="zh-CN"/>
        </w:rPr>
        <w:t xml:space="preserve"> 壹万 </w:t>
      </w:r>
      <w:r>
        <w:rPr>
          <w:rFonts w:hint="eastAsia" w:ascii="仿宋" w:hAnsi="仿宋" w:eastAsia="仿宋" w:cs="仿宋"/>
          <w:b w:val="0"/>
          <w:bCs w:val="0"/>
          <w:i w:val="0"/>
          <w:iCs w:val="0"/>
          <w:color w:val="auto"/>
          <w:sz w:val="28"/>
          <w:szCs w:val="28"/>
          <w:highlight w:val="none"/>
          <w:lang w:val="en-US" w:eastAsia="zh-CN"/>
        </w:rPr>
        <w:t>元整（由乙方的投标保证金无息转成）。如乙方在合同有效期内发生违约事宜，甲方可从履约保证金内提取相应款项作为违约金（若履约保证金不足，乙方须自甲方要求之日起十天内向甲方补足）。如乙方原因致使合同无法履行，履约保证金全额不予返还，乙方承担违约责任并赔偿甲方的损失。</w:t>
      </w:r>
      <w:r>
        <w:rPr>
          <w:rFonts w:hint="eastAsia" w:ascii="仿宋" w:hAnsi="仿宋" w:eastAsia="仿宋" w:cs="仿宋"/>
          <w:b w:val="0"/>
          <w:bCs w:val="0"/>
          <w:color w:val="auto"/>
          <w:sz w:val="28"/>
          <w:szCs w:val="28"/>
          <w:highlight w:val="none"/>
          <w:u w:val="none"/>
          <w:lang w:val="en-US" w:eastAsia="zh-CN"/>
        </w:rPr>
        <w:t>如乙方在合同履行期间无违约行为，则甲方在支付本合同的第一笔合同款时一并无息原路退回剩余的履约保证金</w:t>
      </w:r>
      <w:r>
        <w:rPr>
          <w:rFonts w:hint="eastAsia" w:ascii="仿宋" w:hAnsi="仿宋" w:eastAsia="仿宋" w:cs="仿宋"/>
          <w:b w:val="0"/>
          <w:bCs w:val="0"/>
          <w:i w:val="0"/>
          <w:iCs w:val="0"/>
          <w:color w:val="auto"/>
          <w:sz w:val="28"/>
          <w:szCs w:val="28"/>
          <w:highlight w:val="none"/>
          <w:lang w:val="en-US" w:eastAsia="zh-CN"/>
        </w:rPr>
        <w:t>。</w:t>
      </w:r>
    </w:p>
    <w:p w14:paraId="7E6A33FA">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147" w:beforeLines="50" w:line="360" w:lineRule="auto"/>
        <w:ind w:left="-140" w:leftChars="-50" w:right="-20" w:rightChars="-7" w:firstLine="503" w:firstLineChars="179"/>
        <w:textAlignment w:val="auto"/>
        <w:outlineLvl w:val="1"/>
        <w:rPr>
          <w:rFonts w:hint="eastAsia" w:ascii="仿宋" w:hAnsi="仿宋" w:eastAsia="仿宋" w:cs="仿宋"/>
          <w:b/>
          <w:bCs/>
          <w:i w:val="0"/>
          <w:iCs w:val="0"/>
          <w:color w:val="auto"/>
          <w:kern w:val="2"/>
          <w:sz w:val="28"/>
          <w:szCs w:val="28"/>
          <w:highlight w:val="none"/>
          <w:lang w:val="en-US" w:eastAsia="zh-CN" w:bidi="ar-SA"/>
        </w:rPr>
      </w:pPr>
      <w:bookmarkStart w:id="85" w:name="_Toc26381"/>
      <w:r>
        <w:rPr>
          <w:rFonts w:hint="eastAsia" w:ascii="仿宋" w:hAnsi="仿宋" w:eastAsia="仿宋" w:cs="仿宋"/>
          <w:b/>
          <w:bCs/>
          <w:i w:val="0"/>
          <w:iCs w:val="0"/>
          <w:color w:val="auto"/>
          <w:kern w:val="2"/>
          <w:sz w:val="28"/>
          <w:szCs w:val="28"/>
          <w:highlight w:val="none"/>
          <w:lang w:val="en-US" w:eastAsia="zh-CN" w:bidi="ar-SA"/>
        </w:rPr>
        <w:t>第八章、双方责任和权利</w:t>
      </w:r>
      <w:bookmarkEnd w:id="85"/>
    </w:p>
    <w:p w14:paraId="28766B3C">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right="0" w:rightChars="0" w:firstLine="630" w:firstLineChars="224"/>
        <w:outlineLvl w:val="1"/>
        <w:rPr>
          <w:rFonts w:hint="eastAsia" w:ascii="仿宋" w:hAnsi="仿宋" w:eastAsia="仿宋" w:cs="仿宋"/>
          <w:b/>
          <w:bCs/>
          <w:color w:val="auto"/>
          <w:sz w:val="28"/>
          <w:szCs w:val="28"/>
          <w:highlight w:val="none"/>
          <w:lang w:val="en-US" w:eastAsia="zh-CN"/>
        </w:rPr>
      </w:pPr>
      <w:bookmarkStart w:id="86" w:name="_Toc27785"/>
      <w:bookmarkStart w:id="87" w:name="_Toc15487"/>
      <w:bookmarkStart w:id="88" w:name="_Toc3708"/>
      <w:r>
        <w:rPr>
          <w:rFonts w:hint="eastAsia" w:ascii="仿宋" w:hAnsi="仿宋" w:eastAsia="仿宋" w:cs="仿宋"/>
          <w:b/>
          <w:bCs/>
          <w:color w:val="auto"/>
          <w:sz w:val="28"/>
          <w:szCs w:val="28"/>
          <w:highlight w:val="none"/>
          <w:lang w:val="en-US" w:eastAsia="zh-CN"/>
        </w:rPr>
        <w:t>8.1甲方责任和权利</w:t>
      </w:r>
      <w:bookmarkEnd w:id="86"/>
      <w:bookmarkEnd w:id="87"/>
      <w:bookmarkEnd w:id="88"/>
    </w:p>
    <w:p w14:paraId="69F6D2A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8.1.1甲方提供签章电子版的施工图及地质钻探资料（含图纸变更通知、图纸会审记录等）；对乙方进行技术交底及质量、安全、进度、文明施工、成本控制等管理。</w:t>
      </w:r>
    </w:p>
    <w:p w14:paraId="303B07D2">
      <w:pPr>
        <w:pStyle w:val="16"/>
        <w:rPr>
          <w:rFonts w:hint="eastAsia" w:ascii="仿宋" w:hAnsi="仿宋" w:eastAsia="仿宋" w:cs="仿宋"/>
          <w:b/>
          <w:bCs/>
          <w:color w:val="auto"/>
          <w:sz w:val="28"/>
          <w:szCs w:val="28"/>
          <w:highlight w:val="yellow"/>
          <w:lang w:val="en-US" w:eastAsia="zh-CN"/>
        </w:rPr>
      </w:pPr>
      <w:r>
        <w:rPr>
          <w:rFonts w:hint="eastAsia" w:ascii="仿宋" w:hAnsi="仿宋" w:eastAsia="仿宋" w:cs="仿宋"/>
          <w:b/>
          <w:bCs/>
          <w:i w:val="0"/>
          <w:iCs w:val="0"/>
          <w:color w:val="auto"/>
          <w:sz w:val="28"/>
          <w:szCs w:val="28"/>
          <w:highlight w:val="yellow"/>
          <w:lang w:val="en-US" w:eastAsia="zh-CN"/>
        </w:rPr>
        <w:t>8.2</w:t>
      </w:r>
      <w:r>
        <w:rPr>
          <w:rFonts w:hint="eastAsia" w:ascii="仿宋" w:hAnsi="仿宋" w:eastAsia="仿宋" w:cs="仿宋"/>
          <w:b/>
          <w:bCs/>
          <w:color w:val="auto"/>
          <w:sz w:val="28"/>
          <w:szCs w:val="28"/>
          <w:highlight w:val="yellow"/>
          <w:lang w:val="en-US" w:eastAsia="zh-CN"/>
        </w:rPr>
        <w:t>乙方责任和权利</w:t>
      </w:r>
    </w:p>
    <w:p w14:paraId="19605D68">
      <w:pPr>
        <w:pStyle w:val="16"/>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yellow"/>
          <w:lang w:val="en-US" w:eastAsia="zh-CN"/>
        </w:rPr>
        <w:t>8.2.1乙方须严格遵守国家及地方关于安全生产与文明施工的法律法规、规章及强制性标准，并严格执行住建主管部门的相关规定。乙方须在施工现场配备至少</w:t>
      </w:r>
      <w:r>
        <w:rPr>
          <w:rFonts w:hint="eastAsia" w:ascii="仿宋" w:hAnsi="仿宋" w:eastAsia="仿宋" w:cs="仿宋"/>
          <w:b w:val="0"/>
          <w:bCs w:val="0"/>
          <w:color w:val="auto"/>
          <w:sz w:val="28"/>
          <w:szCs w:val="28"/>
          <w:highlight w:val="yellow"/>
          <w:u w:val="single"/>
          <w:lang w:val="en-US" w:eastAsia="zh-CN"/>
        </w:rPr>
        <w:t xml:space="preserve"> 1 </w:t>
      </w:r>
      <w:r>
        <w:rPr>
          <w:rFonts w:hint="eastAsia" w:ascii="仿宋" w:hAnsi="仿宋" w:eastAsia="仿宋" w:cs="仿宋"/>
          <w:b w:val="0"/>
          <w:bCs w:val="0"/>
          <w:color w:val="auto"/>
          <w:sz w:val="28"/>
          <w:szCs w:val="28"/>
          <w:highlight w:val="yellow"/>
          <w:lang w:val="en-US" w:eastAsia="zh-CN"/>
        </w:rPr>
        <w:t>名专职安全员。乙方负责承包范围内的全部安全文明施工管理工作，因乙方原因（包括但不限于其自身过错、违规作业、安全管理不善或措施不力等）导致的任何生产安全事故，由此产生的全部责任及所有经济损失（包括对第三方的人身伤害和财产损失赔偿、政府罚款、事故处理费用等）均由乙方全额承担。此外，若发生此类事故，乙方除承担上述全部赔偿和损失外，还须向甲方支付违约金，违约金金额为事故造成的所有赔偿总额及所有直接、间接经济损失总金额的30%。此违约金是甲方因乙方违约行为所遭受的管理成本增加、声誉损失等的补偿，不免除乙方继续承担事故本身责任和妥善处理善后事宜的义务，给甲方造成的所有损失和乙方违约金，甲方可以从与乙方相关的任意款项中一次性扣回，不足的由乙方按照甲方要求时间内支付给甲方。</w:t>
      </w:r>
    </w:p>
    <w:p w14:paraId="2D138229">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147" w:beforeLines="50" w:line="360" w:lineRule="auto"/>
        <w:ind w:left="-140" w:leftChars="-50" w:right="-20" w:rightChars="-7" w:firstLine="503" w:firstLineChars="179"/>
        <w:textAlignment w:val="auto"/>
        <w:outlineLvl w:val="1"/>
        <w:rPr>
          <w:rFonts w:hint="default" w:ascii="仿宋" w:hAnsi="仿宋" w:eastAsia="仿宋" w:cs="仿宋"/>
          <w:b/>
          <w:bCs/>
          <w:i w:val="0"/>
          <w:iCs w:val="0"/>
          <w:color w:val="auto"/>
          <w:kern w:val="2"/>
          <w:sz w:val="28"/>
          <w:szCs w:val="28"/>
          <w:highlight w:val="none"/>
          <w:lang w:val="en-US" w:eastAsia="zh-CN" w:bidi="ar-SA"/>
        </w:rPr>
      </w:pPr>
      <w:bookmarkStart w:id="89" w:name="_Toc18010"/>
      <w:r>
        <w:rPr>
          <w:rFonts w:hint="eastAsia" w:ascii="仿宋" w:hAnsi="仿宋" w:eastAsia="仿宋" w:cs="仿宋"/>
          <w:b/>
          <w:bCs/>
          <w:i w:val="0"/>
          <w:iCs w:val="0"/>
          <w:color w:val="auto"/>
          <w:kern w:val="2"/>
          <w:sz w:val="28"/>
          <w:szCs w:val="28"/>
          <w:highlight w:val="none"/>
          <w:lang w:val="en-US" w:eastAsia="zh-CN" w:bidi="ar-SA"/>
        </w:rPr>
        <w:t>第九章、验收与保修</w:t>
      </w:r>
      <w:bookmarkEnd w:id="89"/>
    </w:p>
    <w:p w14:paraId="09A27AB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9.1</w:t>
      </w:r>
    </w:p>
    <w:p w14:paraId="74DD3FA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sym w:font="Wingdings 2" w:char="00A3"/>
      </w:r>
      <w:r>
        <w:rPr>
          <w:rFonts w:hint="eastAsia" w:ascii="仿宋" w:hAnsi="仿宋" w:eastAsia="仿宋" w:cs="仿宋"/>
          <w:b w:val="0"/>
          <w:bCs w:val="0"/>
          <w:i w:val="0"/>
          <w:iCs w:val="0"/>
          <w:color w:val="auto"/>
          <w:sz w:val="28"/>
          <w:szCs w:val="28"/>
          <w:highlight w:val="none"/>
          <w:lang w:val="en-US" w:eastAsia="zh-CN"/>
        </w:rPr>
        <w:t>本工程任一</w:t>
      </w:r>
      <w:r>
        <w:rPr>
          <w:rFonts w:hint="eastAsia" w:ascii="仿宋" w:hAnsi="仿宋" w:eastAsia="仿宋" w:cs="仿宋"/>
          <w:b w:val="0"/>
          <w:bCs w:val="0"/>
          <w:i w:val="0"/>
          <w:iCs w:val="0"/>
          <w:color w:val="000000" w:themeColor="text1"/>
          <w:sz w:val="28"/>
          <w:szCs w:val="28"/>
          <w:highlight w:val="none"/>
          <w:lang w:val="en-US" w:eastAsia="zh-CN"/>
          <w14:textFill>
            <w14:solidFill>
              <w14:schemeClr w14:val="tx1"/>
            </w14:solidFill>
          </w14:textFill>
        </w:rPr>
        <w:t>组团</w:t>
      </w:r>
      <w:r>
        <w:rPr>
          <w:rFonts w:hint="eastAsia" w:ascii="仿宋" w:hAnsi="仿宋" w:eastAsia="仿宋" w:cs="仿宋"/>
          <w:b w:val="0"/>
          <w:bCs w:val="0"/>
          <w:i w:val="0"/>
          <w:iCs w:val="0"/>
          <w:color w:val="auto"/>
          <w:sz w:val="28"/>
          <w:szCs w:val="28"/>
          <w:highlight w:val="none"/>
          <w:lang w:val="en-US" w:eastAsia="zh-CN"/>
        </w:rPr>
        <w:t>内容全部完工，乙方自检符合质量要求后提请甲方及建设单位组织验收，经建设行政主管部门、监理、甲方及建设单位验收合格后，移交给建设单位使用之日为本工程该</w:t>
      </w:r>
      <w:r>
        <w:rPr>
          <w:rFonts w:hint="eastAsia" w:ascii="仿宋" w:hAnsi="仿宋" w:eastAsia="仿宋" w:cs="仿宋"/>
          <w:b w:val="0"/>
          <w:bCs w:val="0"/>
          <w:i w:val="0"/>
          <w:iCs w:val="0"/>
          <w:color w:val="000000" w:themeColor="text1"/>
          <w:sz w:val="28"/>
          <w:szCs w:val="28"/>
          <w:highlight w:val="none"/>
          <w:lang w:val="en-US" w:eastAsia="zh-CN"/>
          <w14:textFill>
            <w14:solidFill>
              <w14:schemeClr w14:val="tx1"/>
            </w14:solidFill>
          </w14:textFill>
        </w:rPr>
        <w:t>组团</w:t>
      </w:r>
      <w:r>
        <w:rPr>
          <w:rFonts w:hint="eastAsia" w:ascii="仿宋" w:hAnsi="仿宋" w:eastAsia="仿宋" w:cs="仿宋"/>
          <w:b w:val="0"/>
          <w:bCs w:val="0"/>
          <w:i w:val="0"/>
          <w:iCs w:val="0"/>
          <w:color w:val="auto"/>
          <w:sz w:val="28"/>
          <w:szCs w:val="28"/>
          <w:highlight w:val="none"/>
          <w:lang w:val="en-US" w:eastAsia="zh-CN"/>
        </w:rPr>
        <w:t>内容完工之日。保修期内，本工程该组团如出现较大质量缺陷，乙方履行保修义务至验收合格后，工程保修期自此时间开始顺延。</w:t>
      </w:r>
    </w:p>
    <w:p w14:paraId="5BC9F30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sym w:font="Wingdings 2" w:char="0052"/>
      </w:r>
      <w:r>
        <w:rPr>
          <w:rFonts w:hint="eastAsia" w:ascii="仿宋" w:hAnsi="仿宋" w:eastAsia="仿宋" w:cs="仿宋"/>
          <w:b w:val="0"/>
          <w:bCs w:val="0"/>
          <w:i w:val="0"/>
          <w:iCs w:val="0"/>
          <w:color w:val="auto"/>
          <w:sz w:val="28"/>
          <w:szCs w:val="28"/>
          <w:highlight w:val="none"/>
          <w:lang w:val="en-US" w:eastAsia="zh-CN"/>
        </w:rPr>
        <w:t>本工程全部完工，乙方自检符合质量要求后提请甲方及建设单位组织验收，经政府主管部门、监理、甲方及建设单位验收合格后，移交给建设单位使用之日为本工程完工之日。</w:t>
      </w:r>
    </w:p>
    <w:p w14:paraId="4AC2404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highlight w:val="none"/>
        </w:rPr>
      </w:pPr>
      <w:bookmarkStart w:id="90" w:name="_Toc11721"/>
      <w:bookmarkStart w:id="91" w:name="_Toc18983"/>
      <w:bookmarkStart w:id="92" w:name="_Toc25473"/>
      <w:r>
        <w:rPr>
          <w:rFonts w:hint="eastAsia" w:ascii="仿宋" w:hAnsi="仿宋" w:eastAsia="仿宋" w:cs="仿宋"/>
          <w:b w:val="0"/>
          <w:bCs w:val="0"/>
          <w:i w:val="0"/>
          <w:iCs w:val="0"/>
          <w:color w:val="auto"/>
          <w:sz w:val="28"/>
          <w:szCs w:val="28"/>
          <w:highlight w:val="none"/>
          <w:lang w:val="en-US" w:eastAsia="zh-CN"/>
        </w:rPr>
        <w:t>9.2本工程保修期内，乙方对本工程出现的质量问题免费进行维修或更换；保修内容包括合同价款所包含的工程项目、设计变更或修改、现场签证或双方或多方会议纪要约定的全部内容；凡因乙方原因造成的质量事故和缺陷，如本工程各部位、部件、整体或单件的损坏、脱落、开裂、变形等，均由乙方无偿保修。</w:t>
      </w:r>
      <w:r>
        <w:rPr>
          <w:rFonts w:hint="eastAsia" w:ascii="仿宋" w:hAnsi="仿宋" w:eastAsia="仿宋" w:cs="仿宋"/>
          <w:b/>
          <w:bCs/>
          <w:i w:val="0"/>
          <w:iCs w:val="0"/>
          <w:color w:val="auto"/>
          <w:sz w:val="28"/>
          <w:szCs w:val="28"/>
          <w:highlight w:val="none"/>
          <w:lang w:val="en-US" w:eastAsia="zh-CN"/>
        </w:rPr>
        <w:t>本工程</w:t>
      </w:r>
      <w:r>
        <w:rPr>
          <w:rFonts w:hint="eastAsia" w:ascii="仿宋" w:hAnsi="仿宋" w:eastAsia="仿宋" w:cs="仿宋"/>
          <w:b/>
          <w:bCs/>
          <w:i w:val="0"/>
          <w:iCs w:val="0"/>
          <w:color w:val="auto"/>
          <w:sz w:val="28"/>
          <w:szCs w:val="28"/>
          <w:highlight w:val="none"/>
          <w:lang w:val="en-US" w:eastAsia="zh-CN"/>
        </w:rPr>
        <w:sym w:font="Wingdings 2" w:char="00A3"/>
      </w:r>
      <w:r>
        <w:rPr>
          <w:rFonts w:hint="eastAsia" w:ascii="仿宋" w:hAnsi="仿宋" w:eastAsia="仿宋" w:cs="仿宋"/>
          <w:b/>
          <w:bCs/>
          <w:i w:val="0"/>
          <w:iCs w:val="0"/>
          <w:color w:val="auto"/>
          <w:sz w:val="28"/>
          <w:szCs w:val="28"/>
          <w:highlight w:val="none"/>
          <w:lang w:val="en-US" w:eastAsia="zh-CN"/>
        </w:rPr>
        <w:t>任一组团内容/</w:t>
      </w:r>
      <w:r>
        <w:rPr>
          <w:rFonts w:hint="eastAsia" w:ascii="仿宋" w:hAnsi="仿宋" w:eastAsia="仿宋" w:cs="仿宋"/>
          <w:b/>
          <w:bCs/>
          <w:i w:val="0"/>
          <w:iCs w:val="0"/>
          <w:color w:val="auto"/>
          <w:sz w:val="28"/>
          <w:szCs w:val="28"/>
          <w:highlight w:val="none"/>
          <w:lang w:val="en-US" w:eastAsia="zh-CN"/>
        </w:rPr>
        <w:sym w:font="Wingdings 2" w:char="0052"/>
      </w:r>
      <w:r>
        <w:rPr>
          <w:rFonts w:hint="eastAsia" w:ascii="仿宋" w:hAnsi="仿宋" w:eastAsia="仿宋" w:cs="仿宋"/>
          <w:b/>
          <w:bCs/>
          <w:i w:val="0"/>
          <w:iCs w:val="0"/>
          <w:color w:val="auto"/>
          <w:sz w:val="28"/>
          <w:szCs w:val="28"/>
          <w:highlight w:val="none"/>
          <w:lang w:val="en-US" w:eastAsia="zh-CN"/>
        </w:rPr>
        <w:t>全部内容的保修期为</w:t>
      </w:r>
      <w:r>
        <w:rPr>
          <w:rFonts w:hint="eastAsia" w:ascii="仿宋" w:hAnsi="仿宋" w:eastAsia="仿宋" w:cs="仿宋"/>
          <w:b/>
          <w:bCs/>
          <w:i w:val="0"/>
          <w:iCs w:val="0"/>
          <w:color w:val="auto"/>
          <w:sz w:val="28"/>
          <w:szCs w:val="28"/>
          <w:highlight w:val="none"/>
          <w:u w:val="single"/>
          <w:lang w:val="en-US" w:eastAsia="zh-CN"/>
        </w:rPr>
        <w:t xml:space="preserve"> 2 </w:t>
      </w:r>
      <w:r>
        <w:rPr>
          <w:rFonts w:hint="eastAsia" w:ascii="仿宋" w:hAnsi="仿宋" w:eastAsia="仿宋" w:cs="仿宋"/>
          <w:b/>
          <w:bCs/>
          <w:i w:val="0"/>
          <w:iCs w:val="0"/>
          <w:color w:val="auto"/>
          <w:sz w:val="28"/>
          <w:szCs w:val="28"/>
          <w:highlight w:val="none"/>
          <w:lang w:val="en-US" w:eastAsia="zh-CN"/>
        </w:rPr>
        <w:t>年</w:t>
      </w:r>
      <w:r>
        <w:rPr>
          <w:rFonts w:hint="eastAsia" w:ascii="仿宋" w:hAnsi="仿宋" w:eastAsia="仿宋" w:cs="仿宋"/>
          <w:b w:val="0"/>
          <w:bCs w:val="0"/>
          <w:i w:val="0"/>
          <w:iCs w:val="0"/>
          <w:color w:val="auto"/>
          <w:sz w:val="28"/>
          <w:szCs w:val="28"/>
          <w:highlight w:val="none"/>
          <w:lang w:val="en-US" w:eastAsia="zh-CN"/>
        </w:rPr>
        <w:t>（政府主管部门或甲方与本项目建设单位另有更长保修期限规定的，从其规定)，保修期自本工程移交建设单位使用之日起计。</w:t>
      </w:r>
      <w:bookmarkEnd w:id="90"/>
      <w:bookmarkEnd w:id="91"/>
      <w:bookmarkEnd w:id="92"/>
    </w:p>
    <w:p w14:paraId="65FD9ACE">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147" w:beforeLines="50" w:line="360" w:lineRule="auto"/>
        <w:ind w:left="-140" w:leftChars="-50" w:right="-20" w:rightChars="-7" w:firstLine="503" w:firstLineChars="179"/>
        <w:textAlignment w:val="auto"/>
        <w:outlineLvl w:val="1"/>
        <w:rPr>
          <w:rFonts w:hint="default" w:ascii="仿宋" w:hAnsi="仿宋" w:eastAsia="仿宋" w:cs="仿宋"/>
          <w:b/>
          <w:bCs/>
          <w:i w:val="0"/>
          <w:iCs w:val="0"/>
          <w:color w:val="auto"/>
          <w:kern w:val="2"/>
          <w:sz w:val="28"/>
          <w:szCs w:val="28"/>
          <w:highlight w:val="none"/>
          <w:lang w:val="en-US" w:eastAsia="zh-CN" w:bidi="ar-SA"/>
        </w:rPr>
      </w:pPr>
      <w:bookmarkStart w:id="93" w:name="_Toc7246"/>
      <w:r>
        <w:rPr>
          <w:rFonts w:hint="eastAsia" w:ascii="仿宋" w:hAnsi="仿宋" w:eastAsia="仿宋" w:cs="仿宋"/>
          <w:b/>
          <w:bCs/>
          <w:i w:val="0"/>
          <w:iCs w:val="0"/>
          <w:color w:val="auto"/>
          <w:kern w:val="2"/>
          <w:sz w:val="28"/>
          <w:szCs w:val="28"/>
          <w:highlight w:val="none"/>
          <w:lang w:val="en-US" w:eastAsia="zh-CN" w:bidi="ar-SA"/>
        </w:rPr>
        <w:t>第十章、其他</w:t>
      </w:r>
      <w:bookmarkEnd w:id="93"/>
    </w:p>
    <w:p w14:paraId="1B2C10C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.1甲乙双方联系人</w:t>
      </w:r>
    </w:p>
    <w:p w14:paraId="5386778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.1.1甲方指定</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莫龙 </w:t>
      </w:r>
      <w:r>
        <w:rPr>
          <w:rFonts w:hint="eastAsia" w:ascii="仿宋" w:hAnsi="仿宋" w:eastAsia="仿宋" w:cs="仿宋"/>
          <w:color w:val="auto"/>
          <w:sz w:val="28"/>
          <w:szCs w:val="28"/>
          <w:highlight w:val="none"/>
        </w:rPr>
        <w:t>为本项目的负责人及甲方</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执行联系人，联系电话：</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13751400863</w:t>
      </w:r>
      <w:r>
        <w:rPr>
          <w:rFonts w:hint="eastAsia" w:ascii="仿宋" w:hAnsi="仿宋" w:eastAsia="仿宋" w:cs="仿宋"/>
          <w:color w:val="auto"/>
          <w:sz w:val="28"/>
          <w:szCs w:val="28"/>
          <w:highlight w:val="none"/>
          <w:u w:val="single"/>
          <w:lang w:eastAsia="zh-CN"/>
        </w:rPr>
        <w:t>。</w:t>
      </w:r>
      <w:r>
        <w:rPr>
          <w:rFonts w:hint="eastAsia" w:ascii="仿宋" w:hAnsi="仿宋" w:eastAsia="仿宋" w:cs="仿宋"/>
          <w:color w:val="auto"/>
          <w:sz w:val="28"/>
          <w:szCs w:val="28"/>
          <w:highlight w:val="none"/>
        </w:rPr>
        <w:t>未经甲方加盖公章确认，甲方项目负责人及</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执行联系人、签约代表及其他职员均无权代表甲方做出减损、放弃甲方权利、乙方义务、乙方责任的行为，也无权做出增加甲方义务的行为。甲方对乙方发出的业务通知等文件，须经甲方项目负责人及</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执行联系人签名并加盖</w:t>
      </w:r>
      <w:r>
        <w:rPr>
          <w:rFonts w:hint="eastAsia" w:ascii="仿宋" w:hAnsi="仿宋" w:eastAsia="仿宋" w:cs="仿宋"/>
          <w:color w:val="auto"/>
          <w:sz w:val="28"/>
          <w:szCs w:val="28"/>
          <w:highlight w:val="none"/>
          <w:lang w:val="en-US" w:eastAsia="zh-CN"/>
        </w:rPr>
        <w:t>甲方</w:t>
      </w:r>
      <w:r>
        <w:rPr>
          <w:rFonts w:hint="eastAsia" w:ascii="仿宋" w:hAnsi="仿宋" w:eastAsia="仿宋" w:cs="仿宋"/>
          <w:color w:val="auto"/>
          <w:sz w:val="28"/>
          <w:szCs w:val="28"/>
          <w:highlight w:val="none"/>
        </w:rPr>
        <w:t>项目章（样式详见附件）方为有效，否则为无效文件，仅盖章或者</w:t>
      </w:r>
      <w:r>
        <w:rPr>
          <w:rFonts w:hint="eastAsia" w:ascii="仿宋" w:hAnsi="仿宋" w:eastAsia="仿宋" w:cs="仿宋"/>
          <w:color w:val="auto"/>
          <w:sz w:val="28"/>
          <w:szCs w:val="28"/>
          <w:highlight w:val="none"/>
          <w:lang w:eastAsia="zh-CN"/>
        </w:rPr>
        <w:t>仅</w:t>
      </w:r>
      <w:r>
        <w:rPr>
          <w:rFonts w:hint="eastAsia" w:ascii="仿宋" w:hAnsi="仿宋" w:eastAsia="仿宋" w:cs="仿宋"/>
          <w:color w:val="auto"/>
          <w:sz w:val="28"/>
          <w:szCs w:val="28"/>
          <w:highlight w:val="none"/>
        </w:rPr>
        <w:t>签名的文件亦无效。甲方变更项目负责人、</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执行联系人的，甲方将以书面形式通知乙方。</w:t>
      </w:r>
    </w:p>
    <w:p w14:paraId="297694A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.1.2乙方指定</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i w:val="0"/>
          <w:iCs w:val="0"/>
          <w:color w:val="auto"/>
          <w:sz w:val="28"/>
          <w:szCs w:val="28"/>
          <w:highlight w:val="none"/>
          <w:u w:val="single"/>
          <w:shd w:val="clear" w:color="auto" w:fill="auto"/>
          <w:lang w:val="en-US" w:eastAsia="zh-CN"/>
        </w:rPr>
        <w:t xml:space="preserve">   </w:t>
      </w:r>
      <w:r>
        <w:rPr>
          <w:rFonts w:hint="eastAsia" w:ascii="仿宋" w:hAnsi="仿宋" w:eastAsia="仿宋" w:cs="仿宋"/>
          <w:color w:val="auto"/>
          <w:sz w:val="28"/>
          <w:szCs w:val="28"/>
          <w:highlight w:val="none"/>
        </w:rPr>
        <w:t>（身份证号码：</w:t>
      </w:r>
      <w:r>
        <w:rPr>
          <w:rFonts w:hint="eastAsia" w:ascii="仿宋" w:hAnsi="仿宋" w:eastAsia="仿宋" w:cs="仿宋"/>
          <w:i w:val="0"/>
          <w:iCs w:val="0"/>
          <w:color w:val="auto"/>
          <w:sz w:val="28"/>
          <w:szCs w:val="28"/>
          <w:highlight w:val="none"/>
          <w:u w:val="single"/>
          <w:shd w:val="clear" w:color="auto" w:fill="auto"/>
          <w:lang w:val="en-US" w:eastAsia="zh-CN"/>
        </w:rPr>
        <w:t xml:space="preserve">      </w:t>
      </w:r>
      <w:r>
        <w:rPr>
          <w:rFonts w:hint="eastAsia" w:ascii="仿宋" w:hAnsi="仿宋" w:eastAsia="仿宋" w:cs="仿宋"/>
          <w:color w:val="auto"/>
          <w:sz w:val="28"/>
          <w:szCs w:val="28"/>
          <w:highlight w:val="none"/>
        </w:rPr>
        <w:t>；手机号码：</w:t>
      </w:r>
      <w:r>
        <w:rPr>
          <w:rFonts w:hint="eastAsia" w:ascii="仿宋" w:hAnsi="仿宋" w:eastAsia="仿宋" w:cs="仿宋"/>
          <w:i w:val="0"/>
          <w:iCs w:val="0"/>
          <w:color w:val="auto"/>
          <w:sz w:val="28"/>
          <w:szCs w:val="28"/>
          <w:highlight w:val="none"/>
          <w:u w:val="single"/>
          <w:shd w:val="clear" w:color="auto" w:fill="auto"/>
          <w:lang w:val="en-US" w:eastAsia="zh-CN"/>
        </w:rPr>
        <w:t xml:space="preserve">      </w:t>
      </w:r>
      <w:r>
        <w:rPr>
          <w:rFonts w:hint="eastAsia" w:ascii="仿宋" w:hAnsi="仿宋" w:eastAsia="仿宋" w:cs="仿宋"/>
          <w:color w:val="auto"/>
          <w:sz w:val="28"/>
          <w:szCs w:val="28"/>
          <w:highlight w:val="none"/>
          <w:u w:val="single"/>
          <w:lang w:val="en-US"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微信号：</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val="en-US" w:eastAsia="zh-CN"/>
        </w:rPr>
        <w:t>；电子邮箱：</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color w:val="auto"/>
          <w:sz w:val="28"/>
          <w:szCs w:val="28"/>
          <w:highlight w:val="none"/>
        </w:rPr>
        <w:t>）为</w:t>
      </w:r>
      <w:r>
        <w:rPr>
          <w:rFonts w:hint="eastAsia" w:ascii="仿宋" w:hAnsi="仿宋" w:eastAsia="仿宋" w:cs="仿宋"/>
          <w:color w:val="auto"/>
          <w:sz w:val="28"/>
          <w:szCs w:val="28"/>
          <w:highlight w:val="none"/>
          <w:lang w:val="en-US" w:eastAsia="zh-CN"/>
        </w:rPr>
        <w:t>本合同的乙方</w:t>
      </w:r>
      <w:r>
        <w:rPr>
          <w:rFonts w:hint="eastAsia" w:ascii="仿宋" w:hAnsi="仿宋" w:eastAsia="仿宋" w:cs="仿宋"/>
          <w:color w:val="auto"/>
          <w:sz w:val="28"/>
          <w:szCs w:val="28"/>
          <w:highlight w:val="none"/>
        </w:rPr>
        <w:t>授权代表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本合同有效期</w:t>
      </w:r>
      <w:r>
        <w:rPr>
          <w:rFonts w:hint="eastAsia" w:ascii="仿宋" w:hAnsi="仿宋" w:eastAsia="仿宋" w:cs="仿宋"/>
          <w:color w:val="auto"/>
          <w:sz w:val="28"/>
          <w:szCs w:val="28"/>
          <w:highlight w:val="none"/>
          <w:lang w:val="en-US" w:eastAsia="zh-CN"/>
        </w:rPr>
        <w:t>内其</w:t>
      </w:r>
      <w:r>
        <w:rPr>
          <w:rFonts w:hint="eastAsia" w:ascii="仿宋" w:hAnsi="仿宋" w:eastAsia="仿宋" w:cs="仿宋"/>
          <w:color w:val="auto"/>
          <w:sz w:val="28"/>
          <w:szCs w:val="28"/>
          <w:highlight w:val="none"/>
          <w:lang w:eastAsia="zh-CN"/>
        </w:rPr>
        <w:t>为</w:t>
      </w:r>
      <w:r>
        <w:rPr>
          <w:rFonts w:hint="eastAsia" w:ascii="仿宋" w:hAnsi="仿宋" w:eastAsia="仿宋" w:cs="仿宋"/>
          <w:color w:val="auto"/>
          <w:sz w:val="28"/>
          <w:szCs w:val="28"/>
          <w:highlight w:val="none"/>
        </w:rPr>
        <w:t>乙方</w:t>
      </w:r>
      <w:r>
        <w:rPr>
          <w:rFonts w:hint="eastAsia" w:ascii="仿宋" w:hAnsi="仿宋" w:eastAsia="仿宋" w:cs="仿宋"/>
          <w:color w:val="auto"/>
          <w:sz w:val="28"/>
          <w:szCs w:val="28"/>
          <w:highlight w:val="none"/>
          <w:lang w:val="en-US" w:eastAsia="zh-CN"/>
        </w:rPr>
        <w:t>授权</w:t>
      </w:r>
      <w:r>
        <w:rPr>
          <w:rFonts w:hint="eastAsia" w:ascii="仿宋" w:hAnsi="仿宋" w:eastAsia="仿宋" w:cs="仿宋"/>
          <w:color w:val="auto"/>
          <w:sz w:val="28"/>
          <w:szCs w:val="28"/>
          <w:highlight w:val="none"/>
        </w:rPr>
        <w:t>处理与本合同</w:t>
      </w:r>
      <w:r>
        <w:rPr>
          <w:rFonts w:hint="eastAsia" w:ascii="仿宋" w:hAnsi="仿宋" w:eastAsia="仿宋" w:cs="仿宋"/>
          <w:color w:val="auto"/>
          <w:sz w:val="28"/>
          <w:szCs w:val="28"/>
          <w:highlight w:val="none"/>
          <w:lang w:val="en-US" w:eastAsia="zh-CN"/>
        </w:rPr>
        <w:t>相关</w:t>
      </w:r>
      <w:r>
        <w:rPr>
          <w:rFonts w:hint="eastAsia" w:ascii="仿宋" w:hAnsi="仿宋" w:eastAsia="仿宋" w:cs="仿宋"/>
          <w:color w:val="auto"/>
          <w:sz w:val="28"/>
          <w:szCs w:val="28"/>
          <w:highlight w:val="none"/>
        </w:rPr>
        <w:t>事项</w:t>
      </w:r>
      <w:r>
        <w:rPr>
          <w:rFonts w:hint="eastAsia" w:ascii="仿宋" w:hAnsi="仿宋" w:eastAsia="仿宋" w:cs="仿宋"/>
          <w:color w:val="auto"/>
          <w:sz w:val="28"/>
          <w:szCs w:val="28"/>
          <w:highlight w:val="none"/>
          <w:lang w:val="en-US" w:eastAsia="zh-CN"/>
        </w:rPr>
        <w:t>的合同执行代表，负责与甲方公司总部办理</w:t>
      </w:r>
      <w:r>
        <w:rPr>
          <w:rFonts w:hint="eastAsia" w:ascii="仿宋" w:hAnsi="仿宋" w:eastAsia="仿宋" w:cs="仿宋"/>
          <w:color w:val="auto"/>
          <w:sz w:val="28"/>
          <w:szCs w:val="28"/>
          <w:highlight w:val="none"/>
        </w:rPr>
        <w:t>相关事务（如负责双方来往</w:t>
      </w:r>
      <w:r>
        <w:rPr>
          <w:rFonts w:hint="eastAsia" w:ascii="仿宋" w:hAnsi="仿宋" w:eastAsia="仿宋" w:cs="仿宋"/>
          <w:color w:val="auto"/>
          <w:sz w:val="28"/>
          <w:szCs w:val="28"/>
          <w:highlight w:val="none"/>
          <w:lang w:val="en-US" w:eastAsia="zh-CN"/>
        </w:rPr>
        <w:t>函件</w:t>
      </w:r>
      <w:r>
        <w:rPr>
          <w:rFonts w:hint="eastAsia" w:ascii="仿宋" w:hAnsi="仿宋" w:eastAsia="仿宋" w:cs="仿宋"/>
          <w:color w:val="auto"/>
          <w:sz w:val="28"/>
          <w:szCs w:val="28"/>
          <w:highlight w:val="none"/>
        </w:rPr>
        <w:t>签收、签字、验收、确定增减</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款、确定结算金额、</w:t>
      </w:r>
      <w:r>
        <w:rPr>
          <w:rFonts w:hint="eastAsia" w:ascii="仿宋" w:hAnsi="仿宋" w:eastAsia="仿宋" w:cs="仿宋"/>
          <w:color w:val="auto"/>
          <w:sz w:val="28"/>
          <w:szCs w:val="28"/>
          <w:highlight w:val="none"/>
          <w:lang w:val="en-US" w:eastAsia="zh-CN"/>
        </w:rPr>
        <w:t>收</w:t>
      </w:r>
      <w:r>
        <w:rPr>
          <w:rFonts w:hint="eastAsia" w:ascii="仿宋" w:hAnsi="仿宋" w:eastAsia="仿宋" w:cs="仿宋"/>
          <w:color w:val="auto"/>
          <w:sz w:val="28"/>
          <w:szCs w:val="28"/>
          <w:highlight w:val="none"/>
        </w:rPr>
        <w:t>款、签收并签认甲方对乙方违约行为作出的处理通知等行为）</w:t>
      </w:r>
      <w:r>
        <w:rPr>
          <w:rFonts w:hint="eastAsia" w:ascii="仿宋" w:hAnsi="仿宋" w:eastAsia="仿宋" w:cs="仿宋"/>
          <w:color w:val="auto"/>
          <w:sz w:val="28"/>
          <w:szCs w:val="28"/>
          <w:highlight w:val="none"/>
          <w:lang w:eastAsia="zh-CN"/>
        </w:rPr>
        <w:t>。</w:t>
      </w:r>
    </w:p>
    <w:p w14:paraId="080E871B">
      <w:pPr>
        <w:keepNext w:val="0"/>
        <w:keepLines w:val="0"/>
        <w:pageBreakBefore w:val="0"/>
        <w:widowControl w:val="0"/>
        <w:numPr>
          <w:ilvl w:val="-1"/>
          <w:numId w:val="0"/>
        </w:numPr>
        <w:shd w:val="clear" w:color="auto" w:fill="auto"/>
        <w:kinsoku/>
        <w:wordWrap/>
        <w:overflowPunct/>
        <w:topLinePunct w:val="0"/>
        <w:autoSpaceDE/>
        <w:autoSpaceDN/>
        <w:bidi w:val="0"/>
        <w:adjustRightInd w:val="0"/>
        <w:snapToGrid w:val="0"/>
        <w:spacing w:line="360" w:lineRule="auto"/>
        <w:ind w:right="0" w:rightChars="0" w:firstLine="560" w:firstLineChars="200"/>
        <w:jc w:val="left"/>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10.1.3</w:t>
      </w:r>
      <w:r>
        <w:rPr>
          <w:rFonts w:hint="eastAsia" w:ascii="仿宋" w:hAnsi="仿宋" w:eastAsia="仿宋" w:cs="仿宋"/>
          <w:color w:val="auto"/>
          <w:sz w:val="28"/>
          <w:szCs w:val="28"/>
          <w:highlight w:val="none"/>
        </w:rPr>
        <w:t>乙方指定</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i w:val="0"/>
          <w:iCs w:val="0"/>
          <w:color w:val="auto"/>
          <w:sz w:val="28"/>
          <w:szCs w:val="28"/>
          <w:highlight w:val="none"/>
          <w:u w:val="single"/>
          <w:shd w:val="clear" w:color="auto" w:fill="auto"/>
          <w:lang w:val="en-US" w:eastAsia="zh-CN"/>
        </w:rPr>
        <w:t xml:space="preserve">   </w:t>
      </w:r>
      <w:r>
        <w:rPr>
          <w:rFonts w:hint="eastAsia" w:ascii="仿宋" w:hAnsi="仿宋" w:eastAsia="仿宋" w:cs="仿宋"/>
          <w:color w:val="auto"/>
          <w:sz w:val="28"/>
          <w:szCs w:val="28"/>
          <w:highlight w:val="none"/>
        </w:rPr>
        <w:t>（身份证号码：</w:t>
      </w:r>
      <w:r>
        <w:rPr>
          <w:rFonts w:hint="eastAsia" w:ascii="仿宋" w:hAnsi="仿宋" w:eastAsia="仿宋" w:cs="仿宋"/>
          <w:i w:val="0"/>
          <w:iCs w:val="0"/>
          <w:color w:val="auto"/>
          <w:sz w:val="28"/>
          <w:szCs w:val="28"/>
          <w:highlight w:val="none"/>
          <w:u w:val="single"/>
          <w:shd w:val="clear" w:color="auto" w:fill="auto"/>
          <w:lang w:val="en-US" w:eastAsia="zh-CN"/>
        </w:rPr>
        <w:t xml:space="preserve">      </w:t>
      </w:r>
      <w:r>
        <w:rPr>
          <w:rFonts w:hint="eastAsia" w:ascii="仿宋" w:hAnsi="仿宋" w:eastAsia="仿宋" w:cs="仿宋"/>
          <w:color w:val="auto"/>
          <w:sz w:val="28"/>
          <w:szCs w:val="28"/>
          <w:highlight w:val="none"/>
        </w:rPr>
        <w:t>；手机号码：</w:t>
      </w:r>
      <w:r>
        <w:rPr>
          <w:rFonts w:hint="eastAsia" w:ascii="仿宋" w:hAnsi="仿宋" w:eastAsia="仿宋" w:cs="仿宋"/>
          <w:i w:val="0"/>
          <w:iCs w:val="0"/>
          <w:color w:val="auto"/>
          <w:sz w:val="28"/>
          <w:szCs w:val="28"/>
          <w:highlight w:val="none"/>
          <w:u w:val="single"/>
          <w:shd w:val="clear" w:color="auto" w:fill="auto"/>
          <w:lang w:val="en-US" w:eastAsia="zh-CN"/>
        </w:rPr>
        <w:t xml:space="preserve">      </w:t>
      </w:r>
      <w:r>
        <w:rPr>
          <w:rFonts w:hint="eastAsia" w:ascii="仿宋" w:hAnsi="仿宋" w:eastAsia="仿宋" w:cs="仿宋"/>
          <w:color w:val="auto"/>
          <w:sz w:val="28"/>
          <w:szCs w:val="28"/>
          <w:highlight w:val="none"/>
          <w:u w:val="single"/>
          <w:lang w:val="en-US"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微信号：</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val="en-US" w:eastAsia="zh-CN"/>
        </w:rPr>
        <w:t>；电子邮箱：</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color w:val="auto"/>
          <w:sz w:val="28"/>
          <w:szCs w:val="28"/>
          <w:highlight w:val="none"/>
        </w:rPr>
        <w:t>）为</w:t>
      </w:r>
      <w:r>
        <w:rPr>
          <w:rFonts w:hint="eastAsia" w:ascii="仿宋" w:hAnsi="仿宋" w:eastAsia="仿宋" w:cs="仿宋"/>
          <w:color w:val="auto"/>
          <w:sz w:val="28"/>
          <w:szCs w:val="28"/>
          <w:highlight w:val="none"/>
          <w:lang w:val="en-US" w:eastAsia="zh-CN"/>
        </w:rPr>
        <w:t>本合同的乙方现场负责人，在</w:t>
      </w:r>
      <w:r>
        <w:rPr>
          <w:rFonts w:hint="eastAsia" w:ascii="仿宋" w:hAnsi="仿宋" w:eastAsia="仿宋" w:cs="仿宋"/>
          <w:color w:val="auto"/>
          <w:sz w:val="28"/>
          <w:szCs w:val="28"/>
          <w:highlight w:val="none"/>
        </w:rPr>
        <w:t>本合同有效期</w:t>
      </w:r>
      <w:r>
        <w:rPr>
          <w:rFonts w:hint="eastAsia" w:ascii="仿宋" w:hAnsi="仿宋" w:eastAsia="仿宋" w:cs="仿宋"/>
          <w:color w:val="auto"/>
          <w:sz w:val="28"/>
          <w:szCs w:val="28"/>
          <w:highlight w:val="none"/>
          <w:lang w:val="en-US" w:eastAsia="zh-CN"/>
        </w:rPr>
        <w:t>内其</w:t>
      </w:r>
      <w:r>
        <w:rPr>
          <w:rFonts w:hint="eastAsia" w:ascii="仿宋" w:hAnsi="仿宋" w:eastAsia="仿宋" w:cs="仿宋"/>
          <w:color w:val="auto"/>
          <w:sz w:val="28"/>
          <w:szCs w:val="28"/>
          <w:highlight w:val="none"/>
          <w:lang w:eastAsia="zh-CN"/>
        </w:rPr>
        <w:t>为</w:t>
      </w:r>
      <w:r>
        <w:rPr>
          <w:rFonts w:hint="eastAsia" w:ascii="仿宋" w:hAnsi="仿宋" w:eastAsia="仿宋" w:cs="仿宋"/>
          <w:color w:val="auto"/>
          <w:sz w:val="28"/>
          <w:szCs w:val="28"/>
          <w:highlight w:val="none"/>
          <w:lang w:val="en-US" w:eastAsia="zh-CN"/>
        </w:rPr>
        <w:t>乙方授权处理本项目施工现场相关事项的合同执行代表，负责与甲方项目现场的工作签认、安排甲方材料出入库签名等项目现场等全部事务。现场负责人必</w:t>
      </w:r>
      <w:r>
        <w:rPr>
          <w:rFonts w:hint="eastAsia" w:ascii="仿宋" w:hAnsi="仿宋" w:eastAsia="仿宋" w:cs="仿宋"/>
          <w:color w:val="auto"/>
          <w:sz w:val="28"/>
          <w:szCs w:val="28"/>
          <w:highlight w:val="none"/>
        </w:rPr>
        <w:t>须常</w:t>
      </w:r>
      <w:r>
        <w:rPr>
          <w:rFonts w:hint="eastAsia" w:ascii="仿宋" w:hAnsi="仿宋" w:eastAsia="仿宋" w:cs="仿宋"/>
          <w:color w:val="auto"/>
          <w:sz w:val="28"/>
          <w:szCs w:val="28"/>
          <w:highlight w:val="none"/>
          <w:lang w:val="en-US" w:eastAsia="zh-CN"/>
        </w:rPr>
        <w:t>驻本项目</w:t>
      </w:r>
      <w:r>
        <w:rPr>
          <w:rFonts w:hint="eastAsia" w:ascii="仿宋" w:hAnsi="仿宋" w:eastAsia="仿宋" w:cs="仿宋"/>
          <w:color w:val="auto"/>
          <w:sz w:val="28"/>
          <w:szCs w:val="28"/>
          <w:highlight w:val="none"/>
        </w:rPr>
        <w:t>施工现场。</w:t>
      </w:r>
      <w:r>
        <w:rPr>
          <w:rFonts w:hint="eastAsia" w:ascii="仿宋" w:hAnsi="仿宋" w:eastAsia="仿宋" w:cs="仿宋"/>
          <w:b w:val="0"/>
          <w:bCs w:val="0"/>
          <w:i w:val="0"/>
          <w:iCs w:val="0"/>
          <w:color w:val="auto"/>
          <w:sz w:val="28"/>
          <w:szCs w:val="28"/>
          <w:highlight w:val="none"/>
          <w:lang w:val="en-US" w:eastAsia="zh-CN"/>
        </w:rPr>
        <w:t>乙方对乙方授权代表及乙方现场负责人的行为均予认可并承担一切责任。乙方如需更换授权或现场负责人，应提前三个工作日书面报经甲方同意，否则不得更换。</w:t>
      </w:r>
    </w:p>
    <w:p w14:paraId="7F8DE022">
      <w:pPr>
        <w:keepNext w:val="0"/>
        <w:keepLines w:val="0"/>
        <w:pageBreakBefore w:val="0"/>
        <w:widowControl w:val="0"/>
        <w:numPr>
          <w:ilvl w:val="-1"/>
          <w:numId w:val="0"/>
        </w:numPr>
        <w:shd w:val="clear" w:color="auto" w:fill="auto"/>
        <w:kinsoku/>
        <w:wordWrap/>
        <w:overflowPunct/>
        <w:topLinePunct w:val="0"/>
        <w:autoSpaceDE/>
        <w:autoSpaceDN/>
        <w:bidi w:val="0"/>
        <w:adjustRightInd w:val="0"/>
        <w:snapToGrid w:val="0"/>
        <w:spacing w:line="360" w:lineRule="auto"/>
        <w:ind w:right="0" w:rightChars="0" w:firstLine="560" w:firstLineChars="200"/>
        <w:jc w:val="left"/>
        <w:textAlignment w:val="auto"/>
        <w:rPr>
          <w:rFonts w:hint="default"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10.2乙方就本工程应承担的团体意外险保费，由甲方自办理团体意外险后从任意应付乙方的合同款中扣款并在结算金额中相应扣减该部分费用，乙方应承担的具体保费金额以甲乙双方另行书面确认的为准。</w:t>
      </w:r>
    </w:p>
    <w:p w14:paraId="5D35DAD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highlight w:val="none"/>
          <w:lang w:val="en-US" w:eastAsia="zh-CN"/>
        </w:rPr>
      </w:pPr>
      <w:r>
        <w:rPr>
          <w:rFonts w:hint="eastAsia" w:ascii="仿宋" w:hAnsi="仿宋" w:eastAsia="仿宋" w:cs="仿宋"/>
          <w:i w:val="0"/>
          <w:iCs w:val="0"/>
          <w:color w:val="auto"/>
          <w:sz w:val="28"/>
          <w:szCs w:val="28"/>
          <w:highlight w:val="none"/>
          <w:shd w:val="clear" w:color="auto" w:fill="auto"/>
        </w:rPr>
        <w:t>【以下无正文】</w:t>
      </w:r>
    </w:p>
    <w:p w14:paraId="779480C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b/>
          <w:bCs/>
          <w:i w:val="0"/>
          <w:iCs w:val="0"/>
          <w:color w:val="auto"/>
          <w:sz w:val="24"/>
          <w:szCs w:val="24"/>
          <w:highlight w:val="none"/>
          <w:shd w:val="clear" w:color="auto" w:fill="auto"/>
        </w:rPr>
        <w:t>甲方</w:t>
      </w:r>
      <w:r>
        <w:rPr>
          <w:rFonts w:hint="eastAsia" w:ascii="仿宋" w:hAnsi="仿宋" w:eastAsia="仿宋" w:cs="仿宋"/>
          <w:b/>
          <w:bCs/>
          <w:i w:val="0"/>
          <w:iCs w:val="0"/>
          <w:color w:val="auto"/>
          <w:sz w:val="24"/>
          <w:szCs w:val="24"/>
          <w:highlight w:val="none"/>
          <w:shd w:val="clear" w:color="auto" w:fill="auto"/>
          <w:lang w:eastAsia="zh-CN"/>
        </w:rPr>
        <w:t>：</w:t>
      </w:r>
      <w:r>
        <w:rPr>
          <w:rFonts w:hint="eastAsia" w:ascii="仿宋" w:hAnsi="仿宋" w:eastAsia="仿宋" w:cs="仿宋"/>
          <w:b/>
          <w:bCs/>
          <w:i w:val="0"/>
          <w:iCs w:val="0"/>
          <w:color w:val="auto"/>
          <w:sz w:val="24"/>
          <w:szCs w:val="24"/>
          <w:highlight w:val="none"/>
          <w:shd w:val="clear" w:color="auto" w:fill="auto"/>
        </w:rPr>
        <w:t xml:space="preserve">东莞市中泰建安工程有限公司    </w:t>
      </w:r>
      <w:r>
        <w:rPr>
          <w:rFonts w:hint="eastAsia" w:ascii="仿宋" w:hAnsi="仿宋" w:eastAsia="仿宋" w:cs="仿宋"/>
          <w:b/>
          <w:bCs/>
          <w:i w:val="0"/>
          <w:iCs w:val="0"/>
          <w:color w:val="auto"/>
          <w:sz w:val="24"/>
          <w:szCs w:val="24"/>
          <w:highlight w:val="none"/>
          <w:shd w:val="clear" w:color="auto" w:fill="auto"/>
          <w:lang w:val="en-US" w:eastAsia="zh-CN"/>
        </w:rPr>
        <w:t xml:space="preserve">    </w:t>
      </w:r>
      <w:r>
        <w:rPr>
          <w:rFonts w:hint="eastAsia" w:ascii="仿宋" w:hAnsi="仿宋" w:eastAsia="仿宋" w:cs="仿宋"/>
          <w:b/>
          <w:bCs/>
          <w:i w:val="0"/>
          <w:iCs w:val="0"/>
          <w:color w:val="auto"/>
          <w:sz w:val="24"/>
          <w:szCs w:val="24"/>
          <w:highlight w:val="none"/>
          <w:shd w:val="clear" w:color="auto" w:fill="auto"/>
        </w:rPr>
        <w:t>乙方</w:t>
      </w:r>
      <w:r>
        <w:rPr>
          <w:rFonts w:hint="eastAsia" w:ascii="仿宋" w:hAnsi="仿宋" w:eastAsia="仿宋" w:cs="仿宋"/>
          <w:b/>
          <w:bCs/>
          <w:i w:val="0"/>
          <w:iCs w:val="0"/>
          <w:color w:val="auto"/>
          <w:sz w:val="24"/>
          <w:szCs w:val="24"/>
          <w:highlight w:val="none"/>
          <w:shd w:val="clear" w:color="auto" w:fill="auto"/>
          <w:lang w:eastAsia="zh-CN"/>
        </w:rPr>
        <w:t>：</w:t>
      </w:r>
      <w:r>
        <w:rPr>
          <w:rFonts w:hint="eastAsia" w:ascii="仿宋" w:hAnsi="仿宋" w:eastAsia="仿宋" w:cs="仿宋"/>
          <w:b/>
          <w:bCs/>
          <w:i w:val="0"/>
          <w:iCs w:val="0"/>
          <w:color w:val="auto"/>
          <w:sz w:val="24"/>
          <w:szCs w:val="24"/>
          <w:highlight w:val="none"/>
          <w:shd w:val="clear" w:color="auto" w:fill="auto"/>
        </w:rPr>
        <w:t xml:space="preserve">  </w:t>
      </w:r>
    </w:p>
    <w:p w14:paraId="54A8DD7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auto"/>
          <w:sz w:val="24"/>
          <w:szCs w:val="24"/>
          <w:highlight w:val="none"/>
          <w:shd w:val="clear" w:color="auto" w:fill="auto"/>
          <w:lang w:eastAsia="zh-CN"/>
        </w:rPr>
      </w:pPr>
      <w:r>
        <w:rPr>
          <w:rFonts w:hint="eastAsia" w:ascii="仿宋" w:hAnsi="仿宋" w:eastAsia="仿宋" w:cs="仿宋"/>
          <w:b/>
          <w:bCs/>
          <w:i w:val="0"/>
          <w:iCs w:val="0"/>
          <w:color w:val="auto"/>
          <w:sz w:val="24"/>
          <w:szCs w:val="24"/>
          <w:highlight w:val="none"/>
          <w:shd w:val="clear" w:color="auto" w:fill="auto"/>
          <w:lang w:eastAsia="zh-CN"/>
        </w:rPr>
        <w:t>（</w:t>
      </w:r>
      <w:r>
        <w:rPr>
          <w:rFonts w:hint="eastAsia" w:ascii="仿宋" w:hAnsi="仿宋" w:eastAsia="仿宋" w:cs="仿宋"/>
          <w:b/>
          <w:bCs/>
          <w:i w:val="0"/>
          <w:iCs w:val="0"/>
          <w:color w:val="auto"/>
          <w:sz w:val="24"/>
          <w:szCs w:val="24"/>
          <w:highlight w:val="none"/>
          <w:shd w:val="clear" w:color="auto" w:fill="auto"/>
        </w:rPr>
        <w:t>盖章</w:t>
      </w:r>
      <w:r>
        <w:rPr>
          <w:rFonts w:hint="eastAsia" w:ascii="仿宋" w:hAnsi="仿宋" w:eastAsia="仿宋" w:cs="仿宋"/>
          <w:b/>
          <w:bCs/>
          <w:i w:val="0"/>
          <w:iCs w:val="0"/>
          <w:color w:val="auto"/>
          <w:sz w:val="24"/>
          <w:szCs w:val="24"/>
          <w:highlight w:val="none"/>
          <w:shd w:val="clear" w:color="auto" w:fill="auto"/>
          <w:lang w:eastAsia="zh-CN"/>
        </w:rPr>
        <w:t>）</w:t>
      </w:r>
      <w:r>
        <w:rPr>
          <w:rFonts w:hint="eastAsia" w:ascii="仿宋" w:hAnsi="仿宋" w:eastAsia="仿宋" w:cs="仿宋"/>
          <w:b/>
          <w:bCs/>
          <w:i w:val="0"/>
          <w:iCs w:val="0"/>
          <w:color w:val="auto"/>
          <w:sz w:val="24"/>
          <w:szCs w:val="24"/>
          <w:highlight w:val="none"/>
          <w:shd w:val="clear" w:color="auto" w:fill="auto"/>
          <w:lang w:val="en-US" w:eastAsia="zh-CN"/>
        </w:rPr>
        <w:t xml:space="preserve">                               （</w:t>
      </w:r>
      <w:r>
        <w:rPr>
          <w:rFonts w:hint="eastAsia" w:ascii="仿宋" w:hAnsi="仿宋" w:eastAsia="仿宋" w:cs="仿宋"/>
          <w:b/>
          <w:bCs/>
          <w:i w:val="0"/>
          <w:iCs w:val="0"/>
          <w:color w:val="auto"/>
          <w:sz w:val="24"/>
          <w:szCs w:val="24"/>
          <w:highlight w:val="none"/>
          <w:shd w:val="clear" w:color="auto" w:fill="auto"/>
        </w:rPr>
        <w:t>盖章</w:t>
      </w:r>
      <w:r>
        <w:rPr>
          <w:rFonts w:hint="eastAsia" w:ascii="仿宋" w:hAnsi="仿宋" w:eastAsia="仿宋" w:cs="仿宋"/>
          <w:b/>
          <w:bCs/>
          <w:i w:val="0"/>
          <w:iCs w:val="0"/>
          <w:color w:val="auto"/>
          <w:sz w:val="24"/>
          <w:szCs w:val="24"/>
          <w:highlight w:val="none"/>
          <w:shd w:val="clear" w:color="auto" w:fill="auto"/>
          <w:lang w:eastAsia="zh-CN"/>
        </w:rPr>
        <w:t>）</w:t>
      </w:r>
    </w:p>
    <w:p w14:paraId="48D81BA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default" w:ascii="仿宋" w:hAnsi="仿宋" w:eastAsia="仿宋" w:cs="仿宋"/>
          <w:b/>
          <w:bCs/>
          <w:i w:val="0"/>
          <w:iCs w:val="0"/>
          <w:color w:val="auto"/>
          <w:sz w:val="24"/>
          <w:szCs w:val="24"/>
          <w:highlight w:val="none"/>
          <w:shd w:val="clear" w:color="auto" w:fill="auto"/>
          <w:lang w:val="en-US" w:eastAsia="zh-CN"/>
        </w:rPr>
      </w:pPr>
    </w:p>
    <w:p w14:paraId="5F9D4E2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auto"/>
          <w:sz w:val="16"/>
          <w:szCs w:val="16"/>
          <w:highlight w:val="none"/>
          <w:shd w:val="clear" w:color="auto" w:fill="auto"/>
          <w:lang w:val="en-US" w:eastAsia="zh-CN"/>
        </w:rPr>
      </w:pPr>
    </w:p>
    <w:p w14:paraId="57A7617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b/>
          <w:bCs/>
          <w:i w:val="0"/>
          <w:iCs w:val="0"/>
          <w:color w:val="auto"/>
          <w:sz w:val="24"/>
          <w:szCs w:val="24"/>
          <w:highlight w:val="none"/>
          <w:shd w:val="clear" w:color="auto" w:fill="auto"/>
        </w:rPr>
        <w:t>签约代表</w:t>
      </w:r>
      <w:r>
        <w:rPr>
          <w:rFonts w:hint="eastAsia" w:ascii="仿宋" w:hAnsi="仿宋" w:eastAsia="仿宋" w:cs="仿宋"/>
          <w:b/>
          <w:bCs/>
          <w:i w:val="0"/>
          <w:iCs w:val="0"/>
          <w:color w:val="auto"/>
          <w:sz w:val="24"/>
          <w:szCs w:val="24"/>
          <w:highlight w:val="none"/>
          <w:shd w:val="clear" w:color="auto" w:fill="auto"/>
          <w:lang w:eastAsia="zh-CN"/>
        </w:rPr>
        <w:t>：</w:t>
      </w:r>
      <w:r>
        <w:rPr>
          <w:rFonts w:hint="eastAsia" w:ascii="仿宋" w:hAnsi="仿宋" w:eastAsia="仿宋" w:cs="仿宋"/>
          <w:b/>
          <w:bCs/>
          <w:i w:val="0"/>
          <w:iCs w:val="0"/>
          <w:color w:val="auto"/>
          <w:sz w:val="24"/>
          <w:szCs w:val="24"/>
          <w:highlight w:val="none"/>
          <w:shd w:val="clear" w:color="auto" w:fill="auto"/>
        </w:rPr>
        <w:t xml:space="preserve">                             </w:t>
      </w:r>
      <w:r>
        <w:rPr>
          <w:rFonts w:hint="eastAsia" w:ascii="仿宋" w:hAnsi="仿宋" w:eastAsia="仿宋" w:cs="仿宋"/>
          <w:b/>
          <w:bCs/>
          <w:i w:val="0"/>
          <w:iCs w:val="0"/>
          <w:color w:val="auto"/>
          <w:sz w:val="24"/>
          <w:szCs w:val="24"/>
          <w:highlight w:val="none"/>
          <w:shd w:val="clear" w:color="auto" w:fill="auto"/>
          <w:lang w:val="en-US" w:eastAsia="zh-CN"/>
        </w:rPr>
        <w:t xml:space="preserve"> </w:t>
      </w:r>
      <w:r>
        <w:rPr>
          <w:rFonts w:hint="eastAsia" w:ascii="仿宋" w:hAnsi="仿宋" w:eastAsia="仿宋" w:cs="仿宋"/>
          <w:b/>
          <w:bCs/>
          <w:i w:val="0"/>
          <w:iCs w:val="0"/>
          <w:color w:val="auto"/>
          <w:sz w:val="24"/>
          <w:szCs w:val="24"/>
          <w:highlight w:val="none"/>
          <w:shd w:val="clear" w:color="auto" w:fill="auto"/>
        </w:rPr>
        <w:t>签约代表</w:t>
      </w:r>
      <w:r>
        <w:rPr>
          <w:rFonts w:hint="eastAsia" w:ascii="仿宋" w:hAnsi="仿宋" w:eastAsia="仿宋" w:cs="仿宋"/>
          <w:b/>
          <w:bCs/>
          <w:i w:val="0"/>
          <w:iCs w:val="0"/>
          <w:color w:val="auto"/>
          <w:sz w:val="24"/>
          <w:szCs w:val="24"/>
          <w:highlight w:val="none"/>
          <w:shd w:val="clear" w:color="auto" w:fill="auto"/>
          <w:lang w:eastAsia="zh-CN"/>
        </w:rPr>
        <w:t>：</w:t>
      </w:r>
      <w:r>
        <w:rPr>
          <w:rFonts w:hint="eastAsia" w:ascii="仿宋" w:hAnsi="仿宋" w:eastAsia="仿宋" w:cs="仿宋"/>
          <w:b/>
          <w:bCs/>
          <w:i w:val="0"/>
          <w:iCs w:val="0"/>
          <w:color w:val="auto"/>
          <w:sz w:val="24"/>
          <w:szCs w:val="24"/>
          <w:highlight w:val="none"/>
          <w:shd w:val="clear" w:color="auto" w:fill="auto"/>
        </w:rPr>
        <w:t xml:space="preserve">   </w:t>
      </w:r>
    </w:p>
    <w:p w14:paraId="4D098FC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lang w:val="en-US" w:eastAsia="zh-CN"/>
        </w:rPr>
        <w:t>统一社会信用代码</w:t>
      </w:r>
      <w:r>
        <w:rPr>
          <w:rFonts w:hint="eastAsia" w:ascii="仿宋" w:hAnsi="仿宋" w:eastAsia="仿宋" w:cs="仿宋"/>
          <w:b/>
          <w:bCs/>
          <w:i w:val="0"/>
          <w:iCs w:val="0"/>
          <w:color w:val="auto"/>
          <w:sz w:val="24"/>
          <w:szCs w:val="24"/>
          <w:highlight w:val="none"/>
          <w:shd w:val="clear" w:color="auto" w:fill="auto"/>
        </w:rPr>
        <w:t xml:space="preserve">：91441900732168546R    </w:t>
      </w:r>
      <w:r>
        <w:rPr>
          <w:rFonts w:hint="eastAsia" w:ascii="仿宋" w:hAnsi="仿宋" w:eastAsia="仿宋" w:cs="仿宋"/>
          <w:b/>
          <w:bCs/>
          <w:color w:val="auto"/>
          <w:sz w:val="24"/>
          <w:szCs w:val="24"/>
          <w:highlight w:val="none"/>
          <w:lang w:val="en-US" w:eastAsia="zh-CN"/>
        </w:rPr>
        <w:t>统一社会信用代码</w:t>
      </w:r>
      <w:r>
        <w:rPr>
          <w:rFonts w:hint="eastAsia" w:ascii="仿宋" w:hAnsi="仿宋" w:eastAsia="仿宋" w:cs="仿宋"/>
          <w:b/>
          <w:bCs/>
          <w:i w:val="0"/>
          <w:iCs w:val="0"/>
          <w:color w:val="auto"/>
          <w:sz w:val="24"/>
          <w:szCs w:val="24"/>
          <w:highlight w:val="none"/>
          <w:shd w:val="clear" w:color="auto" w:fill="auto"/>
        </w:rPr>
        <w:t>：</w:t>
      </w:r>
    </w:p>
    <w:p w14:paraId="07E8AF5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auto"/>
          <w:sz w:val="24"/>
          <w:szCs w:val="24"/>
          <w:highlight w:val="none"/>
          <w:shd w:val="clear" w:color="auto" w:fill="auto"/>
          <w:lang w:val="en-US" w:eastAsia="zh-CN"/>
        </w:rPr>
      </w:pPr>
      <w:r>
        <w:rPr>
          <w:rFonts w:hint="eastAsia" w:ascii="仿宋" w:hAnsi="仿宋" w:eastAsia="仿宋" w:cs="仿宋"/>
          <w:b/>
          <w:bCs/>
          <w:i w:val="0"/>
          <w:iCs w:val="0"/>
          <w:color w:val="auto"/>
          <w:sz w:val="24"/>
          <w:szCs w:val="24"/>
          <w:highlight w:val="none"/>
          <w:shd w:val="clear" w:color="auto" w:fill="auto"/>
        </w:rPr>
        <w:t>账  号：548000013639239</w:t>
      </w:r>
      <w:r>
        <w:rPr>
          <w:rFonts w:hint="eastAsia" w:ascii="仿宋" w:hAnsi="仿宋" w:eastAsia="仿宋" w:cs="仿宋"/>
          <w:b/>
          <w:bCs/>
          <w:i w:val="0"/>
          <w:iCs w:val="0"/>
          <w:color w:val="auto"/>
          <w:sz w:val="24"/>
          <w:szCs w:val="24"/>
          <w:highlight w:val="none"/>
          <w:shd w:val="clear" w:color="auto" w:fill="auto"/>
          <w:lang w:val="en-US" w:eastAsia="zh-CN"/>
        </w:rPr>
        <w:t xml:space="preserve">    </w:t>
      </w:r>
      <w:r>
        <w:rPr>
          <w:rFonts w:hint="eastAsia" w:ascii="仿宋" w:hAnsi="仿宋" w:eastAsia="仿宋" w:cs="仿宋"/>
          <w:b/>
          <w:bCs/>
          <w:i w:val="0"/>
          <w:iCs w:val="0"/>
          <w:color w:val="auto"/>
          <w:sz w:val="24"/>
          <w:szCs w:val="24"/>
          <w:highlight w:val="none"/>
          <w:shd w:val="clear" w:color="auto" w:fill="auto"/>
        </w:rPr>
        <w:t xml:space="preserve">             账  号：</w:t>
      </w:r>
    </w:p>
    <w:p w14:paraId="4DDFA8E0">
      <w:pPr>
        <w:keepNext w:val="0"/>
        <w:keepLines w:val="0"/>
        <w:pageBreakBefore w:val="0"/>
        <w:widowControl w:val="0"/>
        <w:kinsoku/>
        <w:wordWrap/>
        <w:overflowPunct/>
        <w:topLinePunct w:val="0"/>
        <w:autoSpaceDE/>
        <w:autoSpaceDN/>
        <w:bidi w:val="0"/>
        <w:adjustRightInd w:val="0"/>
        <w:snapToGrid w:val="0"/>
        <w:spacing w:line="360" w:lineRule="auto"/>
        <w:ind w:left="6023" w:leftChars="0" w:right="0" w:rightChars="0" w:hanging="6023" w:hangingChars="2500"/>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b/>
          <w:bCs/>
          <w:i w:val="0"/>
          <w:iCs w:val="0"/>
          <w:color w:val="auto"/>
          <w:sz w:val="24"/>
          <w:szCs w:val="24"/>
          <w:highlight w:val="none"/>
          <w:shd w:val="clear" w:color="auto" w:fill="auto"/>
        </w:rPr>
        <w:t xml:space="preserve">开户行：东莞银行股份有限公司元美支行    开户行：               </w:t>
      </w:r>
    </w:p>
    <w:p w14:paraId="05A77AB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left"/>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b/>
          <w:bCs/>
          <w:i w:val="0"/>
          <w:iCs w:val="0"/>
          <w:color w:val="auto"/>
          <w:sz w:val="24"/>
          <w:szCs w:val="24"/>
          <w:highlight w:val="none"/>
          <w:shd w:val="clear" w:color="auto" w:fill="auto"/>
        </w:rPr>
        <w:t>地 址：广东省东莞市南城街道鸿福路106</w:t>
      </w:r>
      <w:r>
        <w:rPr>
          <w:rFonts w:hint="eastAsia" w:ascii="仿宋" w:hAnsi="仿宋" w:eastAsia="仿宋" w:cs="仿宋"/>
          <w:b/>
          <w:bCs/>
          <w:i w:val="0"/>
          <w:iCs w:val="0"/>
          <w:color w:val="auto"/>
          <w:sz w:val="24"/>
          <w:szCs w:val="24"/>
          <w:highlight w:val="none"/>
          <w:shd w:val="clear" w:color="auto" w:fill="auto"/>
          <w:lang w:val="en-US" w:eastAsia="zh-CN"/>
        </w:rPr>
        <w:t xml:space="preserve">    </w:t>
      </w:r>
      <w:r>
        <w:rPr>
          <w:rFonts w:hint="eastAsia" w:ascii="仿宋" w:hAnsi="仿宋" w:eastAsia="仿宋" w:cs="仿宋"/>
          <w:b/>
          <w:bCs/>
          <w:i w:val="0"/>
          <w:iCs w:val="0"/>
          <w:color w:val="auto"/>
          <w:sz w:val="24"/>
          <w:szCs w:val="24"/>
          <w:highlight w:val="none"/>
          <w:shd w:val="clear" w:color="auto" w:fill="auto"/>
        </w:rPr>
        <w:t xml:space="preserve">地  址：           </w:t>
      </w:r>
      <w:r>
        <w:rPr>
          <w:rFonts w:hint="eastAsia" w:ascii="仿宋" w:hAnsi="仿宋" w:eastAsia="仿宋" w:cs="仿宋"/>
          <w:b/>
          <w:bCs/>
          <w:i w:val="0"/>
          <w:iCs w:val="0"/>
          <w:color w:val="auto"/>
          <w:sz w:val="24"/>
          <w:szCs w:val="24"/>
          <w:highlight w:val="none"/>
          <w:shd w:val="clear" w:color="auto" w:fill="auto"/>
          <w:lang w:val="en-US" w:eastAsia="zh-CN"/>
        </w:rPr>
        <w:t xml:space="preserve">              </w:t>
      </w:r>
      <w:r>
        <w:rPr>
          <w:rFonts w:hint="eastAsia" w:ascii="仿宋" w:hAnsi="仿宋" w:eastAsia="仿宋" w:cs="仿宋"/>
          <w:b/>
          <w:bCs/>
          <w:i w:val="0"/>
          <w:iCs w:val="0"/>
          <w:color w:val="auto"/>
          <w:sz w:val="24"/>
          <w:szCs w:val="24"/>
          <w:highlight w:val="none"/>
          <w:shd w:val="clear" w:color="auto" w:fill="auto"/>
        </w:rPr>
        <w:t xml:space="preserve">         </w:t>
      </w:r>
    </w:p>
    <w:p w14:paraId="36516041">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723" w:firstLineChars="300"/>
        <w:textAlignment w:val="auto"/>
        <w:outlineLvl w:val="0"/>
        <w:rPr>
          <w:rFonts w:hint="default" w:ascii="仿宋" w:hAnsi="仿宋" w:eastAsia="仿宋" w:cs="仿宋"/>
          <w:b/>
          <w:bCs/>
          <w:i w:val="0"/>
          <w:iCs w:val="0"/>
          <w:color w:val="auto"/>
          <w:sz w:val="24"/>
          <w:szCs w:val="24"/>
          <w:highlight w:val="none"/>
          <w:shd w:val="clear" w:color="auto" w:fill="auto"/>
          <w:lang w:val="en-US" w:eastAsia="zh-CN"/>
        </w:rPr>
      </w:pPr>
      <w:bookmarkStart w:id="94" w:name="_Toc18858"/>
      <w:r>
        <w:rPr>
          <w:rFonts w:hint="eastAsia" w:ascii="仿宋" w:hAnsi="仿宋" w:eastAsia="仿宋" w:cs="仿宋"/>
          <w:b/>
          <w:bCs/>
          <w:i w:val="0"/>
          <w:iCs w:val="0"/>
          <w:color w:val="auto"/>
          <w:sz w:val="24"/>
          <w:szCs w:val="24"/>
          <w:highlight w:val="none"/>
          <w:shd w:val="clear" w:color="auto" w:fill="auto"/>
        </w:rPr>
        <w:t>号1栋1712室01</w:t>
      </w:r>
      <w:bookmarkEnd w:id="94"/>
      <w:r>
        <w:rPr>
          <w:rFonts w:hint="eastAsia" w:ascii="仿宋" w:hAnsi="仿宋" w:eastAsia="仿宋" w:cs="仿宋"/>
          <w:b/>
          <w:bCs/>
          <w:i w:val="0"/>
          <w:iCs w:val="0"/>
          <w:color w:val="auto"/>
          <w:sz w:val="24"/>
          <w:szCs w:val="24"/>
          <w:highlight w:val="none"/>
          <w:shd w:val="clear" w:color="auto" w:fill="auto"/>
          <w:lang w:val="en-US" w:eastAsia="zh-CN"/>
        </w:rPr>
        <w:t xml:space="preserve">                                 </w:t>
      </w:r>
    </w:p>
    <w:p w14:paraId="16A6F55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auto"/>
          <w:sz w:val="24"/>
          <w:szCs w:val="24"/>
          <w:highlight w:val="none"/>
          <w:shd w:val="clear" w:color="auto" w:fill="auto"/>
        </w:rPr>
      </w:pPr>
      <w:r>
        <w:rPr>
          <w:rFonts w:hint="eastAsia" w:ascii="仿宋" w:hAnsi="仿宋" w:eastAsia="仿宋" w:cs="仿宋"/>
          <w:b/>
          <w:bCs/>
          <w:i w:val="0"/>
          <w:iCs w:val="0"/>
          <w:color w:val="auto"/>
          <w:sz w:val="24"/>
          <w:szCs w:val="24"/>
          <w:highlight w:val="none"/>
          <w:shd w:val="clear" w:color="auto" w:fill="auto"/>
        </w:rPr>
        <w:t>电  话：0769-22311322                   电  话</w:t>
      </w:r>
      <w:r>
        <w:rPr>
          <w:rFonts w:hint="eastAsia" w:ascii="仿宋" w:hAnsi="仿宋" w:eastAsia="仿宋" w:cs="仿宋"/>
          <w:b/>
          <w:bCs/>
          <w:i w:val="0"/>
          <w:iCs w:val="0"/>
          <w:color w:val="auto"/>
          <w:sz w:val="24"/>
          <w:szCs w:val="24"/>
          <w:highlight w:val="none"/>
          <w:shd w:val="clear" w:color="auto" w:fill="auto"/>
          <w:lang w:eastAsia="zh-CN"/>
        </w:rPr>
        <w:t>：</w:t>
      </w:r>
    </w:p>
    <w:p w14:paraId="5B5A6EFE">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仿宋" w:hAnsi="仿宋" w:eastAsia="仿宋" w:cs="仿宋"/>
          <w:b/>
          <w:bCs/>
          <w:i w:val="0"/>
          <w:iCs w:val="0"/>
          <w:color w:val="auto"/>
          <w:sz w:val="28"/>
          <w:szCs w:val="28"/>
          <w:highlight w:val="none"/>
          <w:u w:val="none"/>
          <w:shd w:val="clear" w:color="auto" w:fill="auto"/>
          <w:lang w:val="en-US" w:eastAsia="zh-CN"/>
        </w:rPr>
      </w:pPr>
      <w:r>
        <w:rPr>
          <w:rFonts w:hint="eastAsia" w:ascii="仿宋" w:hAnsi="仿宋" w:eastAsia="仿宋" w:cs="仿宋"/>
          <w:b/>
          <w:bCs/>
          <w:i w:val="0"/>
          <w:iCs w:val="0"/>
          <w:color w:val="auto"/>
          <w:sz w:val="28"/>
          <w:szCs w:val="28"/>
          <w:highlight w:val="none"/>
          <w:u w:val="none"/>
          <w:shd w:val="clear" w:color="auto" w:fill="auto"/>
          <w:lang w:val="en-US" w:eastAsia="zh-CN"/>
        </w:rPr>
        <w:t>【</w:t>
      </w:r>
      <w:r>
        <w:rPr>
          <w:rFonts w:hint="eastAsia" w:ascii="仿宋" w:hAnsi="仿宋" w:eastAsia="仿宋" w:cs="仿宋"/>
          <w:b/>
          <w:bCs/>
          <w:i w:val="0"/>
          <w:iCs w:val="0"/>
          <w:color w:val="auto"/>
          <w:sz w:val="24"/>
          <w:szCs w:val="24"/>
          <w:highlight w:val="none"/>
          <w:u w:val="none"/>
          <w:shd w:val="clear" w:color="auto" w:fill="auto"/>
          <w:lang w:val="en-US" w:eastAsia="zh-CN"/>
        </w:rPr>
        <w:t>甲方人员如有营私舞弊、吃拿卡要等损害乙方合法权益的行为，乙方可拨打投诉专线 4000968086或发邮件至投诉邮箱：zhglzx@nanfeng.cn，也可至广东省东莞市南城街道鸿福路106号南峰中心12楼内控中心办公室面诉。</w:t>
      </w:r>
      <w:r>
        <w:rPr>
          <w:rFonts w:hint="eastAsia" w:ascii="仿宋" w:hAnsi="仿宋" w:eastAsia="仿宋" w:cs="仿宋"/>
          <w:b/>
          <w:bCs/>
          <w:i w:val="0"/>
          <w:iCs w:val="0"/>
          <w:color w:val="auto"/>
          <w:sz w:val="28"/>
          <w:szCs w:val="28"/>
          <w:highlight w:val="none"/>
          <w:u w:val="none"/>
          <w:shd w:val="clear" w:color="auto" w:fill="auto"/>
          <w:lang w:val="en-US" w:eastAsia="zh-CN"/>
        </w:rPr>
        <w:t>】</w:t>
      </w:r>
    </w:p>
    <w:p w14:paraId="025411E5">
      <w:pPr>
        <w:pStyle w:val="5"/>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仿宋" w:hAnsi="仿宋" w:eastAsia="仿宋" w:cs="仿宋"/>
          <w:b/>
          <w:bCs/>
          <w:i w:val="0"/>
          <w:iCs w:val="0"/>
          <w:color w:val="auto"/>
          <w:sz w:val="28"/>
          <w:szCs w:val="28"/>
          <w:highlight w:val="none"/>
          <w:u w:val="none"/>
          <w:shd w:val="clear" w:color="auto" w:fill="auto"/>
          <w:lang w:val="en-US" w:eastAsia="zh-CN"/>
        </w:rPr>
      </w:pPr>
    </w:p>
    <w:p w14:paraId="5A3FD46B">
      <w:pPr>
        <w:pStyle w:val="5"/>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仿宋" w:hAnsi="仿宋" w:eastAsia="仿宋" w:cs="仿宋"/>
          <w:b/>
          <w:bCs/>
          <w:i w:val="0"/>
          <w:iCs w:val="0"/>
          <w:color w:val="auto"/>
          <w:sz w:val="28"/>
          <w:szCs w:val="28"/>
          <w:highlight w:val="none"/>
          <w:u w:val="none"/>
          <w:shd w:val="clear" w:color="auto" w:fill="auto"/>
          <w:lang w:val="en-US" w:eastAsia="zh-CN"/>
        </w:rPr>
      </w:pPr>
    </w:p>
    <w:p w14:paraId="543B4AC8">
      <w:pPr>
        <w:pStyle w:val="5"/>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仿宋" w:hAnsi="仿宋" w:eastAsia="仿宋" w:cs="仿宋"/>
          <w:b/>
          <w:bCs/>
          <w:i w:val="0"/>
          <w:iCs w:val="0"/>
          <w:color w:val="auto"/>
          <w:sz w:val="28"/>
          <w:szCs w:val="28"/>
          <w:highlight w:val="none"/>
          <w:u w:val="none"/>
          <w:shd w:val="clear" w:color="auto" w:fill="auto"/>
          <w:lang w:val="en-US" w:eastAsia="zh-CN"/>
        </w:rPr>
      </w:pPr>
    </w:p>
    <w:p w14:paraId="2C866478">
      <w:pPr>
        <w:pStyle w:val="5"/>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仿宋" w:hAnsi="仿宋" w:eastAsia="仿宋" w:cs="仿宋"/>
          <w:b/>
          <w:bCs/>
          <w:i w:val="0"/>
          <w:iCs w:val="0"/>
          <w:color w:val="auto"/>
          <w:sz w:val="28"/>
          <w:szCs w:val="28"/>
          <w:highlight w:val="none"/>
          <w:u w:val="none"/>
          <w:shd w:val="clear" w:color="auto" w:fill="auto"/>
          <w:lang w:val="en-US" w:eastAsia="zh-CN"/>
        </w:rPr>
      </w:pPr>
    </w:p>
    <w:p w14:paraId="0DD85CFA">
      <w:pPr>
        <w:pStyle w:val="5"/>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仿宋" w:hAnsi="仿宋" w:eastAsia="仿宋" w:cs="仿宋"/>
          <w:b/>
          <w:bCs/>
          <w:i w:val="0"/>
          <w:iCs w:val="0"/>
          <w:color w:val="auto"/>
          <w:sz w:val="28"/>
          <w:szCs w:val="28"/>
          <w:highlight w:val="none"/>
          <w:u w:val="none"/>
          <w:shd w:val="clear" w:color="auto" w:fill="auto"/>
          <w:lang w:val="en-US" w:eastAsia="zh-CN"/>
        </w:rPr>
      </w:pPr>
    </w:p>
    <w:p w14:paraId="4F9A159C">
      <w:pPr>
        <w:pStyle w:val="5"/>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仿宋" w:hAnsi="仿宋" w:eastAsia="仿宋" w:cs="仿宋"/>
          <w:b/>
          <w:bCs/>
          <w:i w:val="0"/>
          <w:iCs w:val="0"/>
          <w:color w:val="auto"/>
          <w:sz w:val="28"/>
          <w:szCs w:val="28"/>
          <w:highlight w:val="none"/>
          <w:u w:val="none"/>
          <w:shd w:val="clear" w:color="auto" w:fill="auto"/>
          <w:lang w:val="en-US" w:eastAsia="zh-CN"/>
        </w:rPr>
      </w:pPr>
    </w:p>
    <w:p w14:paraId="062A4F69">
      <w:pPr>
        <w:pStyle w:val="5"/>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仿宋" w:hAnsi="仿宋" w:eastAsia="仿宋" w:cs="仿宋"/>
          <w:b/>
          <w:bCs/>
          <w:i w:val="0"/>
          <w:iCs w:val="0"/>
          <w:color w:val="auto"/>
          <w:sz w:val="28"/>
          <w:szCs w:val="28"/>
          <w:highlight w:val="none"/>
          <w:u w:val="none"/>
          <w:shd w:val="clear" w:color="auto" w:fill="auto"/>
          <w:lang w:val="en-US" w:eastAsia="zh-CN"/>
        </w:rPr>
      </w:pPr>
    </w:p>
    <w:p w14:paraId="1D6EE5B5">
      <w:pPr>
        <w:pStyle w:val="5"/>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仿宋" w:hAnsi="仿宋" w:eastAsia="仿宋" w:cs="仿宋"/>
          <w:b/>
          <w:bCs/>
          <w:i w:val="0"/>
          <w:iCs w:val="0"/>
          <w:color w:val="auto"/>
          <w:sz w:val="28"/>
          <w:szCs w:val="28"/>
          <w:highlight w:val="none"/>
          <w:u w:val="none"/>
          <w:shd w:val="clear" w:color="auto" w:fill="auto"/>
          <w:lang w:val="en-US" w:eastAsia="zh-CN"/>
        </w:rPr>
      </w:pPr>
    </w:p>
    <w:p w14:paraId="34E3DBCE">
      <w:pPr>
        <w:pStyle w:val="5"/>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textAlignment w:val="auto"/>
        <w:rPr>
          <w:rFonts w:hint="eastAsia" w:ascii="仿宋" w:hAnsi="仿宋" w:eastAsia="仿宋" w:cs="仿宋"/>
          <w:b/>
          <w:bCs/>
          <w:i w:val="0"/>
          <w:iCs w:val="0"/>
          <w:color w:val="auto"/>
          <w:sz w:val="28"/>
          <w:szCs w:val="28"/>
          <w:highlight w:val="none"/>
          <w:u w:val="none"/>
          <w:shd w:val="clear" w:color="auto" w:fill="auto"/>
          <w:lang w:val="en-US" w:eastAsia="zh-CN"/>
        </w:rPr>
      </w:pPr>
    </w:p>
    <w:bookmarkEnd w:id="81"/>
    <w:bookmarkEnd w:id="82"/>
    <w:bookmarkEnd w:id="83"/>
    <w:bookmarkEnd w:id="84"/>
    <w:p w14:paraId="661539A5">
      <w:pPr>
        <w:keepNext w:val="0"/>
        <w:keepLines w:val="0"/>
        <w:pageBreakBefore w:val="0"/>
        <w:widowControl w:val="0"/>
        <w:numPr>
          <w:ilvl w:val="0"/>
          <w:numId w:val="0"/>
        </w:numPr>
        <w:tabs>
          <w:tab w:val="left" w:pos="6272"/>
        </w:tabs>
        <w:kinsoku/>
        <w:wordWrap/>
        <w:overflowPunct/>
        <w:topLinePunct w:val="0"/>
        <w:autoSpaceDE/>
        <w:autoSpaceDN/>
        <w:bidi w:val="0"/>
        <w:adjustRightInd w:val="0"/>
        <w:snapToGrid w:val="0"/>
        <w:spacing w:line="360" w:lineRule="auto"/>
        <w:ind w:left="-140" w:leftChars="-50" w:right="-770" w:rightChars="-275"/>
        <w:jc w:val="center"/>
        <w:textAlignment w:val="auto"/>
        <w:outlineLvl w:val="0"/>
        <w:rPr>
          <w:rFonts w:hint="default" w:ascii="仿宋_GB2312" w:hAnsi="仿宋_GB2312" w:eastAsia="仿宋_GB2312" w:cs="仿宋_GB2312"/>
          <w:b/>
          <w:bCs/>
          <w:i w:val="0"/>
          <w:iCs w:val="0"/>
          <w:color w:val="auto"/>
          <w:kern w:val="0"/>
          <w:sz w:val="28"/>
          <w:szCs w:val="28"/>
          <w:highlight w:val="none"/>
          <w:u w:val="none"/>
          <w:shd w:val="clear" w:color="auto" w:fill="auto"/>
          <w:lang w:val="en-US" w:eastAsia="zh-CN"/>
        </w:rPr>
      </w:pPr>
      <w:bookmarkStart w:id="95" w:name="_Toc19370"/>
      <w:bookmarkStart w:id="96" w:name="_Toc26522"/>
      <w:bookmarkStart w:id="97" w:name="_Toc18171"/>
      <w:bookmarkStart w:id="98" w:name="_Toc25956"/>
      <w:bookmarkStart w:id="99" w:name="_Toc15155"/>
      <w:bookmarkStart w:id="100" w:name="_Toc22003"/>
      <w:bookmarkStart w:id="101" w:name="_Toc21850"/>
      <w:bookmarkStart w:id="102" w:name="_Toc20415"/>
      <w:r>
        <w:rPr>
          <w:rFonts w:hint="eastAsia" w:ascii="仿宋_GB2312" w:hAnsi="仿宋_GB2312" w:eastAsia="仿宋_GB2312" w:cs="仿宋_GB2312"/>
          <w:b/>
          <w:bCs/>
          <w:i w:val="0"/>
          <w:iCs w:val="0"/>
          <w:color w:val="auto"/>
          <w:kern w:val="0"/>
          <w:sz w:val="28"/>
          <w:szCs w:val="28"/>
          <w:highlight w:val="none"/>
          <w:shd w:val="clear" w:fill="auto"/>
          <w:lang w:val="en-US" w:eastAsia="zh-CN" w:bidi="ar-SA"/>
        </w:rPr>
        <w:t xml:space="preserve">第二部分 </w:t>
      </w:r>
      <w:r>
        <w:rPr>
          <w:rFonts w:hint="eastAsia" w:ascii="仿宋_GB2312" w:hAnsi="仿宋_GB2312" w:eastAsia="仿宋_GB2312" w:cs="仿宋_GB2312"/>
          <w:b/>
          <w:bCs/>
          <w:i w:val="0"/>
          <w:iCs w:val="0"/>
          <w:color w:val="auto"/>
          <w:kern w:val="0"/>
          <w:sz w:val="28"/>
          <w:szCs w:val="28"/>
          <w:highlight w:val="none"/>
          <w:u w:val="none"/>
          <w:shd w:val="clear" w:color="auto" w:fill="auto"/>
          <w:lang w:val="en-US" w:eastAsia="zh-CN"/>
        </w:rPr>
        <w:t>合同通用条款</w:t>
      </w:r>
      <w:bookmarkEnd w:id="95"/>
      <w:bookmarkEnd w:id="96"/>
      <w:bookmarkEnd w:id="97"/>
      <w:bookmarkEnd w:id="98"/>
      <w:bookmarkEnd w:id="99"/>
    </w:p>
    <w:p w14:paraId="6879ADBA">
      <w:pPr>
        <w:keepNext w:val="0"/>
        <w:keepLines w:val="0"/>
        <w:pageBreakBefore w:val="0"/>
        <w:widowControl w:val="0"/>
        <w:kinsoku/>
        <w:wordWrap/>
        <w:overflowPunct/>
        <w:topLinePunct w:val="0"/>
        <w:autoSpaceDE/>
        <w:autoSpaceDN/>
        <w:bidi w:val="0"/>
        <w:adjustRightInd w:val="0"/>
        <w:snapToGrid w:val="0"/>
        <w:spacing w:before="146" w:beforeLines="50" w:line="360" w:lineRule="auto"/>
        <w:ind w:left="-140" w:leftChars="-50" w:right="-1260" w:rightChars="-45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03" w:name="_Toc6210"/>
      <w:bookmarkStart w:id="104" w:name="_Toc4601"/>
      <w:bookmarkStart w:id="105" w:name="_Toc16558"/>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第一章、乙方承包范围及主要工程内容</w:t>
      </w:r>
      <w:bookmarkEnd w:id="103"/>
      <w:bookmarkEnd w:id="104"/>
      <w:bookmarkEnd w:id="105"/>
    </w:p>
    <w:p w14:paraId="23B9221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甲方提供的，经甲方权限流程审批的本工程施工图及施工做法、招标清单、交楼标准、图纸会审、施工方案或施工组织设计等文件所含内容也由乙方施工，本合同另有约定的除外。甲方有权调整乙方的承包范围及内容，乙方不得以任何理由拒绝，否则甲方有权单方解除合同。</w:t>
      </w:r>
    </w:p>
    <w:p w14:paraId="2C59A8A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1.2乙方施工前，须在甲方施工员组织下对甲方（或其他单位）交付的施工界面进行检查，并签订好《工完场清交接单》（格式详见附件）后方可进场施工；如乙方未签订《工完场清交接单》即施工，视乙方认为适于施工并作为乙方施工前提，因该界面导致乙方施工内容不符合合同要求的，乙方自费返工至符合合同要求且不向甲方（或其他施工单位）索赔。</w:t>
      </w:r>
    </w:p>
    <w:p w14:paraId="5414BAA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1.3乙方自行控制好施工管理，自行组织对施工的有关质量、安全、进度、成本等现场组织管理工作，按甲方项目部确定的施工方案进行施工。</w:t>
      </w:r>
    </w:p>
    <w:p w14:paraId="1884D40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1.4乙方对本工程质量按合同约定承担责任，对本工程安全生产、文明施工、工期进度和甲供材料限额使用等相关事项承担全部责任。</w:t>
      </w:r>
    </w:p>
    <w:p w14:paraId="6BDAC55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1.5乙方自备机具的维修及养护由乙方自行负责；乙方自备/采购的材料、设备或小型机具必须符合设计规范及本项目施工总承包合同的要求。</w:t>
      </w:r>
    </w:p>
    <w:p w14:paraId="5A82E93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default"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1.6乙方负责协调、处理本工程涉及的各类关系（包括但不限于政府主管部门、周边居民等关系），确保进退场及施工过程中合法、合规、不扰民，相关费用已包含在合同单价内，不另行计取。</w:t>
      </w:r>
    </w:p>
    <w:p w14:paraId="05F976B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1.7乙方负责购买其在本项目工作的所有人员的社会保险、工伤保险、人身意外伤害保险及建筑施工人员团体意外伤害保险，对本工程质量按合同约定承担保修责任，对本工程的施工质量、安全生产、文明施工、工期进度和甲供材限额使用等相关事项承担全部责任，相关费用等已包含在本合同第一部分合同专用条款第五章约定的合同价格中，甲方无需另行支付费用给乙方。</w:t>
      </w:r>
    </w:p>
    <w:p w14:paraId="11C612C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1.8本项目设计变更引起的增加工程，无论工程量大小及施工难度系数高低，如甲方要求乙方施工，乙方须按甲方要求施工，相关费用按本合同约定办理。</w:t>
      </w:r>
    </w:p>
    <w:p w14:paraId="0D704C6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鉴于本合同所列单价未必完善，如本工程施工过程中发生新的工程变更内容（例：工程设计变更或增加承包内容等导致的新工程等）且无适用的合同单价，乙方须按甲方要求先行施工（否则每延迟一天乙方向甲方支付违约金人民币两千元），并在甲方通知施工之日起三个工作日内书面向甲方申报工程单价（申报格式以甲方确定的为准），逾期不申报视为乙方同意甲方单方确定的结算价格。</w:t>
      </w:r>
    </w:p>
    <w:p w14:paraId="25B251D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1.9乙方负责本工程施工现场内所需材料、机具的运输。</w:t>
      </w:r>
    </w:p>
    <w:p w14:paraId="2D2DFBE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1.10乙方负责本工程材料、机具堆放场的安全文明施工工作。</w:t>
      </w:r>
    </w:p>
    <w:p w14:paraId="5CFE4715">
      <w:pPr>
        <w:keepNext w:val="0"/>
        <w:keepLines w:val="0"/>
        <w:pageBreakBefore w:val="0"/>
        <w:widowControl w:val="0"/>
        <w:kinsoku/>
        <w:wordWrap/>
        <w:overflowPunct/>
        <w:topLinePunct w:val="0"/>
        <w:autoSpaceDE/>
        <w:autoSpaceDN/>
        <w:bidi w:val="0"/>
        <w:adjustRightInd w:val="0"/>
        <w:snapToGrid w:val="0"/>
        <w:spacing w:before="146" w:beforeLines="50" w:line="360" w:lineRule="auto"/>
        <w:ind w:left="-140" w:leftChars="-50" w:right="-1260" w:rightChars="-45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06" w:name="_Toc29791"/>
      <w:bookmarkStart w:id="107" w:name="_Toc28153"/>
      <w:bookmarkStart w:id="108" w:name="_Toc2553"/>
      <w:bookmarkStart w:id="109" w:name="_Toc3824"/>
      <w:bookmarkStart w:id="110" w:name="_Toc22079"/>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第二章、工期</w:t>
      </w:r>
      <w:bookmarkEnd w:id="106"/>
      <w:bookmarkEnd w:id="107"/>
      <w:bookmarkEnd w:id="108"/>
    </w:p>
    <w:p w14:paraId="78B1A10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2.1本合同工期为计划工期，实际应开工、竣工时间以甲方书面通知为准，乙方收到甲方书面发出的《分包单位开工令》后方可进场，开工时间以开工令通知要求时间为准。甲方书面通知形式包括不限于微信、短信、传真、电子邮件、纸质文件等，乙方无条件按甲方要求调整开工、竣工时间。如甲方变更工期，乙方自行调整其人员、材料物资、资金的安排，随时配合甲方开工、竣工并按本合同约定执行。因甲方变更工期导致乙方损失的补偿费用已经包含在合同单价合同总价内，甲方不另补偿或增加任何费用给乙方。因甲方原因导致乙方延迟进场的，经甲方书面确认后工期相应顺延，但甲方不额外支付窝工费、停工费等费用给乙方，乙方不因此追究甲方任何责任及索赔。</w:t>
      </w:r>
    </w:p>
    <w:p w14:paraId="693C194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color w:val="auto"/>
          <w:highlight w:val="none"/>
          <w:lang w:val="en-US" w:eastAsia="zh-CN"/>
        </w:rPr>
      </w:pPr>
      <w:r>
        <w:rPr>
          <w:rFonts w:hint="eastAsia" w:ascii="仿宋" w:hAnsi="仿宋" w:eastAsia="仿宋" w:cs="仿宋"/>
          <w:b w:val="0"/>
          <w:bCs w:val="0"/>
          <w:i w:val="0"/>
          <w:iCs w:val="0"/>
          <w:color w:val="auto"/>
          <w:sz w:val="28"/>
          <w:szCs w:val="28"/>
          <w:highlight w:val="none"/>
          <w:lang w:val="en-US" w:eastAsia="zh-CN"/>
        </w:rPr>
        <w:t>2.2乙方必须满足甲方工期要求，配合甲方随时增加或减少乙方人员以满足本工程施工要求。</w:t>
      </w:r>
    </w:p>
    <w:p w14:paraId="31F0451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2.3乙方提交的开工资料须满足甲方要求，乙方收到甲方项目经理签发并加盖甲方项目章的开工令（格式详见附件）后，须按开工令要求进场。</w:t>
      </w:r>
    </w:p>
    <w:p w14:paraId="5E72669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2.4乙方的施工物资须持有上述甲方签发的有效书面开工令后方可进场，否则视乙方物资未经甲方允许而占用本项目场地，乙方须立即按甲方要求将物资退场。用于本项目的进场物资由乙方自行保管。如乙方的行为给甲方造成损失，乙方自愿承担全部损失及费用：包括但不限于人工清理费用、修复费用、场地租赁费用、延误赔偿金等。</w:t>
      </w:r>
    </w:p>
    <w:p w14:paraId="5FBA5DA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2.5乙方须严格遵照甲方制订的施工进度计划施工及完成相关工作，接受甲方项目部施工任务安排，否则乙方按合同向甲方支付违约金。</w:t>
      </w:r>
    </w:p>
    <w:p w14:paraId="4FB8C4D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2.6乙方已充分考虑除天气、不可抗力（如：地震、海啸、瘟疫、骚乱、戒严、暴动、战争等法定情形）外其他因素可能对工期的影响，乙方同意不因任何原因要求延长工期。</w:t>
      </w:r>
    </w:p>
    <w:p w14:paraId="16647A1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2.7本工程施工过程出现赶工、交叉作业、停工（包括本项目建设单位原因造成的停工）及工人工资、材料费、机具费上涨等导致乙方成本、费用发生增加的，乙方不因此要求甲方对合同价格进行调整和另行增补费用。</w:t>
      </w:r>
    </w:p>
    <w:p w14:paraId="77B958E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default"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2.8春节、元旦、五一、十一、周末等法定节假日、休息日及技术要求或进度计划要求乙方赶工、加班等费用已包含在本合同约定的□合同总价☑合同单价内，甲方无需另行付费给乙方。</w:t>
      </w:r>
    </w:p>
    <w:p w14:paraId="614303B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2.9乙方在本合同签订前已勘察本项目现场场地，对本工程特性全部清楚，因甲方原因导致施工计划调整的，乙方免费积极配合。</w:t>
      </w:r>
    </w:p>
    <w:p w14:paraId="663C23B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2.10乙方认为甲方或其他单位未配合提供所需工作面、机具及材料而影响施工进度时，须书面告知甲方并按甲方要求办理相关事宜，否则视为不影响乙方施工，乙方不得因此要求延长工期。</w:t>
      </w:r>
    </w:p>
    <w:p w14:paraId="716A404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default"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2.11乙方须严格遵照甲方制订的施工进度计划开展施工，每周必须到甲方项目部在《施工任务表》上签认施工任务并保证完成，否则向甲方支付违约金伍仟元/次。</w:t>
      </w:r>
    </w:p>
    <w:p w14:paraId="7FA32CC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2.12本项目竣工验收移交甲方后、保修期结束前，如甲方在本项目内有新增工程且要求乙方进行报价施工时，乙方须予配合。</w:t>
      </w:r>
    </w:p>
    <w:bookmarkEnd w:id="109"/>
    <w:bookmarkEnd w:id="110"/>
    <w:p w14:paraId="504C716B">
      <w:pPr>
        <w:keepNext w:val="0"/>
        <w:keepLines w:val="0"/>
        <w:pageBreakBefore w:val="0"/>
        <w:widowControl w:val="0"/>
        <w:numPr>
          <w:ilvl w:val="0"/>
          <w:numId w:val="2"/>
        </w:numPr>
        <w:kinsoku/>
        <w:wordWrap/>
        <w:overflowPunct/>
        <w:topLinePunct w:val="0"/>
        <w:autoSpaceDE/>
        <w:autoSpaceDN/>
        <w:bidi w:val="0"/>
        <w:adjustRightInd w:val="0"/>
        <w:snapToGrid w:val="0"/>
        <w:spacing w:before="146" w:beforeLines="50" w:line="360" w:lineRule="auto"/>
        <w:ind w:left="-140" w:leftChars="-50" w:right="-1260" w:rightChars="-45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11" w:name="_Toc25419"/>
      <w:bookmarkStart w:id="112" w:name="_Toc2287"/>
      <w:bookmarkStart w:id="113" w:name="_Toc24123"/>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工程质量标准</w:t>
      </w:r>
      <w:bookmarkEnd w:id="111"/>
      <w:bookmarkEnd w:id="112"/>
      <w:bookmarkEnd w:id="113"/>
    </w:p>
    <w:p w14:paraId="60171C0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3.1质量标准：本工程须达到国家、行业相关施工质量验收规范的</w:t>
      </w:r>
      <w:r>
        <w:rPr>
          <w:rFonts w:hint="eastAsia" w:ascii="仿宋" w:hAnsi="仿宋" w:eastAsia="仿宋" w:cs="仿宋"/>
          <w:b w:val="0"/>
          <w:bCs w:val="0"/>
          <w:i w:val="0"/>
          <w:iCs w:val="0"/>
          <w:color w:val="auto"/>
          <w:sz w:val="28"/>
          <w:szCs w:val="28"/>
          <w:highlight w:val="none"/>
          <w:u w:val="single"/>
          <w:lang w:val="en-US" w:eastAsia="zh-CN"/>
        </w:rPr>
        <w:t xml:space="preserve"> 优良 </w:t>
      </w:r>
      <w:r>
        <w:rPr>
          <w:rFonts w:hint="eastAsia" w:ascii="仿宋" w:hAnsi="仿宋" w:eastAsia="仿宋" w:cs="仿宋"/>
          <w:b w:val="0"/>
          <w:bCs w:val="0"/>
          <w:i w:val="0"/>
          <w:iCs w:val="0"/>
          <w:color w:val="auto"/>
          <w:sz w:val="28"/>
          <w:szCs w:val="28"/>
          <w:highlight w:val="none"/>
          <w:lang w:val="en-US" w:eastAsia="zh-CN"/>
        </w:rPr>
        <w:t>标准，本合同另有约定的亦须同时符合该约定。</w:t>
      </w:r>
    </w:p>
    <w:p w14:paraId="066ACED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3.2质量要点</w:t>
      </w:r>
    </w:p>
    <w:p w14:paraId="373B7FF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3.2.1由于乙方原因导致工程任一部位质量达不到约定的质量标准或不符合施工规范的，该部位按相应的合同单价下调10％结算且乙方无条件完成整改，所发生一切费用由乙方自行承担。</w:t>
      </w:r>
    </w:p>
    <w:p w14:paraId="0DC6868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 xml:space="preserve">3.2.2乙方必须以甲方验收合格为标准，无条件的接受返工、整改，工期不得顺延。 </w:t>
      </w:r>
    </w:p>
    <w:p w14:paraId="65A326E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default"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3.2.3管桩质量控制要求：甲方项目部成立管桩验收小组，参加单位有甲方、管桩厂、乙方、建设单位、监理单位，管桩到场卸桩时，对卸桩至地面每根桩全过程共同检查，乙方进行管桩拖、吊运就位施压，全过程均须签名确认。</w:t>
      </w:r>
    </w:p>
    <w:p w14:paraId="35994B8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3.3乙方负责的内容还包括但不限于：</w:t>
      </w:r>
    </w:p>
    <w:p w14:paraId="4076640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3.3.1严格执行甲方发布的质量通病细则；</w:t>
      </w:r>
    </w:p>
    <w:p w14:paraId="063D576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3.3.2配备本工程所需电工、焊工，且须持证上岗。甲方电工仅对乙方电工进行监督、检查、管理、指导；</w:t>
      </w:r>
    </w:p>
    <w:p w14:paraId="44BF904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3.3.3本工程具体作法以甲方与建设单位书面确认的交楼标准及施工图纸为准；</w:t>
      </w:r>
    </w:p>
    <w:p w14:paraId="4D6618C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3.4本工程图纸内出现漏项、错项、无重大工程量变更的图纸调整、图纸及清单未列明但属于本工程合理施工范围或基于完成本工程所需进行的施工范围等情形均属于乙方施工范围；上述所有内容产生的各项费用均包含在</w:t>
      </w:r>
      <w:r>
        <w:rPr>
          <w:rFonts w:hint="eastAsia" w:ascii="仿宋" w:hAnsi="仿宋" w:eastAsia="仿宋" w:cs="仿宋"/>
          <w:b w:val="0"/>
          <w:bCs w:val="0"/>
          <w:i w:val="0"/>
          <w:iCs w:val="0"/>
          <w:color w:val="auto"/>
          <w:sz w:val="28"/>
          <w:szCs w:val="28"/>
          <w:highlight w:val="none"/>
          <w:lang w:val="en-US" w:eastAsia="zh-CN"/>
        </w:rPr>
        <w:sym w:font="Wingdings 2" w:char="0052"/>
      </w:r>
      <w:r>
        <w:rPr>
          <w:rFonts w:hint="eastAsia" w:ascii="仿宋" w:hAnsi="仿宋" w:eastAsia="仿宋" w:cs="仿宋"/>
          <w:b w:val="0"/>
          <w:bCs w:val="0"/>
          <w:i w:val="0"/>
          <w:iCs w:val="0"/>
          <w:color w:val="auto"/>
          <w:sz w:val="28"/>
          <w:szCs w:val="28"/>
          <w:highlight w:val="none"/>
          <w:lang w:val="en-US" w:eastAsia="zh-CN"/>
        </w:rPr>
        <w:t>合同单价</w:t>
      </w:r>
      <w:r>
        <w:rPr>
          <w:rFonts w:hint="eastAsia" w:ascii="仿宋" w:hAnsi="仿宋" w:eastAsia="仿宋" w:cs="仿宋"/>
          <w:b w:val="0"/>
          <w:bCs w:val="0"/>
          <w:i w:val="0"/>
          <w:iCs w:val="0"/>
          <w:color w:val="auto"/>
          <w:sz w:val="28"/>
          <w:szCs w:val="28"/>
          <w:highlight w:val="none"/>
          <w:lang w:val="en-US" w:eastAsia="zh-CN"/>
        </w:rPr>
        <w:sym w:font="Wingdings 2" w:char="00A3"/>
      </w:r>
      <w:r>
        <w:rPr>
          <w:rFonts w:hint="eastAsia" w:ascii="仿宋" w:hAnsi="仿宋" w:eastAsia="仿宋" w:cs="仿宋"/>
          <w:b w:val="0"/>
          <w:bCs w:val="0"/>
          <w:i w:val="0"/>
          <w:iCs w:val="0"/>
          <w:color w:val="auto"/>
          <w:sz w:val="28"/>
          <w:szCs w:val="28"/>
          <w:highlight w:val="none"/>
          <w:lang w:val="en-US" w:eastAsia="zh-CN"/>
        </w:rPr>
        <w:t>合同总价内，不属于增加工程，除非双方额外签证，否则结算时不另行计费。</w:t>
      </w:r>
    </w:p>
    <w:p w14:paraId="6A9B359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color w:val="auto"/>
          <w:highlight w:val="none"/>
          <w:lang w:val="en-US" w:eastAsia="zh-CN"/>
        </w:rPr>
      </w:pPr>
      <w:r>
        <w:rPr>
          <w:rFonts w:hint="eastAsia" w:ascii="仿宋" w:hAnsi="仿宋" w:eastAsia="仿宋" w:cs="仿宋"/>
          <w:b w:val="0"/>
          <w:bCs w:val="0"/>
          <w:i w:val="0"/>
          <w:iCs w:val="0"/>
          <w:color w:val="auto"/>
          <w:sz w:val="28"/>
          <w:szCs w:val="28"/>
          <w:highlight w:val="none"/>
          <w:lang w:val="en-US" w:eastAsia="zh-CN"/>
        </w:rPr>
        <w:t>3.5施工现场内本工程所需材料、机具的运输不另计费。材料进、出场时，派工人上、下车，上下车费用包含在</w:t>
      </w:r>
      <w:r>
        <w:rPr>
          <w:rFonts w:hint="eastAsia" w:ascii="仿宋" w:hAnsi="仿宋" w:eastAsia="仿宋" w:cs="仿宋"/>
          <w:b w:val="0"/>
          <w:bCs w:val="0"/>
          <w:i w:val="0"/>
          <w:iCs w:val="0"/>
          <w:color w:val="auto"/>
          <w:sz w:val="28"/>
          <w:szCs w:val="28"/>
          <w:highlight w:val="none"/>
          <w:lang w:val="en-US" w:eastAsia="zh-CN"/>
        </w:rPr>
        <w:sym w:font="Wingdings 2" w:char="0052"/>
      </w:r>
      <w:r>
        <w:rPr>
          <w:rFonts w:hint="eastAsia" w:ascii="仿宋" w:hAnsi="仿宋" w:eastAsia="仿宋" w:cs="仿宋"/>
          <w:b w:val="0"/>
          <w:bCs w:val="0"/>
          <w:i w:val="0"/>
          <w:iCs w:val="0"/>
          <w:color w:val="auto"/>
          <w:sz w:val="28"/>
          <w:szCs w:val="28"/>
          <w:highlight w:val="none"/>
          <w:lang w:val="en-US" w:eastAsia="zh-CN"/>
        </w:rPr>
        <w:t>合同单价</w:t>
      </w:r>
      <w:r>
        <w:rPr>
          <w:rFonts w:hint="eastAsia" w:ascii="仿宋" w:hAnsi="仿宋" w:eastAsia="仿宋" w:cs="仿宋"/>
          <w:b w:val="0"/>
          <w:bCs w:val="0"/>
          <w:i w:val="0"/>
          <w:iCs w:val="0"/>
          <w:color w:val="auto"/>
          <w:sz w:val="28"/>
          <w:szCs w:val="28"/>
          <w:highlight w:val="none"/>
          <w:lang w:val="en-US" w:eastAsia="zh-CN"/>
        </w:rPr>
        <w:sym w:font="Wingdings 2" w:char="00A3"/>
      </w:r>
      <w:r>
        <w:rPr>
          <w:rFonts w:hint="eastAsia" w:ascii="仿宋" w:hAnsi="仿宋" w:eastAsia="仿宋" w:cs="仿宋"/>
          <w:b w:val="0"/>
          <w:bCs w:val="0"/>
          <w:i w:val="0"/>
          <w:iCs w:val="0"/>
          <w:color w:val="auto"/>
          <w:sz w:val="28"/>
          <w:szCs w:val="28"/>
          <w:highlight w:val="none"/>
          <w:lang w:val="en-US" w:eastAsia="zh-CN"/>
        </w:rPr>
        <w:t>合同总价内。甲供材料的卸车由乙方负责，费用已包含在</w:t>
      </w:r>
      <w:r>
        <w:rPr>
          <w:rFonts w:hint="eastAsia" w:ascii="仿宋" w:hAnsi="仿宋" w:eastAsia="仿宋" w:cs="仿宋"/>
          <w:b w:val="0"/>
          <w:bCs w:val="0"/>
          <w:i w:val="0"/>
          <w:iCs w:val="0"/>
          <w:color w:val="auto"/>
          <w:sz w:val="28"/>
          <w:szCs w:val="28"/>
          <w:highlight w:val="none"/>
          <w:lang w:val="en-US" w:eastAsia="zh-CN"/>
        </w:rPr>
        <w:sym w:font="Wingdings 2" w:char="0052"/>
      </w:r>
      <w:r>
        <w:rPr>
          <w:rFonts w:hint="eastAsia" w:ascii="仿宋" w:hAnsi="仿宋" w:eastAsia="仿宋" w:cs="仿宋"/>
          <w:b w:val="0"/>
          <w:bCs w:val="0"/>
          <w:i w:val="0"/>
          <w:iCs w:val="0"/>
          <w:color w:val="auto"/>
          <w:sz w:val="28"/>
          <w:szCs w:val="28"/>
          <w:highlight w:val="none"/>
          <w:lang w:val="en-US" w:eastAsia="zh-CN"/>
        </w:rPr>
        <w:t>合同单价</w:t>
      </w:r>
      <w:r>
        <w:rPr>
          <w:rFonts w:hint="eastAsia" w:ascii="仿宋" w:hAnsi="仿宋" w:eastAsia="仿宋" w:cs="仿宋"/>
          <w:b w:val="0"/>
          <w:bCs w:val="0"/>
          <w:i w:val="0"/>
          <w:iCs w:val="0"/>
          <w:color w:val="auto"/>
          <w:sz w:val="28"/>
          <w:szCs w:val="28"/>
          <w:highlight w:val="none"/>
          <w:lang w:val="en-US" w:eastAsia="zh-CN"/>
        </w:rPr>
        <w:sym w:font="Wingdings 2" w:char="00A3"/>
      </w:r>
      <w:r>
        <w:rPr>
          <w:rFonts w:hint="eastAsia" w:ascii="仿宋" w:hAnsi="仿宋" w:eastAsia="仿宋" w:cs="仿宋"/>
          <w:b w:val="0"/>
          <w:bCs w:val="0"/>
          <w:i w:val="0"/>
          <w:iCs w:val="0"/>
          <w:color w:val="auto"/>
          <w:sz w:val="28"/>
          <w:szCs w:val="28"/>
          <w:highlight w:val="none"/>
          <w:lang w:val="en-US" w:eastAsia="zh-CN"/>
        </w:rPr>
        <w:t>合同总价中。</w:t>
      </w:r>
    </w:p>
    <w:p w14:paraId="7926F16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default"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 xml:space="preserve">3.6甲方（或监理、建设单位、政府部门）检查、验收本工程或本项目时，乙方须安排管理人员配合检查、验收，否则每次向甲方支付违约金人民币壹仟元。乙方施工过程中必须进行质量自检，按甲方要求做好标记及书面资料，严格执行三级检查制度。乙方须坚决落实甲方、政府部门提出的整改要求，凡未按要求落实整改的，乙方向甲方支付违约金贰仟至壹万元/次，整改二次以上的，甲方有权对本工程按☑合同单价/□合同总价下浮2%予以结算。 </w:t>
      </w:r>
    </w:p>
    <w:p w14:paraId="5384007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3.7乙方须按甲方确定的样品、合同要求（如本合同书附件、本工程施工图纸等）和有关标准要求供应材料，并提供材料合格证明及对质量负责，乙方提供的材料必须是全新的原装正品且是优等品。</w:t>
      </w:r>
    </w:p>
    <w:p w14:paraId="47FD2E7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3.8乙方使用代用材料前须经甲方书面确认同意，否则不得使用，由此增减的合同价款双方以书面形式议定。</w:t>
      </w:r>
    </w:p>
    <w:p w14:paraId="63E0D64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3.9甲方发现乙方使用不符合设计或合同要求的材料时，乙方重新供应符合合同要求的材料并承担费用（含重新施工费用），同时由此延误的工期不予顺延。</w:t>
      </w:r>
    </w:p>
    <w:p w14:paraId="4C61520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3.10材料使用前应按国家及当地政府主管部门的规定，依相关要求进行必要的现场抽样送检，相关费用由乙方承担，不合格的不得使用。送检人员须由甲方、监理单位及乙方人员组成，按政府相关规定取得检测合格证明后方可投入使用。</w:t>
      </w:r>
    </w:p>
    <w:p w14:paraId="23D1A05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lang w:val="en-US" w:eastAsia="zh-CN"/>
        </w:rPr>
        <w:t xml:space="preserve">3.11材料或设备的保管费用及责任由乙方承担，乙方应对进场材料及设备进行妥善的包装、围蔽、保护等。非经甲方书面同意，所有已进场材、料设备不能运出工地。   </w:t>
      </w:r>
    </w:p>
    <w:p w14:paraId="5A5852A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 xml:space="preserve">3.12由于乙方原因导致本工程任一部位质量达不到合同约定的质量标准或不符合施工规范的，乙方无条件完成整改，所发生的一切费用由乙方承担。凡是发生第二次相同问题再整改的，乙方每次向甲方支付违约金1000元以上。                    </w:t>
      </w:r>
    </w:p>
    <w:p w14:paraId="6AD28CA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bookmarkStart w:id="114" w:name="_Toc21417"/>
      <w:bookmarkStart w:id="115" w:name="_Toc20800"/>
      <w:bookmarkStart w:id="116" w:name="_Toc6863"/>
      <w:bookmarkStart w:id="117" w:name="_Toc13568"/>
      <w:bookmarkStart w:id="118" w:name="_Toc25507"/>
      <w:bookmarkStart w:id="119" w:name="_Toc14414"/>
      <w:bookmarkStart w:id="120" w:name="_Toc3675"/>
      <w:r>
        <w:rPr>
          <w:rFonts w:hint="eastAsia" w:ascii="仿宋" w:hAnsi="仿宋" w:eastAsia="仿宋" w:cs="仿宋"/>
          <w:b w:val="0"/>
          <w:bCs w:val="0"/>
          <w:i w:val="0"/>
          <w:iCs w:val="0"/>
          <w:color w:val="auto"/>
          <w:sz w:val="28"/>
          <w:szCs w:val="28"/>
          <w:highlight w:val="none"/>
          <w:lang w:val="en-US" w:eastAsia="zh-CN"/>
        </w:rPr>
        <w:t>3.13乙供材料收货验收流程及标准</w:t>
      </w:r>
      <w:bookmarkEnd w:id="114"/>
      <w:bookmarkEnd w:id="115"/>
      <w:bookmarkEnd w:id="116"/>
      <w:bookmarkEnd w:id="117"/>
      <w:bookmarkEnd w:id="118"/>
      <w:bookmarkEnd w:id="119"/>
      <w:bookmarkEnd w:id="120"/>
    </w:p>
    <w:p w14:paraId="211EACC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3.13.1乙方签订本合同起1日内须将所有计划进入施工现场的材料、机械、仪表、设备等编制“订货进场计划申报清单”，并将明细报交甲方项目部核实并存档，清单须包含材料的名称、规格型号、数量、订货时间（附合同或订货依据）、抵达乙方时间、抵达施工现场时间等内容，各方签字确认并留存，以作为各阶段进度计划的附页及退场时的核查依据。</w:t>
      </w:r>
    </w:p>
    <w:p w14:paraId="2C39639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乙方运输材料、机具、设备时，须提前报备至甲方项目部安全员，选择适合的路线准时抵达，避免现场拥堵，运输车辆总重不得超过现场道路限载，并须服从甲方项目人员指挥，装卸时做到安全作业。</w:t>
      </w:r>
    </w:p>
    <w:p w14:paraId="0BA627F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乙方施工周转材料和小型机具进场前应报甲方项目部检查，做好特殊标记，并由备案人员清点后方可使用，无特殊标记的周转材料不得进场，私自进场的不得外运。</w:t>
      </w:r>
    </w:p>
    <w:p w14:paraId="6F4FCD8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color w:val="auto"/>
          <w:sz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lang w:val="en-US" w:eastAsia="zh-CN"/>
        </w:rPr>
        <w:t>3.13.2</w:t>
      </w:r>
      <w:r>
        <w:rPr>
          <w:rFonts w:hint="eastAsia" w:ascii="仿宋" w:hAnsi="仿宋" w:eastAsia="仿宋" w:cs="仿宋"/>
          <w:color w:val="auto"/>
          <w:sz w:val="28"/>
          <w:highlight w:val="none"/>
          <w:u w:val="none"/>
          <w:shd w:val="clear" w:color="auto" w:fill="auto"/>
          <w:lang w:val="en-US" w:eastAsia="zh-CN"/>
        </w:rPr>
        <w:t>乙方送货前须提前向甲方项目部告知送货司机的姓名、联系电话、车辆规格、车牌号，乙方送货单须盖乙方公章。</w:t>
      </w:r>
    </w:p>
    <w:p w14:paraId="3AC4A0C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3.13.3</w:t>
      </w:r>
      <w:r>
        <w:rPr>
          <w:rFonts w:hint="eastAsia" w:ascii="仿宋" w:hAnsi="仿宋" w:eastAsia="仿宋" w:cs="仿宋"/>
          <w:color w:val="auto"/>
          <w:sz w:val="28"/>
          <w:highlight w:val="none"/>
          <w:u w:val="none"/>
          <w:shd w:val="clear" w:color="auto" w:fill="auto"/>
          <w:lang w:val="en-US" w:eastAsia="zh-CN"/>
        </w:rPr>
        <w:t>乙供材料进场时，乙方须向甲方提供产品出厂合格证、出厂质量证明书等相关资料并在当天移交甲方存档。</w:t>
      </w:r>
    </w:p>
    <w:p w14:paraId="04F4E31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3.13.4甲方项目施工员在乙供材料、设备进场时，有权对品牌、规格、型号、质量等进行抽检并拍照留存。</w:t>
      </w:r>
    </w:p>
    <w:p w14:paraId="54B34C3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3.13.5对不符合合同要求的乙供材料（如材料的品牌、规格、型号、质量等不符合合同约定），由甲方本合同执行联系人按合同要求直接拒收、退场并作好记录备查，不允许折价收货不符合合同要求的材料，且乙方向甲方支付违约金（违约金金额等于不符合合同约定的材料金额的三倍但最少不低于伍仟元/次），甲方有权在任意应付给乙方的合同款中自行扣取违约金。</w:t>
      </w:r>
    </w:p>
    <w:p w14:paraId="4A6AD46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 xml:space="preserve">3.13.6乙方用于本工程的所有材料及机械设备必须符合现行国家及项目当地的相关规定，同时按甲方《分包单位材料管理制度》执行。 </w:t>
      </w:r>
    </w:p>
    <w:p w14:paraId="5141525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default"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 xml:space="preserve">3.14乙方必须以甲方验收合格为标准，无条件接受返工、整改，工期不得顺延。 </w:t>
      </w:r>
    </w:p>
    <w:p w14:paraId="0BF3F094">
      <w:pPr>
        <w:keepNext w:val="0"/>
        <w:keepLines w:val="0"/>
        <w:pageBreakBefore w:val="0"/>
        <w:widowControl w:val="0"/>
        <w:kinsoku/>
        <w:wordWrap/>
        <w:overflowPunct/>
        <w:topLinePunct w:val="0"/>
        <w:autoSpaceDE/>
        <w:autoSpaceDN/>
        <w:bidi w:val="0"/>
        <w:adjustRightInd w:val="0"/>
        <w:snapToGrid w:val="0"/>
        <w:spacing w:before="146" w:beforeLines="50" w:line="360" w:lineRule="auto"/>
        <w:ind w:left="-140" w:leftChars="-50" w:right="-1260" w:rightChars="-45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21" w:name="_Toc13917"/>
      <w:bookmarkStart w:id="122" w:name="_Toc26644"/>
      <w:bookmarkStart w:id="123" w:name="_Toc13366"/>
      <w:bookmarkStart w:id="124" w:name="_Toc10809"/>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第四章、合同价款</w:t>
      </w:r>
      <w:bookmarkEnd w:id="121"/>
      <w:bookmarkEnd w:id="122"/>
      <w:bookmarkEnd w:id="123"/>
      <w:bookmarkEnd w:id="124"/>
    </w:p>
    <w:p w14:paraId="0E7D54D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bookmarkStart w:id="125" w:name="_Toc4027"/>
      <w:bookmarkStart w:id="126" w:name="_Toc12707"/>
      <w:bookmarkStart w:id="127" w:name="_Toc29896"/>
      <w:bookmarkStart w:id="128" w:name="_Toc9531"/>
      <w:bookmarkStart w:id="129" w:name="_Toc29001"/>
      <w:bookmarkStart w:id="130" w:name="_Toc27539"/>
      <w:bookmarkStart w:id="131" w:name="_Toc2871"/>
      <w:r>
        <w:rPr>
          <w:rFonts w:hint="eastAsia" w:ascii="仿宋" w:hAnsi="仿宋" w:eastAsia="仿宋" w:cs="仿宋"/>
          <w:b w:val="0"/>
          <w:bCs w:val="0"/>
          <w:i w:val="0"/>
          <w:iCs w:val="0"/>
          <w:color w:val="auto"/>
          <w:sz w:val="28"/>
          <w:szCs w:val="28"/>
          <w:highlight w:val="none"/>
          <w:lang w:val="en-US" w:eastAsia="zh-CN"/>
        </w:rPr>
        <w:t>4.1合同单价还包括乙方完成下述工作及应对下述情况的费用、风险的费用，甲方无需另行付费给乙方：</w:t>
      </w:r>
      <w:bookmarkEnd w:id="125"/>
      <w:bookmarkEnd w:id="126"/>
      <w:bookmarkEnd w:id="127"/>
      <w:bookmarkEnd w:id="128"/>
      <w:bookmarkEnd w:id="129"/>
      <w:bookmarkEnd w:id="130"/>
      <w:bookmarkEnd w:id="131"/>
    </w:p>
    <w:p w14:paraId="799BC4F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（1）确保本工程满足本项目所在地建设安全管理标准化施工要求，一次性达到本项目所在地政府主管部门的达标要求及本合同要求。</w:t>
      </w:r>
    </w:p>
    <w:p w14:paraId="3727A6F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（2）参与甲供材料申报采购、验收和收货，其数量作为乙方使用材料损耗率指标的核算依据。</w:t>
      </w:r>
    </w:p>
    <w:p w14:paraId="5369A92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3）本工程施工过程出现赶工、交叉作业、停工（包括本项目建设单位原因造成的停工）及工人工资、材料费、机具费上涨等导致乙方成本、费用发生增加，乙方不因此要求甲方对合同价格进行调整和另行增补费用。</w:t>
      </w:r>
    </w:p>
    <w:p w14:paraId="5FBEC13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4.2</w:t>
      </w:r>
      <w:r>
        <w:rPr>
          <w:rFonts w:hint="eastAsia" w:ascii="仿宋" w:hAnsi="仿宋" w:eastAsia="仿宋" w:cs="仿宋"/>
          <w:b w:val="0"/>
          <w:bCs w:val="0"/>
          <w:color w:val="auto"/>
          <w:sz w:val="28"/>
          <w:highlight w:val="none"/>
          <w:lang w:val="en-US" w:eastAsia="zh-CN"/>
        </w:rPr>
        <w:t>合同单价及合同条款</w:t>
      </w:r>
      <w:r>
        <w:rPr>
          <w:rFonts w:hint="eastAsia" w:ascii="仿宋" w:hAnsi="仿宋" w:eastAsia="仿宋" w:cs="仿宋"/>
          <w:b w:val="0"/>
          <w:bCs w:val="0"/>
          <w:i w:val="0"/>
          <w:iCs w:val="0"/>
          <w:color w:val="auto"/>
          <w:sz w:val="28"/>
          <w:szCs w:val="28"/>
          <w:highlight w:val="none"/>
          <w:lang w:val="en-US" w:eastAsia="zh-CN"/>
        </w:rPr>
        <w:t>已考虑突发疫情等流行疾病影响因素，乙方不以疫情防控为由要求甲方对合同单价、合同结算办法及工期等合同条款进行调整，防疫措施的一切费用已包含在合同单价内，不另计费。</w:t>
      </w:r>
    </w:p>
    <w:p w14:paraId="14C745A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4.3对于增加或变更工程，须凭甲方项目经理签认的签证单及相关资料办理结算。甲方项目经理委托/授权他人代签均为无效签证，甲方不予办理付款及结算。任何人口头指示、通知不作为结算依据。未经甲方盖项目章书面签证确认或乙方超出图纸、合同清单范围施工的工程量，不属于增加工程，不纳入结算。</w:t>
      </w:r>
    </w:p>
    <w:p w14:paraId="2C09CF3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4.4除甲方本合同执行联系人外，甲方项目部其他任何人对涉及费用的所有文件、资料无权进行确定、批准。甲方的本合同执行联系人在履行本合同过程中，对涉及费用的所有文件、资料审批权限为不超过三千元/次（含税）。三千元/次以该合同执行联系人负责管理的项目为最小单位，不得分地块、分期、分楼栋、分部位拆分使用权限。涉及费用超过三千元的文件、资料，无论甲方的本合同执行联系人是否签字，均须按甲方公司规定的流程完成申报、审批并加盖甲方公章后方为有效，未按此约定完成审批、盖章的文件、资料，无论甲方任何人签字，甲方均不承认和支付任何费用，乙方亦无权向甲方主张任何权利。</w:t>
      </w:r>
    </w:p>
    <w:p w14:paraId="0D3A3BB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default"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4.5合同有效期内，乙方报送甲方项目部签名的台班记录单、送货单、对账单等单据中，表述的各种违背本合同约定的文字内容均无效，乙方承诺均按本合同执行。</w:t>
      </w:r>
    </w:p>
    <w:p w14:paraId="065B852C">
      <w:pPr>
        <w:keepNext w:val="0"/>
        <w:keepLines w:val="0"/>
        <w:pageBreakBefore w:val="0"/>
        <w:widowControl w:val="0"/>
        <w:kinsoku/>
        <w:wordWrap/>
        <w:overflowPunct/>
        <w:topLinePunct w:val="0"/>
        <w:autoSpaceDE/>
        <w:autoSpaceDN/>
        <w:bidi w:val="0"/>
        <w:adjustRightInd w:val="0"/>
        <w:snapToGrid w:val="0"/>
        <w:spacing w:before="146" w:beforeLines="50" w:line="360" w:lineRule="auto"/>
        <w:ind w:left="-140" w:leftChars="-50" w:right="-1260" w:rightChars="-45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32" w:name="_Toc19006"/>
      <w:bookmarkStart w:id="133" w:name="_Toc1310"/>
      <w:bookmarkStart w:id="134" w:name="_Toc23577"/>
      <w:bookmarkStart w:id="135" w:name="_Toc8137"/>
      <w:bookmarkStart w:id="136" w:name="_Toc17936"/>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第五章、计量计价方式及结算方式</w:t>
      </w:r>
      <w:bookmarkEnd w:id="132"/>
      <w:bookmarkEnd w:id="133"/>
      <w:bookmarkEnd w:id="134"/>
      <w:bookmarkEnd w:id="135"/>
      <w:bookmarkEnd w:id="136"/>
    </w:p>
    <w:p w14:paraId="504D1F8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bookmarkStart w:id="137" w:name="_Toc10016"/>
      <w:bookmarkStart w:id="138" w:name="_Toc15070"/>
      <w:bookmarkStart w:id="139" w:name="_Toc20328"/>
      <w:bookmarkStart w:id="140" w:name="_Toc7648"/>
      <w:bookmarkStart w:id="141" w:name="_Toc15500"/>
      <w:bookmarkStart w:id="142" w:name="_Toc11193"/>
      <w:bookmarkStart w:id="143" w:name="_Toc24978"/>
      <w:r>
        <w:rPr>
          <w:rFonts w:hint="eastAsia" w:ascii="仿宋" w:hAnsi="仿宋" w:eastAsia="仿宋" w:cs="仿宋"/>
          <w:b w:val="0"/>
          <w:bCs w:val="0"/>
          <w:i w:val="0"/>
          <w:iCs w:val="0"/>
          <w:color w:val="auto"/>
          <w:sz w:val="28"/>
          <w:szCs w:val="28"/>
          <w:highlight w:val="none"/>
          <w:lang w:val="en-US" w:eastAsia="zh-CN"/>
        </w:rPr>
        <w:t>5.1计量依据（须完成施工并验收合格的方可作为计量依据）</w:t>
      </w:r>
      <w:bookmarkEnd w:id="137"/>
      <w:bookmarkEnd w:id="138"/>
      <w:bookmarkEnd w:id="139"/>
      <w:bookmarkEnd w:id="140"/>
      <w:bookmarkEnd w:id="141"/>
      <w:bookmarkEnd w:id="142"/>
      <w:bookmarkEnd w:id="143"/>
    </w:p>
    <w:p w14:paraId="73C9E31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5.1.1甲方招标报价版施工图纸或甲方签认下发的施工图；</w:t>
      </w:r>
    </w:p>
    <w:p w14:paraId="56F0E45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5.1.2设计变更、甲方与建设单位签认的交楼标准、联系单及签证单；</w:t>
      </w:r>
    </w:p>
    <w:p w14:paraId="3B53AD2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5.1.3甲方、建设单位、监理签认的竣工图；</w:t>
      </w:r>
    </w:p>
    <w:p w14:paraId="623B978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5.1.4图纸会审纪要；</w:t>
      </w:r>
    </w:p>
    <w:p w14:paraId="497367E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5.1.5甲方书面另行安排要求施工的内容。</w:t>
      </w:r>
    </w:p>
    <w:p w14:paraId="4D5F47C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bookmarkStart w:id="144" w:name="_Toc25272"/>
      <w:bookmarkStart w:id="145" w:name="_Toc3431"/>
      <w:bookmarkStart w:id="146" w:name="_Toc17448"/>
      <w:bookmarkStart w:id="147" w:name="_Toc11040"/>
      <w:bookmarkStart w:id="148" w:name="_Toc13803"/>
      <w:bookmarkStart w:id="149" w:name="_Toc6631"/>
      <w:bookmarkStart w:id="150" w:name="_Toc23593"/>
      <w:r>
        <w:rPr>
          <w:rFonts w:hint="eastAsia" w:ascii="仿宋" w:hAnsi="仿宋" w:eastAsia="仿宋" w:cs="仿宋"/>
          <w:b w:val="0"/>
          <w:bCs w:val="0"/>
          <w:i w:val="0"/>
          <w:iCs w:val="0"/>
          <w:color w:val="auto"/>
          <w:sz w:val="28"/>
          <w:szCs w:val="28"/>
          <w:highlight w:val="none"/>
          <w:lang w:val="en-US" w:eastAsia="zh-CN"/>
        </w:rPr>
        <w:t>5.2签证工程管理制度</w:t>
      </w:r>
      <w:bookmarkEnd w:id="144"/>
      <w:bookmarkEnd w:id="145"/>
      <w:bookmarkEnd w:id="146"/>
      <w:bookmarkEnd w:id="147"/>
      <w:bookmarkEnd w:id="148"/>
      <w:bookmarkEnd w:id="149"/>
      <w:bookmarkEnd w:id="150"/>
    </w:p>
    <w:p w14:paraId="282FD7A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 xml:space="preserve">5.2.1签证必须包括的内容资料及要求（格式详见合同附件）   </w:t>
      </w:r>
    </w:p>
    <w:p w14:paraId="48AA316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5.2.1.1签证单签发时间及编号；</w:t>
      </w:r>
    </w:p>
    <w:p w14:paraId="46D33DE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5.2.1.2签证事实发生的原因、工作内容、完成的工程量；</w:t>
      </w:r>
    </w:p>
    <w:p w14:paraId="5D30CDC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5.2.1.3签证单（含附件：①草签单，②通知单/联系单/设计变更文件，③影像资料）由乙方按甲方规定的格式填写。</w:t>
      </w:r>
    </w:p>
    <w:p w14:paraId="01F0729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5.2.1.4执行签证事实的依据：例如建设单位签发的建设单位通知、联系函、设计变更等文件。</w:t>
      </w:r>
    </w:p>
    <w:p w14:paraId="4B64AFA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5.2.1.5对于无法按图计算的工程内容或者比较重要的签证，须附现场彩色相片，特别是临时增补工程，比如：园林苗木的更换、基础换填、零星工程、隐蔽工程、水电迁移、拆改过程等。</w:t>
      </w:r>
    </w:p>
    <w:p w14:paraId="2EB4E6D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5.2.1.6对于不能根据工程实体计算工程量的工程，如抽水、场地清理等，应尽量对该项工作进行描述：如水泵的型号、功率、抽水时间；场地清理范围、内容；必须清楚列明工作具体位置和实际用工记录，不能直接签署抽水台班或人工工日。</w:t>
      </w:r>
    </w:p>
    <w:p w14:paraId="5957219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5.2.1.7签证执行“一事一签证”的原则，分别列明，不能混编，当出现零星维修、抢修、改造工程，工程量少，过程中间接工序多，无法实际、准确反映乙方实际成本的，必须清楚记录具体部位和实际用工记录。</w:t>
      </w:r>
    </w:p>
    <w:p w14:paraId="4CA4385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5.2.1.8对乙方现场执行人签名、盖章、内容不清楚、不齐全的签证单或工程量计算单，甲方项目部有权拒收。</w:t>
      </w:r>
    </w:p>
    <w:p w14:paraId="15B234B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5.2.1.9对同一签证内容，如“甲方与乙方签证的量、价”和“建设单位与甲方签证的量、价”不一致，以两者中的最小量、价对乙方进行结算。</w:t>
      </w:r>
    </w:p>
    <w:p w14:paraId="55300D1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5.2.1.10甲方与建设单位办理了签证单，而该签证单内容甲方又分给了多家施工单位完成的，则乙方须提供甲乙双方确认的《签证单分包说明》（格式详见附件）作为乙方结算依据，乙方方可结算。</w:t>
      </w:r>
    </w:p>
    <w:p w14:paraId="4BB6FFA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5.2.1.11对甲方与建设单位未办理签证单，属于绿色文明施工范围内或因其它原因（如临时设施等），而甲方确需与乙方办理签证的情况，则须有《分包签证确认单》（格式详见附件）方可作为结算依据。</w:t>
      </w:r>
    </w:p>
    <w:p w14:paraId="1BB281A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5.2.1.12签证单必须有甲方项目经理签名且加盖甲方项目章方为有效签证，否则甲方不予办理结算。</w:t>
      </w:r>
    </w:p>
    <w:p w14:paraId="7F02B0A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5.2.2乙方申报签证程序</w:t>
      </w:r>
    </w:p>
    <w:p w14:paraId="106047D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5.2.2.1乙方须在工程部位隐蔽前（变更工程被隐蔽后无法计量的，甲方有权拒绝签证）组织甲方等相关单位共同对工程量以草签单形式进行确认。乙方须在签证内容完成之日起7天内提交签证单及相应的签证预算书（各一式两份，含电子版）由乙方现场执行人签字并加盖公章后报甲方，超过7天提报的，甲方不再受理，一切责任及损失由乙方自行承担。</w:t>
      </w:r>
    </w:p>
    <w:p w14:paraId="11C560F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5.2.2.2草签单由甲方的施工员、成本管理员、副经理共同现场收方、见证完成并签名，乙方则由合同约定的现场执行人签认。</w:t>
      </w:r>
    </w:p>
    <w:p w14:paraId="359690E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5.2.2.3草签单须提供施工前、施工中、施工后的照片、签证预算书作为乙方向甲方办理“分包签证确认单”的必备附件。</w:t>
      </w:r>
    </w:p>
    <w:p w14:paraId="2AEE3D7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5.2.3零星工时计价及相关规定</w:t>
      </w:r>
    </w:p>
    <w:p w14:paraId="69EB9DE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5.2.3.1零星用工以分包签证确认单的方式结算，工程量以该签证单确认工程量计算。</w:t>
      </w:r>
    </w:p>
    <w:p w14:paraId="64C6646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5.2.3.2甲方范围内的零星用工单价：按230元/工日（含税）计取。</w:t>
      </w:r>
    </w:p>
    <w:p w14:paraId="6A8E3AB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5.2.3.3零星时工填写签证单时，格式按甲方规定的格式填写，属甲方承担的填写《分包签证确认单》、《工程量现场草签记录表》（格式详见附件）；如乙方工程范围未完成属扣乙方的单独写单，并注明扣乙方具体施工位置；属建设单位签证的（不属甲方范围的零星用工）必须附《签证单分包说明》及建设单位签证单复印件；所有签证资料须附上通知单/联系单/设计变更文件、影像资料等。</w:t>
      </w:r>
    </w:p>
    <w:p w14:paraId="123F4FA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5.2.3.4零星时工签证要求及申报程序按照本合同上述第5.2.1~5.2.3条款执行。</w:t>
      </w:r>
    </w:p>
    <w:p w14:paraId="0104A2E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5.3甲方巡检发现存在质量问题或验收不合格的工程，工程量不予结算。</w:t>
      </w:r>
    </w:p>
    <w:p w14:paraId="73FF3BD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5.4乙方未按甲方要求完成自身工作的，甲方有权安排他人完成并500元/工日/人计价且从应付给乙方的款项中直接扣款，如实际费用超出500元/工日/人，甲方按实际发生的费用从应付给乙方的款项中直接扣款。</w:t>
      </w:r>
    </w:p>
    <w:p w14:paraId="23FD939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5.5乙方递交的结算资料要求：①递交完整的结算书一式两份（正副本各一份）及电子档文件（计价软件、模型算量要求使用“广联达”，计算表格要求“Excel”格式，图纸要求PDF和 CAD格式）、结算书扫描件、中泰供材确认表等；②装订要求：胶装、盖骑缝章、法人代表签章；③ 结算资料排序：封面、目录、结算申请表、承包单位工程结算送审承诺书、工程结算资料审查表、工程合同、工程验收单、分包单位结算情况说明、工程结算支付证明单（格式详见附件）、分包签证确认单、分项工程/认质认价申报审批表（格式详见附件）、工程结算书、签证预算书、变更单、签证联系函及签证单、照片及相关图纸、记录文件、竣工图或竣工图移交清单等（具体详见附件《工程结算资料目录》的分包单位结算申请书所包含资料）；④乙方递交结算资料的前提是甲方已有建设单位签字的完整版竣工图，否则甲方有权不接收结算资料且不办理结算；⑤递交结算资料须按《结算申请表》、《工程结算资料审查表》填写；⑥总价包干合同则必须专页提供未施工内容或减少工程量、材料品牌、规格不符合本合同约定或修改的相关内容及资料。</w:t>
      </w:r>
    </w:p>
    <w:p w14:paraId="3C46426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5.6乙方办理结算时必须按甲方要求对合同范围内每个组团或每个地块或每栋楼单独结算，否则甲方有权不予结算且不承担任何违约责任。</w:t>
      </w:r>
    </w:p>
    <w:p w14:paraId="4824D82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5.7乙方办理工程进度款申请书、结算书时必须提供甲方主管施工员和项目经理签名的“工完场清交接单”，否则甲方有权不予办理付款及结算。</w:t>
      </w:r>
    </w:p>
    <w:p w14:paraId="4078A77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5.8乙方须实事求是办理结算，不得虚报工程结算。</w:t>
      </w:r>
    </w:p>
    <w:p w14:paraId="1232ABA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5.9合同内未施工的清单分项、图纸内容，乙方在申报结算书中未扣减其相应费用的而向甲方申报结算的，乙方按上述其未施工项目申报的结算金额的200%向甲方支付违约金，甲方可在与乙方相关的任意合同款中直接扣除违约金。</w:t>
      </w:r>
    </w:p>
    <w:p w14:paraId="3888C57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5.10本工程结算书及相关结算资料由乙方自行编制并一次性报齐给甲方，申报次数仅限一次，申报一次后不得增补任何结算资料。申报格式及表格等相关要求按照甲方统一要求执行，如乙方所报结算书的申报工程量少于实际工程量，视为乙方放弃差额部分的权利和款项，结算时不予计算，甲方无需支付。若乙方申报的结算价经甲方审核后，审减额（审减额=报送总金额-审定金额）与报送总金额之比超过10%以上，核减超过10%以外的金额乘以20%作为违约金在结算中一次性扣除。同一事件或所有同样性质的违约，乙方承诺均按本条款及“结算竣工图承诺书”叠加承担违约金。</w:t>
      </w:r>
    </w:p>
    <w:p w14:paraId="1BA1CD6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5.11乙方提交的结算资料须符合本合同其他条款的要求（如附件《工程结算资料目录》等的要求），否则甲方有权不予办理结算且不违约。</w:t>
      </w:r>
      <w:bookmarkStart w:id="151" w:name="_Toc11671"/>
      <w:bookmarkStart w:id="152" w:name="_Toc26012"/>
      <w:bookmarkStart w:id="153" w:name="_Toc15296"/>
      <w:bookmarkStart w:id="154" w:name="_Toc16700"/>
      <w:bookmarkStart w:id="155" w:name="_Toc15793"/>
    </w:p>
    <w:p w14:paraId="706B11B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default"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5.12如竣工图由乙方绘制，</w:t>
      </w:r>
      <w:r>
        <w:rPr>
          <w:rFonts w:hint="default" w:ascii="仿宋" w:hAnsi="仿宋" w:eastAsia="仿宋" w:cs="仿宋"/>
          <w:b w:val="0"/>
          <w:bCs w:val="0"/>
          <w:i w:val="0"/>
          <w:iCs w:val="0"/>
          <w:color w:val="auto"/>
          <w:sz w:val="28"/>
          <w:szCs w:val="28"/>
          <w:highlight w:val="none"/>
          <w:lang w:val="en-US" w:eastAsia="zh-CN"/>
        </w:rPr>
        <w:t>乙方承诺按甲方要求编汇竣工图并按甲方要求提报</w:t>
      </w:r>
      <w:r>
        <w:rPr>
          <w:rFonts w:hint="eastAsia" w:ascii="仿宋" w:hAnsi="仿宋" w:eastAsia="仿宋" w:cs="仿宋"/>
          <w:b w:val="0"/>
          <w:bCs w:val="0"/>
          <w:i w:val="0"/>
          <w:iCs w:val="0"/>
          <w:color w:val="auto"/>
          <w:sz w:val="28"/>
          <w:szCs w:val="28"/>
          <w:highlight w:val="none"/>
          <w:lang w:val="en-US" w:eastAsia="zh-CN"/>
        </w:rPr>
        <w:t>给</w:t>
      </w:r>
      <w:r>
        <w:rPr>
          <w:rFonts w:hint="default" w:ascii="仿宋" w:hAnsi="仿宋" w:eastAsia="仿宋" w:cs="仿宋"/>
          <w:b w:val="0"/>
          <w:bCs w:val="0"/>
          <w:i w:val="0"/>
          <w:iCs w:val="0"/>
          <w:color w:val="auto"/>
          <w:sz w:val="28"/>
          <w:szCs w:val="28"/>
          <w:highlight w:val="none"/>
          <w:lang w:val="en-US" w:eastAsia="zh-CN"/>
        </w:rPr>
        <w:t>甲方</w:t>
      </w:r>
      <w:r>
        <w:rPr>
          <w:rFonts w:hint="eastAsia" w:ascii="仿宋" w:hAnsi="仿宋" w:eastAsia="仿宋" w:cs="仿宋"/>
          <w:b w:val="0"/>
          <w:bCs w:val="0"/>
          <w:i w:val="0"/>
          <w:iCs w:val="0"/>
          <w:color w:val="auto"/>
          <w:sz w:val="28"/>
          <w:szCs w:val="28"/>
          <w:highlight w:val="none"/>
          <w:lang w:val="en-US" w:eastAsia="zh-CN"/>
        </w:rPr>
        <w:t>（如有）</w:t>
      </w:r>
      <w:r>
        <w:rPr>
          <w:rFonts w:hint="default" w:ascii="仿宋" w:hAnsi="仿宋" w:eastAsia="仿宋" w:cs="仿宋"/>
          <w:b w:val="0"/>
          <w:bCs w:val="0"/>
          <w:i w:val="0"/>
          <w:iCs w:val="0"/>
          <w:color w:val="auto"/>
          <w:sz w:val="28"/>
          <w:szCs w:val="28"/>
          <w:highlight w:val="none"/>
          <w:lang w:val="en-US" w:eastAsia="zh-CN"/>
        </w:rPr>
        <w:t>，承诺竣工图内容与现场实际完全相符，如</w:t>
      </w:r>
      <w:r>
        <w:rPr>
          <w:rFonts w:hint="eastAsia" w:ascii="仿宋" w:hAnsi="仿宋" w:eastAsia="仿宋" w:cs="仿宋"/>
          <w:b w:val="0"/>
          <w:bCs w:val="0"/>
          <w:i w:val="0"/>
          <w:iCs w:val="0"/>
          <w:color w:val="auto"/>
          <w:sz w:val="28"/>
          <w:szCs w:val="28"/>
          <w:highlight w:val="none"/>
          <w:lang w:val="en-US" w:eastAsia="zh-CN"/>
        </w:rPr>
        <w:t>乙方存在</w:t>
      </w:r>
      <w:r>
        <w:rPr>
          <w:rFonts w:hint="default" w:ascii="仿宋" w:hAnsi="仿宋" w:eastAsia="仿宋" w:cs="仿宋"/>
          <w:b w:val="0"/>
          <w:bCs w:val="0"/>
          <w:i w:val="0"/>
          <w:iCs w:val="0"/>
          <w:color w:val="auto"/>
          <w:sz w:val="28"/>
          <w:szCs w:val="28"/>
          <w:highlight w:val="none"/>
          <w:lang w:val="en-US" w:eastAsia="zh-CN"/>
        </w:rPr>
        <w:t>合同内未施工的清单分项、图纸内容或竣工图内容或工程量大于现场实际的情形或虚报等弄虚作假行为，其金额超过</w:t>
      </w:r>
      <w:r>
        <w:rPr>
          <w:rFonts w:hint="eastAsia" w:ascii="仿宋" w:hAnsi="仿宋" w:eastAsia="仿宋" w:cs="仿宋"/>
          <w:b w:val="0"/>
          <w:bCs w:val="0"/>
          <w:i w:val="0"/>
          <w:iCs w:val="0"/>
          <w:color w:val="auto"/>
          <w:sz w:val="28"/>
          <w:szCs w:val="28"/>
          <w:highlight w:val="none"/>
          <w:lang w:val="en-US" w:eastAsia="zh-CN"/>
        </w:rPr>
        <w:t>甲乙</w:t>
      </w:r>
      <w:r>
        <w:rPr>
          <w:rFonts w:hint="default" w:ascii="仿宋" w:hAnsi="仿宋" w:eastAsia="仿宋" w:cs="仿宋"/>
          <w:b w:val="0"/>
          <w:bCs w:val="0"/>
          <w:i w:val="0"/>
          <w:iCs w:val="0"/>
          <w:color w:val="auto"/>
          <w:sz w:val="28"/>
          <w:szCs w:val="28"/>
          <w:highlight w:val="none"/>
          <w:lang w:val="en-US" w:eastAsia="zh-CN"/>
        </w:rPr>
        <w:t>双方最终确认结算价10%及以上的，</w:t>
      </w:r>
      <w:r>
        <w:rPr>
          <w:rFonts w:hint="eastAsia" w:ascii="仿宋" w:hAnsi="仿宋" w:eastAsia="仿宋" w:cs="仿宋"/>
          <w:b w:val="0"/>
          <w:bCs w:val="0"/>
          <w:i w:val="0"/>
          <w:iCs w:val="0"/>
          <w:color w:val="auto"/>
          <w:sz w:val="28"/>
          <w:szCs w:val="28"/>
          <w:highlight w:val="none"/>
          <w:lang w:val="en-US" w:eastAsia="zh-CN"/>
        </w:rPr>
        <w:t>乙方</w:t>
      </w:r>
      <w:r>
        <w:rPr>
          <w:rFonts w:hint="default" w:ascii="仿宋" w:hAnsi="仿宋" w:eastAsia="仿宋" w:cs="仿宋"/>
          <w:b w:val="0"/>
          <w:bCs w:val="0"/>
          <w:i w:val="0"/>
          <w:iCs w:val="0"/>
          <w:color w:val="auto"/>
          <w:sz w:val="28"/>
          <w:szCs w:val="28"/>
          <w:highlight w:val="none"/>
          <w:lang w:val="en-US" w:eastAsia="zh-CN"/>
        </w:rPr>
        <w:t>同意承担甲方因此产生的全部损失并同意按虚报工程量造价金额的20%支付违约金，违约金在结算中扣除。违约金与合同</w:t>
      </w:r>
      <w:r>
        <w:rPr>
          <w:rFonts w:hint="eastAsia" w:ascii="仿宋" w:hAnsi="仿宋" w:eastAsia="仿宋" w:cs="仿宋"/>
          <w:b w:val="0"/>
          <w:bCs w:val="0"/>
          <w:i w:val="0"/>
          <w:iCs w:val="0"/>
          <w:color w:val="auto"/>
          <w:sz w:val="28"/>
          <w:szCs w:val="28"/>
          <w:highlight w:val="none"/>
          <w:lang w:val="en-US" w:eastAsia="zh-CN"/>
        </w:rPr>
        <w:t>其他约定</w:t>
      </w:r>
      <w:r>
        <w:rPr>
          <w:rFonts w:hint="default" w:ascii="仿宋" w:hAnsi="仿宋" w:eastAsia="仿宋" w:cs="仿宋"/>
          <w:b w:val="0"/>
          <w:bCs w:val="0"/>
          <w:i w:val="0"/>
          <w:iCs w:val="0"/>
          <w:color w:val="auto"/>
          <w:sz w:val="28"/>
          <w:szCs w:val="28"/>
          <w:highlight w:val="none"/>
          <w:lang w:val="en-US" w:eastAsia="zh-CN"/>
        </w:rPr>
        <w:t>不一致的，按违约金金额高的标准执行。</w:t>
      </w:r>
    </w:p>
    <w:p w14:paraId="38E4880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3" w:firstLineChars="179"/>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56" w:name="_Toc25342"/>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第六章、付款方式</w:t>
      </w:r>
      <w:bookmarkEnd w:id="151"/>
      <w:bookmarkEnd w:id="152"/>
      <w:bookmarkEnd w:id="153"/>
      <w:bookmarkEnd w:id="154"/>
      <w:bookmarkEnd w:id="155"/>
      <w:bookmarkEnd w:id="156"/>
    </w:p>
    <w:p w14:paraId="1889776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6.1每笔进度款支付分配安排如下：</w:t>
      </w:r>
    </w:p>
    <w:p w14:paraId="262CCE3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乙方每月的工人工资款项从甲方工人工资专用账户直接发放至工人本人的银行帐户上。对与甲方工人工资专用账户绑定的乙方工人本人银行卡，乙方及其他人员不得以任何理由扣押或者变相扣押。乙方申请节点款时须按甲方要求提交工人工资表等资料，例如：乙方申请3月份节点款时，须在4月10日前将3月份实名制报备登记和打卡的《建筑工人工资表》、3月份发放工人工资金额、4月份实名制报备登记和打卡的《建筑工人工资表》、4月份预计发放的工人工资金额作为附件资料提供给甲方项目部。如乙方违反前述任一约定，甲方有权中止后续合同付款且不违约。乙方须如实提供本项目工人工资表数据，并负责工人工资个税申报。工资发放的次月15日前，乙方须提供加盖乙方公章的上月工人工资个税申报表至甲方项目部，否则甲方有权中止后续付款且乙方支付违约金壹万元/次。乙方工人考勤打卡及实名要求按甲方《项目实名制及劳资管理制度》执行。</w:t>
      </w:r>
    </w:p>
    <w:p w14:paraId="105C340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未达合同进度款支付节点所支付的工人工资约定如下：①应发＞5000元，暂发5000元；②应发≤5000元，暂发80%；③剩余工资于节点/完工时按合同约定付款方式处理；④每月发的工人工资总数不能超过其当月完成产值的60%，按照无息预支付工程款方式以进度款流程申请办理；⑤甲方有权对该款追偿或在下一次工程款中直接扣除。若乙方当次申请的、达到付款条件的合同款金额支付当次待付工人工资后尚有余额，甲方有权根据乙方现场工人情况预留款项，预留款项由甲方用于保障通过工人工资户代发乙方工人工资，甲方预留款项的行为不视为逾期付款，乙方不得以任何理由认定甲方违约。预留款项后仍有余额的，余额由甲方直接支付至乙方账户。</w:t>
      </w:r>
    </w:p>
    <w:p w14:paraId="72E0876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6.2甲方每次支付乙方款项前，乙方向甲方付清所有罚款、代付款、赔偿及违约金等所有应付款项，否则甲方有权不付款。凡甲方收取的款项（包括但不限于：各类押金、保证金、违约金、罚款、垃圾处理费、水电费、租金、代收代缴款项等），乙方必须将款项付至甲方财务部负责人指定的当次收款账户、且收到甲方开具的收款收据方为完成付款，否则视为甲方未收款。凡甲方收取的款项，乙方不得以现金及其他方式支付给甲方其他人员（包括合同执行联系人、合同签约代表等），甲方财务部为办理收款的唯一部门，任何个人均无权代为收取任何款项。</w:t>
      </w:r>
    </w:p>
    <w:p w14:paraId="0BAD4F9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6.3付款形式：优先使用网银、银行承兑汇票等，支票、电汇视情况而定。甲方选择其中任意一种支付形式给乙方合同款，均视为乙方收到该合同款。</w:t>
      </w:r>
    </w:p>
    <w:p w14:paraId="5D3A9E3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6.4</w:t>
      </w:r>
      <w:r>
        <w:rPr>
          <w:rFonts w:hint="eastAsia" w:ascii="仿宋" w:hAnsi="仿宋" w:eastAsia="仿宋" w:cs="仿宋"/>
          <w:color w:val="auto"/>
          <w:sz w:val="28"/>
          <w:szCs w:val="28"/>
          <w:highlight w:val="none"/>
          <w:lang w:val="en-US" w:eastAsia="zh-CN"/>
        </w:rPr>
        <w:t>乙方每次向甲方请款时</w:t>
      </w:r>
      <w:r>
        <w:rPr>
          <w:rFonts w:hint="eastAsia" w:ascii="仿宋" w:hAnsi="仿宋" w:eastAsia="仿宋" w:cs="仿宋"/>
          <w:b w:val="0"/>
          <w:bCs w:val="0"/>
          <w:i w:val="0"/>
          <w:iCs w:val="0"/>
          <w:color w:val="auto"/>
          <w:sz w:val="28"/>
          <w:szCs w:val="28"/>
          <w:highlight w:val="none"/>
          <w:lang w:val="en-US" w:eastAsia="zh-CN"/>
        </w:rPr>
        <w:t>必须提供甲方认可且符合合同约定的等额合法增值税专用发票（开票内容须与合同内容一致，各组团或各地块独立开具发票，以甲方要求为准），否则甲方有权不付款。甲方以实际收到乙方请款资料（包括《工人工资发放承诺书》等，格式详见附件）和发票的时间作为付款周期的起始时间，若乙方不能按甲方财务部要求请款开票，则付款时间顺延。甲方发现乙方开具假发票的，乙方须书面向甲方承认开具假发票行为并重新开具合法发票，同时乙方须按假发票金额的30%向甲方支付违约金。乙方提供的发票开具单位名称与乙方名称不一致的，甲方有权拒付合同款且不违约。</w:t>
      </w:r>
    </w:p>
    <w:p w14:paraId="2DD1388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6.5乙方每次向甲方请款时，应按甲方要求注明该次请款所含的每个组团、每个地块、每栋楼具体金额，否则甲方有权不付款且不违约。</w:t>
      </w:r>
    </w:p>
    <w:p w14:paraId="5364444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6.6乙方每次申请进度款必须提供《工程形象进度确认表》、《已完产值汇总表》、《工人工资发放承诺书》等资料，且提供的资料须乙方合同执行人或现场代表签名并加盖公章，具体按甲方《工程分包、劳务分包及机械租赁类款项支付管理办法》执行。</w:t>
      </w:r>
    </w:p>
    <w:p w14:paraId="5EA55D2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6.7如甲乙双方对应付款金额、结算金额产生争议，甲方有权暂缓付款且不违约，甲方无须向乙方支付违约金或利息，直至双方达成一致意见后方可按甲方相应流程办理付款手续。</w:t>
      </w:r>
    </w:p>
    <w:p w14:paraId="3A7770A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6.8甲乙双方完成本工程结算且结算款（扣除预留的保修金）支付完毕后，视为乙方关于除保修金外的合同款收付事宜的全部权利全部消灭，乙方不得基于合同款收付事宜向甲方提出任何权利主张或追索其他任何费用。</w:t>
      </w:r>
    </w:p>
    <w:p w14:paraId="73A4A40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6.9乙方必须按税法规定的四流合一执行合同，即合同流、货物流、发票流、资金流一致，否则视为乙方违约，且由乙方承担所有责任及损失，直至满足四流合一，甲方方才付款。</w:t>
      </w:r>
    </w:p>
    <w:p w14:paraId="56A7408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6.10乙方在本项目工作的人员如未在本项目进行实名制登记备案、打卡，甲方不计发该人员在工人工资专用账户的工资，由乙方自行解决，由此导致的一切后果和全部责任由乙方承担，同时甲方就此对乙方按1000元/人/次收取违约金。</w:t>
      </w:r>
    </w:p>
    <w:p w14:paraId="62FE976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default"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6.11对招标清单（详见合同附件）说明清单“编制依据”不是“审图通过版图纸”的建筑物/构筑物：在建设单位提供“审图通过版图纸”后，如按该图纸计算出来的工程量与招标清单所列工程量偏差＞±3%，则甲乙双方按审图通过版图纸计算出来的工程量及合同单价调整相应建筑物/构筑物的合同暂定价及合同暂定总价，随后的付款金额则以最新的相应建筑物/构筑物的合同暂定价及合同暂定总价为基数进行计算，付款节点、付款比例不作调整。如按该图纸计算出来的工程量与招标清单所列工程量偏差≤±3%，则合同暂定总价、付款方式、各建筑物/构筑物的合同暂定价不作调整。</w:t>
      </w:r>
    </w:p>
    <w:p w14:paraId="4AF936C9">
      <w:pPr>
        <w:keepNext w:val="0"/>
        <w:keepLines w:val="0"/>
        <w:pageBreakBefore w:val="0"/>
        <w:widowControl w:val="0"/>
        <w:kinsoku/>
        <w:wordWrap/>
        <w:overflowPunct/>
        <w:topLinePunct w:val="0"/>
        <w:autoSpaceDE/>
        <w:autoSpaceDN/>
        <w:bidi w:val="0"/>
        <w:adjustRightInd w:val="0"/>
        <w:snapToGrid w:val="0"/>
        <w:spacing w:before="146" w:beforeLines="50" w:line="360" w:lineRule="auto"/>
        <w:ind w:left="-140" w:leftChars="-50" w:right="-1260" w:rightChars="-45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57" w:name="_Toc14934"/>
      <w:bookmarkStart w:id="158" w:name="_Toc32659"/>
      <w:bookmarkStart w:id="159" w:name="_Toc9906"/>
      <w:bookmarkStart w:id="160" w:name="_Toc23840"/>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第七章、双方责任和权利</w:t>
      </w:r>
      <w:bookmarkEnd w:id="157"/>
      <w:bookmarkEnd w:id="158"/>
      <w:bookmarkEnd w:id="159"/>
      <w:bookmarkEnd w:id="160"/>
    </w:p>
    <w:p w14:paraId="5AEE133B">
      <w:pPr>
        <w:keepNext w:val="0"/>
        <w:keepLines w:val="0"/>
        <w:pageBreakBefore w:val="0"/>
        <w:widowControl w:val="0"/>
        <w:kinsoku/>
        <w:wordWrap/>
        <w:overflowPunct/>
        <w:topLinePunct w:val="0"/>
        <w:autoSpaceDE/>
        <w:autoSpaceDN/>
        <w:bidi w:val="0"/>
        <w:adjustRightInd w:val="0"/>
        <w:snapToGrid w:val="0"/>
        <w:spacing w:line="360" w:lineRule="auto"/>
        <w:ind w:left="-140" w:leftChars="-50" w:right="112" w:rightChars="40" w:firstLine="562" w:firstLineChars="200"/>
        <w:textAlignment w:val="auto"/>
        <w:outlineLvl w:val="2"/>
        <w:rPr>
          <w:rFonts w:hint="eastAsia" w:ascii="仿宋" w:hAnsi="仿宋" w:eastAsia="仿宋" w:cs="仿宋"/>
          <w:b/>
          <w:bCs/>
          <w:i w:val="0"/>
          <w:iCs w:val="0"/>
          <w:color w:val="auto"/>
          <w:sz w:val="28"/>
          <w:szCs w:val="28"/>
          <w:highlight w:val="none"/>
          <w:shd w:val="clear" w:color="auto" w:fill="auto"/>
        </w:rPr>
      </w:pPr>
      <w:bookmarkStart w:id="161" w:name="_Toc9016"/>
      <w:bookmarkStart w:id="162" w:name="_Toc10420"/>
      <w:bookmarkStart w:id="163" w:name="_Toc3945"/>
      <w:bookmarkStart w:id="164" w:name="_Toc31294"/>
      <w:bookmarkStart w:id="165" w:name="_Toc31047"/>
      <w:bookmarkStart w:id="166" w:name="_Toc6947"/>
      <w:bookmarkStart w:id="167" w:name="_Toc7257"/>
      <w:r>
        <w:rPr>
          <w:rFonts w:hint="eastAsia" w:ascii="仿宋" w:hAnsi="仿宋" w:eastAsia="仿宋" w:cs="仿宋"/>
          <w:b/>
          <w:bCs/>
          <w:i w:val="0"/>
          <w:iCs w:val="0"/>
          <w:color w:val="auto"/>
          <w:sz w:val="28"/>
          <w:szCs w:val="28"/>
          <w:highlight w:val="none"/>
          <w:shd w:val="clear" w:color="auto" w:fill="auto"/>
          <w:lang w:val="en-US" w:eastAsia="zh-CN"/>
        </w:rPr>
        <w:t>7</w:t>
      </w:r>
      <w:r>
        <w:rPr>
          <w:rFonts w:hint="eastAsia" w:ascii="仿宋" w:hAnsi="仿宋" w:eastAsia="仿宋" w:cs="仿宋"/>
          <w:b/>
          <w:bCs/>
          <w:i w:val="0"/>
          <w:iCs w:val="0"/>
          <w:color w:val="auto"/>
          <w:sz w:val="28"/>
          <w:szCs w:val="28"/>
          <w:highlight w:val="none"/>
          <w:shd w:val="clear" w:color="auto" w:fill="auto"/>
          <w:lang w:eastAsia="zh-CN"/>
        </w:rPr>
        <w:t>.</w:t>
      </w:r>
      <w:r>
        <w:rPr>
          <w:rFonts w:hint="eastAsia" w:ascii="仿宋" w:hAnsi="仿宋" w:eastAsia="仿宋" w:cs="仿宋"/>
          <w:b/>
          <w:bCs/>
          <w:i w:val="0"/>
          <w:iCs w:val="0"/>
          <w:color w:val="auto"/>
          <w:sz w:val="28"/>
          <w:szCs w:val="28"/>
          <w:highlight w:val="none"/>
          <w:shd w:val="clear" w:color="auto" w:fill="auto"/>
        </w:rPr>
        <w:t>1甲方责任和权利</w:t>
      </w:r>
      <w:bookmarkEnd w:id="161"/>
      <w:bookmarkEnd w:id="162"/>
      <w:bookmarkEnd w:id="163"/>
      <w:bookmarkEnd w:id="164"/>
      <w:bookmarkEnd w:id="165"/>
      <w:bookmarkEnd w:id="166"/>
      <w:bookmarkEnd w:id="167"/>
    </w:p>
    <w:p w14:paraId="28C471F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618" w:firstLineChars="221"/>
        <w:textAlignment w:val="auto"/>
        <w:rPr>
          <w:rFonts w:hint="eastAsia" w:ascii="仿宋" w:hAnsi="仿宋" w:eastAsia="仿宋" w:cs="仿宋"/>
          <w:i w:val="0"/>
          <w:iCs w:val="0"/>
          <w:color w:val="auto"/>
          <w:sz w:val="28"/>
          <w:szCs w:val="28"/>
          <w:highlight w:val="none"/>
        </w:rPr>
      </w:pPr>
      <w:r>
        <w:rPr>
          <w:rFonts w:hint="eastAsia" w:ascii="仿宋" w:hAnsi="仿宋" w:eastAsia="仿宋" w:cs="仿宋"/>
          <w:b w:val="0"/>
          <w:bCs w:val="0"/>
          <w:i w:val="0"/>
          <w:iCs w:val="0"/>
          <w:color w:val="auto"/>
          <w:sz w:val="28"/>
          <w:szCs w:val="28"/>
          <w:highlight w:val="none"/>
          <w:lang w:val="en-US" w:eastAsia="zh-CN"/>
        </w:rPr>
        <w:t>7.1.1</w:t>
      </w:r>
      <w:r>
        <w:rPr>
          <w:rFonts w:hint="eastAsia" w:ascii="仿宋" w:hAnsi="仿宋" w:eastAsia="仿宋" w:cs="仿宋"/>
          <w:i w:val="0"/>
          <w:iCs w:val="0"/>
          <w:color w:val="auto"/>
          <w:sz w:val="28"/>
          <w:szCs w:val="28"/>
          <w:highlight w:val="none"/>
        </w:rPr>
        <w:t>按国家工程质量标准</w:t>
      </w:r>
      <w:r>
        <w:rPr>
          <w:rFonts w:hint="eastAsia" w:ascii="仿宋" w:hAnsi="仿宋" w:eastAsia="仿宋" w:cs="仿宋"/>
          <w:i w:val="0"/>
          <w:iCs w:val="0"/>
          <w:color w:val="auto"/>
          <w:sz w:val="28"/>
          <w:szCs w:val="28"/>
          <w:highlight w:val="none"/>
          <w:lang w:val="en-US" w:eastAsia="zh-CN"/>
        </w:rPr>
        <w:t>及本工程设计文件</w:t>
      </w:r>
      <w:r>
        <w:rPr>
          <w:rFonts w:hint="eastAsia" w:ascii="仿宋" w:hAnsi="仿宋" w:eastAsia="仿宋" w:cs="仿宋"/>
          <w:i w:val="0"/>
          <w:iCs w:val="0"/>
          <w:color w:val="auto"/>
          <w:sz w:val="28"/>
          <w:szCs w:val="28"/>
          <w:highlight w:val="none"/>
        </w:rPr>
        <w:t>对乙方施工成品进行内部核验，并办理过程验收手续和完工后总体验收手续。在验收合格情况下按照合同及时结算及付</w:t>
      </w:r>
      <w:r>
        <w:rPr>
          <w:rFonts w:hint="eastAsia" w:ascii="仿宋" w:hAnsi="仿宋" w:eastAsia="仿宋" w:cs="仿宋"/>
          <w:i w:val="0"/>
          <w:iCs w:val="0"/>
          <w:color w:val="auto"/>
          <w:sz w:val="28"/>
          <w:szCs w:val="28"/>
          <w:highlight w:val="none"/>
          <w:lang w:val="en-US" w:eastAsia="zh-CN"/>
        </w:rPr>
        <w:t>款</w:t>
      </w:r>
      <w:r>
        <w:rPr>
          <w:rFonts w:hint="eastAsia" w:ascii="仿宋" w:hAnsi="仿宋" w:eastAsia="仿宋" w:cs="仿宋"/>
          <w:i w:val="0"/>
          <w:iCs w:val="0"/>
          <w:color w:val="auto"/>
          <w:sz w:val="28"/>
          <w:szCs w:val="28"/>
          <w:highlight w:val="none"/>
        </w:rPr>
        <w:t>。</w:t>
      </w:r>
    </w:p>
    <w:p w14:paraId="6A3D2E9D">
      <w:pPr>
        <w:keepNext w:val="0"/>
        <w:keepLines w:val="0"/>
        <w:pageBreakBefore w:val="0"/>
        <w:widowControl w:val="0"/>
        <w:kinsoku/>
        <w:wordWrap/>
        <w:overflowPunct/>
        <w:topLinePunct w:val="0"/>
        <w:autoSpaceDE/>
        <w:autoSpaceDN/>
        <w:bidi w:val="0"/>
        <w:adjustRightInd w:val="0"/>
        <w:snapToGrid w:val="0"/>
        <w:spacing w:line="360" w:lineRule="auto"/>
        <w:ind w:left="-140" w:leftChars="-50" w:right="-238" w:rightChars="-85" w:firstLine="627" w:firstLineChars="224"/>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7.1.2乙方进场前，甲方应做好“三通一平”和施工前的准备工作，主要为：接通水源、电源，办理报建、临时占用道路等手续，排除地下障碍物，包括不可迁移的地下管线和四周建筑物的安全防护措施（如需加固及完工后的维修等费用由甲方负责）。施工期间，非乙方原因造成的地下管线及四周建筑物损坏均由甲方承担。但在施工中，乙方须关注地下管线和四周建筑物的安全，如发现险情须立即停止施工并通知甲方共同制定有效的安全处理措施，不得冒险作业。</w:t>
      </w:r>
    </w:p>
    <w:p w14:paraId="21D437B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7.1.3甲方提供座标和高程基准点，作为乙方为本工程桩位测设的依据。</w:t>
      </w:r>
    </w:p>
    <w:p w14:paraId="1B00ED0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color w:val="auto"/>
          <w:highlight w:val="none"/>
          <w:lang w:val="en-US" w:eastAsia="zh-CN"/>
        </w:rPr>
      </w:pPr>
      <w:r>
        <w:rPr>
          <w:rFonts w:hint="eastAsia" w:ascii="仿宋" w:hAnsi="仿宋" w:eastAsia="仿宋" w:cs="仿宋"/>
          <w:b w:val="0"/>
          <w:bCs w:val="0"/>
          <w:i w:val="0"/>
          <w:iCs w:val="0"/>
          <w:color w:val="auto"/>
          <w:sz w:val="28"/>
          <w:szCs w:val="28"/>
          <w:highlight w:val="none"/>
          <w:lang w:val="en-US" w:eastAsia="zh-CN"/>
        </w:rPr>
        <w:t>7.1.4甲方有权根据本项目总体情况安排、调整本工程工期，规定乙方先做某部位后做某部位，何时增加工人何时减少工人，乙方必须服从调动及安排。</w:t>
      </w:r>
    </w:p>
    <w:p w14:paraId="4746889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7.1.5甲方有权对乙方在施工中出现的不符合设计图纸、违反施工规范和安全操作规程、材料浪费等违规行为强行制止，并要求乙方在规定时间内按要求整改，同时有权根据具体情况对乙方收取相关违约金。</w:t>
      </w:r>
    </w:p>
    <w:p w14:paraId="071445A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7.1.6甲方有权对乙方及其人员进行技术考核，考核不合格的人员不能上岗且乙方按甲方要求调换合格人员接替上岗。</w:t>
      </w:r>
    </w:p>
    <w:p w14:paraId="3E9028E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7.1.7甲方对乙方向乙方人员发放报酬的情况有知情权，乙方工人工资金额由乙方提供书面文件给甲方项目部及甲方工程部核实确定。甲方有权了解乙方工人的工资分配制度和实施情况，对不合理、违规的分配甲方有权制止及干预。乙方须及时支付工人工资及材料款，如乙方欠款导致甲方被追索，甲方有权自应付给乙方的款项中扣款代付，但此举不视为甲方同意对乙方债务承担责任，乙方对甲方代付行为及金额无异议，如应付给乙方的合同款不足以代付导致甲方需垫付费用，乙方应在甲方发出书面通知起3个日历天内还清甲方垫付款并自甲方垫付之日起按一年期贷款市场报价利率（LPR）的4倍为标准支付利息给甲方。</w:t>
      </w:r>
    </w:p>
    <w:p w14:paraId="7191A1B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7.1.8对乙方违反合同约定、行业标准、国家或地方政策规范、设计要求的情况，甲方有权要求乙方整改，乙方拒不整改或整改二次后仍不能满足甲方要求的，甲方有权单方解除本合同且不付款，同时乙方赔偿甲方的损失（包括但不限于甲方因本工程逾期完工而须对建设单位承担的违约责任、损失赔偿责任等）。</w:t>
      </w:r>
    </w:p>
    <w:p w14:paraId="14D8A1D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7.1.9凡甲方认为会影响本工程质量或可能导致安全事故的乙方自备材料、机具等，乙方不得用于本项目，否则乙方无条件更换且每次向甲方支付违约金壹万元及不延长工期。</w:t>
      </w:r>
    </w:p>
    <w:p w14:paraId="71EEA16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7.1.10甲方因参与本合同履行而发出、或与乙方达成合意所形成的一切相关文件，均须同时加盖甲方公章及经法定代表人（或授权代表人）签名，否则均不对甲方产生约束力，除非事后获得甲方另行追认。</w:t>
      </w:r>
    </w:p>
    <w:p w14:paraId="388D60C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7.1.11对乙方不按合同约定时间向甲方申报其工人工资资料等行为，甲方有权对乙方收取违约金，每逾期一天的违约金不少于伍佰元/人（按乙方在本工程施工工人人数计）。</w:t>
      </w:r>
    </w:p>
    <w:p w14:paraId="5041824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7.1.12若乙方原因导致其工人工资不能及时发放，工人发生停工或静坐、闹事等不良行为的，甲方有权按本合同相关条款（如本合同第二部分合同通用条款第十二章等）向乙方收取违约金。</w:t>
      </w:r>
    </w:p>
    <w:p w14:paraId="1B93829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color w:val="auto"/>
          <w:highlight w:val="none"/>
          <w:lang w:val="en-US" w:eastAsia="zh-CN"/>
        </w:rPr>
      </w:pPr>
      <w:r>
        <w:rPr>
          <w:rFonts w:hint="eastAsia" w:ascii="仿宋" w:hAnsi="仿宋" w:eastAsia="仿宋" w:cs="仿宋"/>
          <w:b w:val="0"/>
          <w:bCs w:val="0"/>
          <w:i w:val="0"/>
          <w:iCs w:val="0"/>
          <w:color w:val="auto"/>
          <w:sz w:val="28"/>
          <w:szCs w:val="28"/>
          <w:highlight w:val="none"/>
          <w:lang w:val="en-US" w:eastAsia="zh-CN"/>
        </w:rPr>
        <w:t>7.1.13工程若有变更，甲方必须以书面形式通知乙方，若因工程变更导致增加工程量，甲方须给予乙方合理的备料期（具体时间双方协商）并办理签证确认</w:t>
      </w:r>
    </w:p>
    <w:p w14:paraId="391D547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3" w:firstLineChars="179"/>
        <w:textAlignment w:val="auto"/>
        <w:rPr>
          <w:rFonts w:hint="eastAsia" w:ascii="仿宋" w:hAnsi="仿宋" w:eastAsia="仿宋" w:cs="仿宋"/>
          <w:b/>
          <w:bCs/>
          <w:i w:val="0"/>
          <w:iCs w:val="0"/>
          <w:color w:val="auto"/>
          <w:sz w:val="28"/>
          <w:szCs w:val="28"/>
          <w:highlight w:val="none"/>
        </w:rPr>
      </w:pPr>
      <w:r>
        <w:rPr>
          <w:rFonts w:hint="eastAsia" w:ascii="仿宋" w:hAnsi="仿宋" w:eastAsia="仿宋" w:cs="仿宋"/>
          <w:b/>
          <w:bCs/>
          <w:i w:val="0"/>
          <w:iCs w:val="0"/>
          <w:color w:val="auto"/>
          <w:sz w:val="28"/>
          <w:szCs w:val="28"/>
          <w:highlight w:val="none"/>
          <w:lang w:val="en-US" w:eastAsia="zh-CN"/>
        </w:rPr>
        <w:t>7.</w:t>
      </w:r>
      <w:r>
        <w:rPr>
          <w:rFonts w:hint="eastAsia" w:ascii="仿宋" w:hAnsi="仿宋" w:eastAsia="仿宋" w:cs="仿宋"/>
          <w:b/>
          <w:bCs/>
          <w:i w:val="0"/>
          <w:iCs w:val="0"/>
          <w:color w:val="auto"/>
          <w:sz w:val="28"/>
          <w:szCs w:val="28"/>
          <w:highlight w:val="none"/>
        </w:rPr>
        <w:t>2乙方责任和权利</w:t>
      </w:r>
    </w:p>
    <w:p w14:paraId="61402DB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7.2.1施工前，乙方须仔细阅读本工程相关地质资料，并明确现场施工场地是否与地质资料相符，提出合理化建议。因乙方未对地质资料进行实际核查而导致的不良后果、责任及损失由乙方承担。</w:t>
      </w:r>
    </w:p>
    <w:p w14:paraId="63A83FE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7.2.2乙方须按设计图纸和施工规范施工，保证施工成品质量满足合同要求。因乙方原因导致的质量事故，由乙方赔偿甲方损失，并根据甲方提供的座标和高程基准点对本工程进行测量、放线，对测设结果负责。</w:t>
      </w:r>
    </w:p>
    <w:p w14:paraId="4C45473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7.2.3乙方负责本工程所有资料的编制（包括</w:t>
      </w:r>
      <w:r>
        <w:rPr>
          <w:rFonts w:hint="eastAsia" w:ascii="仿宋" w:hAnsi="仿宋" w:eastAsia="仿宋" w:cs="仿宋"/>
          <w:b w:val="0"/>
          <w:bCs w:val="0"/>
          <w:i w:val="0"/>
          <w:iCs w:val="0"/>
          <w:color w:val="auto"/>
          <w:sz w:val="28"/>
          <w:szCs w:val="28"/>
          <w:highlight w:val="none"/>
        </w:rPr>
        <w:t>打桩、压桩</w:t>
      </w:r>
      <w:r>
        <w:rPr>
          <w:rFonts w:hint="eastAsia" w:ascii="仿宋" w:hAnsi="仿宋" w:eastAsia="仿宋" w:cs="仿宋"/>
          <w:b w:val="0"/>
          <w:bCs w:val="0"/>
          <w:i w:val="0"/>
          <w:iCs w:val="0"/>
          <w:color w:val="auto"/>
          <w:sz w:val="28"/>
          <w:szCs w:val="28"/>
          <w:highlight w:val="none"/>
          <w:lang w:val="en-US" w:eastAsia="zh-CN"/>
        </w:rPr>
        <w:t>的</w:t>
      </w:r>
      <w:r>
        <w:rPr>
          <w:rFonts w:hint="eastAsia" w:ascii="仿宋" w:hAnsi="仿宋" w:eastAsia="仿宋" w:cs="仿宋"/>
          <w:b w:val="0"/>
          <w:bCs w:val="0"/>
          <w:i w:val="0"/>
          <w:iCs w:val="0"/>
          <w:color w:val="auto"/>
          <w:sz w:val="28"/>
          <w:szCs w:val="28"/>
          <w:highlight w:val="none"/>
        </w:rPr>
        <w:t>施工记录</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lang w:val="en-US" w:eastAsia="zh-CN"/>
        </w:rPr>
        <w:t>，并在施工当日经甲方、建设单位、监理方共同签字确认，否则向甲方支付违约金壹万元/次</w:t>
      </w:r>
      <w:r>
        <w:rPr>
          <w:rFonts w:hint="eastAsia" w:ascii="仿宋" w:hAnsi="仿宋" w:eastAsia="仿宋" w:cs="仿宋"/>
          <w:b w:val="0"/>
          <w:bCs w:val="0"/>
          <w:i w:val="0"/>
          <w:iCs w:val="0"/>
          <w:color w:val="auto"/>
          <w:sz w:val="28"/>
          <w:szCs w:val="28"/>
          <w:highlight w:val="none"/>
        </w:rPr>
        <w:t>。</w:t>
      </w:r>
    </w:p>
    <w:p w14:paraId="45A3708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rPr>
      </w:pPr>
      <w:r>
        <w:rPr>
          <w:rFonts w:hint="eastAsia" w:ascii="仿宋" w:hAnsi="仿宋" w:eastAsia="仿宋" w:cs="仿宋"/>
          <w:b w:val="0"/>
          <w:bCs w:val="0"/>
          <w:i w:val="0"/>
          <w:iCs w:val="0"/>
          <w:color w:val="auto"/>
          <w:sz w:val="28"/>
          <w:szCs w:val="28"/>
          <w:highlight w:val="none"/>
          <w:lang w:val="en-US" w:eastAsia="zh-CN"/>
        </w:rPr>
        <w:t>7.</w:t>
      </w:r>
      <w:r>
        <w:rPr>
          <w:rFonts w:hint="eastAsia" w:ascii="仿宋" w:hAnsi="仿宋" w:eastAsia="仿宋" w:cs="仿宋"/>
          <w:b w:val="0"/>
          <w:bCs w:val="0"/>
          <w:i w:val="0"/>
          <w:iCs w:val="0"/>
          <w:color w:val="auto"/>
          <w:sz w:val="28"/>
          <w:szCs w:val="28"/>
          <w:highlight w:val="none"/>
        </w:rPr>
        <w:t>2.4遵守甲方管理制度，服从甲方管理</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lang w:val="en-US" w:eastAsia="zh-CN"/>
        </w:rPr>
        <w:t>如甲方需要乙方配合施工，乙方必须安排相应技工或工作人员配合、值班，费用已包含在合同单价内，甲方不另计费给乙方</w:t>
      </w:r>
      <w:r>
        <w:rPr>
          <w:rFonts w:hint="eastAsia" w:ascii="仿宋" w:hAnsi="仿宋" w:eastAsia="仿宋" w:cs="仿宋"/>
          <w:b w:val="0"/>
          <w:bCs w:val="0"/>
          <w:i w:val="0"/>
          <w:iCs w:val="0"/>
          <w:color w:val="auto"/>
          <w:sz w:val="28"/>
          <w:szCs w:val="28"/>
          <w:highlight w:val="none"/>
        </w:rPr>
        <w:t>。</w:t>
      </w:r>
    </w:p>
    <w:p w14:paraId="12B9E1F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rPr>
      </w:pPr>
      <w:r>
        <w:rPr>
          <w:rFonts w:hint="eastAsia" w:ascii="仿宋" w:hAnsi="仿宋" w:eastAsia="仿宋" w:cs="仿宋"/>
          <w:b w:val="0"/>
          <w:bCs w:val="0"/>
          <w:i w:val="0"/>
          <w:iCs w:val="0"/>
          <w:color w:val="auto"/>
          <w:sz w:val="28"/>
          <w:szCs w:val="28"/>
          <w:highlight w:val="none"/>
          <w:lang w:val="en-US" w:eastAsia="zh-CN"/>
        </w:rPr>
        <w:t>7.</w:t>
      </w:r>
      <w:r>
        <w:rPr>
          <w:rFonts w:hint="eastAsia" w:ascii="仿宋" w:hAnsi="仿宋" w:eastAsia="仿宋" w:cs="仿宋"/>
          <w:b w:val="0"/>
          <w:bCs w:val="0"/>
          <w:i w:val="0"/>
          <w:iCs w:val="0"/>
          <w:color w:val="auto"/>
          <w:sz w:val="28"/>
          <w:szCs w:val="28"/>
          <w:highlight w:val="none"/>
        </w:rPr>
        <w:t>2.5</w:t>
      </w:r>
      <w:r>
        <w:rPr>
          <w:rFonts w:hint="eastAsia" w:ascii="仿宋" w:hAnsi="仿宋" w:eastAsia="仿宋" w:cs="仿宋"/>
          <w:b w:val="0"/>
          <w:bCs w:val="0"/>
          <w:i w:val="0"/>
          <w:iCs w:val="0"/>
          <w:color w:val="auto"/>
          <w:sz w:val="28"/>
          <w:szCs w:val="28"/>
          <w:highlight w:val="none"/>
          <w:lang w:val="en-US" w:eastAsia="zh-CN"/>
        </w:rPr>
        <w:t>乙方必须严格按照国家、省《建筑地基基础施工及验收规范》和设计图纸的要求进行施工，在施工过程中，发现有质量问题或深度不够等，应及时向甲方、建设单位、设计单位提出书面意见，征得甲方、建设单位和设计单位同意后方能改变施工方案。乙方</w:t>
      </w:r>
      <w:r>
        <w:rPr>
          <w:rFonts w:hint="eastAsia" w:ascii="仿宋" w:hAnsi="仿宋" w:eastAsia="仿宋" w:cs="仿宋"/>
          <w:b w:val="0"/>
          <w:bCs w:val="0"/>
          <w:i w:val="0"/>
          <w:iCs w:val="0"/>
          <w:color w:val="auto"/>
          <w:sz w:val="28"/>
          <w:szCs w:val="28"/>
          <w:highlight w:val="none"/>
        </w:rPr>
        <w:t>对完成的每一</w:t>
      </w:r>
      <w:r>
        <w:rPr>
          <w:rFonts w:hint="eastAsia" w:ascii="仿宋" w:hAnsi="仿宋" w:eastAsia="仿宋" w:cs="仿宋"/>
          <w:b w:val="0"/>
          <w:bCs w:val="0"/>
          <w:i w:val="0"/>
          <w:iCs w:val="0"/>
          <w:color w:val="auto"/>
          <w:sz w:val="28"/>
          <w:szCs w:val="28"/>
          <w:highlight w:val="none"/>
          <w:lang w:eastAsia="zh-CN"/>
        </w:rPr>
        <w:t>道</w:t>
      </w:r>
      <w:r>
        <w:rPr>
          <w:rFonts w:hint="eastAsia" w:ascii="仿宋" w:hAnsi="仿宋" w:eastAsia="仿宋" w:cs="仿宋"/>
          <w:b w:val="0"/>
          <w:bCs w:val="0"/>
          <w:i w:val="0"/>
          <w:iCs w:val="0"/>
          <w:color w:val="auto"/>
          <w:sz w:val="28"/>
          <w:szCs w:val="28"/>
          <w:highlight w:val="none"/>
        </w:rPr>
        <w:t>工序及时、认真进行自检，自检合格后提请甲方验收。对验收中</w:t>
      </w:r>
      <w:r>
        <w:rPr>
          <w:rFonts w:hint="eastAsia" w:ascii="仿宋" w:hAnsi="仿宋" w:eastAsia="仿宋" w:cs="仿宋"/>
          <w:b w:val="0"/>
          <w:bCs w:val="0"/>
          <w:i w:val="0"/>
          <w:iCs w:val="0"/>
          <w:color w:val="auto"/>
          <w:sz w:val="28"/>
          <w:szCs w:val="28"/>
          <w:highlight w:val="none"/>
          <w:lang w:val="en-US" w:eastAsia="zh-CN"/>
        </w:rPr>
        <w:t>甲方</w:t>
      </w:r>
      <w:r>
        <w:rPr>
          <w:rFonts w:hint="eastAsia" w:ascii="仿宋" w:hAnsi="仿宋" w:eastAsia="仿宋" w:cs="仿宋"/>
          <w:b w:val="0"/>
          <w:bCs w:val="0"/>
          <w:i w:val="0"/>
          <w:iCs w:val="0"/>
          <w:color w:val="auto"/>
          <w:sz w:val="28"/>
          <w:szCs w:val="28"/>
          <w:highlight w:val="none"/>
        </w:rPr>
        <w:t>提出的问题</w:t>
      </w:r>
      <w:r>
        <w:rPr>
          <w:rFonts w:hint="eastAsia" w:ascii="仿宋" w:hAnsi="仿宋" w:eastAsia="仿宋" w:cs="仿宋"/>
          <w:b w:val="0"/>
          <w:bCs w:val="0"/>
          <w:i w:val="0"/>
          <w:iCs w:val="0"/>
          <w:color w:val="auto"/>
          <w:sz w:val="28"/>
          <w:szCs w:val="28"/>
          <w:highlight w:val="none"/>
          <w:lang w:val="en-US" w:eastAsia="zh-CN"/>
        </w:rPr>
        <w:t>按甲方要求的时间、质量要求</w:t>
      </w:r>
      <w:r>
        <w:rPr>
          <w:rFonts w:hint="eastAsia" w:ascii="仿宋" w:hAnsi="仿宋" w:eastAsia="仿宋" w:cs="仿宋"/>
          <w:b w:val="0"/>
          <w:bCs w:val="0"/>
          <w:i w:val="0"/>
          <w:iCs w:val="0"/>
          <w:color w:val="auto"/>
          <w:sz w:val="28"/>
          <w:szCs w:val="28"/>
          <w:highlight w:val="none"/>
        </w:rPr>
        <w:t>及时彻底整改</w:t>
      </w:r>
      <w:r>
        <w:rPr>
          <w:rFonts w:hint="eastAsia" w:ascii="仿宋" w:hAnsi="仿宋" w:eastAsia="仿宋" w:cs="仿宋"/>
          <w:b w:val="0"/>
          <w:bCs w:val="0"/>
          <w:i w:val="0"/>
          <w:iCs w:val="0"/>
          <w:color w:val="auto"/>
          <w:sz w:val="28"/>
          <w:szCs w:val="28"/>
          <w:highlight w:val="none"/>
          <w:lang w:eastAsia="zh-CN"/>
        </w:rPr>
        <w:t>，</w:t>
      </w:r>
      <w:r>
        <w:rPr>
          <w:rFonts w:hint="eastAsia" w:ascii="仿宋" w:hAnsi="仿宋" w:eastAsia="仿宋" w:cs="仿宋"/>
          <w:b w:val="0"/>
          <w:bCs w:val="0"/>
          <w:i w:val="0"/>
          <w:iCs w:val="0"/>
          <w:color w:val="auto"/>
          <w:sz w:val="28"/>
          <w:szCs w:val="28"/>
          <w:highlight w:val="none"/>
          <w:lang w:val="en-US" w:eastAsia="zh-CN"/>
        </w:rPr>
        <w:t>每延误一天完成整改，向甲方支付违约金伍仟元</w:t>
      </w:r>
      <w:r>
        <w:rPr>
          <w:rFonts w:hint="eastAsia" w:ascii="仿宋" w:hAnsi="仿宋" w:eastAsia="仿宋" w:cs="仿宋"/>
          <w:b w:val="0"/>
          <w:bCs w:val="0"/>
          <w:i w:val="0"/>
          <w:iCs w:val="0"/>
          <w:color w:val="auto"/>
          <w:sz w:val="28"/>
          <w:szCs w:val="28"/>
          <w:highlight w:val="none"/>
        </w:rPr>
        <w:t>。</w:t>
      </w:r>
    </w:p>
    <w:p w14:paraId="3EB8FDA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7.2.6乙方须如实向甲方提供《建筑工人工资表》，每月第十个日历天前向甲方完成申报工人工资，否则甲方有权中止支付任何款项且不违约。乙方人员在本项目上、下班时必须按甲方要求实名登记并打卡，打卡文件作为工人工资申请及发放依据，乙方每月发放工资凭证加盖乙方公章报甲方项目部。乙方未向甲方项目部作实名登记和打卡的人员，甲方不予发放其工资，产生的不良后果和责任由乙方承担。</w:t>
      </w:r>
    </w:p>
    <w:p w14:paraId="6E46EC0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7.2.7任意一</w:t>
      </w:r>
      <w:r>
        <w:rPr>
          <w:rFonts w:hint="eastAsia" w:ascii="仿宋" w:hAnsi="仿宋" w:eastAsia="仿宋" w:cs="仿宋"/>
          <w:b w:val="0"/>
          <w:bCs w:val="0"/>
          <w:i w:val="0"/>
          <w:iCs w:val="0"/>
          <w:color w:val="000000" w:themeColor="text1"/>
          <w:sz w:val="28"/>
          <w:szCs w:val="28"/>
          <w:highlight w:val="none"/>
          <w:lang w:val="en-US" w:eastAsia="zh-CN"/>
          <w14:textFill>
            <w14:solidFill>
              <w14:schemeClr w14:val="tx1"/>
            </w14:solidFill>
          </w14:textFill>
        </w:rPr>
        <w:t>组团</w:t>
      </w:r>
      <w:r>
        <w:rPr>
          <w:rFonts w:hint="eastAsia" w:ascii="仿宋" w:hAnsi="仿宋" w:eastAsia="仿宋" w:cs="仿宋"/>
          <w:b w:val="0"/>
          <w:bCs w:val="0"/>
          <w:i w:val="0"/>
          <w:iCs w:val="0"/>
          <w:color w:val="auto"/>
          <w:sz w:val="28"/>
          <w:szCs w:val="28"/>
          <w:highlight w:val="none"/>
          <w:lang w:val="en-US" w:eastAsia="zh-CN"/>
        </w:rPr>
        <w:t>进场开工之日三天前，乙方须向甲方提交所有进场人员（包括但不限于施工人员）花名册、身份证复印件及联系电话、乙方与进场人员签订的劳动合同（加盖乙方公章）进行实名登记，否则甲方有权按逾期天数认定乙方延迟开工计收违约金。乙方与进场人员签订了劳动合同而未提供在花名册内或未提供该人员身份证复印件及联系电话的，该人员不得进入施工现场，如有发现，乙方向甲方支付违约金贰仟元/人/次且甲方不发放该人员的工资。乙方人员如有变更，须在3天内补充新的花名册、新进人员身份证复印件及联系电话、乙方与进场人员签订的劳动合同复印件给甲方；乙方须提供与花名册一致的班组工人工资表原件及复印件，且工人工资表金额要与当期支付的工人工资一致。乙方人员每天进场必须进行考勤打卡，且考勤打卡记录须与提供的花名册相符。乙方人员退场时，须提交工资结清证明（加盖乙方公章）给甲方留存，否则甲方有权不办理结算和不付款。</w:t>
      </w:r>
    </w:p>
    <w:p w14:paraId="0C3C655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7.2.8乙方须如实主动申报及发放工人工资，甲方有权核对，如发现乙方弄虚作假，甲方暂停支付合同款。</w:t>
      </w:r>
    </w:p>
    <w:p w14:paraId="0B10C02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7.2.9乙方有权要求甲方按合同约定提供充足的甲供施工材料、机具。乙方自备的机具、材料经甲方验收合格后方可进场使用。甲供材料、机具十天以上（不含十天）不到位，或其它非乙方原因造成的阶段性、区域停工十天以上（不含十天），乙方有权调离多余工人，因此形成的短期怠工（十天以内）及进出场的费用已包括在合同单价中，不另计价。</w:t>
      </w:r>
    </w:p>
    <w:p w14:paraId="31E12EF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7.2.10合同履行过程中，如乙方中途自行退场，甲方不支付任何款项，因此造成甲方损失的由乙方赔偿。</w:t>
      </w:r>
    </w:p>
    <w:p w14:paraId="33472B9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7.2.11乙方须合理使用甲供材，在保证质量的情况下，按合同约定及相应规范控制使用。</w:t>
      </w:r>
    </w:p>
    <w:p w14:paraId="22EECB3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7.2.12乙方施工中须与其他分包单位积极配合，保护所有成品，保护费用及责任由乙方承担。非经甲方书面同意，所有已进场材料设备不能运出工地。</w:t>
      </w:r>
    </w:p>
    <w:p w14:paraId="5937445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7.2.13如乙方人员使用甲方提供的宿舍，住宿按7人/间配置，凡按乙方人员分配房间超过数量的，甲方将按1000元/间/月（税金另计）向乙方收取房租，乙方必须每月按实缴纳宿舍所有电费用【线路损耗按装表计量实际量加10%损耗计（税金另计）】和空调使用费【按1.3元/间/天计（税金另计），未安装空调的此项不计】和房租给甲方。乙方每次向甲方请款时，甲方合同执行联系人可直接扣除乙方上月产生的房租、宿舍所有电费及空调使用费，并按扣除后的金额申请进度款。</w:t>
      </w:r>
    </w:p>
    <w:p w14:paraId="23E4347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7.2.14对违章指挥，乙方有权拒绝服从。</w:t>
      </w:r>
    </w:p>
    <w:p w14:paraId="7E94D9C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rPr>
      </w:pPr>
      <w:r>
        <w:rPr>
          <w:rFonts w:hint="eastAsia" w:ascii="仿宋" w:hAnsi="仿宋" w:eastAsia="仿宋" w:cs="仿宋"/>
          <w:b w:val="0"/>
          <w:bCs w:val="0"/>
          <w:i w:val="0"/>
          <w:iCs w:val="0"/>
          <w:color w:val="auto"/>
          <w:sz w:val="28"/>
          <w:szCs w:val="28"/>
          <w:highlight w:val="none"/>
          <w:lang w:val="en-US" w:eastAsia="zh-CN"/>
        </w:rPr>
        <w:t>7.</w:t>
      </w:r>
      <w:r>
        <w:rPr>
          <w:rFonts w:hint="eastAsia" w:ascii="仿宋" w:hAnsi="仿宋" w:eastAsia="仿宋" w:cs="仿宋"/>
          <w:b w:val="0"/>
          <w:bCs w:val="0"/>
          <w:i w:val="0"/>
          <w:iCs w:val="0"/>
          <w:color w:val="auto"/>
          <w:sz w:val="28"/>
          <w:szCs w:val="28"/>
          <w:highlight w:val="none"/>
        </w:rPr>
        <w:t>2.1</w:t>
      </w:r>
      <w:r>
        <w:rPr>
          <w:rFonts w:hint="eastAsia" w:ascii="仿宋" w:hAnsi="仿宋" w:eastAsia="仿宋" w:cs="仿宋"/>
          <w:b w:val="0"/>
          <w:bCs w:val="0"/>
          <w:i w:val="0"/>
          <w:iCs w:val="0"/>
          <w:color w:val="auto"/>
          <w:sz w:val="28"/>
          <w:szCs w:val="28"/>
          <w:highlight w:val="none"/>
          <w:lang w:val="en-US" w:eastAsia="zh-CN"/>
        </w:rPr>
        <w:t>5</w:t>
      </w:r>
      <w:r>
        <w:rPr>
          <w:rFonts w:hint="eastAsia" w:ascii="仿宋" w:hAnsi="仿宋" w:eastAsia="仿宋" w:cs="仿宋"/>
          <w:b w:val="0"/>
          <w:bCs w:val="0"/>
          <w:i w:val="0"/>
          <w:iCs w:val="0"/>
          <w:color w:val="auto"/>
          <w:sz w:val="28"/>
          <w:szCs w:val="28"/>
          <w:highlight w:val="none"/>
        </w:rPr>
        <w:t>因乙方的材料及施工质量问题引起的返工、维修、更换、损失及工期的延误等造成的一切费用由乙方承担。</w:t>
      </w:r>
    </w:p>
    <w:p w14:paraId="47FE7EE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7.2.16乙方供应的每批材料必须经甲方现场管理人员（或甲方施工员）确认是否符合合同要求及本工程所需，如不符合，一律不准进场并按甲方要求更换且不得因此延长工期，同时乙方每次向甲方支付违约金伍仟元。</w:t>
      </w:r>
    </w:p>
    <w:p w14:paraId="2749CA0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7.2.17除不可抗力及非乙方原因外，乙方确保本工程的质量和进度一次性达到合同要求，否则造成的损失由乙方承担且每次向甲方支付违约金壹万元。</w:t>
      </w:r>
    </w:p>
    <w:p w14:paraId="55E6F0B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color w:val="auto"/>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7.2.18乙方充分了解本工程现场实际情况，确定☑合同单价/□合同总价已包含处理现场各种因素导致的多次进退场、怠工、误工等不能正常开工情形的费用，甲方无需另行计费给乙方。</w:t>
      </w:r>
    </w:p>
    <w:p w14:paraId="580BAA2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7.2.19乙方人员进场前须提供本项目所在地三甲医院出具的体检健康证明，否则甲方有权将无证人员驱逐出本项目。无论乙方是否提供该证明，乙方人员须身体健康，无妨碍从事工作的疾病和生理缺陷，符合进场及该工种的操作要求。因乙方人员自身疾病或生理缺陷等原因导致的伤亡均由乙方自行承担全责，甲方无需承担责任及赔偿任何费用。</w:t>
      </w:r>
    </w:p>
    <w:p w14:paraId="59CA984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7.2.20乙方如进行企业名称变更，须及时书面通知甲方并随附工商登记主管部门核发的相应证明文件，否则甲方有权中止合同付款义务，直至乙方就该变更事宜提交有效证明文件并配合甲方完成对乙方主体身份的核验。如乙方自身主体被工商登记主管部门注销，甲方有权不履行合同付款义务且无须承担任何违约责任。</w:t>
      </w:r>
    </w:p>
    <w:p w14:paraId="01035E8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color w:val="auto"/>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7.2.21乙方须按甲方书面确定的图纸、设计变更通知单施工，未经甲方书面同意而脱离图纸、设计变更通知单而擅自施工的，无论是否影响本工程质量或工期，乙方每次须支付违约金人民币壹万元给甲方，并承担因此导致的一切后果及赔偿甲方损失，同时甲方不承担由此增加的费用，由此节约的费用（以甲方计算的为准）则由甲方享有。（因乙方擅自施工系单方变更合同的违约行为，节约的费用视同支付给甲方的违约金。）</w:t>
      </w:r>
    </w:p>
    <w:p w14:paraId="6B56B7C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7.2.22乙方必须按本合同施工图纸及甲方签发的《施工交楼标准》准确预留、预埋或开凿槽施工【包括但不限于：楼地面、屋面找平层、墙体、柱子天棚抹灰等施工前完成(甲方另行签证除外）】。禁止乙方在泥水找平或抹灰工程完成后再开凿槽、开洞，进行影响工程质量及观感的工作/行为。因乙方原因造成上述情况发生的，属乙方违约，找平层、抹灰层、面层等工程恢复由甲方指定专业泥水分包单位完成，按所产生全部费用的200%（包含但不限于工期延误、材料、劳务等费用）由乙方承担。同时乙方就此违约行为按本合同（暂定）总价的30%向甲方支付违约金，并按1000元/处接受甲方对乙方处罚，相应违约金及扣款在乙方任一工程款中扣除。</w:t>
      </w:r>
    </w:p>
    <w:p w14:paraId="1B4F25EB">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jc w:val="left"/>
        <w:textAlignment w:val="auto"/>
        <w:rPr>
          <w:rFonts w:hint="eastAsia"/>
          <w:color w:val="auto"/>
          <w:highlight w:val="none"/>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7.2.23</w:t>
      </w:r>
      <w:r>
        <w:rPr>
          <w:rFonts w:hint="eastAsia" w:ascii="仿宋" w:hAnsi="仿宋" w:eastAsia="仿宋" w:cs="仿宋"/>
          <w:b w:val="0"/>
          <w:bCs w:val="0"/>
          <w:i w:val="0"/>
          <w:iCs w:val="0"/>
          <w:color w:val="auto"/>
          <w:sz w:val="28"/>
          <w:highlight w:val="none"/>
          <w:u w:val="none"/>
          <w:shd w:val="clear" w:color="auto" w:fill="auto"/>
          <w:lang w:val="en-US" w:eastAsia="zh-CN"/>
        </w:rPr>
        <w:t>乙方组织施工人员进场时，须向甲方实名申报《技术工人素质承诺书》（格式详见附件），否则不得进场，并且须按甲方要求提供技术工人现场实操施工样板或组织甲方观摩技术工人现场分步分项施工技能，经甲方检验合格后乙方相关技术工人方可进入本项目施工，技术不合格人员须无条件按甲方要求当天退场且甲方不因此承担任何费用和责任，乙方同时按甲方要求另行组织合格人员进场施工。</w:t>
      </w:r>
    </w:p>
    <w:p w14:paraId="1D5B9C8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7.2.24乙方人员（包括乙方家属、朋友等人员）发生的所有安全事故均与甲方无关，甲方不承担任何责任和费用，一切责任和费用均由乙方承担</w:t>
      </w:r>
      <w:r>
        <w:rPr>
          <w:rFonts w:hint="eastAsia" w:ascii="仿宋" w:hAnsi="仿宋" w:eastAsia="仿宋" w:cs="仿宋"/>
          <w:b w:val="0"/>
          <w:bCs w:val="0"/>
          <w:i w:val="0"/>
          <w:iCs w:val="0"/>
          <w:color w:val="auto"/>
          <w:sz w:val="28"/>
          <w:highlight w:val="none"/>
          <w:u w:val="none"/>
          <w:shd w:val="clear" w:color="auto" w:fill="auto"/>
          <w:lang w:val="en-US" w:eastAsia="zh-CN"/>
        </w:rPr>
        <w:t>，对甲方造成的损失由乙方赔偿甲方</w:t>
      </w:r>
      <w:r>
        <w:rPr>
          <w:rFonts w:hint="eastAsia" w:ascii="仿宋" w:hAnsi="仿宋" w:eastAsia="仿宋" w:cs="仿宋"/>
          <w:b w:val="0"/>
          <w:bCs w:val="0"/>
          <w:i w:val="0"/>
          <w:iCs w:val="0"/>
          <w:color w:val="auto"/>
          <w:sz w:val="28"/>
          <w:szCs w:val="28"/>
          <w:highlight w:val="none"/>
          <w:lang w:val="en-US" w:eastAsia="zh-CN"/>
        </w:rPr>
        <w:t>。</w:t>
      </w:r>
    </w:p>
    <w:p w14:paraId="27BC483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default"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w:t>
      </w:r>
      <w:r>
        <w:rPr>
          <w:rFonts w:hint="default" w:ascii="仿宋" w:hAnsi="仿宋" w:eastAsia="仿宋" w:cs="仿宋"/>
          <w:b w:val="0"/>
          <w:bCs w:val="0"/>
          <w:i w:val="0"/>
          <w:iCs w:val="0"/>
          <w:color w:val="auto"/>
          <w:sz w:val="28"/>
          <w:szCs w:val="28"/>
          <w:highlight w:val="none"/>
          <w:lang w:val="en-US" w:eastAsia="zh-CN"/>
        </w:rPr>
        <w:t>.2.</w:t>
      </w:r>
      <w:r>
        <w:rPr>
          <w:rFonts w:hint="eastAsia" w:ascii="仿宋" w:hAnsi="仿宋" w:eastAsia="仿宋" w:cs="仿宋"/>
          <w:b w:val="0"/>
          <w:bCs w:val="0"/>
          <w:i w:val="0"/>
          <w:iCs w:val="0"/>
          <w:color w:val="auto"/>
          <w:sz w:val="28"/>
          <w:szCs w:val="28"/>
          <w:highlight w:val="none"/>
          <w:lang w:val="en-US" w:eastAsia="zh-CN"/>
        </w:rPr>
        <w:t>25</w:t>
      </w:r>
      <w:r>
        <w:rPr>
          <w:rFonts w:hint="default" w:ascii="仿宋" w:hAnsi="仿宋" w:eastAsia="仿宋" w:cs="仿宋"/>
          <w:b w:val="0"/>
          <w:bCs w:val="0"/>
          <w:i w:val="0"/>
          <w:iCs w:val="0"/>
          <w:color w:val="auto"/>
          <w:sz w:val="28"/>
          <w:szCs w:val="28"/>
          <w:highlight w:val="none"/>
          <w:lang w:val="en-US" w:eastAsia="zh-CN"/>
        </w:rPr>
        <w:t>乙方与第三方发生的任何经济往来、债务纠纷均与甲方无关。乙方须保证所供应材料无权属上的瑕疵或无知识产权的争议，若因此对甲方造成损失，则由乙方负全责赔偿。</w:t>
      </w:r>
    </w:p>
    <w:p w14:paraId="369491B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default"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w:t>
      </w:r>
      <w:r>
        <w:rPr>
          <w:rFonts w:hint="default" w:ascii="仿宋" w:hAnsi="仿宋" w:eastAsia="仿宋" w:cs="仿宋"/>
          <w:b w:val="0"/>
          <w:bCs w:val="0"/>
          <w:i w:val="0"/>
          <w:iCs w:val="0"/>
          <w:color w:val="auto"/>
          <w:sz w:val="28"/>
          <w:szCs w:val="28"/>
          <w:highlight w:val="none"/>
          <w:lang w:val="en-US" w:eastAsia="zh-CN"/>
        </w:rPr>
        <w:t>.2.</w:t>
      </w:r>
      <w:r>
        <w:rPr>
          <w:rFonts w:hint="eastAsia" w:ascii="仿宋" w:hAnsi="仿宋" w:eastAsia="仿宋" w:cs="仿宋"/>
          <w:b w:val="0"/>
          <w:bCs w:val="0"/>
          <w:i w:val="0"/>
          <w:iCs w:val="0"/>
          <w:color w:val="auto"/>
          <w:sz w:val="28"/>
          <w:szCs w:val="28"/>
          <w:highlight w:val="none"/>
          <w:lang w:val="en-US" w:eastAsia="zh-CN"/>
        </w:rPr>
        <w:t>26</w:t>
      </w:r>
      <w:r>
        <w:rPr>
          <w:rFonts w:hint="default" w:ascii="仿宋" w:hAnsi="仿宋" w:eastAsia="仿宋" w:cs="仿宋"/>
          <w:b w:val="0"/>
          <w:bCs w:val="0"/>
          <w:i w:val="0"/>
          <w:iCs w:val="0"/>
          <w:color w:val="auto"/>
          <w:sz w:val="28"/>
          <w:szCs w:val="28"/>
          <w:highlight w:val="none"/>
          <w:lang w:val="en-US" w:eastAsia="zh-CN"/>
        </w:rPr>
        <w:t>乙方与第三人签订的劳动、租赁、买卖等一切合同，与甲方无关。乙方在施工期间</w:t>
      </w:r>
      <w:r>
        <w:rPr>
          <w:rFonts w:hint="eastAsia" w:ascii="仿宋" w:hAnsi="仿宋" w:eastAsia="仿宋" w:cs="仿宋"/>
          <w:b w:val="0"/>
          <w:bCs w:val="0"/>
          <w:i w:val="0"/>
          <w:iCs w:val="0"/>
          <w:color w:val="auto"/>
          <w:sz w:val="28"/>
          <w:szCs w:val="28"/>
          <w:highlight w:val="none"/>
          <w:lang w:val="en-US" w:eastAsia="zh-CN"/>
        </w:rPr>
        <w:t>产生</w:t>
      </w:r>
      <w:r>
        <w:rPr>
          <w:rFonts w:hint="default" w:ascii="仿宋" w:hAnsi="仿宋" w:eastAsia="仿宋" w:cs="仿宋"/>
          <w:b w:val="0"/>
          <w:bCs w:val="0"/>
          <w:i w:val="0"/>
          <w:iCs w:val="0"/>
          <w:color w:val="auto"/>
          <w:sz w:val="28"/>
          <w:szCs w:val="28"/>
          <w:highlight w:val="none"/>
          <w:lang w:val="en-US" w:eastAsia="zh-CN"/>
        </w:rPr>
        <w:t>的与第三方一切债务，由乙方负全责处理并承担责任。</w:t>
      </w:r>
    </w:p>
    <w:p w14:paraId="1AF8887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7.2.27非甲方原因导致的乙方人员在本合同有效期内发生的所有安全事故或其他伤亡情形（如中暑、猝死、药物过敏、食物中毒等），均由乙方承担所发生的全部费用及损失，对甲方造成损失的则由乙方赔偿。非甲乙双方原因导致的乙方人员安全事故，由乙方承担责任和费用，由甲方协助乙方与肇事者协调、协商。</w:t>
      </w:r>
    </w:p>
    <w:p w14:paraId="0E081D6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7.2.28乙方施工过程中，负责本工程工作面上所用材料、机具、垃圾的清理，做到工完场清，并自行负责所有建筑垃圾、生活垃圾的处置。如乙方未能自行处置，必须于每道工序验收前把工作面有关的建筑垃圾、生活垃圾等清理到甲方指定位置，由甲方统一就该部分垃圾处理费（含外运及机械台班费等）按责、按量进行分摊后，由乙方及相关分包单位承担，并以书面形式确认，在结算时予以扣除。乙方提交的结算书须包含甲方项目部按照垃圾产生的责任单位进行数量和全部费用的分摊表，该表须甲方施工员、项目副经理、项目经理签认，否则甲方有权不予办理结算且不违约。</w:t>
      </w:r>
    </w:p>
    <w:p w14:paraId="0E90ACE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乙方负责本工程工作面上所用材料、机具、垃圾的清理，乙方每天施工过程中须做到工完场清，并自行负责有机物垃圾的处置，隐蔽工程验收前把工作面有关材料、机具、垃圾清理到甲方指定位置，相关费用已含于合同单价中，甲方无需另行计费给乙方。</w:t>
      </w:r>
    </w:p>
    <w:p w14:paraId="6D4C89A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7.2.29乙方进入穿插施工工作面前必须按甲方项目部要求办理“工完场清交接单”，如乙方对穿插工作面不能接收，须对进场施工产生的增加费用及工程量在“工完场清交接单”中填报并报甲方项目部确认。乙方不得因穿插工作面达不到接收要求而拒绝进场施工，否则视作延迟开工。</w:t>
      </w:r>
    </w:p>
    <w:p w14:paraId="23814FD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bCs/>
          <w:i w:val="0"/>
          <w:iCs w:val="0"/>
          <w:color w:val="auto"/>
          <w:sz w:val="28"/>
          <w:szCs w:val="28"/>
          <w:highlight w:val="none"/>
          <w:shd w:val="clear" w:color="auto" w:fill="auto"/>
        </w:rPr>
      </w:pPr>
      <w:r>
        <w:rPr>
          <w:rFonts w:hint="eastAsia" w:ascii="仿宋" w:hAnsi="仿宋" w:eastAsia="仿宋" w:cs="仿宋"/>
          <w:b w:val="0"/>
          <w:bCs w:val="0"/>
          <w:i w:val="0"/>
          <w:iCs w:val="0"/>
          <w:color w:val="auto"/>
          <w:sz w:val="28"/>
          <w:szCs w:val="28"/>
          <w:highlight w:val="none"/>
          <w:lang w:val="en-US" w:eastAsia="zh-CN"/>
        </w:rPr>
        <w:t>7.2.30乙方应根据工程需要，提供施工使用的围栏设施，负责安全保卫工作，合理安排施工作业时间，避免施工影响周边居民正常生活。乙方如需使用甲方位于施工区域周边的残旧建筑作为材料库、员工临时宿舍等用途，因建筑本身导致消防、安全等事故造成的一切损失由乙方承担。</w:t>
      </w:r>
    </w:p>
    <w:p w14:paraId="3B62C619">
      <w:pPr>
        <w:keepNext w:val="0"/>
        <w:keepLines w:val="0"/>
        <w:pageBreakBefore w:val="0"/>
        <w:widowControl w:val="0"/>
        <w:kinsoku/>
        <w:wordWrap/>
        <w:overflowPunct/>
        <w:topLinePunct w:val="0"/>
        <w:autoSpaceDE/>
        <w:autoSpaceDN/>
        <w:bidi w:val="0"/>
        <w:adjustRightInd w:val="0"/>
        <w:snapToGrid w:val="0"/>
        <w:spacing w:before="146" w:beforeLines="50" w:line="360" w:lineRule="auto"/>
        <w:ind w:left="-140" w:leftChars="-50" w:right="-1260" w:rightChars="-45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68" w:name="_Toc22397"/>
      <w:bookmarkStart w:id="169" w:name="_Toc11160"/>
      <w:bookmarkStart w:id="170" w:name="_Toc32184"/>
      <w:bookmarkStart w:id="171" w:name="_Toc807"/>
      <w:bookmarkStart w:id="172" w:name="_Toc21799"/>
      <w:bookmarkStart w:id="173" w:name="_Toc17239"/>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第八章、安全生产、文明施工要求</w:t>
      </w:r>
      <w:bookmarkEnd w:id="168"/>
      <w:bookmarkEnd w:id="169"/>
      <w:bookmarkEnd w:id="170"/>
      <w:bookmarkEnd w:id="171"/>
      <w:bookmarkEnd w:id="172"/>
      <w:bookmarkEnd w:id="173"/>
    </w:p>
    <w:p w14:paraId="0348333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bookmarkStart w:id="174" w:name="_Toc17044"/>
      <w:bookmarkStart w:id="175" w:name="_Toc27493"/>
      <w:bookmarkStart w:id="176" w:name="_Toc16313"/>
      <w:bookmarkStart w:id="177" w:name="_Toc2948"/>
      <w:bookmarkStart w:id="178" w:name="_Toc30676"/>
      <w:bookmarkStart w:id="179" w:name="_Toc5758"/>
      <w:bookmarkStart w:id="180" w:name="_Toc29611"/>
      <w:r>
        <w:rPr>
          <w:rFonts w:hint="eastAsia" w:ascii="仿宋" w:hAnsi="仿宋" w:eastAsia="仿宋" w:cs="仿宋"/>
          <w:b w:val="0"/>
          <w:bCs w:val="0"/>
          <w:i w:val="0"/>
          <w:iCs w:val="0"/>
          <w:color w:val="auto"/>
          <w:sz w:val="28"/>
          <w:szCs w:val="28"/>
          <w:highlight w:val="none"/>
          <w:lang w:val="en-US" w:eastAsia="zh-CN"/>
        </w:rPr>
        <w:t>8.1甲方应对乙方进场的施工人员进行安全教育。</w:t>
      </w:r>
      <w:bookmarkEnd w:id="174"/>
      <w:bookmarkEnd w:id="175"/>
      <w:bookmarkEnd w:id="176"/>
      <w:bookmarkEnd w:id="177"/>
      <w:bookmarkEnd w:id="178"/>
      <w:bookmarkEnd w:id="179"/>
      <w:bookmarkEnd w:id="180"/>
    </w:p>
    <w:p w14:paraId="0BFF2E2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8.2甲方不得违反《建设工程安全生产管理条例》（按最新版执行）的规定要求乙方违章施工。因甲方指挥失误导致的安全事故由甲方承担相应责任和费用。</w:t>
      </w:r>
    </w:p>
    <w:p w14:paraId="1408795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8.3乙方须严格遵守《建筑施工安全检查标准》（JGJ59-2011标准，按最新版执行）、《建设工程安全生产管理条例》（按最新版执行）等地方政府相关法律法规文件及甲方针对本工程的安全生产、文明施工管理制度的规定，组织安排工人施工，消除安全隐患，乙方进场施工人员年龄必须在18至55周岁之间（政府部门有更严格要求的，从其要求）。乙方保证甲方不承担任何因乙方原因导致的人身伤亡或财产损失所发生的一切责任，保障甲方不承担任何属于乙方及其人员引起的诉讼，控告、索赔责任及可能发生的相关费用，否则甲方的全部损失由乙方赔偿。</w:t>
      </w:r>
    </w:p>
    <w:p w14:paraId="552F02B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8.4乙方施工过程中，上道工序完成与下道工序必须进行工作面交接并以书面形式确认，甲乙双方及相关单位签字确认的“隐蔽验收表”作为工程进度款申请书及结算书的附件。</w:t>
      </w:r>
    </w:p>
    <w:p w14:paraId="28985D3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bookmarkStart w:id="181" w:name="_Toc5694"/>
      <w:bookmarkStart w:id="182" w:name="_Toc7882"/>
      <w:bookmarkStart w:id="183" w:name="_Toc17839"/>
      <w:bookmarkStart w:id="184" w:name="_Toc8"/>
      <w:bookmarkStart w:id="185" w:name="_Toc18060"/>
      <w:bookmarkStart w:id="186" w:name="_Toc9774"/>
      <w:bookmarkStart w:id="187" w:name="_Toc18465"/>
      <w:r>
        <w:rPr>
          <w:rFonts w:hint="eastAsia" w:ascii="仿宋" w:hAnsi="仿宋" w:eastAsia="仿宋" w:cs="仿宋"/>
          <w:b w:val="0"/>
          <w:bCs w:val="0"/>
          <w:i w:val="0"/>
          <w:iCs w:val="0"/>
          <w:color w:val="auto"/>
          <w:sz w:val="28"/>
          <w:szCs w:val="28"/>
          <w:highlight w:val="none"/>
          <w:lang w:val="en-US" w:eastAsia="zh-CN"/>
        </w:rPr>
        <w:t>8.5其它事项：</w:t>
      </w:r>
      <w:bookmarkEnd w:id="181"/>
      <w:bookmarkEnd w:id="182"/>
      <w:bookmarkEnd w:id="183"/>
      <w:bookmarkEnd w:id="184"/>
      <w:bookmarkEnd w:id="185"/>
      <w:bookmarkEnd w:id="186"/>
      <w:bookmarkEnd w:id="187"/>
    </w:p>
    <w:p w14:paraId="0E07FFB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8.5.1拆除作业时不得高空抛弃材料，必须通过机械或人工传递至地面；</w:t>
      </w:r>
    </w:p>
    <w:p w14:paraId="12D56A7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8.5.2必须正确佩戴安全帽及安全带；</w:t>
      </w:r>
    </w:p>
    <w:p w14:paraId="4E56971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8.5.3不许酒后上班；</w:t>
      </w:r>
    </w:p>
    <w:p w14:paraId="70F749B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8.5.4不许穿拖鞋、硬底鞋上班。</w:t>
      </w:r>
    </w:p>
    <w:p w14:paraId="04B5AE0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8.6劳保用品配置标准具体实施及费用收取标准、办法：</w:t>
      </w:r>
    </w:p>
    <w:p w14:paraId="4C4FD6A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8.6.1本工程配置黄色的安全帽、荧光黄色的反光背心，款式按甲方颁布的《劳保用品配置标准及司旗款式》（V2022）制度执行。</w:t>
      </w:r>
    </w:p>
    <w:p w14:paraId="4515343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8.6..2甲方提供安全帽20元/顶、反光背心15元/件，按乙方实际领取数量的对应金额在结算时进行扣除。</w:t>
      </w:r>
    </w:p>
    <w:p w14:paraId="3F1D2A59">
      <w:pPr>
        <w:keepNext w:val="0"/>
        <w:keepLines w:val="0"/>
        <w:pageBreakBefore w:val="0"/>
        <w:widowControl w:val="0"/>
        <w:numPr>
          <w:ilvl w:val="0"/>
          <w:numId w:val="3"/>
        </w:numPr>
        <w:kinsoku/>
        <w:wordWrap/>
        <w:overflowPunct/>
        <w:topLinePunct w:val="0"/>
        <w:autoSpaceDE/>
        <w:autoSpaceDN/>
        <w:bidi w:val="0"/>
        <w:adjustRightInd w:val="0"/>
        <w:snapToGrid w:val="0"/>
        <w:spacing w:before="146" w:beforeLines="50" w:line="360" w:lineRule="auto"/>
        <w:ind w:left="-140" w:leftChars="-50" w:right="-1260" w:rightChars="-45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88" w:name="_Toc11386"/>
      <w:bookmarkStart w:id="189" w:name="_Toc24173"/>
      <w:bookmarkStart w:id="190" w:name="_Toc31919"/>
      <w:bookmarkStart w:id="191" w:name="_Toc25785"/>
      <w:bookmarkStart w:id="192" w:name="_Toc28272"/>
      <w:bookmarkStart w:id="193" w:name="_Toc13291"/>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验收及保修</w:t>
      </w:r>
      <w:bookmarkEnd w:id="188"/>
      <w:bookmarkEnd w:id="189"/>
      <w:bookmarkEnd w:id="190"/>
      <w:bookmarkEnd w:id="191"/>
      <w:bookmarkEnd w:id="192"/>
      <w:bookmarkEnd w:id="193"/>
    </w:p>
    <w:p w14:paraId="1149887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9.1保修期内，本工程如因乙方原因出现质量问题，乙方须在接到甲方通知起48小时内派人到达现场处理解决，否则甲方有权自行或委托第三方处理，乙方承担相关费用、责任并向甲方支付违约金壹仟元/次；如发生的问题或事故系乙方导致或属于乙方保修内容，甲方所耗费用有权从乙方的保修金中扣除，不足部分由乙方在甲方发出书面通知之日起10个日历天内支付；如非乙方原因所致，乙方仍应提供维修服务，但费用经双方商定后由责任方承担。</w:t>
      </w:r>
    </w:p>
    <w:p w14:paraId="7369D0F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bookmarkStart w:id="194" w:name="_Toc3973"/>
      <w:bookmarkStart w:id="195" w:name="_Toc4352"/>
      <w:bookmarkStart w:id="196" w:name="_Toc454"/>
      <w:bookmarkStart w:id="197" w:name="_Toc12967"/>
      <w:bookmarkStart w:id="198" w:name="_Toc23115"/>
      <w:r>
        <w:rPr>
          <w:rFonts w:hint="eastAsia" w:ascii="仿宋" w:hAnsi="仿宋" w:eastAsia="仿宋" w:cs="仿宋"/>
          <w:b w:val="0"/>
          <w:bCs w:val="0"/>
          <w:i w:val="0"/>
          <w:iCs w:val="0"/>
          <w:color w:val="auto"/>
          <w:sz w:val="28"/>
          <w:szCs w:val="28"/>
          <w:highlight w:val="none"/>
          <w:lang w:val="en-US" w:eastAsia="zh-CN"/>
        </w:rPr>
        <w:t>9.2保修期内若发生乙方原因导致的质量问题，乙方须赔偿甲方因此造成的一切损失并进行整改；如出现较大质量缺陷，乙方履行保修整改义务至整改验收合格后，工程保修期自整改验收合格之日起顺延。</w:t>
      </w:r>
    </w:p>
    <w:p w14:paraId="363E3C1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9.3保修期届满后，由甲方工程部组织主导乙方、建设单位、本项目使用单位等相关单位人员验收，验收合格后由甲方工程部出具《保修验收合格报告》，若验收不通过，由乙方整改后进行整改验收，相关费用由乙方负责。本工程整改两次才通过保修验收的，保修期按乙方整改天数顺延，整改三次以上验收合格的，保修期自整改验收合格之日起顺延一年。</w:t>
      </w:r>
    </w:p>
    <w:p w14:paraId="10C7435D">
      <w:pPr>
        <w:keepNext w:val="0"/>
        <w:keepLines w:val="0"/>
        <w:pageBreakBefore w:val="0"/>
        <w:widowControl w:val="0"/>
        <w:kinsoku/>
        <w:wordWrap/>
        <w:overflowPunct/>
        <w:topLinePunct w:val="0"/>
        <w:autoSpaceDE/>
        <w:autoSpaceDN/>
        <w:bidi w:val="0"/>
        <w:adjustRightInd w:val="0"/>
        <w:snapToGrid w:val="0"/>
        <w:spacing w:before="146" w:beforeLines="50" w:line="360" w:lineRule="auto"/>
        <w:ind w:left="-140" w:leftChars="-50" w:right="-1260" w:rightChars="-45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199" w:name="_Toc3649"/>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第十章、保险</w:t>
      </w:r>
      <w:bookmarkEnd w:id="194"/>
      <w:bookmarkEnd w:id="195"/>
      <w:bookmarkEnd w:id="196"/>
      <w:bookmarkEnd w:id="197"/>
      <w:bookmarkEnd w:id="198"/>
      <w:bookmarkEnd w:id="199"/>
    </w:p>
    <w:p w14:paraId="3FA8285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10.1由于不可抗力、自然灾害或意外事故等情形造成在本项目的乙方人员出险时，甲方如已办理本项目“建筑工程社会保险——工伤保险”且乙方向甲方申报工伤得到甲方确认的，乙方则须及时向甲方提交索赔资料并签订《出险声明函》（格式详见附件），同时配合保险公司调查并无条件接受保险公司的处理结果。甲方确认乙方申报的工伤仅指甲方将为乙方伤亡者申报保险，其伤亡的责任和费用由乙方承担。如临设工程因乙方原因出现损失、损害或损坏，乙方须立即修复、补救及更换或维修任何受破坏或损坏之部位，同时按甲方要求清理及弃置任何残骸。</w:t>
      </w:r>
    </w:p>
    <w:p w14:paraId="453B538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10.2甲方未办理“建筑工程社会保险——工伤保险”时，对乙方导致的任何安全事故及工伤人员的全部安全事故，由乙方全部承担责任和费用，相关费用已综合包含在合同单价中，甲方不承担任何责任和费用。</w:t>
      </w:r>
    </w:p>
    <w:p w14:paraId="38A7F6E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10.3乙方须为其属下人员、财产、现场各种施工设施、设备、材料购买保险，相关费用已含在本合同约定的合同价格中无需甲方另行支付给乙方。因各种原因导致乙方需要延长保险期所需增加的保险费由乙方自行承担，其费用已包含在合同单价内，乙方人员或因乙方原因造成任何事故(包括第三方人员在内)导致的损失、赔偿、补偿等责任和费用由乙方承担。</w:t>
      </w:r>
    </w:p>
    <w:p w14:paraId="517B543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10.4甲乙双方在签订各自的保险合同时，其第三方责任险应将对方互相视为第三方。</w:t>
      </w:r>
    </w:p>
    <w:p w14:paraId="6729F03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10.5乙方须对本工程涉及的乙方人员购买人身意外伤害险等保险，保额不低于死亡赔偿人民币150万元/人及伤害赔偿人民币15万元/人，相关费用已含于合同单价中甲方无需另行支付给乙方。乙方须自保险合同生效之日起5个日历天内将保险合同复印件（加盖乙方公章）提交甲方项目部留存。</w:t>
      </w:r>
    </w:p>
    <w:p w14:paraId="5357279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 xml:space="preserve">10.6无论甲乙任何一方有无按照本合同约定办理相关保险事宜，乙方人员或因乙方原因导致在本项目范围内发生的伤亡事故，均由乙方承担责任和费用。 </w:t>
      </w:r>
    </w:p>
    <w:p w14:paraId="068F5228">
      <w:pPr>
        <w:keepNext w:val="0"/>
        <w:keepLines w:val="0"/>
        <w:pageBreakBefore w:val="0"/>
        <w:widowControl w:val="0"/>
        <w:kinsoku/>
        <w:wordWrap/>
        <w:overflowPunct/>
        <w:topLinePunct w:val="0"/>
        <w:autoSpaceDE/>
        <w:autoSpaceDN/>
        <w:bidi w:val="0"/>
        <w:adjustRightInd w:val="0"/>
        <w:snapToGrid w:val="0"/>
        <w:spacing w:before="146" w:beforeLines="50" w:line="360" w:lineRule="auto"/>
        <w:ind w:left="-140" w:leftChars="-50" w:right="-1260" w:rightChars="-45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200" w:name="_Toc9446"/>
      <w:bookmarkStart w:id="201" w:name="_Toc2911"/>
      <w:bookmarkStart w:id="202" w:name="_Toc20713"/>
      <w:bookmarkStart w:id="203" w:name="_Toc19955"/>
      <w:bookmarkStart w:id="204" w:name="_Toc14887"/>
      <w:bookmarkStart w:id="205" w:name="_Toc25283"/>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第十一章、奖罚条款</w:t>
      </w:r>
      <w:bookmarkEnd w:id="200"/>
      <w:bookmarkEnd w:id="201"/>
      <w:bookmarkEnd w:id="202"/>
      <w:bookmarkEnd w:id="203"/>
      <w:bookmarkEnd w:id="204"/>
      <w:bookmarkEnd w:id="205"/>
    </w:p>
    <w:p w14:paraId="1F91A0D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bookmarkStart w:id="206" w:name="_Toc4943"/>
      <w:bookmarkStart w:id="207" w:name="_Toc21565"/>
      <w:bookmarkStart w:id="208" w:name="_Toc20288"/>
      <w:bookmarkStart w:id="209" w:name="_Toc9459"/>
      <w:bookmarkStart w:id="210" w:name="_Toc31201"/>
      <w:bookmarkStart w:id="211" w:name="_Toc27789"/>
      <w:bookmarkStart w:id="212" w:name="_Toc26899"/>
      <w:r>
        <w:rPr>
          <w:rFonts w:hint="eastAsia" w:ascii="仿宋" w:hAnsi="仿宋" w:eastAsia="仿宋" w:cs="仿宋"/>
          <w:b w:val="0"/>
          <w:bCs w:val="0"/>
          <w:i w:val="0"/>
          <w:iCs w:val="0"/>
          <w:color w:val="auto"/>
          <w:sz w:val="28"/>
          <w:szCs w:val="28"/>
          <w:highlight w:val="none"/>
          <w:lang w:val="en-US" w:eastAsia="zh-CN"/>
        </w:rPr>
        <w:t>11.1奖励</w:t>
      </w:r>
      <w:bookmarkEnd w:id="206"/>
      <w:bookmarkEnd w:id="207"/>
      <w:bookmarkEnd w:id="208"/>
      <w:bookmarkEnd w:id="209"/>
      <w:bookmarkEnd w:id="210"/>
      <w:bookmarkEnd w:id="211"/>
      <w:bookmarkEnd w:id="212"/>
    </w:p>
    <w:p w14:paraId="1558973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11.1.1如乙方施工的产品质量优质，施工进度快，安全生产、文明施工达标，作业队伍整体形象受各方好评且有下列情况之一的，甲方给予乙方一定的奖励（奖励额度按有关规定执行，最终解释权在甲方，甲方亦有权取消奖励，本条款不视为甲方对乙方作出的承诺）：</w:t>
      </w:r>
    </w:p>
    <w:p w14:paraId="3F0E8CD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11.1.1.1甲方组织的各类检查验收中，乙方组建的施工队伍被评为优质作业队。</w:t>
      </w:r>
    </w:p>
    <w:p w14:paraId="3E4A3CF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11.1.1.2乙方负责施工的成品受到省、市有关部门表彰。</w:t>
      </w:r>
    </w:p>
    <w:p w14:paraId="432B8F7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11.1.1.3乙方负责施工的成品受到建设单位、监理好评。</w:t>
      </w:r>
    </w:p>
    <w:p w14:paraId="7BDCD58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11.1.1.4特定情况下，由于乙方的主观努力使甲方避免遭受巨大损失。</w:t>
      </w:r>
    </w:p>
    <w:p w14:paraId="37C3163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12.1.1.5乙方工人安全生产、文明施工、节约用料、质量优、进度快。</w:t>
      </w:r>
    </w:p>
    <w:p w14:paraId="0E70F41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bookmarkStart w:id="213" w:name="_Toc20986"/>
      <w:bookmarkStart w:id="214" w:name="_Toc7955"/>
      <w:bookmarkStart w:id="215" w:name="_Toc22406"/>
      <w:bookmarkStart w:id="216" w:name="_Toc14079"/>
      <w:bookmarkStart w:id="217" w:name="_Toc30232"/>
      <w:bookmarkStart w:id="218" w:name="_Toc5991"/>
      <w:bookmarkStart w:id="219" w:name="_Toc29516"/>
      <w:r>
        <w:rPr>
          <w:rFonts w:hint="eastAsia" w:ascii="仿宋" w:hAnsi="仿宋" w:eastAsia="仿宋" w:cs="仿宋"/>
          <w:b w:val="0"/>
          <w:bCs w:val="0"/>
          <w:i w:val="0"/>
          <w:iCs w:val="0"/>
          <w:color w:val="auto"/>
          <w:sz w:val="28"/>
          <w:szCs w:val="28"/>
          <w:highlight w:val="none"/>
          <w:lang w:val="en-US" w:eastAsia="zh-CN"/>
        </w:rPr>
        <w:t>11.2惩罚</w:t>
      </w:r>
      <w:bookmarkEnd w:id="213"/>
      <w:bookmarkEnd w:id="214"/>
      <w:bookmarkEnd w:id="215"/>
      <w:bookmarkEnd w:id="216"/>
      <w:bookmarkEnd w:id="217"/>
      <w:bookmarkEnd w:id="218"/>
      <w:bookmarkEnd w:id="219"/>
    </w:p>
    <w:p w14:paraId="448EE6C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11.2.1如乙方出现下列任一情况，甲方有权单方解除本合同，同时乙方赔偿甲方损失（包括但不限于因工期延误而使得甲方对建设单位承担的违约责任、损失赔偿责任等）：</w:t>
      </w:r>
    </w:p>
    <w:p w14:paraId="538C33A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11.2.1.1乙方在质量、进度、安全、管理等方面经甲方二次警告或处罚后仍不能明显改善；</w:t>
      </w:r>
    </w:p>
    <w:p w14:paraId="4EB1B80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11.2.1.2乙方将本工程以各种形式转包、分包给他人；</w:t>
      </w:r>
    </w:p>
    <w:p w14:paraId="3F5D4EF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11.2.1.3乙方发生偷工减料、以次充好、弄虚作假等情形。</w:t>
      </w:r>
    </w:p>
    <w:p w14:paraId="5CD006F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11.2.2因下列情况导致的甲方损失均由乙方赔偿（包括但不限于因逾期完工而使得甲方对建设单位承担的违约责任、损失赔偿责任等）：</w:t>
      </w:r>
    </w:p>
    <w:p w14:paraId="5198E58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①因乙方施工质量事故造成的损失；</w:t>
      </w:r>
    </w:p>
    <w:p w14:paraId="7A3619E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②因乙方中途退场造成的损失；</w:t>
      </w:r>
    </w:p>
    <w:p w14:paraId="12E7B64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③乙方发生偷工减料、以次充好、弄虚作假等情形。</w:t>
      </w:r>
    </w:p>
    <w:p w14:paraId="6956C5E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11.2.3因乙方导致工程质量或工期达不到合同要求或使用甲供材料用量超标的，均属乙方违约，甲方有权单方解除合同且不付款，同时乙方赔偿甲方由此造成的损失及费用。</w:t>
      </w:r>
    </w:p>
    <w:p w14:paraId="0CB0E60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11.2.4乙方或其人员有下列情况之一的，造成甲方损失的由乙方全额赔偿甲方，同时甲方有权对乙方采取每人或每次收取违约金壹佰元至叁万元的措施：</w:t>
      </w:r>
    </w:p>
    <w:p w14:paraId="6A5ECB7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11.2.4.1隐蔽工程一次验收不合格；</w:t>
      </w:r>
    </w:p>
    <w:p w14:paraId="366EC6F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11.2.4.2不能按甲方确定的周进度计划完成施工作业延误工期一天；</w:t>
      </w:r>
    </w:p>
    <w:p w14:paraId="6855374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11.2.4.3出现因质量、安全不满足本合同约定需整改；</w:t>
      </w:r>
    </w:p>
    <w:p w14:paraId="2FABAB5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11.2.4.4聚众赌博，影响他人休息；</w:t>
      </w:r>
    </w:p>
    <w:p w14:paraId="5BAFE94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11.2.4.5聚众闹事、打人、打架、偷抢行为；</w:t>
      </w:r>
    </w:p>
    <w:p w14:paraId="680EAEC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11.2.4.6容留非本工程现场人员在本项目宿舍住宿；</w:t>
      </w:r>
    </w:p>
    <w:p w14:paraId="7153583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11.2.4.7不按甲方要求加班或人员不足导致延误工期一天；</w:t>
      </w:r>
    </w:p>
    <w:p w14:paraId="5DA1D24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11.2.4.8浪费材料、损坏机具或破坏其它设施及成品；</w:t>
      </w:r>
    </w:p>
    <w:p w14:paraId="46ADA19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11.2.4.9在生活区存放易燃易爆物品或其它危险品；</w:t>
      </w:r>
    </w:p>
    <w:p w14:paraId="0D0E130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11.2.4.10收留、聘用未成年人；（同时驱逐未成年人离开本项目）</w:t>
      </w:r>
    </w:p>
    <w:p w14:paraId="22A0792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11.2.4.11在宿舍内做饭、使用大功率电器设备，如电磁炉、电饭煲、电热棒等。</w:t>
      </w:r>
    </w:p>
    <w:p w14:paraId="299FBF4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11.2.5乙方或其人员有下列情况之一的，造成甲方损失的由乙方全额赔偿给甲方，同时，甲方有权对乙方采取每人或每次收取违约金壹佰元至叁万元。</w:t>
      </w:r>
    </w:p>
    <w:p w14:paraId="6C1274B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11.2.5.1管理人员未经甲方同意离开工地两天以内；</w:t>
      </w:r>
    </w:p>
    <w:p w14:paraId="7577047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11.2.5.2未戴好安全帽、穿拖鞋或赤脚、赤膊进入作业区；</w:t>
      </w:r>
    </w:p>
    <w:p w14:paraId="082F313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11.2.5.3不戴工卡上岗；</w:t>
      </w:r>
    </w:p>
    <w:p w14:paraId="0809E2D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11.2.5.4施工人员进场三天内不办理工作卡；</w:t>
      </w:r>
    </w:p>
    <w:p w14:paraId="4D402A6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11.2.5.5未经甲方批准擅带家属及小孩进入施工现场或在宿舍居住；</w:t>
      </w:r>
    </w:p>
    <w:p w14:paraId="22A6386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11.2.5.6工棚内乱拉乱接电线，违反生活区管理制度；</w:t>
      </w:r>
    </w:p>
    <w:p w14:paraId="08C90AC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11.2.5.7宿舍卫生不合格；</w:t>
      </w:r>
    </w:p>
    <w:p w14:paraId="101BC0A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11.2.5.8材料、机具未按甲方要求堆放，建筑垃圾未按甲方要求处理，随地大小便，随意吸烟，在墙上乱涂乱画。</w:t>
      </w:r>
    </w:p>
    <w:p w14:paraId="6C1FBBF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11.2.5.9乙方人员、车辆不接受甲方门岗保卫检查。</w:t>
      </w:r>
    </w:p>
    <w:p w14:paraId="5BB32454">
      <w:pPr>
        <w:keepNext w:val="0"/>
        <w:keepLines w:val="0"/>
        <w:pageBreakBefore w:val="0"/>
        <w:widowControl w:val="0"/>
        <w:shd w:val="clear" w:color="auto" w:fill="auto"/>
        <w:kinsoku/>
        <w:wordWrap/>
        <w:overflowPunct/>
        <w:topLinePunct w:val="0"/>
        <w:autoSpaceDE/>
        <w:autoSpaceDN/>
        <w:bidi w:val="0"/>
        <w:adjustRightInd w:val="0"/>
        <w:snapToGrid w:val="0"/>
        <w:spacing w:before="0" w:beforeLines="-2147483648" w:line="360" w:lineRule="auto"/>
        <w:ind w:left="-140" w:leftChars="-50" w:right="-20" w:rightChars="-7" w:firstLine="503" w:firstLineChars="179"/>
        <w:jc w:val="left"/>
        <w:textAlignment w:val="auto"/>
        <w:outlineLvl w:val="9"/>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220" w:name="_Toc24467"/>
      <w:bookmarkStart w:id="221" w:name="_Toc21006"/>
      <w:bookmarkStart w:id="222" w:name="_Toc12741"/>
      <w:bookmarkStart w:id="223" w:name="_Toc16982"/>
      <w:bookmarkStart w:id="224" w:name="_Toc27799"/>
      <w:bookmarkStart w:id="225" w:name="_Toc30520"/>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第十二章、违约条款</w:t>
      </w:r>
      <w:bookmarkEnd w:id="220"/>
      <w:bookmarkEnd w:id="221"/>
      <w:bookmarkEnd w:id="222"/>
      <w:bookmarkEnd w:id="223"/>
      <w:bookmarkEnd w:id="224"/>
      <w:bookmarkEnd w:id="225"/>
    </w:p>
    <w:p w14:paraId="34BA1E5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12.1乙方原因造成本工程质量达不到约定的质量标准的，乙方无条件返工至合格为止。甲方要求之日起3个日历天内，乙方仍未采取有效返工措施或未在甲方要求的期限内完成整改并通过甲方验收的，每延迟一个日历天，乙方向甲方支付违约金人民币伍仟元并赔偿甲方损失（包括但不限于因逾期完工而使得甲方需对建设单位承担的违约责任、损失赔偿责任等），同时甲方有权：①单方解除合同并要求乙方期限内无条件撤场，乙方赔偿甲方全部损失，乙方向甲方支付金额等于合同暂定总价/合同总价20%的违约金；②另行委托其他单位对本工程进行返修，乙方须无条件接受并配合，由此产生的一切费用乙方承担。</w:t>
      </w:r>
      <w:r>
        <w:rPr>
          <w:rFonts w:hint="eastAsia" w:ascii="仿宋" w:hAnsi="仿宋" w:eastAsia="仿宋" w:cs="仿宋"/>
          <w:b w:val="0"/>
          <w:bCs w:val="0"/>
          <w:i w:val="0"/>
          <w:iCs w:val="0"/>
          <w:color w:val="auto"/>
          <w:sz w:val="28"/>
          <w:szCs w:val="28"/>
          <w:highlight w:val="none"/>
          <w:lang w:val="en-US" w:eastAsia="zh-CN"/>
        </w:rPr>
        <w:br w:type="textWrapping"/>
      </w:r>
      <w:r>
        <w:rPr>
          <w:rFonts w:hint="eastAsia" w:ascii="仿宋" w:hAnsi="仿宋" w:eastAsia="仿宋" w:cs="仿宋"/>
          <w:b w:val="0"/>
          <w:bCs w:val="0"/>
          <w:i w:val="0"/>
          <w:iCs w:val="0"/>
          <w:color w:val="auto"/>
          <w:sz w:val="28"/>
          <w:szCs w:val="28"/>
          <w:highlight w:val="none"/>
          <w:lang w:val="en-US" w:eastAsia="zh-CN"/>
        </w:rPr>
        <w:t xml:space="preserve">   12.2</w:t>
      </w:r>
      <w:r>
        <w:rPr>
          <w:rFonts w:hint="eastAsia" w:ascii="仿宋" w:hAnsi="仿宋" w:eastAsia="仿宋" w:cs="仿宋"/>
          <w:color w:val="auto"/>
          <w:szCs w:val="28"/>
          <w:highlight w:val="none"/>
        </w:rPr>
        <w:t>合同履行期间，乙方无条件执行甲方与建设单位确定的本项目施工现场管理制度，因乙方原因导致建设单位或其他部门对甲方进行处罚扣款的，乙方按该处罚金额的2倍向甲方支付违约金</w:t>
      </w:r>
      <w:r>
        <w:rPr>
          <w:rFonts w:hint="eastAsia" w:ascii="仿宋" w:hAnsi="仿宋" w:eastAsia="仿宋" w:cs="仿宋"/>
          <w:b w:val="0"/>
          <w:bCs w:val="0"/>
          <w:i w:val="0"/>
          <w:iCs w:val="0"/>
          <w:color w:val="auto"/>
          <w:sz w:val="28"/>
          <w:szCs w:val="28"/>
          <w:highlight w:val="none"/>
          <w:lang w:val="en-US" w:eastAsia="zh-CN"/>
        </w:rPr>
        <w:t>。</w:t>
      </w:r>
    </w:p>
    <w:p w14:paraId="60C581C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12.3经甲方验核达不到约定质量标准的检验批（分项或分部），甲方有权对乙方按相应检验批的工程量收取人民币伍仟元/次的违约金，如果甲方被政府部门或建设单位处分而需承担违约、赔偿责任或费用的，则由乙方全部承担，同时甲方保留对乙方追偿的权利。</w:t>
      </w:r>
    </w:p>
    <w:p w14:paraId="0E27437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12.4合同有效期内，因乙方原因造成甲方或本工程或本项目被政府部门停工、整改导致扣分的，按贰万元/分由乙方支付给甲方（甲方亦可从任意合同款中扣款）。</w:t>
      </w:r>
    </w:p>
    <w:p w14:paraId="3A8D479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12.5乙方及其人员、供应商不得以任何理由去政府部门上访、投诉、静坐。不得去建设单位静坐、围堵，否则视情节轻重由乙方向甲方支付违约金壹万至壹拾万元/次。</w:t>
      </w:r>
      <w:r>
        <w:rPr>
          <w:rFonts w:hint="eastAsia" w:ascii="仿宋" w:hAnsi="仿宋" w:eastAsia="仿宋" w:cs="仿宋"/>
          <w:b w:val="0"/>
          <w:bCs w:val="0"/>
          <w:i w:val="0"/>
          <w:iCs w:val="0"/>
          <w:color w:val="auto"/>
          <w:sz w:val="28"/>
          <w:szCs w:val="28"/>
          <w:highlight w:val="none"/>
          <w:lang w:val="en-US" w:eastAsia="zh-CN"/>
        </w:rPr>
        <w:br w:type="textWrapping"/>
      </w:r>
      <w:r>
        <w:rPr>
          <w:rFonts w:hint="eastAsia" w:ascii="仿宋" w:hAnsi="仿宋" w:eastAsia="仿宋" w:cs="仿宋"/>
          <w:b w:val="0"/>
          <w:bCs w:val="0"/>
          <w:i w:val="0"/>
          <w:iCs w:val="0"/>
          <w:color w:val="auto"/>
          <w:sz w:val="28"/>
          <w:szCs w:val="28"/>
          <w:highlight w:val="none"/>
          <w:lang w:val="en-US" w:eastAsia="zh-CN"/>
        </w:rPr>
        <w:t xml:space="preserve">    12.6乙方无正当理由停工或提出不履行合同或拖延工期或不能正常开展工作连续3天以上或无力将本工程顺利开展下去的，属乙方违约，甲方有权单方解除合同且乙方按</w:t>
      </w:r>
      <w:r>
        <w:rPr>
          <w:rFonts w:hint="eastAsia" w:ascii="仿宋" w:hAnsi="仿宋" w:eastAsia="仿宋" w:cs="仿宋"/>
          <w:b w:val="0"/>
          <w:bCs w:val="0"/>
          <w:i w:val="0"/>
          <w:iCs w:val="0"/>
          <w:color w:val="auto"/>
          <w:sz w:val="28"/>
          <w:szCs w:val="28"/>
          <w:highlight w:val="none"/>
          <w:lang w:val="en-US" w:eastAsia="zh-CN"/>
        </w:rPr>
        <w:sym w:font="Wingdings 2" w:char="0052"/>
      </w:r>
      <w:r>
        <w:rPr>
          <w:rFonts w:hint="eastAsia" w:ascii="仿宋" w:hAnsi="仿宋" w:eastAsia="仿宋" w:cs="仿宋"/>
          <w:b w:val="0"/>
          <w:bCs w:val="0"/>
          <w:i w:val="0"/>
          <w:iCs w:val="0"/>
          <w:color w:val="auto"/>
          <w:sz w:val="28"/>
          <w:szCs w:val="28"/>
          <w:highlight w:val="none"/>
          <w:lang w:val="en-US" w:eastAsia="zh-CN"/>
        </w:rPr>
        <w:t>合同暂定总价/</w:t>
      </w:r>
      <w:r>
        <w:rPr>
          <w:rFonts w:hint="eastAsia" w:ascii="仿宋" w:hAnsi="仿宋" w:eastAsia="仿宋" w:cs="仿宋"/>
          <w:b w:val="0"/>
          <w:bCs w:val="0"/>
          <w:i w:val="0"/>
          <w:iCs w:val="0"/>
          <w:color w:val="auto"/>
          <w:sz w:val="28"/>
          <w:szCs w:val="28"/>
          <w:highlight w:val="none"/>
          <w:lang w:val="en-US" w:eastAsia="zh-CN"/>
        </w:rPr>
        <w:sym w:font="Wingdings 2" w:char="00A3"/>
      </w:r>
      <w:r>
        <w:rPr>
          <w:rFonts w:hint="eastAsia" w:ascii="仿宋" w:hAnsi="仿宋" w:eastAsia="仿宋" w:cs="仿宋"/>
          <w:b w:val="0"/>
          <w:bCs w:val="0"/>
          <w:i w:val="0"/>
          <w:iCs w:val="0"/>
          <w:color w:val="auto"/>
          <w:sz w:val="28"/>
          <w:szCs w:val="28"/>
          <w:highlight w:val="none"/>
          <w:lang w:val="en-US" w:eastAsia="zh-CN"/>
        </w:rPr>
        <w:t>合同总价的20%支付违约金给甲方，同时乙方按甲方要求限时退场，并赔偿甲方的损失。</w:t>
      </w:r>
    </w:p>
    <w:p w14:paraId="63F4779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12.7乙方应及时足额发放工人工资和及时足额支付货款，避免产生劳资纠纷或货款纠纷。无论乙方实际是否欠薪或欠货款，每发生一次劳资纠纷或货款纠纷事件，涉及甲方或本项目或本工程的，乙方向甲方支付违约金叁万元，若导致媒体曝光或政府部门介入的，乙方另向甲方支付违约金不少于伍万元/次。</w:t>
      </w:r>
    </w:p>
    <w:p w14:paraId="42917C5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12.8凡乙方发生偷工减料行为，甲方视情节轻重计收乙方壹仟至壹拾万元/次的违约金。</w:t>
      </w:r>
    </w:p>
    <w:p w14:paraId="13AC4EF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12.9</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合同有效期内，因乙方原因导致建设单位或其他部门对甲方</w:t>
      </w:r>
      <w:r>
        <w:rPr>
          <w:rFonts w:hint="default" w:ascii="仿宋_GB2312" w:hAnsi="仿宋_GB2312" w:eastAsia="仿宋_GB2312" w:cs="仿宋_GB2312"/>
          <w:i w:val="0"/>
          <w:iCs w:val="0"/>
          <w:color w:val="auto"/>
          <w:sz w:val="28"/>
          <w:szCs w:val="28"/>
          <w:highlight w:val="none"/>
          <w:u w:val="none"/>
          <w:shd w:val="clear" w:color="auto" w:fill="auto"/>
          <w:lang w:val="en-US" w:eastAsia="zh-CN"/>
        </w:rPr>
        <w:t>扣款</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的，乙方按该扣款金额的2倍以上向甲方支付违约金</w:t>
      </w:r>
      <w:r>
        <w:rPr>
          <w:rFonts w:hint="eastAsia" w:ascii="仿宋" w:hAnsi="仿宋" w:eastAsia="仿宋" w:cs="仿宋"/>
          <w:b w:val="0"/>
          <w:bCs w:val="0"/>
          <w:i w:val="0"/>
          <w:iCs w:val="0"/>
          <w:color w:val="auto"/>
          <w:sz w:val="28"/>
          <w:szCs w:val="28"/>
          <w:highlight w:val="none"/>
          <w:lang w:val="en-US" w:eastAsia="zh-CN"/>
        </w:rPr>
        <w:t>。</w:t>
      </w:r>
    </w:p>
    <w:p w14:paraId="1766A16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12.10因乙方原因导致甲方被起诉或被处分的，乙方除赔偿甲方损失外，甲方每被起诉或处分一次，乙方向甲方支付五万元违约金。若因此导致甲方账户被冻结，乙方按冻结资金总额的日千分之一向甲方支付利息；因出现此情形属乙方自身管理不当，乙方自愿赔偿甲方遭受的所有损失，并根据账户被冻结次数，每次额外再向甲方支付壹拾万元违约金。</w:t>
      </w:r>
    </w:p>
    <w:p w14:paraId="2CD6FCF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12.11乙方出现上述第12.1条~第12.10条所述任一行为或未履行合同任一义务的，均属乙方严重违约，乙方除按上述条款承担包括但不限于以上所述的违约责任外，甲方可随时单方解除本合同，所产生的损失由乙方赔偿甲方。</w:t>
      </w:r>
    </w:p>
    <w:p w14:paraId="0595E40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12.12因建设单位、设计变更或非甲方原因导致本合同不能履行的，甲、乙双方互不追究违约责任，按照乙方已完成且经甲方验收合格的工程量进行结算，同时双方各自承担自身损失。</w:t>
      </w:r>
    </w:p>
    <w:p w14:paraId="5BBADBB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12.13合同有效期内，乙方须确保自身持续具备履行合同义务的合法资质资格（尤其须符合政府主管部门的要求），否则甲方有权：①自乙方不具备合法资质、资格之日起，乙方每日向甲方支付违约金人民币伍佰元，直至乙方恢复相关资质、资格；②甲方单方解除合同并收回所有已付款项。</w:t>
      </w:r>
    </w:p>
    <w:p w14:paraId="4DBC8FE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12.14在本合同履行过程中，可能因乙方原因造成施工质量、安全文明措施等无法满足甲方及规范要求的，乙方须提供不属于其责任的证明并得到甲方的书面认可，否则视为乙方违约，全部责任、费用和损失由乙方承担。</w:t>
      </w:r>
    </w:p>
    <w:p w14:paraId="0B182B6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12.15乙方原因造成本工程质量达不到本合同约定的质量标准或出现影响使用功能和工程结构安全，即使通过技术整改措施仍然无法达到设计要求等永久质量问题的，无论是否在保修期内，乙方须无条件返工至合格为止，并赔偿甲方因此遭受的一切损失。若该永久质量问题无法满足设计及合同约定质量标准，但甲方和建设单位接受现状质量的，乙方仍须承担违约责任，向甲方支付金额等于不合格部位造价20%的违约金。本条所述违约金，甲方有权从任意应付乙方的款项中直接扣除，应付乙方的款项不足以赔偿甲方损失的，由乙方在甲方通知起5个日历天内向甲方付清差额。</w:t>
      </w:r>
    </w:p>
    <w:p w14:paraId="03BF5E5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default" w:ascii="仿宋" w:hAnsi="仿宋" w:eastAsia="仿宋" w:cs="仿宋"/>
          <w:b w:val="0"/>
          <w:bCs w:val="0"/>
          <w:i w:val="0"/>
          <w:iCs w:val="0"/>
          <w:color w:val="auto"/>
          <w:sz w:val="28"/>
          <w:szCs w:val="28"/>
          <w:highlight w:val="none"/>
          <w:lang w:val="en-US" w:eastAsia="zh-CN"/>
        </w:rPr>
      </w:pPr>
      <w:r>
        <w:rPr>
          <w:rFonts w:hint="default" w:ascii="仿宋" w:hAnsi="仿宋" w:eastAsia="仿宋" w:cs="仿宋"/>
          <w:b w:val="0"/>
          <w:bCs w:val="0"/>
          <w:i w:val="0"/>
          <w:iCs w:val="0"/>
          <w:color w:val="auto"/>
          <w:sz w:val="28"/>
          <w:szCs w:val="28"/>
          <w:highlight w:val="none"/>
          <w:lang w:val="en-US" w:eastAsia="zh-CN"/>
        </w:rPr>
        <w:t>1</w:t>
      </w:r>
      <w:r>
        <w:rPr>
          <w:rFonts w:hint="eastAsia" w:ascii="仿宋" w:hAnsi="仿宋" w:eastAsia="仿宋" w:cs="仿宋"/>
          <w:b w:val="0"/>
          <w:bCs w:val="0"/>
          <w:i w:val="0"/>
          <w:iCs w:val="0"/>
          <w:color w:val="auto"/>
          <w:sz w:val="28"/>
          <w:szCs w:val="28"/>
          <w:highlight w:val="none"/>
          <w:lang w:val="en-US" w:eastAsia="zh-CN"/>
        </w:rPr>
        <w:t>2</w:t>
      </w:r>
      <w:r>
        <w:rPr>
          <w:rFonts w:hint="default" w:ascii="仿宋" w:hAnsi="仿宋" w:eastAsia="仿宋" w:cs="仿宋"/>
          <w:b w:val="0"/>
          <w:bCs w:val="0"/>
          <w:i w:val="0"/>
          <w:iCs w:val="0"/>
          <w:color w:val="auto"/>
          <w:sz w:val="28"/>
          <w:szCs w:val="28"/>
          <w:highlight w:val="none"/>
          <w:lang w:val="en-US" w:eastAsia="zh-CN"/>
        </w:rPr>
        <w:t>.1</w:t>
      </w:r>
      <w:r>
        <w:rPr>
          <w:rFonts w:hint="eastAsia" w:ascii="仿宋" w:hAnsi="仿宋" w:eastAsia="仿宋" w:cs="仿宋"/>
          <w:b w:val="0"/>
          <w:bCs w:val="0"/>
          <w:i w:val="0"/>
          <w:iCs w:val="0"/>
          <w:color w:val="auto"/>
          <w:sz w:val="28"/>
          <w:szCs w:val="28"/>
          <w:highlight w:val="none"/>
          <w:lang w:val="en-US" w:eastAsia="zh-CN"/>
        </w:rPr>
        <w:t>6乙方同意：</w:t>
      </w:r>
      <w:r>
        <w:rPr>
          <w:rFonts w:hint="default" w:ascii="仿宋" w:hAnsi="仿宋" w:eastAsia="仿宋" w:cs="仿宋"/>
          <w:b w:val="0"/>
          <w:bCs w:val="0"/>
          <w:i w:val="0"/>
          <w:iCs w:val="0"/>
          <w:color w:val="auto"/>
          <w:sz w:val="28"/>
          <w:szCs w:val="28"/>
          <w:highlight w:val="none"/>
          <w:lang w:val="en-US" w:eastAsia="zh-CN"/>
        </w:rPr>
        <w:t>本项目如出现可能因乙方原因导致的施工材料不合格或工程质量</w:t>
      </w:r>
      <w:r>
        <w:rPr>
          <w:rFonts w:hint="eastAsia" w:ascii="仿宋" w:hAnsi="仿宋" w:eastAsia="仿宋" w:cs="仿宋"/>
          <w:b w:val="0"/>
          <w:bCs w:val="0"/>
          <w:i w:val="0"/>
          <w:iCs w:val="0"/>
          <w:color w:val="auto"/>
          <w:sz w:val="28"/>
          <w:szCs w:val="28"/>
          <w:highlight w:val="none"/>
          <w:lang w:val="en-US" w:eastAsia="zh-CN"/>
        </w:rPr>
        <w:t>不合格</w:t>
      </w:r>
      <w:r>
        <w:rPr>
          <w:rFonts w:hint="default" w:ascii="仿宋" w:hAnsi="仿宋" w:eastAsia="仿宋" w:cs="仿宋"/>
          <w:b w:val="0"/>
          <w:bCs w:val="0"/>
          <w:i w:val="0"/>
          <w:iCs w:val="0"/>
          <w:color w:val="auto"/>
          <w:sz w:val="28"/>
          <w:szCs w:val="28"/>
          <w:highlight w:val="none"/>
          <w:lang w:val="en-US" w:eastAsia="zh-CN"/>
        </w:rPr>
        <w:t>，甲方有权按自行估算的最大损失金额在</w:t>
      </w:r>
      <w:r>
        <w:rPr>
          <w:rFonts w:hint="eastAsia" w:ascii="仿宋" w:hAnsi="仿宋" w:eastAsia="仿宋" w:cs="仿宋"/>
          <w:b w:val="0"/>
          <w:bCs w:val="0"/>
          <w:i w:val="0"/>
          <w:iCs w:val="0"/>
          <w:color w:val="auto"/>
          <w:sz w:val="28"/>
          <w:szCs w:val="28"/>
          <w:highlight w:val="none"/>
          <w:lang w:val="en-US" w:eastAsia="zh-CN"/>
        </w:rPr>
        <w:t>甲乙双方签订的</w:t>
      </w:r>
      <w:r>
        <w:rPr>
          <w:rFonts w:hint="default" w:ascii="仿宋" w:hAnsi="仿宋" w:eastAsia="仿宋" w:cs="仿宋"/>
          <w:b w:val="0"/>
          <w:bCs w:val="0"/>
          <w:i w:val="0"/>
          <w:iCs w:val="0"/>
          <w:color w:val="auto"/>
          <w:sz w:val="28"/>
          <w:szCs w:val="28"/>
          <w:highlight w:val="none"/>
          <w:lang w:val="en-US" w:eastAsia="zh-CN"/>
        </w:rPr>
        <w:t>任何合同应付款项中进行暂扣，待责任及损失金额确定后，甲方无息返还非乙方责任的暂扣金额。</w:t>
      </w:r>
    </w:p>
    <w:p w14:paraId="4E979BF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default" w:ascii="仿宋" w:hAnsi="仿宋" w:eastAsia="仿宋" w:cs="仿宋"/>
          <w:b w:val="0"/>
          <w:bCs w:val="0"/>
          <w:i w:val="0"/>
          <w:iCs w:val="0"/>
          <w:color w:val="auto"/>
          <w:sz w:val="28"/>
          <w:szCs w:val="28"/>
          <w:highlight w:val="none"/>
          <w:lang w:val="en-US" w:eastAsia="zh-CN"/>
        </w:rPr>
      </w:pPr>
      <w:r>
        <w:rPr>
          <w:rFonts w:hint="default" w:ascii="仿宋" w:hAnsi="仿宋" w:eastAsia="仿宋" w:cs="仿宋"/>
          <w:b w:val="0"/>
          <w:bCs w:val="0"/>
          <w:i w:val="0"/>
          <w:iCs w:val="0"/>
          <w:color w:val="auto"/>
          <w:sz w:val="28"/>
          <w:szCs w:val="28"/>
          <w:highlight w:val="none"/>
          <w:lang w:val="en-US" w:eastAsia="zh-CN"/>
        </w:rPr>
        <w:t>1</w:t>
      </w:r>
      <w:r>
        <w:rPr>
          <w:rFonts w:hint="eastAsia" w:ascii="仿宋" w:hAnsi="仿宋" w:eastAsia="仿宋" w:cs="仿宋"/>
          <w:b w:val="0"/>
          <w:bCs w:val="0"/>
          <w:i w:val="0"/>
          <w:iCs w:val="0"/>
          <w:color w:val="auto"/>
          <w:sz w:val="28"/>
          <w:szCs w:val="28"/>
          <w:highlight w:val="none"/>
          <w:lang w:val="en-US" w:eastAsia="zh-CN"/>
        </w:rPr>
        <w:t>2</w:t>
      </w:r>
      <w:r>
        <w:rPr>
          <w:rFonts w:hint="default" w:ascii="仿宋" w:hAnsi="仿宋" w:eastAsia="仿宋" w:cs="仿宋"/>
          <w:b w:val="0"/>
          <w:bCs w:val="0"/>
          <w:i w:val="0"/>
          <w:iCs w:val="0"/>
          <w:color w:val="auto"/>
          <w:sz w:val="28"/>
          <w:szCs w:val="28"/>
          <w:highlight w:val="none"/>
          <w:lang w:val="en-US" w:eastAsia="zh-CN"/>
        </w:rPr>
        <w:t>.</w:t>
      </w:r>
      <w:r>
        <w:rPr>
          <w:rFonts w:hint="eastAsia" w:ascii="仿宋" w:hAnsi="仿宋" w:eastAsia="仿宋" w:cs="仿宋"/>
          <w:b w:val="0"/>
          <w:bCs w:val="0"/>
          <w:i w:val="0"/>
          <w:iCs w:val="0"/>
          <w:color w:val="auto"/>
          <w:sz w:val="28"/>
          <w:szCs w:val="28"/>
          <w:highlight w:val="none"/>
          <w:lang w:val="en-US" w:eastAsia="zh-CN"/>
        </w:rPr>
        <w:t>17</w:t>
      </w:r>
      <w:r>
        <w:rPr>
          <w:rFonts w:hint="default" w:ascii="仿宋" w:hAnsi="仿宋" w:eastAsia="仿宋" w:cs="仿宋"/>
          <w:b w:val="0"/>
          <w:bCs w:val="0"/>
          <w:i w:val="0"/>
          <w:iCs w:val="0"/>
          <w:color w:val="auto"/>
          <w:sz w:val="28"/>
          <w:szCs w:val="28"/>
          <w:highlight w:val="none"/>
          <w:lang w:val="en-US" w:eastAsia="zh-CN"/>
        </w:rPr>
        <w:t>乙方须对甲供材料进行质量检查，发现有质量问题或异常的材料，必须立即书面（包括但不限于微信、短信等方式）报告甲方，否则如乙方施工部分的甲供材料出现质量</w:t>
      </w:r>
      <w:r>
        <w:rPr>
          <w:rFonts w:hint="eastAsia" w:ascii="仿宋" w:hAnsi="仿宋" w:eastAsia="仿宋" w:cs="仿宋"/>
          <w:b w:val="0"/>
          <w:bCs w:val="0"/>
          <w:i w:val="0"/>
          <w:iCs w:val="0"/>
          <w:color w:val="auto"/>
          <w:sz w:val="28"/>
          <w:szCs w:val="28"/>
          <w:highlight w:val="none"/>
          <w:lang w:val="en-US" w:eastAsia="zh-CN"/>
        </w:rPr>
        <w:t>不合格</w:t>
      </w:r>
      <w:r>
        <w:rPr>
          <w:rFonts w:hint="default" w:ascii="仿宋" w:hAnsi="仿宋" w:eastAsia="仿宋" w:cs="仿宋"/>
          <w:b w:val="0"/>
          <w:bCs w:val="0"/>
          <w:i w:val="0"/>
          <w:iCs w:val="0"/>
          <w:color w:val="auto"/>
          <w:sz w:val="28"/>
          <w:szCs w:val="28"/>
          <w:highlight w:val="none"/>
          <w:lang w:val="en-US" w:eastAsia="zh-CN"/>
        </w:rPr>
        <w:t>，甲方有权扣除乙方在该施工部分的费用，如造成甲方损失，乙方须承担责任和损失。</w:t>
      </w:r>
    </w:p>
    <w:p w14:paraId="62E9614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default" w:ascii="仿宋" w:hAnsi="仿宋" w:eastAsia="仿宋" w:cs="仿宋"/>
          <w:b w:val="0"/>
          <w:bCs w:val="0"/>
          <w:i w:val="0"/>
          <w:iCs w:val="0"/>
          <w:color w:val="auto"/>
          <w:sz w:val="28"/>
          <w:szCs w:val="28"/>
          <w:highlight w:val="none"/>
          <w:lang w:val="en-US" w:eastAsia="zh-CN"/>
        </w:rPr>
      </w:pPr>
      <w:r>
        <w:rPr>
          <w:rFonts w:hint="default" w:ascii="仿宋" w:hAnsi="仿宋" w:eastAsia="仿宋" w:cs="仿宋"/>
          <w:b w:val="0"/>
          <w:bCs w:val="0"/>
          <w:i w:val="0"/>
          <w:iCs w:val="0"/>
          <w:color w:val="auto"/>
          <w:sz w:val="28"/>
          <w:szCs w:val="28"/>
          <w:highlight w:val="none"/>
          <w:lang w:val="en-US" w:eastAsia="zh-CN"/>
        </w:rPr>
        <w:t>1</w:t>
      </w:r>
      <w:r>
        <w:rPr>
          <w:rFonts w:hint="eastAsia" w:ascii="仿宋" w:hAnsi="仿宋" w:eastAsia="仿宋" w:cs="仿宋"/>
          <w:b w:val="0"/>
          <w:bCs w:val="0"/>
          <w:i w:val="0"/>
          <w:iCs w:val="0"/>
          <w:color w:val="auto"/>
          <w:sz w:val="28"/>
          <w:szCs w:val="28"/>
          <w:highlight w:val="none"/>
          <w:lang w:val="en-US" w:eastAsia="zh-CN"/>
        </w:rPr>
        <w:t>2</w:t>
      </w:r>
      <w:r>
        <w:rPr>
          <w:rFonts w:hint="default" w:ascii="仿宋" w:hAnsi="仿宋" w:eastAsia="仿宋" w:cs="仿宋"/>
          <w:b w:val="0"/>
          <w:bCs w:val="0"/>
          <w:i w:val="0"/>
          <w:iCs w:val="0"/>
          <w:color w:val="auto"/>
          <w:sz w:val="28"/>
          <w:szCs w:val="28"/>
          <w:highlight w:val="none"/>
          <w:lang w:val="en-US" w:eastAsia="zh-CN"/>
        </w:rPr>
        <w:t>.1</w:t>
      </w:r>
      <w:r>
        <w:rPr>
          <w:rFonts w:hint="eastAsia" w:ascii="仿宋" w:hAnsi="仿宋" w:eastAsia="仿宋" w:cs="仿宋"/>
          <w:b w:val="0"/>
          <w:bCs w:val="0"/>
          <w:i w:val="0"/>
          <w:iCs w:val="0"/>
          <w:color w:val="auto"/>
          <w:sz w:val="28"/>
          <w:szCs w:val="28"/>
          <w:highlight w:val="none"/>
          <w:lang w:val="en-US" w:eastAsia="zh-CN"/>
        </w:rPr>
        <w:t>8</w:t>
      </w:r>
      <w:r>
        <w:rPr>
          <w:rFonts w:hint="default" w:ascii="仿宋" w:hAnsi="仿宋" w:eastAsia="仿宋" w:cs="仿宋"/>
          <w:b w:val="0"/>
          <w:bCs w:val="0"/>
          <w:i w:val="0"/>
          <w:iCs w:val="0"/>
          <w:color w:val="auto"/>
          <w:sz w:val="28"/>
          <w:szCs w:val="28"/>
          <w:highlight w:val="none"/>
          <w:lang w:val="en-US" w:eastAsia="zh-CN"/>
        </w:rPr>
        <w:t>基于本项目特殊性，乙方已充分了解其施工责任并自愿承担相应风险，合同所约定的违约金标准经双方友好协商确定，乙方同意不对违约金标准提出任何主张或抗辩。</w:t>
      </w:r>
    </w:p>
    <w:p w14:paraId="1FBD2ABE">
      <w:pPr>
        <w:keepNext w:val="0"/>
        <w:keepLines w:val="0"/>
        <w:pageBreakBefore w:val="0"/>
        <w:widowControl w:val="0"/>
        <w:kinsoku/>
        <w:wordWrap/>
        <w:overflowPunct/>
        <w:topLinePunct w:val="0"/>
        <w:autoSpaceDE/>
        <w:autoSpaceDN/>
        <w:bidi w:val="0"/>
        <w:adjustRightInd w:val="0"/>
        <w:snapToGrid w:val="0"/>
        <w:spacing w:before="146" w:beforeLines="50" w:line="360" w:lineRule="auto"/>
        <w:ind w:left="-140" w:leftChars="-50" w:right="-1260" w:rightChars="-45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226" w:name="_Toc5697"/>
      <w:bookmarkStart w:id="227" w:name="_Toc9673"/>
      <w:bookmarkStart w:id="228" w:name="_Toc7356"/>
      <w:bookmarkStart w:id="229" w:name="_Toc16038"/>
      <w:bookmarkStart w:id="230" w:name="_Toc31952"/>
      <w:bookmarkStart w:id="231" w:name="_Toc28798"/>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第十三章、廉洁条款</w:t>
      </w:r>
      <w:bookmarkEnd w:id="226"/>
      <w:bookmarkEnd w:id="227"/>
      <w:bookmarkEnd w:id="228"/>
      <w:bookmarkEnd w:id="229"/>
      <w:bookmarkEnd w:id="230"/>
      <w:bookmarkEnd w:id="231"/>
    </w:p>
    <w:p w14:paraId="1D23952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13.1乙方在与甲方合作期间（包括本合同招标、签订、履行期间），不得向甲方职员提供请吃、送礼、旅游、色情服务、行贿、回扣或其他不正当利益，如有违反，乙方每次向甲方支付</w:t>
      </w:r>
      <w:r>
        <w:rPr>
          <w:rFonts w:hint="eastAsia" w:ascii="仿宋" w:hAnsi="仿宋" w:eastAsia="仿宋" w:cs="仿宋"/>
          <w:b w:val="0"/>
          <w:bCs w:val="0"/>
          <w:i w:val="0"/>
          <w:iCs w:val="0"/>
          <w:color w:val="auto"/>
          <w:sz w:val="28"/>
          <w:szCs w:val="28"/>
          <w:highlight w:val="none"/>
          <w:lang w:val="en-US" w:eastAsia="zh-CN"/>
        </w:rPr>
        <w:sym w:font="Wingdings 2" w:char="0052"/>
      </w:r>
      <w:r>
        <w:rPr>
          <w:rFonts w:hint="eastAsia" w:ascii="仿宋" w:hAnsi="仿宋" w:eastAsia="仿宋" w:cs="仿宋"/>
          <w:b w:val="0"/>
          <w:bCs w:val="0"/>
          <w:i w:val="0"/>
          <w:iCs w:val="0"/>
          <w:color w:val="auto"/>
          <w:sz w:val="28"/>
          <w:szCs w:val="28"/>
          <w:highlight w:val="none"/>
          <w:lang w:val="en-US" w:eastAsia="zh-CN"/>
        </w:rPr>
        <w:t>合同暂定总价/</w:t>
      </w:r>
      <w:r>
        <w:rPr>
          <w:rFonts w:hint="eastAsia" w:ascii="仿宋" w:hAnsi="仿宋" w:eastAsia="仿宋" w:cs="仿宋"/>
          <w:b w:val="0"/>
          <w:bCs w:val="0"/>
          <w:i w:val="0"/>
          <w:iCs w:val="0"/>
          <w:color w:val="auto"/>
          <w:sz w:val="28"/>
          <w:szCs w:val="28"/>
          <w:highlight w:val="none"/>
          <w:lang w:val="en-US" w:eastAsia="zh-CN"/>
        </w:rPr>
        <w:sym w:font="Wingdings 2" w:char="00A3"/>
      </w:r>
      <w:r>
        <w:rPr>
          <w:rFonts w:hint="eastAsia" w:ascii="仿宋" w:hAnsi="仿宋" w:eastAsia="仿宋" w:cs="仿宋"/>
          <w:b w:val="0"/>
          <w:bCs w:val="0"/>
          <w:i w:val="0"/>
          <w:iCs w:val="0"/>
          <w:color w:val="auto"/>
          <w:sz w:val="28"/>
          <w:szCs w:val="28"/>
          <w:highlight w:val="none"/>
          <w:lang w:val="en-US" w:eastAsia="zh-CN"/>
        </w:rPr>
        <w:t>合同总价的10％作为违约金（甲方可从任意合同款中扣款），造成甲方经济或其他损失的，乙方全额赔偿甲方。</w:t>
      </w:r>
    </w:p>
    <w:p w14:paraId="6408378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13.2甲乙双方管理人员有权拒绝执行合同以外的违法要求。甲方发现乙方向甲方人员或甲方委托的其他人员行贿或输送不正当利益的，甲方有权对乙方授权违约金并单方解除合同，对所发生的工程量/工作量不予结算及不支付费用。</w:t>
      </w:r>
    </w:p>
    <w:p w14:paraId="4A4CD3D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13.3如甲方发现乙方可能存在违反廉洁条款的行为时，甲方有权暂扣违约金/争议工程款/处罚款等对应等额的合同款，直至调查完毕后根据调查结果再作处理，甲方暂不付款的行为不违约。</w:t>
      </w:r>
    </w:p>
    <w:p w14:paraId="08A483B7">
      <w:pPr>
        <w:keepNext w:val="0"/>
        <w:keepLines w:val="0"/>
        <w:pageBreakBefore w:val="0"/>
        <w:widowControl w:val="0"/>
        <w:kinsoku/>
        <w:wordWrap/>
        <w:overflowPunct/>
        <w:topLinePunct w:val="0"/>
        <w:autoSpaceDE/>
        <w:autoSpaceDN/>
        <w:bidi w:val="0"/>
        <w:adjustRightInd w:val="0"/>
        <w:snapToGrid w:val="0"/>
        <w:spacing w:before="146" w:beforeLines="50" w:line="360" w:lineRule="auto"/>
        <w:ind w:left="-140" w:leftChars="-50" w:right="-1260" w:rightChars="-450" w:firstLine="562" w:firstLineChars="200"/>
        <w:jc w:val="both"/>
        <w:textAlignment w:val="auto"/>
        <w:outlineLvl w:val="1"/>
        <w:rPr>
          <w:rFonts w:hint="eastAsia" w:ascii="仿宋_GB2312" w:hAnsi="仿宋_GB2312" w:eastAsia="仿宋_GB2312" w:cs="仿宋_GB2312"/>
          <w:b/>
          <w:bCs/>
          <w:i w:val="0"/>
          <w:iCs w:val="0"/>
          <w:color w:val="auto"/>
          <w:sz w:val="28"/>
          <w:szCs w:val="28"/>
          <w:highlight w:val="none"/>
          <w:u w:val="none"/>
          <w:shd w:val="clear" w:color="auto" w:fill="auto"/>
          <w:lang w:val="en-US" w:eastAsia="zh-CN"/>
        </w:rPr>
      </w:pPr>
      <w:bookmarkStart w:id="232" w:name="_Toc28499"/>
      <w:bookmarkStart w:id="233" w:name="_Toc10092"/>
      <w:bookmarkStart w:id="234" w:name="_Toc30636"/>
      <w:bookmarkStart w:id="235" w:name="_Toc10466"/>
      <w:bookmarkStart w:id="236" w:name="_Toc14868"/>
      <w:bookmarkStart w:id="237" w:name="_Toc22153"/>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第十四章、其他</w:t>
      </w:r>
      <w:bookmarkEnd w:id="232"/>
      <w:bookmarkEnd w:id="233"/>
      <w:bookmarkEnd w:id="234"/>
      <w:bookmarkEnd w:id="235"/>
      <w:bookmarkEnd w:id="236"/>
      <w:bookmarkEnd w:id="237"/>
      <w:r>
        <w:rPr>
          <w:rFonts w:hint="eastAsia" w:ascii="仿宋_GB2312" w:hAnsi="仿宋_GB2312" w:eastAsia="仿宋_GB2312" w:cs="仿宋_GB2312"/>
          <w:b/>
          <w:bCs/>
          <w:i w:val="0"/>
          <w:iCs w:val="0"/>
          <w:color w:val="auto"/>
          <w:sz w:val="28"/>
          <w:szCs w:val="28"/>
          <w:highlight w:val="none"/>
          <w:u w:val="none"/>
          <w:shd w:val="clear" w:color="auto" w:fill="auto"/>
          <w:lang w:val="en-US" w:eastAsia="zh-CN"/>
        </w:rPr>
        <w:t xml:space="preserve"> </w:t>
      </w:r>
    </w:p>
    <w:p w14:paraId="360E341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14.1甲乙双方确认，甲方项目章仅供甲方项目部与乙方联系工作和确认施工技术、资料之用。乙方知悉并同意，该项目章用于以下情形时无效：</w:t>
      </w:r>
    </w:p>
    <w:p w14:paraId="1857409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14.1.1签订工程合同或工程分包合同及机械设备、周材租赁及材料采购类等合同；</w:t>
      </w:r>
    </w:p>
    <w:p w14:paraId="175A8CC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14.1.2任何类型的欠条或收据；</w:t>
      </w:r>
    </w:p>
    <w:p w14:paraId="4636280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14.1.3任何形式的经济结算凭证；</w:t>
      </w:r>
    </w:p>
    <w:p w14:paraId="59A4D45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14.1.4为他人或他单位提供任何形式的担保；</w:t>
      </w:r>
    </w:p>
    <w:p w14:paraId="7C193FB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14.1.5确认任何形式的包含权利义务及责任承担的文件。</w:t>
      </w:r>
    </w:p>
    <w:p w14:paraId="7676C65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14.2甲方编制的《施工交楼标准》、《常见建筑工程质量通病的标准化施工细则》、《隐蔽工程管理制度》、《分包单位施工现场签证管理制度》、《工程类单价认质认价管理制度》、《分包单位材料管理制度》、《竣工图管理制度》等公司现行制度、规定为本合同不可分割的组成部分，与合同正文具有同等效力，乙方须照章施工。</w:t>
      </w:r>
    </w:p>
    <w:p w14:paraId="070CBCE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14.3本合同除《工完场清交接单》、《甲方项目章样式》、《签证单分包说明》、《施工图纸》外，其余合同附件在办理相关手续时，乙方须加盖公章且经法人代表签章。</w:t>
      </w:r>
    </w:p>
    <w:p w14:paraId="04A3E85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bookmarkStart w:id="238" w:name="_Toc11774"/>
      <w:bookmarkStart w:id="239" w:name="_Toc13519"/>
      <w:bookmarkStart w:id="240" w:name="_Toc31707"/>
      <w:bookmarkStart w:id="241" w:name="_Toc6917"/>
      <w:bookmarkStart w:id="242" w:name="_Toc19206"/>
      <w:bookmarkStart w:id="243" w:name="_Toc10212"/>
      <w:bookmarkStart w:id="244" w:name="_Toc10994"/>
      <w:r>
        <w:rPr>
          <w:rFonts w:hint="eastAsia" w:ascii="仿宋" w:hAnsi="仿宋" w:eastAsia="仿宋" w:cs="仿宋"/>
          <w:b w:val="0"/>
          <w:bCs w:val="0"/>
          <w:i w:val="0"/>
          <w:iCs w:val="0"/>
          <w:color w:val="auto"/>
          <w:sz w:val="28"/>
          <w:szCs w:val="28"/>
          <w:highlight w:val="none"/>
          <w:lang w:val="en-US" w:eastAsia="zh-CN"/>
        </w:rPr>
        <w:t>14.4本合同条款互为矛盾或不一致之处，按最有利于甲方的条款执行。</w:t>
      </w:r>
      <w:bookmarkEnd w:id="238"/>
      <w:bookmarkEnd w:id="239"/>
      <w:bookmarkEnd w:id="240"/>
      <w:bookmarkEnd w:id="241"/>
      <w:bookmarkEnd w:id="242"/>
      <w:bookmarkEnd w:id="243"/>
      <w:bookmarkEnd w:id="244"/>
    </w:p>
    <w:p w14:paraId="7959019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14.5本合同未尽事宜或需变更的，须经甲乙双方协商一致后签订补充协议进行明确。补充协议与本合同具有同等法律效力。</w:t>
      </w:r>
    </w:p>
    <w:p w14:paraId="63607CA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14.6与本合同相关的争议，双方友好协商解决，协商不成则提交甲方所在地人民法院以诉讼方式解决。甲乙双方因履行本合同的往来文件及法院送达的文书以合同签章处所列地址为有效地址，以邮寄方式送达的，通过邮政特快专递寄出第三日视为送达。</w:t>
      </w:r>
    </w:p>
    <w:p w14:paraId="052934D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14.7乙方违反本合同约定给甲方造成损失的，须按本合同约定承担违约责任外，甲方有权直接从任意合同款中直接扣除乙方应承担的违约金、罚款等款项，如所扣款额不足补偿甲方损失，乙方在甲方通知之日起七个日历天内补齐差额给甲方，且甲方向乙方追偿责任所产生的律师费、诉讼费、鉴定费、</w:t>
      </w:r>
      <w:r>
        <w:rPr>
          <w:rFonts w:hint="eastAsia" w:ascii="仿宋" w:hAnsi="仿宋" w:eastAsia="仿宋" w:cs="仿宋"/>
          <w:color w:val="auto"/>
          <w:sz w:val="28"/>
          <w:highlight w:val="none"/>
          <w:u w:val="none"/>
          <w:lang w:val="en-US" w:eastAsia="zh-CN"/>
        </w:rPr>
        <w:t>财产保全及相关担保费由乙方全额承担。</w:t>
      </w:r>
    </w:p>
    <w:p w14:paraId="2556FAC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14.8本合同正文为清洁打印文本，如双方对合同有任何修改及补充均应另行签订补充协议。合同正文中任何非打印的文字或者图形，除非经双方确认同意，否则不产生约束力。</w:t>
      </w:r>
    </w:p>
    <w:p w14:paraId="6064897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color w:val="auto"/>
          <w:highlight w:val="none"/>
          <w:lang w:val="en-US" w:eastAsia="zh-CN"/>
        </w:rPr>
      </w:pPr>
      <w:r>
        <w:rPr>
          <w:rFonts w:hint="eastAsia" w:ascii="仿宋" w:hAnsi="仿宋" w:eastAsia="仿宋" w:cs="仿宋"/>
          <w:b w:val="0"/>
          <w:bCs w:val="0"/>
          <w:i w:val="0"/>
          <w:iCs w:val="0"/>
          <w:color w:val="auto"/>
          <w:sz w:val="28"/>
          <w:szCs w:val="28"/>
          <w:highlight w:val="none"/>
          <w:lang w:val="en-US" w:eastAsia="zh-CN"/>
        </w:rPr>
        <w:t>14.9甲乙双方均确认已经审阅并理解本合同全部条款，且已经就条款的所有疑问得到满意解释，并确认合同条款为双方本着诚信互利的原则友好协商一致的结果，不属于任何一方的格式条款。</w:t>
      </w:r>
    </w:p>
    <w:p w14:paraId="4F57F51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14.10合同有效期内，甲方制度文件及合同附件表格格式如有更新，按甲方最新版要求执行，甲方拥有最终解释权。</w:t>
      </w:r>
    </w:p>
    <w:p w14:paraId="5330C72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14.11以下文件均为合同文件有效组成部分，各文件互相解释，互为说明。当合同文件中出现不一致时，除合同另有约定外，以下排列顺序就是各合同文件的优先解释顺序：</w:t>
      </w:r>
    </w:p>
    <w:p w14:paraId="06BDD1F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① 合同有效期内，双方法人代表或授权人签字并加盖公章的本合同补充协议；</w:t>
      </w:r>
    </w:p>
    <w:p w14:paraId="795F67E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② 本合同第一部分，合同专用条款；</w:t>
      </w:r>
    </w:p>
    <w:p w14:paraId="61F26FB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③ 本合同第二部分，合同通用条款；</w:t>
      </w:r>
    </w:p>
    <w:p w14:paraId="4D1012A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default"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④ 经甲方确认的方案及相关设计变更；</w:t>
      </w:r>
    </w:p>
    <w:p w14:paraId="7E9F16F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⑤ 本工程招采文件（含相关答疑、补充通知等）；</w:t>
      </w:r>
    </w:p>
    <w:p w14:paraId="533BFE5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⑥ 乙方发出的、经甲方确认的本工程投标文件及相关澄清文件；</w:t>
      </w:r>
    </w:p>
    <w:p w14:paraId="6A790FE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⑦ 本工程所在地现行的法律、法规、标准、规范。</w:t>
      </w:r>
    </w:p>
    <w:p w14:paraId="5EE9092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color w:val="auto"/>
          <w:highlight w:val="none"/>
          <w:lang w:val="en-US" w:eastAsia="zh-CN"/>
        </w:rPr>
      </w:pPr>
      <w:r>
        <w:rPr>
          <w:rFonts w:hint="eastAsia" w:ascii="仿宋" w:hAnsi="仿宋" w:eastAsia="仿宋" w:cs="仿宋"/>
          <w:b w:val="0"/>
          <w:bCs w:val="0"/>
          <w:i w:val="0"/>
          <w:iCs w:val="0"/>
          <w:color w:val="auto"/>
          <w:sz w:val="28"/>
          <w:szCs w:val="28"/>
          <w:highlight w:val="none"/>
          <w:lang w:val="en-US" w:eastAsia="zh-CN"/>
        </w:rPr>
        <w:t>14.12本合同壹式叁份，甲方执贰份，乙方执壹份，均具同等效力。</w:t>
      </w:r>
    </w:p>
    <w:p w14:paraId="231F64F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20" w:rightChars="-7" w:firstLine="501" w:firstLineChars="17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14.13本合同自甲乙双方法定代表人或其书面授权的代理人签字并加盖公司公章(或合同专用章)之日起生效，双方履行完合同义务、责任之日终止。</w:t>
      </w:r>
    </w:p>
    <w:p w14:paraId="489E535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140" w:leftChars="-50"/>
        <w:jc w:val="left"/>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 w:hAnsi="仿宋" w:eastAsia="仿宋" w:cs="仿宋"/>
          <w:color w:val="auto"/>
          <w:sz w:val="28"/>
          <w:highlight w:val="none"/>
          <w:u w:val="none"/>
          <w:lang w:eastAsia="zh-CN"/>
        </w:rPr>
        <w:t>（以下无正文）</w:t>
      </w:r>
    </w:p>
    <w:p w14:paraId="35B59CD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770" w:rightChars="-275" w:firstLine="503" w:firstLineChars="179"/>
        <w:textAlignment w:val="auto"/>
        <w:outlineLvl w:val="0"/>
        <w:rPr>
          <w:rFonts w:hint="eastAsia" w:ascii="仿宋" w:hAnsi="仿宋" w:eastAsia="仿宋" w:cs="仿宋"/>
          <w:b/>
          <w:bCs/>
          <w:i w:val="0"/>
          <w:iCs w:val="0"/>
          <w:color w:val="auto"/>
          <w:sz w:val="28"/>
          <w:szCs w:val="28"/>
          <w:highlight w:val="none"/>
          <w:shd w:val="clear" w:color="auto" w:fill="auto"/>
          <w:lang w:val="en-US" w:eastAsia="zh-CN"/>
        </w:rPr>
      </w:pPr>
      <w:bookmarkStart w:id="245" w:name="_Toc16843"/>
      <w:bookmarkStart w:id="246" w:name="_Toc11818"/>
      <w:bookmarkStart w:id="247" w:name="_Toc2547"/>
      <w:bookmarkStart w:id="248" w:name="_Toc4833"/>
      <w:bookmarkStart w:id="249" w:name="_Toc16367"/>
      <w:bookmarkStart w:id="250" w:name="_Toc18930"/>
      <w:bookmarkStart w:id="251" w:name="_Toc13721"/>
      <w:bookmarkStart w:id="252" w:name="_Toc28946"/>
      <w:bookmarkStart w:id="253" w:name="_Toc30304"/>
      <w:r>
        <w:rPr>
          <w:rFonts w:hint="eastAsia" w:ascii="仿宋" w:hAnsi="仿宋" w:eastAsia="仿宋" w:cs="仿宋"/>
          <w:b/>
          <w:bCs/>
          <w:i w:val="0"/>
          <w:iCs w:val="0"/>
          <w:color w:val="auto"/>
          <w:sz w:val="28"/>
          <w:szCs w:val="28"/>
          <w:highlight w:val="none"/>
          <w:shd w:val="clear" w:color="auto" w:fill="auto"/>
          <w:lang w:val="en-US" w:eastAsia="zh-CN"/>
        </w:rPr>
        <w:t>合同附件：</w:t>
      </w:r>
      <w:bookmarkEnd w:id="245"/>
      <w:bookmarkEnd w:id="246"/>
      <w:bookmarkEnd w:id="247"/>
      <w:bookmarkEnd w:id="248"/>
      <w:bookmarkEnd w:id="249"/>
      <w:bookmarkEnd w:id="250"/>
      <w:bookmarkEnd w:id="251"/>
      <w:bookmarkEnd w:id="252"/>
    </w:p>
    <w:bookmarkEnd w:id="100"/>
    <w:bookmarkEnd w:id="101"/>
    <w:bookmarkEnd w:id="102"/>
    <w:bookmarkEnd w:id="253"/>
    <w:p w14:paraId="38C3930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770"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254" w:name="_Toc11189"/>
      <w:bookmarkStart w:id="255" w:name="_Toc24379"/>
      <w:bookmarkStart w:id="256" w:name="_Toc23629"/>
      <w:bookmarkStart w:id="257" w:name="_Toc25846"/>
      <w:bookmarkStart w:id="258" w:name="_Toc4707"/>
      <w:bookmarkStart w:id="259" w:name="_Toc27829"/>
      <w:bookmarkStart w:id="260" w:name="_Toc8825"/>
      <w:bookmarkStart w:id="261" w:name="_Toc8154"/>
      <w:bookmarkStart w:id="262" w:name="_Toc7599"/>
      <w:bookmarkStart w:id="263" w:name="_Toc18676"/>
      <w:bookmarkStart w:id="264" w:name="_Toc22858"/>
      <w:bookmarkStart w:id="265" w:name="_Toc20897"/>
      <w:bookmarkStart w:id="266" w:name="_Toc6254"/>
      <w:bookmarkStart w:id="267" w:name="_Toc6278"/>
      <w:bookmarkStart w:id="268" w:name="_Toc11947"/>
      <w:bookmarkStart w:id="269" w:name="_Toc16115"/>
      <w:r>
        <w:rPr>
          <w:rFonts w:hint="eastAsia" w:ascii="仿宋" w:hAnsi="仿宋" w:eastAsia="仿宋" w:cs="仿宋"/>
          <w:i w:val="0"/>
          <w:iCs w:val="0"/>
          <w:color w:val="auto"/>
          <w:sz w:val="28"/>
          <w:szCs w:val="28"/>
          <w:highlight w:val="none"/>
          <w:shd w:val="clear" w:color="auto" w:fill="auto"/>
          <w:lang w:val="en-US" w:eastAsia="zh-CN"/>
        </w:rPr>
        <w:t>附件一《分包单位开工令》格式；</w:t>
      </w:r>
      <w:bookmarkEnd w:id="254"/>
      <w:bookmarkEnd w:id="255"/>
      <w:bookmarkEnd w:id="256"/>
      <w:bookmarkEnd w:id="257"/>
      <w:bookmarkEnd w:id="258"/>
      <w:bookmarkEnd w:id="259"/>
      <w:bookmarkEnd w:id="260"/>
      <w:bookmarkEnd w:id="261"/>
      <w:bookmarkEnd w:id="262"/>
      <w:bookmarkEnd w:id="263"/>
      <w:bookmarkEnd w:id="264"/>
      <w:bookmarkEnd w:id="265"/>
    </w:p>
    <w:p w14:paraId="3378280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770"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270" w:name="_Toc16598"/>
      <w:bookmarkStart w:id="271" w:name="_Toc4136"/>
      <w:bookmarkStart w:id="272" w:name="_Toc32302"/>
      <w:bookmarkStart w:id="273" w:name="_Toc29710"/>
      <w:bookmarkStart w:id="274" w:name="_Toc31644"/>
      <w:bookmarkStart w:id="275" w:name="_Toc27040"/>
      <w:bookmarkStart w:id="276" w:name="_Toc29237"/>
      <w:bookmarkStart w:id="277" w:name="_Toc4786"/>
      <w:bookmarkStart w:id="278" w:name="_Toc25336"/>
      <w:bookmarkStart w:id="279" w:name="_Toc25490"/>
      <w:bookmarkStart w:id="280" w:name="_Toc3457"/>
      <w:bookmarkStart w:id="281" w:name="_Toc23949"/>
      <w:bookmarkStart w:id="282" w:name="_Toc26373"/>
      <w:bookmarkStart w:id="283" w:name="_Toc6961"/>
      <w:bookmarkStart w:id="284" w:name="_Toc11948"/>
      <w:bookmarkStart w:id="285" w:name="_Toc11604"/>
      <w:bookmarkStart w:id="286" w:name="_Toc27699"/>
      <w:bookmarkStart w:id="287" w:name="_Toc27191"/>
      <w:bookmarkStart w:id="288" w:name="_Toc17284"/>
      <w:bookmarkStart w:id="289" w:name="_Toc22678"/>
      <w:bookmarkStart w:id="290" w:name="_Toc23329"/>
      <w:bookmarkStart w:id="291" w:name="_Toc10650"/>
      <w:bookmarkStart w:id="292" w:name="_Toc6688"/>
      <w:bookmarkStart w:id="293" w:name="_Toc13862"/>
      <w:bookmarkStart w:id="294" w:name="_Toc16643"/>
      <w:bookmarkStart w:id="295" w:name="_Toc15971"/>
      <w:bookmarkStart w:id="296" w:name="_Toc21271"/>
      <w:bookmarkStart w:id="297" w:name="_Toc29648"/>
      <w:bookmarkStart w:id="298" w:name="_Toc28459"/>
      <w:bookmarkStart w:id="299" w:name="_Toc12070"/>
      <w:r>
        <w:rPr>
          <w:rFonts w:hint="eastAsia" w:ascii="仿宋" w:hAnsi="仿宋" w:eastAsia="仿宋" w:cs="仿宋"/>
          <w:i w:val="0"/>
          <w:iCs w:val="0"/>
          <w:color w:val="auto"/>
          <w:sz w:val="28"/>
          <w:szCs w:val="28"/>
          <w:highlight w:val="none"/>
          <w:shd w:val="clear" w:color="auto" w:fill="auto"/>
          <w:lang w:val="en-US" w:eastAsia="zh-CN"/>
        </w:rPr>
        <w:t>附件二《分包签证确认单》</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r>
        <w:rPr>
          <w:rFonts w:hint="eastAsia" w:ascii="仿宋" w:hAnsi="仿宋" w:eastAsia="仿宋" w:cs="仿宋"/>
          <w:i w:val="0"/>
          <w:iCs w:val="0"/>
          <w:color w:val="auto"/>
          <w:sz w:val="28"/>
          <w:szCs w:val="28"/>
          <w:highlight w:val="none"/>
          <w:shd w:val="clear" w:color="auto" w:fill="auto"/>
          <w:lang w:val="en-US" w:eastAsia="zh-CN"/>
        </w:rPr>
        <w:t>格式；</w:t>
      </w:r>
      <w:bookmarkEnd w:id="290"/>
      <w:bookmarkEnd w:id="291"/>
      <w:bookmarkEnd w:id="292"/>
      <w:bookmarkEnd w:id="293"/>
      <w:bookmarkEnd w:id="294"/>
      <w:bookmarkEnd w:id="295"/>
      <w:bookmarkEnd w:id="296"/>
      <w:bookmarkEnd w:id="297"/>
      <w:bookmarkEnd w:id="298"/>
      <w:bookmarkEnd w:id="299"/>
    </w:p>
    <w:p w14:paraId="5CEA32C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770"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300" w:name="_Toc26221"/>
      <w:bookmarkStart w:id="301" w:name="_Toc11696"/>
      <w:bookmarkStart w:id="302" w:name="_Toc24903"/>
      <w:bookmarkStart w:id="303" w:name="_Toc21366"/>
      <w:bookmarkStart w:id="304" w:name="_Toc19406"/>
      <w:bookmarkStart w:id="305" w:name="_Toc19825"/>
      <w:bookmarkStart w:id="306" w:name="_Toc19810"/>
      <w:bookmarkStart w:id="307" w:name="_Toc25184"/>
      <w:bookmarkStart w:id="308" w:name="_Toc14829"/>
      <w:bookmarkStart w:id="309" w:name="_Toc3355"/>
      <w:bookmarkStart w:id="310" w:name="_Toc27842"/>
      <w:bookmarkStart w:id="311" w:name="_Toc9220"/>
      <w:bookmarkStart w:id="312" w:name="_Toc14339"/>
      <w:bookmarkStart w:id="313" w:name="_Toc4256"/>
      <w:bookmarkStart w:id="314" w:name="_Toc5095"/>
      <w:bookmarkStart w:id="315" w:name="_Toc21727"/>
      <w:bookmarkStart w:id="316" w:name="_Toc28426"/>
      <w:bookmarkStart w:id="317" w:name="_Toc30478"/>
      <w:bookmarkStart w:id="318" w:name="_Toc3046"/>
      <w:bookmarkStart w:id="319" w:name="_Toc3526"/>
      <w:bookmarkStart w:id="320" w:name="_Toc25146"/>
      <w:bookmarkStart w:id="321" w:name="_Toc12457"/>
      <w:bookmarkStart w:id="322" w:name="_Toc23456"/>
      <w:bookmarkStart w:id="323" w:name="_Toc18083"/>
      <w:bookmarkStart w:id="324" w:name="_Toc30623"/>
      <w:bookmarkStart w:id="325" w:name="_Toc1181"/>
      <w:bookmarkStart w:id="326" w:name="_Toc31647"/>
      <w:bookmarkStart w:id="327" w:name="_Toc918"/>
      <w:bookmarkStart w:id="328" w:name="_Toc8243"/>
      <w:bookmarkStart w:id="329" w:name="_Toc25120"/>
      <w:r>
        <w:rPr>
          <w:rFonts w:hint="eastAsia" w:ascii="仿宋" w:hAnsi="仿宋" w:eastAsia="仿宋" w:cs="仿宋"/>
          <w:i w:val="0"/>
          <w:iCs w:val="0"/>
          <w:color w:val="auto"/>
          <w:sz w:val="28"/>
          <w:szCs w:val="28"/>
          <w:highlight w:val="none"/>
          <w:shd w:val="clear" w:color="auto" w:fill="auto"/>
          <w:lang w:val="en-US" w:eastAsia="zh-CN"/>
        </w:rPr>
        <w:t>附件三《分项工程/认质认价申报审批表》</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r>
        <w:rPr>
          <w:rFonts w:hint="eastAsia" w:ascii="仿宋" w:hAnsi="仿宋" w:eastAsia="仿宋" w:cs="仿宋"/>
          <w:i w:val="0"/>
          <w:iCs w:val="0"/>
          <w:color w:val="auto"/>
          <w:sz w:val="28"/>
          <w:szCs w:val="28"/>
          <w:highlight w:val="none"/>
          <w:shd w:val="clear" w:color="auto" w:fill="auto"/>
          <w:lang w:val="en-US" w:eastAsia="zh-CN"/>
        </w:rPr>
        <w:t>格式；</w:t>
      </w:r>
      <w:bookmarkEnd w:id="320"/>
      <w:bookmarkEnd w:id="321"/>
      <w:bookmarkEnd w:id="322"/>
      <w:bookmarkEnd w:id="323"/>
      <w:bookmarkEnd w:id="324"/>
      <w:bookmarkEnd w:id="325"/>
      <w:bookmarkEnd w:id="326"/>
      <w:bookmarkEnd w:id="327"/>
      <w:bookmarkEnd w:id="328"/>
      <w:bookmarkEnd w:id="329"/>
    </w:p>
    <w:p w14:paraId="39C33AF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770" w:rightChars="-275" w:firstLine="501" w:firstLineChars="179"/>
        <w:textAlignment w:val="auto"/>
        <w:rPr>
          <w:rFonts w:hint="default" w:ascii="仿宋" w:hAnsi="仿宋" w:eastAsia="仿宋" w:cs="仿宋"/>
          <w:i w:val="0"/>
          <w:iCs w:val="0"/>
          <w:color w:val="auto"/>
          <w:sz w:val="28"/>
          <w:szCs w:val="28"/>
          <w:highlight w:val="none"/>
          <w:shd w:val="clear" w:color="auto" w:fill="auto"/>
          <w:lang w:val="en-US" w:eastAsia="zh-CN"/>
        </w:rPr>
      </w:pPr>
      <w:bookmarkStart w:id="330" w:name="_Toc4124"/>
      <w:bookmarkStart w:id="331" w:name="_Toc12708"/>
      <w:bookmarkStart w:id="332" w:name="_Toc8225"/>
      <w:bookmarkStart w:id="333" w:name="_Toc29658"/>
      <w:bookmarkStart w:id="334" w:name="_Toc2953"/>
      <w:bookmarkStart w:id="335" w:name="_Toc625"/>
      <w:bookmarkStart w:id="336" w:name="_Toc32243"/>
      <w:bookmarkStart w:id="337" w:name="_Toc4675"/>
      <w:bookmarkStart w:id="338" w:name="_Toc30996"/>
      <w:bookmarkStart w:id="339" w:name="_Toc10580"/>
      <w:bookmarkStart w:id="340" w:name="_Toc14408"/>
      <w:bookmarkStart w:id="341" w:name="_Toc30526"/>
      <w:bookmarkStart w:id="342" w:name="_Toc4351"/>
      <w:bookmarkStart w:id="343" w:name="_Toc8789"/>
      <w:bookmarkStart w:id="344" w:name="_Toc27559"/>
      <w:bookmarkStart w:id="345" w:name="_Toc29665"/>
      <w:bookmarkStart w:id="346" w:name="_Toc29231"/>
      <w:bookmarkStart w:id="347" w:name="_Toc8276"/>
      <w:r>
        <w:rPr>
          <w:rFonts w:hint="eastAsia" w:ascii="仿宋" w:hAnsi="仿宋" w:eastAsia="仿宋" w:cs="仿宋"/>
          <w:i w:val="0"/>
          <w:iCs w:val="0"/>
          <w:color w:val="auto"/>
          <w:sz w:val="28"/>
          <w:szCs w:val="28"/>
          <w:highlight w:val="none"/>
          <w:shd w:val="clear" w:color="auto" w:fill="auto"/>
          <w:lang w:val="en-US" w:eastAsia="zh-CN"/>
        </w:rPr>
        <w:t>附件四《签证单分包说明》</w:t>
      </w:r>
      <w:bookmarkEnd w:id="330"/>
      <w:bookmarkEnd w:id="331"/>
      <w:bookmarkEnd w:id="332"/>
      <w:bookmarkEnd w:id="333"/>
      <w:bookmarkEnd w:id="334"/>
      <w:bookmarkEnd w:id="335"/>
      <w:bookmarkEnd w:id="336"/>
      <w:bookmarkEnd w:id="337"/>
      <w:r>
        <w:rPr>
          <w:rFonts w:hint="eastAsia" w:ascii="仿宋" w:hAnsi="仿宋" w:eastAsia="仿宋" w:cs="仿宋"/>
          <w:i w:val="0"/>
          <w:iCs w:val="0"/>
          <w:color w:val="auto"/>
          <w:sz w:val="28"/>
          <w:szCs w:val="28"/>
          <w:highlight w:val="none"/>
          <w:shd w:val="clear" w:color="auto" w:fill="auto"/>
          <w:lang w:val="en-US" w:eastAsia="zh-CN"/>
        </w:rPr>
        <w:t>格式；</w:t>
      </w:r>
      <w:bookmarkEnd w:id="338"/>
      <w:bookmarkEnd w:id="339"/>
      <w:bookmarkEnd w:id="340"/>
      <w:bookmarkEnd w:id="341"/>
      <w:bookmarkEnd w:id="342"/>
      <w:bookmarkEnd w:id="343"/>
      <w:bookmarkEnd w:id="344"/>
      <w:bookmarkEnd w:id="345"/>
      <w:bookmarkEnd w:id="346"/>
      <w:bookmarkEnd w:id="347"/>
    </w:p>
    <w:p w14:paraId="69E033D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770"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348" w:name="_Toc9015"/>
      <w:bookmarkStart w:id="349" w:name="_Toc32363"/>
      <w:bookmarkStart w:id="350" w:name="_Toc1628"/>
      <w:bookmarkStart w:id="351" w:name="_Toc12321"/>
      <w:bookmarkStart w:id="352" w:name="_Toc26757"/>
      <w:bookmarkStart w:id="353" w:name="_Toc17895"/>
      <w:bookmarkStart w:id="354" w:name="_Toc14040"/>
      <w:bookmarkStart w:id="355" w:name="_Toc20020"/>
      <w:bookmarkStart w:id="356" w:name="_Toc20516"/>
      <w:bookmarkStart w:id="357" w:name="_Toc2302"/>
      <w:bookmarkStart w:id="358" w:name="_Toc7977"/>
      <w:bookmarkStart w:id="359" w:name="_Toc18174"/>
      <w:bookmarkStart w:id="360" w:name="_Toc30595"/>
      <w:bookmarkStart w:id="361" w:name="_Toc19765"/>
      <w:bookmarkStart w:id="362" w:name="_Toc7170"/>
      <w:bookmarkStart w:id="363" w:name="_Toc29501"/>
      <w:bookmarkStart w:id="364" w:name="_Toc23449"/>
      <w:bookmarkStart w:id="365" w:name="_Toc5880"/>
      <w:bookmarkStart w:id="366" w:name="_Toc13787"/>
      <w:bookmarkStart w:id="367" w:name="_Toc4532"/>
      <w:bookmarkStart w:id="368" w:name="_Toc19832"/>
      <w:bookmarkStart w:id="369" w:name="_Toc20848"/>
      <w:bookmarkStart w:id="370" w:name="_Toc27338"/>
      <w:bookmarkStart w:id="371" w:name="_Toc7316"/>
      <w:bookmarkStart w:id="372" w:name="_Toc10036"/>
      <w:bookmarkStart w:id="373" w:name="_Toc11437"/>
      <w:bookmarkStart w:id="374" w:name="_Toc31683"/>
      <w:bookmarkStart w:id="375" w:name="_Toc4713"/>
      <w:bookmarkStart w:id="376" w:name="_Toc11025"/>
      <w:bookmarkStart w:id="377" w:name="_Toc25706"/>
      <w:r>
        <w:rPr>
          <w:rFonts w:hint="eastAsia" w:ascii="仿宋" w:hAnsi="仿宋" w:eastAsia="仿宋" w:cs="仿宋"/>
          <w:i w:val="0"/>
          <w:iCs w:val="0"/>
          <w:color w:val="auto"/>
          <w:sz w:val="28"/>
          <w:szCs w:val="28"/>
          <w:highlight w:val="none"/>
          <w:shd w:val="clear" w:color="auto" w:fill="auto"/>
          <w:lang w:val="en-US" w:eastAsia="zh-CN"/>
        </w:rPr>
        <w:t>附件五《工程量现场草签记录表》</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r>
        <w:rPr>
          <w:rFonts w:hint="eastAsia" w:ascii="仿宋" w:hAnsi="仿宋" w:eastAsia="仿宋" w:cs="仿宋"/>
          <w:i w:val="0"/>
          <w:iCs w:val="0"/>
          <w:color w:val="auto"/>
          <w:sz w:val="28"/>
          <w:szCs w:val="28"/>
          <w:highlight w:val="none"/>
          <w:shd w:val="clear" w:color="auto" w:fill="auto"/>
          <w:lang w:val="en-US" w:eastAsia="zh-CN"/>
        </w:rPr>
        <w:t>格式；</w:t>
      </w:r>
      <w:bookmarkEnd w:id="368"/>
      <w:bookmarkEnd w:id="369"/>
      <w:bookmarkEnd w:id="370"/>
      <w:bookmarkEnd w:id="371"/>
      <w:bookmarkEnd w:id="372"/>
      <w:bookmarkEnd w:id="373"/>
      <w:bookmarkEnd w:id="374"/>
      <w:bookmarkEnd w:id="375"/>
      <w:bookmarkEnd w:id="376"/>
      <w:bookmarkEnd w:id="377"/>
    </w:p>
    <w:p w14:paraId="13DE8899">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770"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378" w:name="_Toc15998"/>
      <w:bookmarkStart w:id="379" w:name="_Toc25421"/>
      <w:bookmarkStart w:id="380" w:name="_Toc8957"/>
      <w:bookmarkStart w:id="381" w:name="_Toc32730"/>
      <w:bookmarkStart w:id="382" w:name="_Toc19655"/>
      <w:bookmarkStart w:id="383" w:name="_Toc29999"/>
      <w:bookmarkStart w:id="384" w:name="_Toc9377"/>
      <w:bookmarkStart w:id="385" w:name="_Toc11623"/>
      <w:bookmarkStart w:id="386" w:name="_Toc25345"/>
      <w:bookmarkStart w:id="387" w:name="_Toc5989"/>
      <w:bookmarkStart w:id="388" w:name="_Toc2307"/>
      <w:bookmarkStart w:id="389" w:name="_Toc1613"/>
      <w:bookmarkStart w:id="390" w:name="_Toc15102"/>
      <w:bookmarkStart w:id="391" w:name="_Toc24739"/>
      <w:bookmarkStart w:id="392" w:name="_Toc27592"/>
      <w:bookmarkStart w:id="393" w:name="_Toc22271"/>
      <w:bookmarkStart w:id="394" w:name="_Toc7073"/>
      <w:bookmarkStart w:id="395" w:name="_Toc15617"/>
      <w:bookmarkStart w:id="396" w:name="_Toc5662"/>
      <w:bookmarkStart w:id="397" w:name="_Toc12149"/>
      <w:bookmarkStart w:id="398" w:name="_Toc24213"/>
      <w:bookmarkStart w:id="399" w:name="_Toc18835"/>
      <w:bookmarkStart w:id="400" w:name="_Toc8058"/>
      <w:bookmarkStart w:id="401" w:name="_Toc22231"/>
      <w:bookmarkStart w:id="402" w:name="_Toc16339"/>
      <w:bookmarkStart w:id="403" w:name="_Toc26175"/>
      <w:bookmarkStart w:id="404" w:name="_Toc28300"/>
      <w:bookmarkStart w:id="405" w:name="_Toc21579"/>
      <w:bookmarkStart w:id="406" w:name="_Toc24504"/>
      <w:bookmarkStart w:id="407" w:name="_Toc28908"/>
      <w:r>
        <w:rPr>
          <w:rFonts w:hint="eastAsia" w:ascii="仿宋" w:hAnsi="仿宋" w:eastAsia="仿宋" w:cs="仿宋"/>
          <w:i w:val="0"/>
          <w:iCs w:val="0"/>
          <w:color w:val="auto"/>
          <w:sz w:val="28"/>
          <w:szCs w:val="28"/>
          <w:highlight w:val="none"/>
          <w:shd w:val="clear" w:color="auto" w:fill="auto"/>
          <w:lang w:val="en-US" w:eastAsia="zh-CN"/>
        </w:rPr>
        <w:t>附件六《工程结算支付证明单》</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rPr>
          <w:rFonts w:hint="eastAsia" w:ascii="仿宋" w:hAnsi="仿宋" w:eastAsia="仿宋" w:cs="仿宋"/>
          <w:i w:val="0"/>
          <w:iCs w:val="0"/>
          <w:color w:val="auto"/>
          <w:sz w:val="28"/>
          <w:szCs w:val="28"/>
          <w:highlight w:val="none"/>
          <w:shd w:val="clear" w:color="auto" w:fill="auto"/>
          <w:lang w:val="en-US" w:eastAsia="zh-CN"/>
        </w:rPr>
        <w:t>格式；</w:t>
      </w:r>
      <w:bookmarkEnd w:id="398"/>
      <w:bookmarkEnd w:id="399"/>
      <w:bookmarkEnd w:id="400"/>
      <w:bookmarkEnd w:id="401"/>
      <w:bookmarkEnd w:id="402"/>
      <w:bookmarkEnd w:id="403"/>
      <w:bookmarkEnd w:id="404"/>
      <w:bookmarkEnd w:id="405"/>
      <w:bookmarkEnd w:id="406"/>
      <w:bookmarkEnd w:id="407"/>
    </w:p>
    <w:p w14:paraId="225421D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770"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408" w:name="_Toc16687"/>
      <w:bookmarkStart w:id="409" w:name="_Toc25112"/>
      <w:bookmarkStart w:id="410" w:name="_Toc25447"/>
      <w:bookmarkStart w:id="411" w:name="_Toc7317"/>
      <w:bookmarkStart w:id="412" w:name="_Toc27703"/>
      <w:bookmarkStart w:id="413" w:name="_Toc32535"/>
      <w:bookmarkStart w:id="414" w:name="_Toc17584"/>
      <w:bookmarkStart w:id="415" w:name="_Toc7252"/>
      <w:bookmarkStart w:id="416" w:name="_Toc27211"/>
      <w:bookmarkStart w:id="417" w:name="_Toc28993"/>
      <w:r>
        <w:rPr>
          <w:rFonts w:hint="eastAsia" w:ascii="仿宋" w:hAnsi="仿宋" w:eastAsia="仿宋" w:cs="仿宋"/>
          <w:i w:val="0"/>
          <w:iCs w:val="0"/>
          <w:color w:val="auto"/>
          <w:sz w:val="28"/>
          <w:szCs w:val="28"/>
          <w:highlight w:val="none"/>
          <w:shd w:val="clear" w:color="auto" w:fill="auto"/>
          <w:lang w:val="en-US" w:eastAsia="zh-CN"/>
        </w:rPr>
        <w:t>附件七《工完场清交接单》格式；</w:t>
      </w:r>
      <w:bookmarkEnd w:id="408"/>
      <w:bookmarkEnd w:id="409"/>
      <w:bookmarkEnd w:id="410"/>
      <w:bookmarkEnd w:id="411"/>
      <w:bookmarkEnd w:id="412"/>
      <w:bookmarkEnd w:id="413"/>
      <w:bookmarkEnd w:id="414"/>
      <w:bookmarkEnd w:id="415"/>
      <w:bookmarkEnd w:id="416"/>
      <w:bookmarkEnd w:id="417"/>
    </w:p>
    <w:p w14:paraId="08F9CCE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770"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418" w:name="_Toc15804"/>
      <w:bookmarkStart w:id="419" w:name="_Toc21391"/>
      <w:bookmarkStart w:id="420" w:name="_Toc6059"/>
      <w:bookmarkStart w:id="421" w:name="_Toc10838"/>
      <w:bookmarkStart w:id="422" w:name="_Toc8673"/>
      <w:bookmarkStart w:id="423" w:name="_Toc16033"/>
      <w:bookmarkStart w:id="424" w:name="_Toc2384"/>
      <w:bookmarkStart w:id="425" w:name="_Toc1933"/>
      <w:bookmarkStart w:id="426" w:name="_Toc11278"/>
      <w:bookmarkStart w:id="427" w:name="_Toc8489"/>
      <w:bookmarkStart w:id="428" w:name="_Toc13138"/>
      <w:bookmarkStart w:id="429" w:name="_Toc17795"/>
      <w:r>
        <w:rPr>
          <w:rFonts w:hint="eastAsia" w:ascii="仿宋" w:hAnsi="仿宋" w:eastAsia="仿宋" w:cs="仿宋"/>
          <w:i w:val="0"/>
          <w:iCs w:val="0"/>
          <w:color w:val="auto"/>
          <w:sz w:val="28"/>
          <w:szCs w:val="28"/>
          <w:highlight w:val="none"/>
          <w:shd w:val="clear" w:color="auto" w:fill="auto"/>
          <w:lang w:val="en-US" w:eastAsia="zh-CN"/>
        </w:rPr>
        <w:t>附件八《工程结算资料目录》格式</w:t>
      </w:r>
      <w:bookmarkEnd w:id="418"/>
      <w:bookmarkEnd w:id="419"/>
      <w:bookmarkEnd w:id="420"/>
      <w:bookmarkEnd w:id="421"/>
      <w:r>
        <w:rPr>
          <w:rFonts w:hint="eastAsia" w:ascii="仿宋" w:hAnsi="仿宋" w:eastAsia="仿宋" w:cs="仿宋"/>
          <w:i w:val="0"/>
          <w:iCs w:val="0"/>
          <w:color w:val="auto"/>
          <w:sz w:val="28"/>
          <w:szCs w:val="28"/>
          <w:highlight w:val="none"/>
          <w:shd w:val="clear" w:color="auto" w:fill="auto"/>
          <w:lang w:val="en-US" w:eastAsia="zh-CN"/>
        </w:rPr>
        <w:t>；</w:t>
      </w:r>
      <w:bookmarkEnd w:id="422"/>
      <w:bookmarkEnd w:id="423"/>
      <w:bookmarkEnd w:id="424"/>
      <w:bookmarkEnd w:id="425"/>
      <w:bookmarkEnd w:id="426"/>
      <w:bookmarkEnd w:id="427"/>
      <w:bookmarkEnd w:id="428"/>
      <w:bookmarkEnd w:id="429"/>
    </w:p>
    <w:p w14:paraId="47A5F9A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770"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430" w:name="_Toc25618"/>
      <w:bookmarkStart w:id="431" w:name="_Toc10114"/>
      <w:bookmarkStart w:id="432" w:name="_Toc341"/>
      <w:bookmarkStart w:id="433" w:name="_Toc19704"/>
      <w:bookmarkStart w:id="434" w:name="_Toc30237"/>
      <w:bookmarkStart w:id="435" w:name="_Toc12607"/>
      <w:bookmarkStart w:id="436" w:name="_Toc22636"/>
      <w:bookmarkStart w:id="437" w:name="_Toc18640"/>
      <w:bookmarkStart w:id="438" w:name="_Toc18259"/>
      <w:bookmarkStart w:id="439" w:name="_Toc31415"/>
      <w:bookmarkStart w:id="440" w:name="_Toc26903"/>
      <w:bookmarkStart w:id="441" w:name="_Toc26020"/>
      <w:bookmarkStart w:id="442" w:name="_Toc7399"/>
      <w:bookmarkStart w:id="443" w:name="_Toc4335"/>
      <w:bookmarkStart w:id="444" w:name="_Toc14821"/>
      <w:bookmarkStart w:id="445" w:name="_Toc25734"/>
      <w:bookmarkStart w:id="446" w:name="_Toc31008"/>
      <w:bookmarkStart w:id="447" w:name="_Toc19119"/>
      <w:r>
        <w:rPr>
          <w:rFonts w:hint="eastAsia" w:ascii="仿宋" w:hAnsi="仿宋" w:eastAsia="仿宋" w:cs="仿宋"/>
          <w:i w:val="0"/>
          <w:iCs w:val="0"/>
          <w:color w:val="auto"/>
          <w:sz w:val="28"/>
          <w:szCs w:val="28"/>
          <w:highlight w:val="none"/>
          <w:shd w:val="clear" w:color="auto" w:fill="auto"/>
          <w:lang w:val="en-US" w:eastAsia="zh-CN"/>
        </w:rPr>
        <w:t>附件九</w:t>
      </w:r>
      <w:bookmarkEnd w:id="430"/>
      <w:bookmarkEnd w:id="431"/>
      <w:bookmarkEnd w:id="432"/>
      <w:bookmarkEnd w:id="433"/>
      <w:bookmarkEnd w:id="434"/>
      <w:bookmarkEnd w:id="435"/>
      <w:bookmarkEnd w:id="436"/>
      <w:bookmarkEnd w:id="437"/>
      <w:r>
        <w:rPr>
          <w:rFonts w:hint="eastAsia" w:ascii="仿宋" w:hAnsi="仿宋" w:eastAsia="仿宋" w:cs="仿宋"/>
          <w:i w:val="0"/>
          <w:iCs w:val="0"/>
          <w:color w:val="auto"/>
          <w:sz w:val="28"/>
          <w:szCs w:val="28"/>
          <w:highlight w:val="none"/>
          <w:shd w:val="clear" w:color="auto" w:fill="auto"/>
          <w:lang w:val="en-US" w:eastAsia="zh-CN"/>
        </w:rPr>
        <w:t>《工人工资发放承诺书》格式；</w:t>
      </w:r>
      <w:bookmarkEnd w:id="438"/>
      <w:bookmarkEnd w:id="439"/>
      <w:bookmarkEnd w:id="440"/>
      <w:bookmarkEnd w:id="441"/>
      <w:bookmarkEnd w:id="442"/>
      <w:bookmarkEnd w:id="443"/>
      <w:bookmarkEnd w:id="444"/>
      <w:bookmarkEnd w:id="445"/>
      <w:bookmarkEnd w:id="446"/>
      <w:bookmarkEnd w:id="447"/>
    </w:p>
    <w:p w14:paraId="309A3B5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770"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448" w:name="_Toc26774"/>
      <w:bookmarkStart w:id="449" w:name="_Toc24794"/>
      <w:bookmarkStart w:id="450" w:name="_Toc16561"/>
      <w:bookmarkStart w:id="451" w:name="_Toc764"/>
      <w:bookmarkStart w:id="452" w:name="_Toc6281"/>
      <w:bookmarkStart w:id="453" w:name="_Toc1544"/>
      <w:bookmarkStart w:id="454" w:name="_Toc23263"/>
      <w:bookmarkStart w:id="455" w:name="_Toc21989"/>
      <w:bookmarkStart w:id="456" w:name="_Toc32090"/>
      <w:bookmarkStart w:id="457" w:name="_Toc20322"/>
      <w:bookmarkStart w:id="458" w:name="_Toc30239"/>
      <w:bookmarkStart w:id="459" w:name="_Toc26828"/>
      <w:bookmarkStart w:id="460" w:name="_Toc13891"/>
      <w:bookmarkStart w:id="461" w:name="_Toc4480"/>
      <w:bookmarkStart w:id="462" w:name="_Toc23503"/>
      <w:bookmarkStart w:id="463" w:name="_Toc4534"/>
      <w:bookmarkStart w:id="464" w:name="_Toc2495"/>
      <w:bookmarkStart w:id="465" w:name="_Toc25579"/>
      <w:r>
        <w:rPr>
          <w:rFonts w:hint="eastAsia" w:ascii="仿宋" w:hAnsi="仿宋" w:eastAsia="仿宋" w:cs="仿宋"/>
          <w:i w:val="0"/>
          <w:iCs w:val="0"/>
          <w:color w:val="auto"/>
          <w:sz w:val="28"/>
          <w:szCs w:val="28"/>
          <w:highlight w:val="none"/>
          <w:shd w:val="clear" w:color="auto" w:fill="auto"/>
          <w:lang w:val="en-US" w:eastAsia="zh-CN"/>
        </w:rPr>
        <w:t>附件十</w:t>
      </w:r>
      <w:bookmarkEnd w:id="448"/>
      <w:bookmarkEnd w:id="449"/>
      <w:bookmarkEnd w:id="450"/>
      <w:bookmarkEnd w:id="451"/>
      <w:bookmarkEnd w:id="452"/>
      <w:bookmarkEnd w:id="453"/>
      <w:bookmarkEnd w:id="454"/>
      <w:bookmarkEnd w:id="455"/>
      <w:r>
        <w:rPr>
          <w:rFonts w:hint="eastAsia" w:ascii="仿宋" w:hAnsi="仿宋" w:eastAsia="仿宋" w:cs="仿宋"/>
          <w:i w:val="0"/>
          <w:iCs w:val="0"/>
          <w:color w:val="auto"/>
          <w:sz w:val="28"/>
          <w:szCs w:val="28"/>
          <w:highlight w:val="none"/>
          <w:shd w:val="clear" w:color="auto" w:fill="auto"/>
          <w:lang w:val="en-US" w:eastAsia="zh-CN"/>
        </w:rPr>
        <w:t>《承诺书（工人个人版）》格式；</w:t>
      </w:r>
      <w:bookmarkEnd w:id="456"/>
      <w:bookmarkEnd w:id="457"/>
      <w:bookmarkEnd w:id="458"/>
      <w:bookmarkEnd w:id="459"/>
      <w:bookmarkEnd w:id="460"/>
      <w:bookmarkEnd w:id="461"/>
      <w:bookmarkEnd w:id="462"/>
      <w:bookmarkEnd w:id="463"/>
      <w:bookmarkEnd w:id="464"/>
      <w:bookmarkEnd w:id="465"/>
    </w:p>
    <w:p w14:paraId="46E1BBA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770"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466" w:name="_Toc3842"/>
      <w:bookmarkStart w:id="467" w:name="_Toc20899"/>
      <w:bookmarkStart w:id="468" w:name="_Toc14035"/>
      <w:bookmarkStart w:id="469" w:name="_Toc1927"/>
      <w:r>
        <w:rPr>
          <w:rFonts w:hint="eastAsia" w:ascii="仿宋" w:hAnsi="仿宋" w:eastAsia="仿宋" w:cs="仿宋"/>
          <w:i w:val="0"/>
          <w:iCs w:val="0"/>
          <w:color w:val="auto"/>
          <w:sz w:val="28"/>
          <w:szCs w:val="28"/>
          <w:highlight w:val="none"/>
          <w:shd w:val="clear" w:color="auto" w:fill="auto"/>
          <w:lang w:val="en-US" w:eastAsia="zh-CN"/>
        </w:rPr>
        <w:t>附件十一《</w:t>
      </w:r>
      <w:r>
        <w:rPr>
          <w:rFonts w:hint="default" w:ascii="仿宋" w:hAnsi="仿宋" w:eastAsia="仿宋" w:cs="仿宋"/>
          <w:i w:val="0"/>
          <w:iCs w:val="0"/>
          <w:color w:val="auto"/>
          <w:sz w:val="28"/>
          <w:szCs w:val="28"/>
          <w:highlight w:val="none"/>
          <w:shd w:val="clear" w:color="auto" w:fill="auto"/>
          <w:lang w:val="en-US" w:eastAsia="zh-CN"/>
        </w:rPr>
        <w:t>技术工人素质承诺书</w:t>
      </w:r>
      <w:r>
        <w:rPr>
          <w:rFonts w:hint="eastAsia" w:ascii="仿宋" w:hAnsi="仿宋" w:eastAsia="仿宋" w:cs="仿宋"/>
          <w:i w:val="0"/>
          <w:iCs w:val="0"/>
          <w:color w:val="auto"/>
          <w:sz w:val="28"/>
          <w:szCs w:val="28"/>
          <w:highlight w:val="none"/>
          <w:shd w:val="clear" w:color="auto" w:fill="auto"/>
          <w:lang w:val="en-US" w:eastAsia="zh-CN"/>
        </w:rPr>
        <w:t>》格式；</w:t>
      </w:r>
      <w:bookmarkEnd w:id="466"/>
      <w:bookmarkEnd w:id="467"/>
      <w:bookmarkEnd w:id="468"/>
      <w:bookmarkEnd w:id="469"/>
    </w:p>
    <w:p w14:paraId="34FF0F3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770"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附件十二《出险声明函》格式；</w:t>
      </w:r>
    </w:p>
    <w:p w14:paraId="3C7D573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770"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470" w:name="_Toc9097"/>
      <w:bookmarkStart w:id="471" w:name="_Toc18635"/>
      <w:bookmarkStart w:id="472" w:name="_Toc972"/>
      <w:bookmarkStart w:id="473" w:name="_Toc7371"/>
      <w:bookmarkStart w:id="474" w:name="_Toc27059"/>
      <w:bookmarkStart w:id="475" w:name="_Toc13230"/>
      <w:bookmarkStart w:id="476" w:name="_Toc3430"/>
      <w:bookmarkStart w:id="477" w:name="_Toc11973"/>
      <w:bookmarkStart w:id="478" w:name="_Toc26926"/>
      <w:bookmarkStart w:id="479" w:name="_Toc21822"/>
      <w:bookmarkStart w:id="480" w:name="_Toc20722"/>
      <w:bookmarkStart w:id="481" w:name="_Toc31017"/>
      <w:bookmarkStart w:id="482" w:name="_Toc26713"/>
      <w:bookmarkStart w:id="483" w:name="_Toc27917"/>
      <w:bookmarkStart w:id="484" w:name="_Toc30233"/>
      <w:bookmarkStart w:id="485" w:name="_Toc16929"/>
      <w:bookmarkStart w:id="486" w:name="_Toc26887"/>
      <w:bookmarkStart w:id="487" w:name="_Toc7184"/>
      <w:bookmarkStart w:id="488" w:name="_Toc32697"/>
      <w:bookmarkStart w:id="489" w:name="_Toc10168"/>
      <w:bookmarkStart w:id="490" w:name="_Toc18689"/>
      <w:bookmarkStart w:id="491" w:name="_Toc26891"/>
      <w:bookmarkStart w:id="492" w:name="_Toc31032"/>
      <w:bookmarkStart w:id="493" w:name="_Toc22619"/>
      <w:bookmarkStart w:id="494" w:name="_Toc1716"/>
      <w:bookmarkStart w:id="495" w:name="_Toc30940"/>
      <w:bookmarkStart w:id="496" w:name="_Toc31464"/>
      <w:bookmarkStart w:id="497" w:name="_Toc248"/>
      <w:bookmarkStart w:id="498" w:name="_Toc28296"/>
      <w:bookmarkStart w:id="499" w:name="_Toc32611"/>
      <w:r>
        <w:rPr>
          <w:rFonts w:hint="eastAsia" w:ascii="仿宋" w:hAnsi="仿宋" w:eastAsia="仿宋" w:cs="仿宋"/>
          <w:i w:val="0"/>
          <w:iCs w:val="0"/>
          <w:color w:val="auto"/>
          <w:sz w:val="28"/>
          <w:szCs w:val="28"/>
          <w:highlight w:val="none"/>
          <w:shd w:val="clear" w:color="auto" w:fill="auto"/>
          <w:lang w:val="en-US" w:eastAsia="zh-CN"/>
        </w:rPr>
        <w:t>附件十三</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r>
        <w:rPr>
          <w:rFonts w:hint="eastAsia" w:ascii="仿宋" w:hAnsi="仿宋" w:eastAsia="仿宋" w:cs="仿宋"/>
          <w:i w:val="0"/>
          <w:iCs w:val="0"/>
          <w:color w:val="auto"/>
          <w:sz w:val="28"/>
          <w:szCs w:val="28"/>
          <w:highlight w:val="none"/>
          <w:shd w:val="clear" w:color="auto" w:fill="auto"/>
          <w:lang w:val="en-US" w:eastAsia="zh-CN"/>
        </w:rPr>
        <w:t>《甲方项目章》样式；</w:t>
      </w:r>
      <w:bookmarkEnd w:id="496"/>
      <w:bookmarkEnd w:id="497"/>
      <w:bookmarkEnd w:id="498"/>
      <w:bookmarkEnd w:id="499"/>
    </w:p>
    <w:p w14:paraId="4E22F7A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770"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附件十四 乙方资质文件；</w:t>
      </w:r>
    </w:p>
    <w:p w14:paraId="31E7298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770"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lang w:val="en-US" w:eastAsia="zh-CN"/>
        </w:rPr>
        <w:t>附件十五</w:t>
      </w:r>
      <w:r>
        <w:rPr>
          <w:rFonts w:hint="eastAsia" w:ascii="仿宋" w:hAnsi="仿宋" w:eastAsia="仿宋" w:cs="仿宋"/>
          <w:i w:val="0"/>
          <w:iCs w:val="0"/>
          <w:color w:val="auto"/>
          <w:sz w:val="28"/>
          <w:szCs w:val="28"/>
          <w:highlight w:val="none"/>
          <w:shd w:val="clear" w:color="auto" w:fill="auto"/>
          <w:lang w:val="en-US" w:eastAsia="zh-CN"/>
        </w:rPr>
        <w:t>《招标清单》</w:t>
      </w:r>
      <w:r>
        <w:rPr>
          <w:rFonts w:hint="eastAsia" w:ascii="仿宋" w:hAnsi="仿宋" w:eastAsia="仿宋" w:cs="仿宋"/>
          <w:b w:val="0"/>
          <w:bCs w:val="0"/>
          <w:i w:val="0"/>
          <w:iCs w:val="0"/>
          <w:color w:val="auto"/>
          <w:sz w:val="28"/>
          <w:szCs w:val="28"/>
          <w:highlight w:val="none"/>
          <w:lang w:val="en-US" w:eastAsia="zh-CN"/>
        </w:rPr>
        <w:t>；</w:t>
      </w:r>
    </w:p>
    <w:p w14:paraId="02FBBF0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770"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附件十六</w:t>
      </w:r>
      <w:r>
        <w:rPr>
          <w:rFonts w:hint="eastAsia" w:ascii="仿宋" w:hAnsi="仿宋" w:eastAsia="仿宋" w:cs="仿宋"/>
          <w:color w:val="auto"/>
          <w:szCs w:val="28"/>
          <w:highlight w:val="none"/>
          <w:shd w:val="clear" w:color="auto" w:fill="auto"/>
        </w:rPr>
        <w:t>《图纸目录清单》</w:t>
      </w:r>
      <w:r>
        <w:rPr>
          <w:rFonts w:hint="eastAsia" w:ascii="仿宋" w:hAnsi="仿宋" w:eastAsia="仿宋" w:cs="仿宋"/>
          <w:color w:val="auto"/>
          <w:szCs w:val="28"/>
          <w:highlight w:val="none"/>
          <w:shd w:val="clear" w:color="auto" w:fill="auto"/>
          <w:lang w:eastAsia="zh-CN"/>
        </w:rPr>
        <w:t>；</w:t>
      </w:r>
    </w:p>
    <w:p w14:paraId="6466044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770"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附件十七《地勘资料及方案》；</w:t>
      </w:r>
    </w:p>
    <w:p w14:paraId="246398F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40" w:leftChars="-50" w:right="-770" w:rightChars="-275" w:firstLine="501" w:firstLineChars="179"/>
        <w:textAlignment w:val="auto"/>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i w:val="0"/>
          <w:iCs w:val="0"/>
          <w:color w:val="auto"/>
          <w:sz w:val="28"/>
          <w:szCs w:val="28"/>
          <w:highlight w:val="none"/>
          <w:shd w:val="clear" w:color="auto" w:fill="auto"/>
          <w:lang w:val="en-US" w:eastAsia="zh-CN"/>
        </w:rPr>
        <w:t>附件十八《施工方案》。</w:t>
      </w:r>
      <w:bookmarkStart w:id="500" w:name="_Toc30280"/>
      <w:bookmarkStart w:id="501" w:name="_Toc24436"/>
      <w:bookmarkStart w:id="502" w:name="_Toc18988"/>
      <w:bookmarkStart w:id="503" w:name="_Toc26371"/>
      <w:bookmarkStart w:id="504" w:name="_Toc6751"/>
      <w:bookmarkStart w:id="505" w:name="_Toc5837"/>
      <w:bookmarkStart w:id="506" w:name="_Toc29240"/>
      <w:bookmarkStart w:id="507" w:name="_Toc30618"/>
      <w:bookmarkStart w:id="508" w:name="_Toc20974"/>
      <w:bookmarkStart w:id="509" w:name="_Toc13080"/>
      <w:bookmarkStart w:id="510" w:name="_Toc18518"/>
      <w:bookmarkStart w:id="511" w:name="_Toc25445"/>
      <w:bookmarkStart w:id="512" w:name="_Toc24665"/>
      <w:bookmarkStart w:id="513" w:name="_Toc21258"/>
      <w:bookmarkStart w:id="514" w:name="_Toc26856"/>
    </w:p>
    <w:p w14:paraId="1CC9177A">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sectPr>
          <w:footerReference r:id="rId6" w:type="default"/>
          <w:pgSz w:w="11906" w:h="16838"/>
          <w:pgMar w:top="1327" w:right="1080" w:bottom="1270" w:left="1080" w:header="964" w:footer="567" w:gutter="0"/>
          <w:pgBorders>
            <w:top w:val="none" w:sz="0" w:space="0"/>
            <w:left w:val="none" w:sz="0" w:space="0"/>
            <w:bottom w:val="none" w:sz="0" w:space="0"/>
            <w:right w:val="none" w:sz="0" w:space="0"/>
          </w:pgBorders>
          <w:pgNumType w:fmt="decimal" w:start="1"/>
          <w:cols w:space="720" w:num="1"/>
          <w:docGrid w:type="lines" w:linePitch="293" w:charSpace="0"/>
        </w:sectPr>
      </w:pPr>
    </w:p>
    <w:p w14:paraId="278EE7FA">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500"/>
      <w:bookmarkEnd w:id="501"/>
      <w:bookmarkEnd w:id="502"/>
      <w:bookmarkEnd w:id="503"/>
      <w:bookmarkEnd w:id="504"/>
      <w:bookmarkEnd w:id="505"/>
      <w:bookmarkEnd w:id="506"/>
      <w:bookmarkEnd w:id="507"/>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一</w:t>
      </w:r>
    </w:p>
    <w:p w14:paraId="6FBB6C6B">
      <w:pPr>
        <w:spacing w:after="156" w:afterLines="50"/>
        <w:ind w:right="0" w:rightChars="0"/>
        <w:jc w:val="center"/>
        <w:outlineLvl w:val="2"/>
        <w:rPr>
          <w:rFonts w:ascii="黑体" w:hAnsi="黑体" w:eastAsia="黑体"/>
          <w:color w:val="000000" w:themeColor="text1"/>
          <w:sz w:val="40"/>
          <w:szCs w:val="40"/>
          <w:highlight w:val="none"/>
          <w14:textFill>
            <w14:solidFill>
              <w14:schemeClr w14:val="tx1"/>
            </w14:solidFill>
          </w14:textFill>
        </w:rPr>
      </w:pPr>
      <w:bookmarkStart w:id="515" w:name="_Toc12609"/>
      <w:bookmarkStart w:id="516" w:name="_Toc32477"/>
      <w:bookmarkStart w:id="517" w:name="_Toc14012"/>
      <w:r>
        <w:rPr>
          <w:rFonts w:hint="eastAsia" w:ascii="黑体" w:hAnsi="黑体" w:eastAsia="黑体" w:cs="仿宋"/>
          <w:b/>
          <w:bCs/>
          <w:color w:val="000000" w:themeColor="text1"/>
          <w:sz w:val="40"/>
          <w:szCs w:val="40"/>
          <w:highlight w:val="none"/>
          <w:lang w:val="en-US" w:eastAsia="zh-CN"/>
          <w14:textFill>
            <w14:solidFill>
              <w14:schemeClr w14:val="tx1"/>
            </w14:solidFill>
          </w14:textFill>
        </w:rPr>
        <w:t>分包单位</w:t>
      </w:r>
      <w:r>
        <w:rPr>
          <w:rFonts w:hint="eastAsia" w:ascii="黑体" w:hAnsi="黑体" w:eastAsia="黑体" w:cs="仿宋"/>
          <w:b/>
          <w:bCs/>
          <w:color w:val="000000" w:themeColor="text1"/>
          <w:sz w:val="40"/>
          <w:szCs w:val="40"/>
          <w:highlight w:val="none"/>
          <w14:textFill>
            <w14:solidFill>
              <w14:schemeClr w14:val="tx1"/>
            </w14:solidFill>
          </w14:textFill>
        </w:rPr>
        <w:t>开工令</w:t>
      </w:r>
      <w:bookmarkEnd w:id="515"/>
      <w:bookmarkEnd w:id="516"/>
      <w:bookmarkEnd w:id="517"/>
    </w:p>
    <w:p w14:paraId="24957FB6">
      <w:pPr>
        <w:spacing w:line="360" w:lineRule="auto"/>
        <w:ind w:right="0" w:right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合同名称：</w:t>
      </w:r>
      <w:r>
        <w:rPr>
          <w:color w:val="000000" w:themeColor="text1"/>
          <w:highlight w:val="none"/>
          <w14:textFill>
            <w14:solidFill>
              <w14:schemeClr w14:val="tx1"/>
            </w14:solidFill>
          </w14:textFill>
        </w:rPr>
        <w:t xml:space="preserve"> </w:t>
      </w:r>
    </w:p>
    <w:p w14:paraId="774AA5FF">
      <w:pPr>
        <w:spacing w:line="360" w:lineRule="auto"/>
        <w:ind w:right="0" w:right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合同编号：                           </w:t>
      </w:r>
    </w:p>
    <w:p w14:paraId="6B04DCBA">
      <w:pPr>
        <w:ind w:right="0" w:rightChars="0"/>
        <w:rPr>
          <w:color w:val="000000" w:themeColor="text1"/>
          <w:highlight w:val="none"/>
          <w14:textFill>
            <w14:solidFill>
              <w14:schemeClr w14:val="tx1"/>
            </w14:solidFill>
          </w14:textFill>
        </w:rPr>
      </w:pPr>
    </w:p>
    <w:tbl>
      <w:tblPr>
        <w:tblStyle w:val="17"/>
        <w:tblW w:w="5137"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44"/>
      </w:tblGrid>
      <w:tr w14:paraId="6219EF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5000" w:type="pct"/>
            <w:tcBorders>
              <w:tl2br w:val="nil"/>
              <w:tr2bl w:val="nil"/>
            </w:tcBorders>
            <w:noWrap/>
            <w:tcMar>
              <w:top w:w="15" w:type="dxa"/>
              <w:left w:w="15" w:type="dxa"/>
              <w:right w:w="15" w:type="dxa"/>
            </w:tcMar>
            <w:vAlign w:val="center"/>
          </w:tcPr>
          <w:p w14:paraId="6AB18085">
            <w:pPr>
              <w:ind w:right="0" w:rightChars="0"/>
              <w:rPr>
                <w:rFonts w:ascii="宋体" w:hAnsi="宋体" w:eastAsia="宋体" w:cs="宋体"/>
                <w:color w:val="000000" w:themeColor="text1"/>
                <w:sz w:val="22"/>
                <w:szCs w:val="22"/>
                <w:highlight w:val="none"/>
                <w14:textFill>
                  <w14:solidFill>
                    <w14:schemeClr w14:val="tx1"/>
                  </w14:solidFill>
                </w14:textFill>
              </w:rPr>
            </w:pPr>
          </w:p>
          <w:p w14:paraId="7101225C">
            <w:pPr>
              <w:spacing w:line="480" w:lineRule="auto"/>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致：（</w:t>
            </w:r>
            <w:r>
              <w:rPr>
                <w:rFonts w:hint="eastAsia" w:ascii="宋体" w:hAnsi="宋体" w:cs="宋体"/>
                <w:b/>
                <w:bCs/>
                <w:color w:val="000000" w:themeColor="text1"/>
                <w:sz w:val="22"/>
                <w:szCs w:val="22"/>
                <w:highlight w:val="none"/>
                <w:lang w:val="en-US" w:eastAsia="zh-CN"/>
                <w14:textFill>
                  <w14:solidFill>
                    <w14:schemeClr w14:val="tx1"/>
                  </w14:solidFill>
                </w14:textFill>
              </w:rPr>
              <w:t>分包单位全称</w:t>
            </w:r>
            <w:r>
              <w:rPr>
                <w:rFonts w:hint="eastAsia" w:ascii="宋体" w:hAnsi="宋体" w:eastAsia="宋体" w:cs="宋体"/>
                <w:b/>
                <w:bCs/>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 xml:space="preserve"> </w:t>
            </w:r>
          </w:p>
          <w:p w14:paraId="6696FC74">
            <w:pPr>
              <w:spacing w:line="480" w:lineRule="auto"/>
              <w:ind w:right="0" w:rightChars="0" w:firstLine="440"/>
              <w:rPr>
                <w:rFonts w:ascii="宋体" w:hAnsi="宋体" w:eastAsia="宋体" w:cs="宋体"/>
                <w:color w:val="000000" w:themeColor="text1"/>
                <w:sz w:val="22"/>
                <w:szCs w:val="22"/>
                <w:highlight w:val="none"/>
                <w:u w:val="singl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你方</w:t>
            </w:r>
            <w:r>
              <w:rPr>
                <w:rFonts w:hint="eastAsia" w:ascii="宋体" w:hAnsi="宋体" w:eastAsia="宋体" w:cs="宋体"/>
                <w:color w:val="000000" w:themeColor="text1"/>
                <w:sz w:val="22"/>
                <w:szCs w:val="22"/>
                <w:highlight w:val="none"/>
                <w:u w:val="none"/>
                <w:lang w:val="en-US" w:eastAsia="zh-CN"/>
                <w14:textFill>
                  <w14:solidFill>
                    <w14:schemeClr w14:val="tx1"/>
                  </w14:solidFill>
                </w14:textFill>
              </w:rPr>
              <w:t>承接的</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X X </w:t>
            </w:r>
            <w:r>
              <w:rPr>
                <w:rFonts w:hint="eastAsia" w:ascii="宋体" w:hAnsi="宋体" w:eastAsia="宋体" w:cs="宋体"/>
                <w:color w:val="000000" w:themeColor="text1"/>
                <w:sz w:val="22"/>
                <w:szCs w:val="22"/>
                <w:highlight w:val="none"/>
                <w:u w:val="none"/>
                <w:lang w:val="en-US" w:eastAsia="zh-CN"/>
                <w14:textFill>
                  <w14:solidFill>
                    <w14:schemeClr w14:val="tx1"/>
                  </w14:solidFill>
                </w14:textFill>
              </w:rPr>
              <w:t>项目</w:t>
            </w:r>
            <w:r>
              <w:rPr>
                <w:rFonts w:hint="eastAsia" w:ascii="宋体" w:hAnsi="宋体" w:eastAsia="宋体" w:cs="宋体"/>
                <w:color w:val="000000" w:themeColor="text1"/>
                <w:sz w:val="22"/>
                <w:szCs w:val="22"/>
                <w:highlight w:val="none"/>
                <w14:textFill>
                  <w14:solidFill>
                    <w14:schemeClr w14:val="tx1"/>
                  </w14:solidFill>
                </w14:textFill>
              </w:rPr>
              <w:t>工程</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X X </w:t>
            </w:r>
            <w:r>
              <w:rPr>
                <w:rFonts w:hint="eastAsia" w:ascii="宋体" w:hAnsi="宋体" w:eastAsia="宋体" w:cs="宋体"/>
                <w:color w:val="000000" w:themeColor="text1"/>
                <w:sz w:val="22"/>
                <w:szCs w:val="22"/>
                <w:highlight w:val="none"/>
                <w:u w:val="none"/>
                <w:lang w:val="en-US" w:eastAsia="zh-CN"/>
                <w14:textFill>
                  <w14:solidFill>
                    <w14:schemeClr w14:val="tx1"/>
                  </w14:solidFill>
                </w14:textFill>
              </w:rPr>
              <w:t>分部/项</w:t>
            </w:r>
            <w:r>
              <w:rPr>
                <w:rFonts w:hint="eastAsia" w:ascii="宋体" w:hAnsi="宋体" w:eastAsia="宋体" w:cs="宋体"/>
                <w:color w:val="000000" w:themeColor="text1"/>
                <w:sz w:val="22"/>
                <w:szCs w:val="22"/>
                <w:highlight w:val="none"/>
                <w:lang w:val="en-US" w:eastAsia="zh-CN"/>
                <w14:textFill>
                  <w14:solidFill>
                    <w14:schemeClr w14:val="tx1"/>
                  </w14:solidFill>
                </w14:textFill>
              </w:rPr>
              <w:t>工程</w:t>
            </w:r>
            <w:r>
              <w:rPr>
                <w:rFonts w:hint="eastAsia" w:ascii="宋体" w:hAnsi="宋体" w:cs="宋体"/>
                <w:color w:val="000000" w:themeColor="text1"/>
                <w:sz w:val="22"/>
                <w:szCs w:val="22"/>
                <w:highlight w:val="none"/>
                <w:lang w:val="en-US" w:eastAsia="zh-CN"/>
                <w14:textFill>
                  <w14:solidFill>
                    <w14:schemeClr w14:val="tx1"/>
                  </w14:solidFill>
                </w14:textFill>
              </w:rPr>
              <w:t>经审查，</w:t>
            </w:r>
            <w:r>
              <w:rPr>
                <w:rFonts w:hint="eastAsia" w:ascii="宋体" w:hAnsi="宋体" w:eastAsia="宋体" w:cs="宋体"/>
                <w:color w:val="000000" w:themeColor="text1"/>
                <w:sz w:val="22"/>
                <w:szCs w:val="22"/>
                <w:highlight w:val="none"/>
                <w:lang w:val="en-US" w:eastAsia="zh-CN"/>
                <w14:textFill>
                  <w14:solidFill>
                    <w14:schemeClr w14:val="tx1"/>
                  </w14:solidFill>
                </w14:textFill>
              </w:rPr>
              <w:t>已具备</w:t>
            </w:r>
            <w:r>
              <w:rPr>
                <w:rFonts w:hint="eastAsia" w:ascii="宋体" w:hAnsi="宋体" w:eastAsia="宋体" w:cs="宋体"/>
                <w:color w:val="000000" w:themeColor="text1"/>
                <w:sz w:val="22"/>
                <w:szCs w:val="22"/>
                <w:highlight w:val="none"/>
                <w14:textFill>
                  <w14:solidFill>
                    <w14:schemeClr w14:val="tx1"/>
                  </w14:solidFill>
                </w14:textFill>
              </w:rPr>
              <w:t>施工合同约定的开工条件，</w:t>
            </w:r>
            <w:r>
              <w:rPr>
                <w:rFonts w:hint="eastAsia" w:ascii="宋体" w:hAnsi="宋体" w:eastAsia="宋体" w:cs="宋体"/>
                <w:color w:val="000000" w:themeColor="text1"/>
                <w:sz w:val="22"/>
                <w:szCs w:val="22"/>
                <w:highlight w:val="none"/>
                <w:lang w:val="en-US" w:eastAsia="zh-CN"/>
                <w14:textFill>
                  <w14:solidFill>
                    <w14:schemeClr w14:val="tx1"/>
                  </w14:solidFill>
                </w14:textFill>
              </w:rPr>
              <w:t>现通知你方正式开工</w:t>
            </w:r>
            <w:r>
              <w:rPr>
                <w:rFonts w:hint="eastAsia" w:ascii="宋体" w:hAnsi="宋体" w:eastAsia="宋体" w:cs="宋体"/>
                <w:color w:val="000000" w:themeColor="text1"/>
                <w:sz w:val="22"/>
                <w:szCs w:val="22"/>
                <w:highlight w:val="none"/>
                <w14:textFill>
                  <w14:solidFill>
                    <w14:schemeClr w14:val="tx1"/>
                  </w14:solidFill>
                </w14:textFill>
              </w:rPr>
              <w:t>。</w:t>
            </w:r>
          </w:p>
          <w:p w14:paraId="4D800C00">
            <w:pPr>
              <w:spacing w:line="480" w:lineRule="auto"/>
              <w:ind w:right="0" w:rightChars="0" w:firstLine="44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本开工令确定此合同的实际开工日期为</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年</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月</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日。</w:t>
            </w:r>
          </w:p>
          <w:p w14:paraId="0A3C98E0">
            <w:pPr>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w:t>
            </w:r>
          </w:p>
          <w:p w14:paraId="6459EFDF">
            <w:pPr>
              <w:spacing w:line="360" w:lineRule="auto"/>
              <w:ind w:right="0" w:rightChars="0" w:firstLine="3520" w:firstLineChars="160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施工总包单位：</w:t>
            </w:r>
            <w:r>
              <w:rPr>
                <w:rFonts w:hint="eastAsia" w:ascii="宋体" w:hAnsi="宋体" w:eastAsia="宋体" w:cs="宋体"/>
                <w:color w:val="000000" w:themeColor="text1"/>
                <w:sz w:val="22"/>
                <w:szCs w:val="22"/>
                <w:highlight w:val="none"/>
                <w:lang w:val="en-US" w:eastAsia="zh-CN"/>
                <w14:textFill>
                  <w14:solidFill>
                    <w14:schemeClr w14:val="tx1"/>
                  </w14:solidFill>
                </w14:textFill>
              </w:rPr>
              <w:t>项目</w:t>
            </w:r>
            <w:r>
              <w:rPr>
                <w:rFonts w:hint="eastAsia" w:ascii="宋体" w:hAnsi="宋体" w:eastAsia="宋体" w:cs="宋体"/>
                <w:color w:val="000000" w:themeColor="text1"/>
                <w:sz w:val="22"/>
                <w:szCs w:val="22"/>
                <w:highlight w:val="none"/>
                <w14:textFill>
                  <w14:solidFill>
                    <w14:schemeClr w14:val="tx1"/>
                  </w14:solidFill>
                </w14:textFill>
              </w:rPr>
              <w:t>（全称及</w:t>
            </w:r>
            <w:r>
              <w:rPr>
                <w:rFonts w:hint="eastAsia" w:ascii="宋体" w:hAnsi="宋体" w:eastAsia="宋体" w:cs="宋体"/>
                <w:color w:val="000000" w:themeColor="text1"/>
                <w:sz w:val="22"/>
                <w:szCs w:val="22"/>
                <w:highlight w:val="none"/>
                <w:lang w:val="en-US" w:eastAsia="zh-CN"/>
                <w14:textFill>
                  <w14:solidFill>
                    <w14:schemeClr w14:val="tx1"/>
                  </w14:solidFill>
                </w14:textFill>
              </w:rPr>
              <w:t>项目</w:t>
            </w:r>
            <w:r>
              <w:rPr>
                <w:rFonts w:hint="eastAsia" w:ascii="宋体" w:hAnsi="宋体" w:eastAsia="宋体" w:cs="宋体"/>
                <w:color w:val="000000" w:themeColor="text1"/>
                <w:sz w:val="22"/>
                <w:szCs w:val="22"/>
                <w:highlight w:val="none"/>
                <w14:textFill>
                  <w14:solidFill>
                    <w14:schemeClr w14:val="tx1"/>
                  </w14:solidFill>
                </w14:textFill>
              </w:rPr>
              <w:t>盖章）</w:t>
            </w:r>
          </w:p>
          <w:p w14:paraId="77CF9C18">
            <w:pPr>
              <w:spacing w:line="360" w:lineRule="auto"/>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项目负责人：（签名）</w:t>
            </w:r>
          </w:p>
          <w:p w14:paraId="4D40FF9F">
            <w:pPr>
              <w:spacing w:line="360" w:lineRule="auto"/>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日      期：      年    月    日</w:t>
            </w:r>
          </w:p>
          <w:p w14:paraId="50FBF971">
            <w:pPr>
              <w:ind w:right="0" w:rightChars="0"/>
              <w:rPr>
                <w:rFonts w:ascii="宋体" w:hAnsi="宋体" w:eastAsia="宋体" w:cs="宋体"/>
                <w:color w:val="000000" w:themeColor="text1"/>
                <w:sz w:val="22"/>
                <w:szCs w:val="22"/>
                <w:highlight w:val="none"/>
                <w14:textFill>
                  <w14:solidFill>
                    <w14:schemeClr w14:val="tx1"/>
                  </w14:solidFill>
                </w14:textFill>
              </w:rPr>
            </w:pPr>
          </w:p>
        </w:tc>
      </w:tr>
      <w:tr w14:paraId="502BFE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51" w:hRule="atLeast"/>
        </w:trPr>
        <w:tc>
          <w:tcPr>
            <w:tcW w:w="5000" w:type="pct"/>
            <w:tcBorders>
              <w:tl2br w:val="nil"/>
              <w:tr2bl w:val="nil"/>
            </w:tcBorders>
            <w:noWrap/>
            <w:tcMar>
              <w:top w:w="15" w:type="dxa"/>
              <w:left w:w="15" w:type="dxa"/>
              <w:right w:w="15" w:type="dxa"/>
            </w:tcMar>
            <w:vAlign w:val="center"/>
          </w:tcPr>
          <w:p w14:paraId="74FA160F">
            <w:pPr>
              <w:ind w:right="0" w:rightChars="0"/>
              <w:rPr>
                <w:rFonts w:ascii="宋体" w:hAnsi="宋体" w:eastAsia="宋体" w:cs="宋体"/>
                <w:color w:val="000000" w:themeColor="text1"/>
                <w:sz w:val="22"/>
                <w:szCs w:val="22"/>
                <w:highlight w:val="none"/>
                <w14:textFill>
                  <w14:solidFill>
                    <w14:schemeClr w14:val="tx1"/>
                  </w14:solidFill>
                </w14:textFill>
              </w:rPr>
            </w:pPr>
          </w:p>
          <w:p w14:paraId="677D0B04">
            <w:pPr>
              <w:pStyle w:val="16"/>
              <w:tabs>
                <w:tab w:val="left" w:pos="840"/>
                <w:tab w:val="clear" w:pos="-116"/>
                <w:tab w:val="clear" w:pos="420"/>
              </w:tabs>
              <w:ind w:right="0" w:rightChars="0"/>
              <w:rPr>
                <w:color w:val="000000" w:themeColor="text1"/>
                <w:highlight w:val="none"/>
                <w14:textFill>
                  <w14:solidFill>
                    <w14:schemeClr w14:val="tx1"/>
                  </w14:solidFill>
                </w14:textFill>
              </w:rPr>
            </w:pPr>
          </w:p>
          <w:p w14:paraId="428F4DEF">
            <w:pPr>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今已收到项目的开工令。</w:t>
            </w:r>
          </w:p>
          <w:p w14:paraId="256D3906">
            <w:pPr>
              <w:spacing w:line="360" w:lineRule="auto"/>
              <w:ind w:right="0" w:rightChars="0" w:firstLine="3520" w:firstLineChars="1600"/>
              <w:rPr>
                <w:rFonts w:ascii="宋体" w:hAnsi="宋体" w:eastAsia="宋体" w:cs="宋体"/>
                <w:color w:val="000000" w:themeColor="text1"/>
                <w:sz w:val="22"/>
                <w:szCs w:val="22"/>
                <w:highlight w:val="none"/>
                <w14:textFill>
                  <w14:solidFill>
                    <w14:schemeClr w14:val="tx1"/>
                  </w14:solidFill>
                </w14:textFill>
              </w:rPr>
            </w:pPr>
          </w:p>
          <w:p w14:paraId="74A18822">
            <w:pPr>
              <w:pStyle w:val="16"/>
              <w:tabs>
                <w:tab w:val="left" w:pos="840"/>
                <w:tab w:val="clear" w:pos="-116"/>
                <w:tab w:val="clear" w:pos="420"/>
              </w:tabs>
              <w:ind w:right="0" w:rightChars="0"/>
              <w:rPr>
                <w:color w:val="000000" w:themeColor="text1"/>
                <w:highlight w:val="none"/>
                <w14:textFill>
                  <w14:solidFill>
                    <w14:schemeClr w14:val="tx1"/>
                  </w14:solidFill>
                </w14:textFill>
              </w:rPr>
            </w:pPr>
          </w:p>
          <w:p w14:paraId="2DF6AFC5">
            <w:pPr>
              <w:spacing w:line="360" w:lineRule="auto"/>
              <w:ind w:right="0" w:rightChars="0" w:firstLine="3520" w:firstLineChars="160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分包单位：（全称及盖章）</w:t>
            </w:r>
          </w:p>
          <w:p w14:paraId="598AD2AA">
            <w:pPr>
              <w:spacing w:line="360" w:lineRule="auto"/>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w:t>
            </w:r>
            <w:r>
              <w:rPr>
                <w:rFonts w:hint="eastAsia" w:ascii="宋体" w:hAnsi="宋体" w:cs="宋体"/>
                <w:color w:val="000000" w:themeColor="text1"/>
                <w:sz w:val="22"/>
                <w:szCs w:val="22"/>
                <w:highlight w:val="none"/>
                <w:lang w:val="en-US" w:eastAsia="zh-CN"/>
                <w14:textFill>
                  <w14:solidFill>
                    <w14:schemeClr w14:val="tx1"/>
                  </w14:solidFill>
                </w14:textFill>
              </w:rPr>
              <w:t>现场</w:t>
            </w:r>
            <w:r>
              <w:rPr>
                <w:rFonts w:hint="eastAsia" w:ascii="宋体" w:hAnsi="宋体" w:eastAsia="宋体" w:cs="宋体"/>
                <w:color w:val="000000" w:themeColor="text1"/>
                <w:sz w:val="22"/>
                <w:szCs w:val="22"/>
                <w:highlight w:val="none"/>
                <w14:textFill>
                  <w14:solidFill>
                    <w14:schemeClr w14:val="tx1"/>
                  </w14:solidFill>
                </w14:textFill>
              </w:rPr>
              <w:t>负责人：（签名）</w:t>
            </w:r>
          </w:p>
          <w:p w14:paraId="5E872B94">
            <w:pPr>
              <w:spacing w:line="360" w:lineRule="auto"/>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日      期：      年    月    </w:t>
            </w:r>
            <w:r>
              <w:rPr>
                <w:rFonts w:hint="eastAsia" w:ascii="宋体" w:hAnsi="宋体" w:eastAsia="宋体" w:cs="宋体"/>
                <w:color w:val="000000" w:themeColor="text1"/>
                <w:sz w:val="22"/>
                <w:szCs w:val="22"/>
                <w:highlight w:val="none"/>
                <w:lang w:val="en-US" w:eastAsia="zh-CN"/>
                <w14:textFill>
                  <w14:solidFill>
                    <w14:schemeClr w14:val="tx1"/>
                  </w14:solidFill>
                </w14:textFill>
              </w:rPr>
              <w:t>日</w:t>
            </w:r>
          </w:p>
        </w:tc>
      </w:tr>
    </w:tbl>
    <w:p w14:paraId="3198163A">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1B195321">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75A5032A">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1601A42F">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09CA45A0">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518" w:name="_Toc12826"/>
      <w:bookmarkStart w:id="519" w:name="_Toc12620"/>
      <w:bookmarkStart w:id="520" w:name="_Toc25837"/>
      <w:bookmarkStart w:id="521" w:name="_Toc5408"/>
      <w:bookmarkStart w:id="522" w:name="_Toc7310"/>
      <w:bookmarkStart w:id="523" w:name="_Toc7418"/>
      <w:bookmarkStart w:id="524" w:name="_Toc21603"/>
      <w:bookmarkStart w:id="525" w:name="_Toc1879"/>
      <w:bookmarkStart w:id="526" w:name="_Toc1063"/>
      <w:bookmarkStart w:id="527" w:name="_Toc2480"/>
      <w:bookmarkStart w:id="528" w:name="_Toc23686"/>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518"/>
      <w:bookmarkEnd w:id="519"/>
      <w:bookmarkEnd w:id="520"/>
      <w:bookmarkEnd w:id="521"/>
      <w:bookmarkEnd w:id="522"/>
      <w:bookmarkEnd w:id="523"/>
      <w:bookmarkEnd w:id="524"/>
      <w:bookmarkEnd w:id="525"/>
      <w:bookmarkEnd w:id="526"/>
      <w:bookmarkEnd w:id="527"/>
      <w:bookmarkEnd w:id="528"/>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二</w:t>
      </w:r>
    </w:p>
    <w:tbl>
      <w:tblPr>
        <w:tblStyle w:val="17"/>
        <w:tblW w:w="5138" w:type="pct"/>
        <w:tblInd w:w="-127" w:type="dxa"/>
        <w:tblLayout w:type="fixed"/>
        <w:tblCellMar>
          <w:top w:w="15" w:type="dxa"/>
          <w:left w:w="15" w:type="dxa"/>
          <w:bottom w:w="15" w:type="dxa"/>
          <w:right w:w="15" w:type="dxa"/>
        </w:tblCellMar>
      </w:tblPr>
      <w:tblGrid>
        <w:gridCol w:w="10046"/>
      </w:tblGrid>
      <w:tr w14:paraId="22BB407F">
        <w:tblPrEx>
          <w:tblCellMar>
            <w:top w:w="15" w:type="dxa"/>
            <w:left w:w="15" w:type="dxa"/>
            <w:bottom w:w="15" w:type="dxa"/>
            <w:right w:w="15" w:type="dxa"/>
          </w:tblCellMar>
        </w:tblPrEx>
        <w:trPr>
          <w:trHeight w:val="13066" w:hRule="atLeast"/>
        </w:trPr>
        <w:tc>
          <w:tcPr>
            <w:tcW w:w="5000" w:type="pct"/>
            <w:noWrap w:val="0"/>
            <w:vAlign w:val="center"/>
          </w:tcPr>
          <w:p w14:paraId="4E18CDC4">
            <w:pPr>
              <w:spacing w:before="90" w:line="226" w:lineRule="auto"/>
              <w:ind w:left="3175"/>
              <w:outlineLvl w:val="0"/>
              <w:rPr>
                <w:rFonts w:ascii="仿宋" w:hAnsi="仿宋" w:eastAsia="仿宋" w:cs="仿宋"/>
                <w:color w:val="000000" w:themeColor="text1"/>
                <w:sz w:val="31"/>
                <w:szCs w:val="31"/>
                <w:highlight w:val="none"/>
                <w14:textFill>
                  <w14:solidFill>
                    <w14:schemeClr w14:val="tx1"/>
                  </w14:solidFill>
                </w14:textFill>
              </w:rPr>
            </w:pPr>
            <w:bookmarkStart w:id="529" w:name="_Toc1475"/>
            <w:bookmarkStart w:id="530" w:name="_Toc9291"/>
            <w:bookmarkStart w:id="531" w:name="_Toc30698"/>
            <w:bookmarkStart w:id="532" w:name="_Toc19511"/>
            <w:bookmarkStart w:id="533" w:name="_Toc11791"/>
            <w:bookmarkStart w:id="534" w:name="_Toc8418"/>
            <w:bookmarkStart w:id="535" w:name="_Toc15779"/>
            <w:bookmarkStart w:id="536" w:name="_Toc5587"/>
            <w:bookmarkStart w:id="537" w:name="_Toc2053"/>
            <w:bookmarkStart w:id="538" w:name="_Toc27619"/>
            <w:bookmarkStart w:id="539" w:name="_Toc2581"/>
            <w:r>
              <w:rPr>
                <w:rFonts w:ascii="仿宋" w:hAnsi="仿宋" w:eastAsia="仿宋" w:cs="仿宋"/>
                <w:color w:val="000000" w:themeColor="text1"/>
                <w:spacing w:val="9"/>
                <w:sz w:val="31"/>
                <w:szCs w:val="31"/>
                <w:highlight w:val="none"/>
                <w14:textFill>
                  <w14:solidFill>
                    <w14:schemeClr w14:val="tx1"/>
                  </w14:solidFill>
                </w14:textFill>
              </w:rPr>
              <w:t>分</w:t>
            </w:r>
            <w:r>
              <w:rPr>
                <w:rFonts w:ascii="仿宋" w:hAnsi="仿宋" w:eastAsia="仿宋" w:cs="仿宋"/>
                <w:color w:val="000000" w:themeColor="text1"/>
                <w:spacing w:val="7"/>
                <w:sz w:val="31"/>
                <w:szCs w:val="31"/>
                <w:highlight w:val="none"/>
                <w14:textFill>
                  <w14:solidFill>
                    <w14:schemeClr w14:val="tx1"/>
                  </w14:solidFill>
                </w14:textFill>
              </w:rPr>
              <w:t>包签证确认单</w:t>
            </w:r>
            <w:bookmarkEnd w:id="529"/>
            <w:bookmarkEnd w:id="530"/>
            <w:bookmarkEnd w:id="531"/>
            <w:bookmarkEnd w:id="532"/>
            <w:bookmarkEnd w:id="533"/>
            <w:bookmarkEnd w:id="534"/>
            <w:bookmarkEnd w:id="535"/>
            <w:bookmarkEnd w:id="536"/>
            <w:bookmarkEnd w:id="537"/>
            <w:bookmarkEnd w:id="538"/>
            <w:bookmarkEnd w:id="539"/>
          </w:p>
          <w:tbl>
            <w:tblPr>
              <w:tblStyle w:val="30"/>
              <w:tblW w:w="92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74"/>
              <w:gridCol w:w="2513"/>
              <w:gridCol w:w="2204"/>
              <w:gridCol w:w="2668"/>
            </w:tblGrid>
            <w:tr w14:paraId="703D4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874" w:type="dxa"/>
                  <w:tcBorders>
                    <w:right w:val="nil"/>
                  </w:tcBorders>
                  <w:noWrap w:val="0"/>
                  <w:vAlign w:val="top"/>
                </w:tcPr>
                <w:p w14:paraId="19D93B0E">
                  <w:pPr>
                    <w:spacing w:before="149" w:line="230" w:lineRule="auto"/>
                    <w:ind w:left="31"/>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7"/>
                      <w:sz w:val="20"/>
                      <w:szCs w:val="20"/>
                      <w:highlight w:val="none"/>
                      <w14:textFill>
                        <w14:solidFill>
                          <w14:schemeClr w14:val="tx1"/>
                        </w14:solidFill>
                      </w14:textFill>
                    </w:rPr>
                    <w:t>工</w:t>
                  </w:r>
                  <w:r>
                    <w:rPr>
                      <w:rFonts w:hint="eastAsia" w:ascii="仿宋" w:hAnsi="仿宋" w:eastAsia="仿宋" w:cs="仿宋"/>
                      <w:color w:val="000000" w:themeColor="text1"/>
                      <w:spacing w:val="4"/>
                      <w:sz w:val="20"/>
                      <w:szCs w:val="20"/>
                      <w:highlight w:val="none"/>
                      <w14:textFill>
                        <w14:solidFill>
                          <w14:schemeClr w14:val="tx1"/>
                        </w14:solidFill>
                      </w14:textFill>
                    </w:rPr>
                    <w:t>程名称：</w:t>
                  </w:r>
                </w:p>
              </w:tc>
              <w:tc>
                <w:tcPr>
                  <w:tcW w:w="7385" w:type="dxa"/>
                  <w:gridSpan w:val="3"/>
                  <w:tcBorders>
                    <w:left w:val="nil"/>
                  </w:tcBorders>
                  <w:noWrap w:val="0"/>
                  <w:vAlign w:val="top"/>
                </w:tcPr>
                <w:p w14:paraId="569EABC2">
                  <w:pPr>
                    <w:spacing w:before="149" w:line="230" w:lineRule="auto"/>
                    <w:ind w:left="2506"/>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0"/>
                      <w:sz w:val="20"/>
                      <w:szCs w:val="20"/>
                      <w:highlight w:val="none"/>
                      <w14:textFill>
                        <w14:solidFill>
                          <w14:schemeClr w14:val="tx1"/>
                        </w14:solidFill>
                      </w14:textFill>
                    </w:rPr>
                    <w:t>分</w:t>
                  </w:r>
                  <w:r>
                    <w:rPr>
                      <w:rFonts w:hint="eastAsia" w:ascii="仿宋" w:hAnsi="仿宋" w:eastAsia="仿宋" w:cs="仿宋"/>
                      <w:color w:val="000000" w:themeColor="text1"/>
                      <w:spacing w:val="6"/>
                      <w:sz w:val="20"/>
                      <w:szCs w:val="20"/>
                      <w:highlight w:val="none"/>
                      <w14:textFill>
                        <w14:solidFill>
                          <w14:schemeClr w14:val="tx1"/>
                        </w14:solidFill>
                      </w14:textFill>
                    </w:rPr>
                    <w:t>包工程名称：</w:t>
                  </w:r>
                </w:p>
              </w:tc>
            </w:tr>
            <w:tr w14:paraId="4F9C5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874" w:type="dxa"/>
                  <w:tcBorders>
                    <w:right w:val="nil"/>
                  </w:tcBorders>
                  <w:noWrap w:val="0"/>
                  <w:vAlign w:val="top"/>
                </w:tcPr>
                <w:p w14:paraId="715C77BC">
                  <w:pPr>
                    <w:spacing w:before="125" w:line="230"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8"/>
                      <w:sz w:val="20"/>
                      <w:szCs w:val="20"/>
                      <w:highlight w:val="none"/>
                      <w14:textFill>
                        <w14:solidFill>
                          <w14:schemeClr w14:val="tx1"/>
                        </w14:solidFill>
                      </w14:textFill>
                    </w:rPr>
                    <w:t>分</w:t>
                  </w:r>
                  <w:r>
                    <w:rPr>
                      <w:rFonts w:hint="eastAsia" w:ascii="仿宋" w:hAnsi="仿宋" w:eastAsia="仿宋" w:cs="仿宋"/>
                      <w:color w:val="000000" w:themeColor="text1"/>
                      <w:spacing w:val="5"/>
                      <w:sz w:val="20"/>
                      <w:szCs w:val="20"/>
                      <w:highlight w:val="none"/>
                      <w14:textFill>
                        <w14:solidFill>
                          <w14:schemeClr w14:val="tx1"/>
                        </w14:solidFill>
                      </w14:textFill>
                    </w:rPr>
                    <w:t>包单位：</w:t>
                  </w:r>
                </w:p>
              </w:tc>
              <w:tc>
                <w:tcPr>
                  <w:tcW w:w="4717" w:type="dxa"/>
                  <w:gridSpan w:val="2"/>
                  <w:tcBorders>
                    <w:left w:val="nil"/>
                    <w:right w:val="nil"/>
                  </w:tcBorders>
                  <w:noWrap w:val="0"/>
                  <w:vAlign w:val="top"/>
                </w:tcPr>
                <w:p w14:paraId="6AFE6279">
                  <w:pPr>
                    <w:spacing w:before="125" w:line="232" w:lineRule="auto"/>
                    <w:ind w:left="2908"/>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6"/>
                      <w:sz w:val="20"/>
                      <w:szCs w:val="20"/>
                      <w:highlight w:val="none"/>
                      <w14:textFill>
                        <w14:solidFill>
                          <w14:schemeClr w14:val="tx1"/>
                        </w14:solidFill>
                      </w14:textFill>
                    </w:rPr>
                    <w:t>填</w:t>
                  </w:r>
                  <w:r>
                    <w:rPr>
                      <w:rFonts w:hint="eastAsia" w:ascii="仿宋" w:hAnsi="仿宋" w:eastAsia="仿宋" w:cs="仿宋"/>
                      <w:color w:val="000000" w:themeColor="text1"/>
                      <w:spacing w:val="5"/>
                      <w:sz w:val="20"/>
                      <w:szCs w:val="20"/>
                      <w:highlight w:val="none"/>
                      <w14:textFill>
                        <w14:solidFill>
                          <w14:schemeClr w14:val="tx1"/>
                        </w14:solidFill>
                      </w14:textFill>
                    </w:rPr>
                    <w:t>表日期：</w:t>
                  </w:r>
                </w:p>
              </w:tc>
              <w:tc>
                <w:tcPr>
                  <w:tcW w:w="2668" w:type="dxa"/>
                  <w:tcBorders>
                    <w:left w:val="nil"/>
                  </w:tcBorders>
                  <w:noWrap w:val="0"/>
                  <w:vAlign w:val="top"/>
                </w:tcPr>
                <w:p w14:paraId="07868549">
                  <w:pPr>
                    <w:spacing w:before="124" w:line="233" w:lineRule="auto"/>
                    <w:ind w:left="633"/>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2"/>
                      <w:sz w:val="20"/>
                      <w:szCs w:val="20"/>
                      <w:highlight w:val="none"/>
                      <w14:textFill>
                        <w14:solidFill>
                          <w14:schemeClr w14:val="tx1"/>
                        </w14:solidFill>
                      </w14:textFill>
                    </w:rPr>
                    <w:t>编号</w:t>
                  </w:r>
                  <w:r>
                    <w:rPr>
                      <w:rFonts w:hint="eastAsia" w:ascii="仿宋" w:hAnsi="仿宋" w:eastAsia="仿宋" w:cs="仿宋"/>
                      <w:color w:val="000000" w:themeColor="text1"/>
                      <w:spacing w:val="1"/>
                      <w:sz w:val="20"/>
                      <w:szCs w:val="20"/>
                      <w:highlight w:val="none"/>
                      <w14:textFill>
                        <w14:solidFill>
                          <w14:schemeClr w14:val="tx1"/>
                        </w14:solidFill>
                      </w14:textFill>
                    </w:rPr>
                    <w:t>：</w:t>
                  </w:r>
                </w:p>
              </w:tc>
            </w:tr>
            <w:tr w14:paraId="387E8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9259" w:type="dxa"/>
                  <w:gridSpan w:val="4"/>
                  <w:noWrap w:val="0"/>
                  <w:vAlign w:val="top"/>
                </w:tcPr>
                <w:p w14:paraId="735AC2FE">
                  <w:pPr>
                    <w:spacing w:before="67" w:line="230" w:lineRule="auto"/>
                    <w:ind w:left="677"/>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7"/>
                      <w:sz w:val="20"/>
                      <w:szCs w:val="20"/>
                      <w:highlight w:val="none"/>
                      <w14:textFill>
                        <w14:solidFill>
                          <w14:schemeClr w14:val="tx1"/>
                        </w14:solidFill>
                      </w14:textFill>
                    </w:rPr>
                    <w:t>□减少项目      □增加项目    □变更     □点工    □机械台班     □</w:t>
                  </w:r>
                  <w:r>
                    <w:rPr>
                      <w:rFonts w:hint="eastAsia" w:ascii="仿宋" w:hAnsi="仿宋" w:eastAsia="仿宋" w:cs="仿宋"/>
                      <w:color w:val="000000" w:themeColor="text1"/>
                      <w:spacing w:val="6"/>
                      <w:sz w:val="20"/>
                      <w:szCs w:val="20"/>
                      <w:highlight w:val="none"/>
                      <w14:textFill>
                        <w14:solidFill>
                          <w14:schemeClr w14:val="tx1"/>
                        </w14:solidFill>
                      </w14:textFill>
                    </w:rPr>
                    <w:t>其</w:t>
                  </w:r>
                  <w:r>
                    <w:rPr>
                      <w:rFonts w:hint="eastAsia" w:ascii="仿宋" w:hAnsi="仿宋" w:eastAsia="仿宋" w:cs="仿宋"/>
                      <w:color w:val="000000" w:themeColor="text1"/>
                      <w:sz w:val="20"/>
                      <w:szCs w:val="20"/>
                      <w:highlight w:val="none"/>
                      <w14:textFill>
                        <w14:solidFill>
                          <w14:schemeClr w14:val="tx1"/>
                        </w14:solidFill>
                      </w14:textFill>
                    </w:rPr>
                    <w:t>它</w:t>
                  </w:r>
                </w:p>
              </w:tc>
            </w:tr>
            <w:tr w14:paraId="5AD19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874" w:type="dxa"/>
                  <w:noWrap w:val="0"/>
                  <w:vAlign w:val="top"/>
                </w:tcPr>
                <w:p w14:paraId="59D74247">
                  <w:pPr>
                    <w:spacing w:before="175" w:line="231" w:lineRule="auto"/>
                    <w:ind w:left="26"/>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8"/>
                      <w:sz w:val="20"/>
                      <w:szCs w:val="20"/>
                      <w:highlight w:val="none"/>
                      <w14:textFill>
                        <w14:solidFill>
                          <w14:schemeClr w14:val="tx1"/>
                        </w14:solidFill>
                      </w14:textFill>
                    </w:rPr>
                    <w:t>施</w:t>
                  </w:r>
                  <w:r>
                    <w:rPr>
                      <w:rFonts w:hint="eastAsia" w:ascii="仿宋" w:hAnsi="仿宋" w:eastAsia="仿宋" w:cs="仿宋"/>
                      <w:color w:val="000000" w:themeColor="text1"/>
                      <w:spacing w:val="6"/>
                      <w:sz w:val="20"/>
                      <w:szCs w:val="20"/>
                      <w:highlight w:val="none"/>
                      <w14:textFill>
                        <w14:solidFill>
                          <w14:schemeClr w14:val="tx1"/>
                        </w14:solidFill>
                      </w14:textFill>
                    </w:rPr>
                    <w:t>工部位</w:t>
                  </w:r>
                </w:p>
              </w:tc>
              <w:tc>
                <w:tcPr>
                  <w:tcW w:w="7385" w:type="dxa"/>
                  <w:gridSpan w:val="3"/>
                  <w:noWrap w:val="0"/>
                  <w:vAlign w:val="top"/>
                </w:tcPr>
                <w:p w14:paraId="6F79E663">
                  <w:pPr>
                    <w:rPr>
                      <w:rFonts w:hint="eastAsia" w:ascii="仿宋" w:hAnsi="仿宋" w:eastAsia="仿宋" w:cs="仿宋"/>
                      <w:color w:val="000000" w:themeColor="text1"/>
                      <w:sz w:val="22"/>
                      <w:szCs w:val="22"/>
                      <w:highlight w:val="none"/>
                      <w14:textFill>
                        <w14:solidFill>
                          <w14:schemeClr w14:val="tx1"/>
                        </w14:solidFill>
                      </w14:textFill>
                    </w:rPr>
                  </w:pPr>
                </w:p>
              </w:tc>
            </w:tr>
            <w:tr w14:paraId="0F2E4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874" w:type="dxa"/>
                  <w:noWrap w:val="0"/>
                  <w:vAlign w:val="top"/>
                </w:tcPr>
                <w:p w14:paraId="786CE4C5">
                  <w:pPr>
                    <w:spacing w:before="176" w:line="230" w:lineRule="auto"/>
                    <w:ind w:left="33"/>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0"/>
                      <w:sz w:val="20"/>
                      <w:szCs w:val="20"/>
                      <w:highlight w:val="none"/>
                      <w14:textFill>
                        <w14:solidFill>
                          <w14:schemeClr w14:val="tx1"/>
                        </w14:solidFill>
                      </w14:textFill>
                    </w:rPr>
                    <w:t>费</w:t>
                  </w:r>
                  <w:r>
                    <w:rPr>
                      <w:rFonts w:hint="eastAsia" w:ascii="仿宋" w:hAnsi="仿宋" w:eastAsia="仿宋" w:cs="仿宋"/>
                      <w:color w:val="000000" w:themeColor="text1"/>
                      <w:spacing w:val="6"/>
                      <w:sz w:val="20"/>
                      <w:szCs w:val="20"/>
                      <w:highlight w:val="none"/>
                      <w14:textFill>
                        <w14:solidFill>
                          <w14:schemeClr w14:val="tx1"/>
                        </w14:solidFill>
                      </w14:textFill>
                    </w:rPr>
                    <w:t>用承担单位</w:t>
                  </w:r>
                </w:p>
              </w:tc>
              <w:tc>
                <w:tcPr>
                  <w:tcW w:w="7385" w:type="dxa"/>
                  <w:gridSpan w:val="3"/>
                  <w:noWrap w:val="0"/>
                  <w:vAlign w:val="top"/>
                </w:tcPr>
                <w:p w14:paraId="36CC49B5">
                  <w:pPr>
                    <w:rPr>
                      <w:rFonts w:hint="eastAsia" w:ascii="仿宋" w:hAnsi="仿宋" w:eastAsia="仿宋" w:cs="仿宋"/>
                      <w:color w:val="000000" w:themeColor="text1"/>
                      <w:sz w:val="22"/>
                      <w:szCs w:val="22"/>
                      <w:highlight w:val="none"/>
                      <w14:textFill>
                        <w14:solidFill>
                          <w14:schemeClr w14:val="tx1"/>
                        </w14:solidFill>
                      </w14:textFill>
                    </w:rPr>
                  </w:pPr>
                </w:p>
              </w:tc>
            </w:tr>
            <w:tr w14:paraId="2A3C4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9259" w:type="dxa"/>
                  <w:gridSpan w:val="4"/>
                  <w:noWrap w:val="0"/>
                  <w:vAlign w:val="top"/>
                </w:tcPr>
                <w:p w14:paraId="08F60C38">
                  <w:pPr>
                    <w:spacing w:before="152" w:line="229" w:lineRule="auto"/>
                    <w:ind w:left="34"/>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4"/>
                      <w:sz w:val="20"/>
                      <w:szCs w:val="20"/>
                      <w:highlight w:val="none"/>
                      <w14:textFill>
                        <w14:solidFill>
                          <w14:schemeClr w14:val="tx1"/>
                        </w14:solidFill>
                      </w14:textFill>
                    </w:rPr>
                    <w:t>与建</w:t>
                  </w:r>
                  <w:r>
                    <w:rPr>
                      <w:rFonts w:hint="eastAsia" w:ascii="仿宋" w:hAnsi="仿宋" w:eastAsia="仿宋" w:cs="仿宋"/>
                      <w:color w:val="000000" w:themeColor="text1"/>
                      <w:spacing w:val="3"/>
                      <w:sz w:val="20"/>
                      <w:szCs w:val="20"/>
                      <w:highlight w:val="none"/>
                      <w14:textFill>
                        <w14:solidFill>
                          <w14:schemeClr w14:val="tx1"/>
                        </w14:solidFill>
                      </w14:textFill>
                    </w:rPr>
                    <w:t>设</w:t>
                  </w:r>
                  <w:r>
                    <w:rPr>
                      <w:rFonts w:hint="eastAsia" w:ascii="仿宋" w:hAnsi="仿宋" w:eastAsia="仿宋" w:cs="仿宋"/>
                      <w:color w:val="000000" w:themeColor="text1"/>
                      <w:spacing w:val="2"/>
                      <w:sz w:val="20"/>
                      <w:szCs w:val="20"/>
                      <w:highlight w:val="none"/>
                      <w14:textFill>
                        <w14:solidFill>
                          <w14:schemeClr w14:val="tx1"/>
                        </w14:solidFill>
                      </w14:textFill>
                    </w:rPr>
                    <w:t xml:space="preserve">单位是否办理签证  </w:t>
                  </w:r>
                  <w:r>
                    <w:rPr>
                      <w:rFonts w:hint="eastAsia" w:ascii="仿宋" w:hAnsi="仿宋" w:eastAsia="仿宋" w:cs="仿宋"/>
                      <w:color w:val="000000" w:themeColor="text1"/>
                      <w:position w:val="-4"/>
                      <w:sz w:val="20"/>
                      <w:szCs w:val="20"/>
                      <w:highlight w:val="none"/>
                      <w14:textFill>
                        <w14:solidFill>
                          <w14:schemeClr w14:val="tx1"/>
                        </w14:solidFill>
                      </w14:textFill>
                    </w:rPr>
                    <w:drawing>
                      <wp:inline distT="0" distB="0" distL="114300" distR="114300">
                        <wp:extent cx="90805" cy="139700"/>
                        <wp:effectExtent l="0" t="0" r="4445" b="13335"/>
                        <wp:docPr id="4" name="图片 1"/>
                        <wp:cNvGraphicFramePr/>
                        <a:graphic xmlns:a="http://schemas.openxmlformats.org/drawingml/2006/main">
                          <a:graphicData uri="http://schemas.openxmlformats.org/drawingml/2006/picture">
                            <pic:pic xmlns:pic="http://schemas.openxmlformats.org/drawingml/2006/picture">
                              <pic:nvPicPr>
                                <pic:cNvPr id="4" name="图片 1"/>
                                <pic:cNvPicPr/>
                              </pic:nvPicPr>
                              <pic:blipFill>
                                <a:blip r:embed="rId11"/>
                                <a:stretch>
                                  <a:fillRect/>
                                </a:stretch>
                              </pic:blipFill>
                              <pic:spPr>
                                <a:xfrm>
                                  <a:off x="0" y="0"/>
                                  <a:ext cx="90805" cy="139700"/>
                                </a:xfrm>
                                <a:prstGeom prst="rect">
                                  <a:avLst/>
                                </a:prstGeom>
                                <a:noFill/>
                                <a:ln>
                                  <a:noFill/>
                                </a:ln>
                              </pic:spPr>
                            </pic:pic>
                          </a:graphicData>
                        </a:graphic>
                      </wp:inline>
                    </w:drawing>
                  </w:r>
                  <w:r>
                    <w:rPr>
                      <w:rFonts w:hint="eastAsia" w:ascii="仿宋" w:hAnsi="仿宋" w:eastAsia="仿宋" w:cs="仿宋"/>
                      <w:color w:val="000000" w:themeColor="text1"/>
                      <w:spacing w:val="2"/>
                      <w:sz w:val="20"/>
                      <w:szCs w:val="20"/>
                      <w:highlight w:val="none"/>
                      <w14:textFill>
                        <w14:solidFill>
                          <w14:schemeClr w14:val="tx1"/>
                        </w14:solidFill>
                      </w14:textFill>
                    </w:rPr>
                    <w:t>是 签证编号：</w:t>
                  </w:r>
                  <w:r>
                    <w:rPr>
                      <w:rFonts w:hint="eastAsia" w:ascii="仿宋" w:hAnsi="仿宋" w:eastAsia="仿宋" w:cs="仿宋"/>
                      <w:color w:val="000000" w:themeColor="text1"/>
                      <w:spacing w:val="2"/>
                      <w:sz w:val="20"/>
                      <w:szCs w:val="20"/>
                      <w:highlight w:val="none"/>
                      <w:u w:val="single" w:color="auto"/>
                      <w14:textFill>
                        <w14:solidFill>
                          <w14:schemeClr w14:val="tx1"/>
                        </w14:solidFill>
                      </w14:textFill>
                    </w:rPr>
                    <w:t xml:space="preserve">                                  </w:t>
                  </w:r>
                  <w:r>
                    <w:rPr>
                      <w:rFonts w:hint="eastAsia" w:ascii="仿宋" w:hAnsi="仿宋" w:eastAsia="仿宋" w:cs="仿宋"/>
                      <w:color w:val="000000" w:themeColor="text1"/>
                      <w:position w:val="-4"/>
                      <w:sz w:val="20"/>
                      <w:szCs w:val="20"/>
                      <w:highlight w:val="none"/>
                      <w14:textFill>
                        <w14:solidFill>
                          <w14:schemeClr w14:val="tx1"/>
                        </w14:solidFill>
                      </w14:textFill>
                    </w:rPr>
                    <w:drawing>
                      <wp:inline distT="0" distB="0" distL="114300" distR="114300">
                        <wp:extent cx="90805" cy="139700"/>
                        <wp:effectExtent l="0" t="0" r="4445" b="13335"/>
                        <wp:docPr id="5" name="图片 5"/>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11"/>
                                <a:stretch>
                                  <a:fillRect/>
                                </a:stretch>
                              </pic:blipFill>
                              <pic:spPr>
                                <a:xfrm>
                                  <a:off x="0" y="0"/>
                                  <a:ext cx="90805" cy="139700"/>
                                </a:xfrm>
                                <a:prstGeom prst="rect">
                                  <a:avLst/>
                                </a:prstGeom>
                                <a:noFill/>
                                <a:ln>
                                  <a:noFill/>
                                </a:ln>
                              </pic:spPr>
                            </pic:pic>
                          </a:graphicData>
                        </a:graphic>
                      </wp:inline>
                    </w:drawing>
                  </w:r>
                  <w:r>
                    <w:rPr>
                      <w:rFonts w:hint="eastAsia" w:ascii="仿宋" w:hAnsi="仿宋" w:eastAsia="仿宋" w:cs="仿宋"/>
                      <w:color w:val="000000" w:themeColor="text1"/>
                      <w:spacing w:val="2"/>
                      <w:sz w:val="20"/>
                      <w:szCs w:val="20"/>
                      <w:highlight w:val="none"/>
                      <w14:textFill>
                        <w14:solidFill>
                          <w14:schemeClr w14:val="tx1"/>
                        </w14:solidFill>
                      </w14:textFill>
                    </w:rPr>
                    <w:t>否</w:t>
                  </w:r>
                </w:p>
              </w:tc>
            </w:tr>
            <w:tr w14:paraId="55632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9259" w:type="dxa"/>
                  <w:gridSpan w:val="4"/>
                  <w:noWrap w:val="0"/>
                  <w:vAlign w:val="top"/>
                </w:tcPr>
                <w:p w14:paraId="5CFDD30F">
                  <w:pPr>
                    <w:spacing w:before="48" w:line="231" w:lineRule="auto"/>
                    <w:ind w:left="31"/>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4"/>
                      <w:sz w:val="20"/>
                      <w:szCs w:val="20"/>
                      <w:highlight w:val="none"/>
                      <w14:textFill>
                        <w14:solidFill>
                          <w14:schemeClr w14:val="tx1"/>
                        </w14:solidFill>
                      </w14:textFill>
                    </w:rPr>
                    <w:t>签</w:t>
                  </w:r>
                  <w:r>
                    <w:rPr>
                      <w:rFonts w:hint="eastAsia" w:ascii="仿宋" w:hAnsi="仿宋" w:eastAsia="仿宋" w:cs="仿宋"/>
                      <w:color w:val="000000" w:themeColor="text1"/>
                      <w:spacing w:val="8"/>
                      <w:sz w:val="20"/>
                      <w:szCs w:val="20"/>
                      <w:highlight w:val="none"/>
                      <w14:textFill>
                        <w14:solidFill>
                          <w14:schemeClr w14:val="tx1"/>
                        </w14:solidFill>
                      </w14:textFill>
                    </w:rPr>
                    <w:t>证情况说明 (签证原因、工作内容、完成工程量) ：</w:t>
                  </w:r>
                </w:p>
              </w:tc>
            </w:tr>
            <w:tr w14:paraId="1B7E6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4387" w:type="dxa"/>
                  <w:gridSpan w:val="2"/>
                  <w:noWrap w:val="0"/>
                  <w:vAlign w:val="top"/>
                </w:tcPr>
                <w:p w14:paraId="358F54EF">
                  <w:pPr>
                    <w:spacing w:before="48" w:line="233" w:lineRule="auto"/>
                    <w:ind w:left="1752"/>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6"/>
                      <w:sz w:val="20"/>
                      <w:szCs w:val="20"/>
                      <w:highlight w:val="none"/>
                      <w14:textFill>
                        <w14:solidFill>
                          <w14:schemeClr w14:val="tx1"/>
                        </w14:solidFill>
                      </w14:textFill>
                    </w:rPr>
                    <w:t>分</w:t>
                  </w:r>
                  <w:r>
                    <w:rPr>
                      <w:rFonts w:hint="eastAsia" w:ascii="仿宋" w:hAnsi="仿宋" w:eastAsia="仿宋" w:cs="仿宋"/>
                      <w:color w:val="000000" w:themeColor="text1"/>
                      <w:spacing w:val="4"/>
                      <w:sz w:val="20"/>
                      <w:szCs w:val="20"/>
                      <w:highlight w:val="none"/>
                      <w14:textFill>
                        <w14:solidFill>
                          <w14:schemeClr w14:val="tx1"/>
                        </w14:solidFill>
                      </w14:textFill>
                    </w:rPr>
                    <w:t>包方</w:t>
                  </w:r>
                </w:p>
              </w:tc>
              <w:tc>
                <w:tcPr>
                  <w:tcW w:w="4872" w:type="dxa"/>
                  <w:gridSpan w:val="2"/>
                  <w:noWrap w:val="0"/>
                  <w:vAlign w:val="top"/>
                </w:tcPr>
                <w:p w14:paraId="431A86BE">
                  <w:pPr>
                    <w:spacing w:before="48" w:line="233" w:lineRule="auto"/>
                    <w:ind w:left="1971"/>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6"/>
                      <w:sz w:val="20"/>
                      <w:szCs w:val="20"/>
                      <w:highlight w:val="none"/>
                      <w14:textFill>
                        <w14:solidFill>
                          <w14:schemeClr w14:val="tx1"/>
                        </w14:solidFill>
                      </w14:textFill>
                    </w:rPr>
                    <w:t>承</w:t>
                  </w:r>
                  <w:r>
                    <w:rPr>
                      <w:rFonts w:hint="eastAsia" w:ascii="仿宋" w:hAnsi="仿宋" w:eastAsia="仿宋" w:cs="仿宋"/>
                      <w:color w:val="000000" w:themeColor="text1"/>
                      <w:spacing w:val="5"/>
                      <w:sz w:val="20"/>
                      <w:szCs w:val="20"/>
                      <w:highlight w:val="none"/>
                      <w14:textFill>
                        <w14:solidFill>
                          <w14:schemeClr w14:val="tx1"/>
                        </w14:solidFill>
                      </w14:textFill>
                    </w:rPr>
                    <w:t>包方</w:t>
                  </w:r>
                </w:p>
              </w:tc>
            </w:tr>
            <w:tr w14:paraId="1E635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4387" w:type="dxa"/>
                  <w:gridSpan w:val="2"/>
                  <w:vMerge w:val="restart"/>
                  <w:tcBorders>
                    <w:bottom w:val="nil"/>
                  </w:tcBorders>
                  <w:noWrap w:val="0"/>
                  <w:vAlign w:val="top"/>
                </w:tcPr>
                <w:p w14:paraId="238E34FD">
                  <w:pPr>
                    <w:spacing w:before="48" w:line="230"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7"/>
                      <w:sz w:val="20"/>
                      <w:szCs w:val="20"/>
                      <w:highlight w:val="none"/>
                      <w14:textFill>
                        <w14:solidFill>
                          <w14:schemeClr w14:val="tx1"/>
                        </w14:solidFill>
                      </w14:textFill>
                    </w:rPr>
                    <w:t>分包单位确认 (签字盖章) ：</w:t>
                  </w:r>
                </w:p>
              </w:tc>
              <w:tc>
                <w:tcPr>
                  <w:tcW w:w="4872" w:type="dxa"/>
                  <w:gridSpan w:val="2"/>
                  <w:noWrap w:val="0"/>
                  <w:vAlign w:val="top"/>
                </w:tcPr>
                <w:p w14:paraId="2236C574">
                  <w:pPr>
                    <w:spacing w:before="49" w:line="232" w:lineRule="auto"/>
                    <w:ind w:left="24"/>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7"/>
                      <w:sz w:val="20"/>
                      <w:szCs w:val="20"/>
                      <w:highlight w:val="none"/>
                      <w14:textFill>
                        <w14:solidFill>
                          <w14:schemeClr w14:val="tx1"/>
                        </w14:solidFill>
                      </w14:textFill>
                    </w:rPr>
                    <w:t>现场施工员意见：</w:t>
                  </w:r>
                </w:p>
                <w:p w14:paraId="6307857B">
                  <w:pPr>
                    <w:spacing w:before="279" w:line="232"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9"/>
                      <w:sz w:val="20"/>
                      <w:szCs w:val="20"/>
                      <w:highlight w:val="none"/>
                      <w14:textFill>
                        <w14:solidFill>
                          <w14:schemeClr w14:val="tx1"/>
                        </w14:solidFill>
                      </w14:textFill>
                    </w:rPr>
                    <w:t>签</w:t>
                  </w:r>
                  <w:r>
                    <w:rPr>
                      <w:rFonts w:hint="eastAsia" w:ascii="仿宋" w:hAnsi="仿宋" w:eastAsia="仿宋" w:cs="仿宋"/>
                      <w:color w:val="000000" w:themeColor="text1"/>
                      <w:spacing w:val="-6"/>
                      <w:sz w:val="20"/>
                      <w:szCs w:val="20"/>
                      <w:highlight w:val="none"/>
                      <w14:textFill>
                        <w14:solidFill>
                          <w14:schemeClr w14:val="tx1"/>
                        </w14:solidFill>
                      </w14:textFill>
                    </w:rPr>
                    <w:t>字：                     日期：</w:t>
                  </w:r>
                </w:p>
              </w:tc>
            </w:tr>
            <w:tr w14:paraId="1E50C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4387" w:type="dxa"/>
                  <w:gridSpan w:val="2"/>
                  <w:vMerge w:val="continue"/>
                  <w:tcBorders>
                    <w:top w:val="nil"/>
                    <w:bottom w:val="nil"/>
                  </w:tcBorders>
                  <w:noWrap w:val="0"/>
                  <w:vAlign w:val="top"/>
                </w:tcPr>
                <w:p w14:paraId="551034E6">
                  <w:pPr>
                    <w:rPr>
                      <w:rFonts w:hint="eastAsia" w:ascii="仿宋" w:hAnsi="仿宋" w:eastAsia="仿宋" w:cs="仿宋"/>
                      <w:color w:val="000000" w:themeColor="text1"/>
                      <w:sz w:val="22"/>
                      <w:szCs w:val="22"/>
                      <w:highlight w:val="none"/>
                      <w14:textFill>
                        <w14:solidFill>
                          <w14:schemeClr w14:val="tx1"/>
                        </w14:solidFill>
                      </w14:textFill>
                    </w:rPr>
                  </w:pPr>
                </w:p>
              </w:tc>
              <w:tc>
                <w:tcPr>
                  <w:tcW w:w="4872" w:type="dxa"/>
                  <w:gridSpan w:val="2"/>
                  <w:noWrap w:val="0"/>
                  <w:vAlign w:val="top"/>
                </w:tcPr>
                <w:p w14:paraId="3BA4B3EC">
                  <w:pPr>
                    <w:spacing w:before="49" w:line="233" w:lineRule="auto"/>
                    <w:ind w:left="25"/>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7"/>
                      <w:sz w:val="20"/>
                      <w:szCs w:val="20"/>
                      <w:highlight w:val="none"/>
                      <w14:textFill>
                        <w14:solidFill>
                          <w14:schemeClr w14:val="tx1"/>
                        </w14:solidFill>
                      </w14:textFill>
                    </w:rPr>
                    <w:t>项目副经理意见</w:t>
                  </w:r>
                  <w:r>
                    <w:rPr>
                      <w:rFonts w:hint="eastAsia" w:ascii="仿宋" w:hAnsi="仿宋" w:eastAsia="仿宋" w:cs="仿宋"/>
                      <w:color w:val="000000" w:themeColor="text1"/>
                      <w:spacing w:val="6"/>
                      <w:sz w:val="20"/>
                      <w:szCs w:val="20"/>
                      <w:highlight w:val="none"/>
                      <w14:textFill>
                        <w14:solidFill>
                          <w14:schemeClr w14:val="tx1"/>
                        </w14:solidFill>
                      </w14:textFill>
                    </w:rPr>
                    <w:t>：</w:t>
                  </w:r>
                </w:p>
                <w:p w14:paraId="75D8DF6E">
                  <w:pPr>
                    <w:spacing w:before="278" w:line="232"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9"/>
                      <w:sz w:val="20"/>
                      <w:szCs w:val="20"/>
                      <w:highlight w:val="none"/>
                      <w14:textFill>
                        <w14:solidFill>
                          <w14:schemeClr w14:val="tx1"/>
                        </w14:solidFill>
                      </w14:textFill>
                    </w:rPr>
                    <w:t>签</w:t>
                  </w:r>
                  <w:r>
                    <w:rPr>
                      <w:rFonts w:hint="eastAsia" w:ascii="仿宋" w:hAnsi="仿宋" w:eastAsia="仿宋" w:cs="仿宋"/>
                      <w:color w:val="000000" w:themeColor="text1"/>
                      <w:spacing w:val="-6"/>
                      <w:sz w:val="20"/>
                      <w:szCs w:val="20"/>
                      <w:highlight w:val="none"/>
                      <w14:textFill>
                        <w14:solidFill>
                          <w14:schemeClr w14:val="tx1"/>
                        </w14:solidFill>
                      </w14:textFill>
                    </w:rPr>
                    <w:t>字：                     日期：</w:t>
                  </w:r>
                </w:p>
              </w:tc>
            </w:tr>
            <w:tr w14:paraId="753A5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4387" w:type="dxa"/>
                  <w:gridSpan w:val="2"/>
                  <w:vMerge w:val="continue"/>
                  <w:tcBorders>
                    <w:top w:val="nil"/>
                    <w:bottom w:val="nil"/>
                  </w:tcBorders>
                  <w:noWrap w:val="0"/>
                  <w:vAlign w:val="top"/>
                </w:tcPr>
                <w:p w14:paraId="4E8A06A6">
                  <w:pPr>
                    <w:rPr>
                      <w:rFonts w:hint="eastAsia" w:ascii="仿宋" w:hAnsi="仿宋" w:eastAsia="仿宋" w:cs="仿宋"/>
                      <w:color w:val="000000" w:themeColor="text1"/>
                      <w:sz w:val="22"/>
                      <w:szCs w:val="22"/>
                      <w:highlight w:val="none"/>
                      <w14:textFill>
                        <w14:solidFill>
                          <w14:schemeClr w14:val="tx1"/>
                        </w14:solidFill>
                      </w14:textFill>
                    </w:rPr>
                  </w:pPr>
                </w:p>
              </w:tc>
              <w:tc>
                <w:tcPr>
                  <w:tcW w:w="4872" w:type="dxa"/>
                  <w:gridSpan w:val="2"/>
                  <w:noWrap w:val="0"/>
                  <w:vAlign w:val="top"/>
                </w:tcPr>
                <w:p w14:paraId="63B97765">
                  <w:pPr>
                    <w:spacing w:before="50" w:line="516" w:lineRule="exact"/>
                    <w:ind w:left="25"/>
                    <w:jc w:val="left"/>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2"/>
                      <w:position w:val="24"/>
                      <w:sz w:val="20"/>
                      <w:szCs w:val="20"/>
                      <w:highlight w:val="none"/>
                      <w14:textFill>
                        <w14:solidFill>
                          <w14:schemeClr w14:val="tx1"/>
                        </w14:solidFill>
                      </w14:textFill>
                    </w:rPr>
                    <w:t>技</w:t>
                  </w:r>
                  <w:r>
                    <w:rPr>
                      <w:rFonts w:hint="eastAsia" w:ascii="仿宋" w:hAnsi="仿宋" w:eastAsia="仿宋" w:cs="仿宋"/>
                      <w:color w:val="000000" w:themeColor="text1"/>
                      <w:spacing w:val="8"/>
                      <w:position w:val="24"/>
                      <w:sz w:val="20"/>
                      <w:szCs w:val="20"/>
                      <w:highlight w:val="none"/>
                      <w14:textFill>
                        <w14:solidFill>
                          <w14:schemeClr w14:val="tx1"/>
                        </w14:solidFill>
                      </w14:textFill>
                    </w:rPr>
                    <w:t>术负责人意见 (对工作内容及工程量见证) ：</w:t>
                  </w:r>
                </w:p>
                <w:p w14:paraId="38E083D6">
                  <w:pPr>
                    <w:spacing w:before="1" w:line="231"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9"/>
                      <w:sz w:val="20"/>
                      <w:szCs w:val="20"/>
                      <w:highlight w:val="none"/>
                      <w14:textFill>
                        <w14:solidFill>
                          <w14:schemeClr w14:val="tx1"/>
                        </w14:solidFill>
                      </w14:textFill>
                    </w:rPr>
                    <w:t>签</w:t>
                  </w:r>
                  <w:r>
                    <w:rPr>
                      <w:rFonts w:hint="eastAsia" w:ascii="仿宋" w:hAnsi="仿宋" w:eastAsia="仿宋" w:cs="仿宋"/>
                      <w:color w:val="000000" w:themeColor="text1"/>
                      <w:spacing w:val="-6"/>
                      <w:sz w:val="20"/>
                      <w:szCs w:val="20"/>
                      <w:highlight w:val="none"/>
                      <w14:textFill>
                        <w14:solidFill>
                          <w14:schemeClr w14:val="tx1"/>
                        </w14:solidFill>
                      </w14:textFill>
                    </w:rPr>
                    <w:t>字：                     日期：</w:t>
                  </w:r>
                </w:p>
              </w:tc>
            </w:tr>
            <w:tr w14:paraId="2D855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4387" w:type="dxa"/>
                  <w:gridSpan w:val="2"/>
                  <w:vMerge w:val="continue"/>
                  <w:tcBorders>
                    <w:top w:val="nil"/>
                    <w:bottom w:val="nil"/>
                  </w:tcBorders>
                  <w:noWrap w:val="0"/>
                  <w:vAlign w:val="top"/>
                </w:tcPr>
                <w:p w14:paraId="0EB200B7">
                  <w:pPr>
                    <w:rPr>
                      <w:rFonts w:hint="eastAsia" w:ascii="仿宋" w:hAnsi="仿宋" w:eastAsia="仿宋" w:cs="仿宋"/>
                      <w:color w:val="000000" w:themeColor="text1"/>
                      <w:sz w:val="22"/>
                      <w:szCs w:val="22"/>
                      <w:highlight w:val="none"/>
                      <w14:textFill>
                        <w14:solidFill>
                          <w14:schemeClr w14:val="tx1"/>
                        </w14:solidFill>
                      </w14:textFill>
                    </w:rPr>
                  </w:pPr>
                </w:p>
              </w:tc>
              <w:tc>
                <w:tcPr>
                  <w:tcW w:w="4872" w:type="dxa"/>
                  <w:gridSpan w:val="2"/>
                  <w:noWrap w:val="0"/>
                  <w:vAlign w:val="top"/>
                </w:tcPr>
                <w:p w14:paraId="60AE8712">
                  <w:pPr>
                    <w:spacing w:before="49" w:line="231" w:lineRule="auto"/>
                    <w:ind w:left="25"/>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2"/>
                      <w:sz w:val="20"/>
                      <w:szCs w:val="20"/>
                      <w:highlight w:val="none"/>
                      <w14:textFill>
                        <w14:solidFill>
                          <w14:schemeClr w14:val="tx1"/>
                        </w14:solidFill>
                      </w14:textFill>
                    </w:rPr>
                    <w:t>项</w:t>
                  </w:r>
                  <w:r>
                    <w:rPr>
                      <w:rFonts w:hint="eastAsia" w:ascii="仿宋" w:hAnsi="仿宋" w:eastAsia="仿宋" w:cs="仿宋"/>
                      <w:color w:val="000000" w:themeColor="text1"/>
                      <w:spacing w:val="7"/>
                      <w:sz w:val="20"/>
                      <w:szCs w:val="20"/>
                      <w:highlight w:val="none"/>
                      <w14:textFill>
                        <w14:solidFill>
                          <w14:schemeClr w14:val="tx1"/>
                        </w14:solidFill>
                      </w14:textFill>
                    </w:rPr>
                    <w:t>目成本管理员意见：</w:t>
                  </w:r>
                </w:p>
                <w:p w14:paraId="5F9A53C6">
                  <w:pPr>
                    <w:spacing w:before="280" w:line="232"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9"/>
                      <w:sz w:val="20"/>
                      <w:szCs w:val="20"/>
                      <w:highlight w:val="none"/>
                      <w14:textFill>
                        <w14:solidFill>
                          <w14:schemeClr w14:val="tx1"/>
                        </w14:solidFill>
                      </w14:textFill>
                    </w:rPr>
                    <w:t>签</w:t>
                  </w:r>
                  <w:r>
                    <w:rPr>
                      <w:rFonts w:hint="eastAsia" w:ascii="仿宋" w:hAnsi="仿宋" w:eastAsia="仿宋" w:cs="仿宋"/>
                      <w:color w:val="000000" w:themeColor="text1"/>
                      <w:spacing w:val="-6"/>
                      <w:sz w:val="20"/>
                      <w:szCs w:val="20"/>
                      <w:highlight w:val="none"/>
                      <w14:textFill>
                        <w14:solidFill>
                          <w14:schemeClr w14:val="tx1"/>
                        </w14:solidFill>
                      </w14:textFill>
                    </w:rPr>
                    <w:t>字：                     日期：</w:t>
                  </w:r>
                </w:p>
              </w:tc>
            </w:tr>
            <w:tr w14:paraId="63D83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4387" w:type="dxa"/>
                  <w:gridSpan w:val="2"/>
                  <w:vMerge w:val="continue"/>
                  <w:tcBorders>
                    <w:top w:val="nil"/>
                  </w:tcBorders>
                  <w:noWrap w:val="0"/>
                  <w:vAlign w:val="top"/>
                </w:tcPr>
                <w:p w14:paraId="66225A6D">
                  <w:pPr>
                    <w:rPr>
                      <w:rFonts w:hint="eastAsia" w:ascii="仿宋" w:hAnsi="仿宋" w:eastAsia="仿宋" w:cs="仿宋"/>
                      <w:color w:val="000000" w:themeColor="text1"/>
                      <w:sz w:val="22"/>
                      <w:szCs w:val="22"/>
                      <w:highlight w:val="none"/>
                      <w14:textFill>
                        <w14:solidFill>
                          <w14:schemeClr w14:val="tx1"/>
                        </w14:solidFill>
                      </w14:textFill>
                    </w:rPr>
                  </w:pPr>
                </w:p>
              </w:tc>
              <w:tc>
                <w:tcPr>
                  <w:tcW w:w="4872" w:type="dxa"/>
                  <w:gridSpan w:val="2"/>
                  <w:noWrap w:val="0"/>
                  <w:vAlign w:val="top"/>
                </w:tcPr>
                <w:p w14:paraId="68FF5D25">
                  <w:pPr>
                    <w:spacing w:before="47" w:line="233" w:lineRule="auto"/>
                    <w:ind w:left="25"/>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9"/>
                      <w:sz w:val="20"/>
                      <w:szCs w:val="20"/>
                      <w:highlight w:val="none"/>
                      <w14:textFill>
                        <w14:solidFill>
                          <w14:schemeClr w14:val="tx1"/>
                        </w14:solidFill>
                      </w14:textFill>
                    </w:rPr>
                    <w:t>项</w:t>
                  </w:r>
                  <w:r>
                    <w:rPr>
                      <w:rFonts w:hint="eastAsia" w:ascii="仿宋" w:hAnsi="仿宋" w:eastAsia="仿宋" w:cs="仿宋"/>
                      <w:color w:val="000000" w:themeColor="text1"/>
                      <w:spacing w:val="6"/>
                      <w:sz w:val="20"/>
                      <w:szCs w:val="20"/>
                      <w:highlight w:val="none"/>
                      <w14:textFill>
                        <w14:solidFill>
                          <w14:schemeClr w14:val="tx1"/>
                        </w14:solidFill>
                      </w14:textFill>
                    </w:rPr>
                    <w:t>目经理意见：</w:t>
                  </w:r>
                </w:p>
                <w:p w14:paraId="20683686">
                  <w:pPr>
                    <w:spacing w:before="278" w:line="232"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9"/>
                      <w:sz w:val="20"/>
                      <w:szCs w:val="20"/>
                      <w:highlight w:val="none"/>
                      <w14:textFill>
                        <w14:solidFill>
                          <w14:schemeClr w14:val="tx1"/>
                        </w14:solidFill>
                      </w14:textFill>
                    </w:rPr>
                    <w:t>签</w:t>
                  </w:r>
                  <w:r>
                    <w:rPr>
                      <w:rFonts w:hint="eastAsia" w:ascii="仿宋" w:hAnsi="仿宋" w:eastAsia="仿宋" w:cs="仿宋"/>
                      <w:color w:val="000000" w:themeColor="text1"/>
                      <w:spacing w:val="-6"/>
                      <w:sz w:val="20"/>
                      <w:szCs w:val="20"/>
                      <w:highlight w:val="none"/>
                      <w14:textFill>
                        <w14:solidFill>
                          <w14:schemeClr w14:val="tx1"/>
                        </w14:solidFill>
                      </w14:textFill>
                    </w:rPr>
                    <w:t>字：                     日期：</w:t>
                  </w:r>
                </w:p>
              </w:tc>
            </w:tr>
            <w:tr w14:paraId="2BF90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5" w:hRule="atLeast"/>
              </w:trPr>
              <w:tc>
                <w:tcPr>
                  <w:tcW w:w="9259" w:type="dxa"/>
                  <w:gridSpan w:val="4"/>
                  <w:noWrap w:val="0"/>
                  <w:vAlign w:val="top"/>
                </w:tcPr>
                <w:p w14:paraId="0F4FED25">
                  <w:pPr>
                    <w:spacing w:before="49" w:line="231" w:lineRule="auto"/>
                    <w:ind w:left="32"/>
                    <w:jc w:val="left"/>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3"/>
                      <w:sz w:val="20"/>
                      <w:szCs w:val="20"/>
                      <w:highlight w:val="none"/>
                      <w14:textFill>
                        <w14:solidFill>
                          <w14:schemeClr w14:val="tx1"/>
                        </w14:solidFill>
                      </w14:textFill>
                    </w:rPr>
                    <w:t>注</w:t>
                  </w:r>
                  <w:r>
                    <w:rPr>
                      <w:rFonts w:hint="eastAsia" w:ascii="仿宋" w:hAnsi="仿宋" w:eastAsia="仿宋" w:cs="仿宋"/>
                      <w:color w:val="000000" w:themeColor="text1"/>
                      <w:spacing w:val="8"/>
                      <w:sz w:val="20"/>
                      <w:szCs w:val="20"/>
                      <w:highlight w:val="none"/>
                      <w14:textFill>
                        <w14:solidFill>
                          <w14:schemeClr w14:val="tx1"/>
                        </w14:solidFill>
                      </w14:textFill>
                    </w:rPr>
                    <w:t>：1.通知单、工程变更(联系)单、工程量审核表、图像资料(事前、事中、事后)及其它相关依</w:t>
                  </w:r>
                </w:p>
                <w:p w14:paraId="5B4B9589">
                  <w:pPr>
                    <w:spacing w:before="21" w:line="260" w:lineRule="exact"/>
                    <w:ind w:left="27"/>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2"/>
                      <w:position w:val="4"/>
                      <w:sz w:val="20"/>
                      <w:szCs w:val="20"/>
                      <w:highlight w:val="none"/>
                      <w14:textFill>
                        <w14:solidFill>
                          <w14:schemeClr w14:val="tx1"/>
                        </w14:solidFill>
                      </w14:textFill>
                    </w:rPr>
                    <w:t>据</w:t>
                  </w:r>
                  <w:r>
                    <w:rPr>
                      <w:rFonts w:hint="eastAsia" w:ascii="仿宋" w:hAnsi="仿宋" w:eastAsia="仿宋" w:cs="仿宋"/>
                      <w:color w:val="000000" w:themeColor="text1"/>
                      <w:spacing w:val="9"/>
                      <w:position w:val="4"/>
                      <w:sz w:val="20"/>
                      <w:szCs w:val="20"/>
                      <w:highlight w:val="none"/>
                      <w14:textFill>
                        <w14:solidFill>
                          <w14:schemeClr w14:val="tx1"/>
                        </w14:solidFill>
                      </w14:textFill>
                    </w:rPr>
                    <w:t>附后；一式二份原件，</w:t>
                  </w:r>
                  <w:r>
                    <w:rPr>
                      <w:rFonts w:hint="eastAsia" w:ascii="仿宋" w:hAnsi="仿宋" w:eastAsia="仿宋" w:cs="仿宋"/>
                      <w:color w:val="000000" w:themeColor="text1"/>
                      <w:spacing w:val="9"/>
                      <w:position w:val="4"/>
                      <w:sz w:val="20"/>
                      <w:szCs w:val="20"/>
                      <w:highlight w:val="none"/>
                      <w:lang w:val="en-US" w:eastAsia="zh-CN"/>
                      <w14:textFill>
                        <w14:solidFill>
                          <w14:schemeClr w14:val="tx1"/>
                        </w14:solidFill>
                      </w14:textFill>
                    </w:rPr>
                    <w:t>承包方</w:t>
                  </w:r>
                  <w:r>
                    <w:rPr>
                      <w:rFonts w:hint="eastAsia" w:ascii="仿宋" w:hAnsi="仿宋" w:eastAsia="仿宋" w:cs="仿宋"/>
                      <w:color w:val="000000" w:themeColor="text1"/>
                      <w:spacing w:val="9"/>
                      <w:position w:val="4"/>
                      <w:sz w:val="20"/>
                      <w:szCs w:val="20"/>
                      <w:highlight w:val="none"/>
                      <w14:textFill>
                        <w14:solidFill>
                          <w14:schemeClr w14:val="tx1"/>
                        </w14:solidFill>
                      </w14:textFill>
                    </w:rPr>
                    <w:t>项目成本管理员和分包方各一份。</w:t>
                  </w:r>
                </w:p>
                <w:p w14:paraId="4D3E33E1">
                  <w:pPr>
                    <w:spacing w:line="258" w:lineRule="exact"/>
                    <w:ind w:left="123"/>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5"/>
                      <w:position w:val="1"/>
                      <w:sz w:val="20"/>
                      <w:szCs w:val="20"/>
                      <w:highlight w:val="none"/>
                      <w14:textFill>
                        <w14:solidFill>
                          <w14:schemeClr w14:val="tx1"/>
                        </w14:solidFill>
                      </w14:textFill>
                    </w:rPr>
                    <w:t>2</w:t>
                  </w:r>
                  <w:r>
                    <w:rPr>
                      <w:rFonts w:hint="eastAsia" w:ascii="仿宋" w:hAnsi="仿宋" w:eastAsia="仿宋" w:cs="仿宋"/>
                      <w:color w:val="000000" w:themeColor="text1"/>
                      <w:spacing w:val="8"/>
                      <w:position w:val="1"/>
                      <w:sz w:val="20"/>
                      <w:szCs w:val="20"/>
                      <w:highlight w:val="none"/>
                      <w14:textFill>
                        <w14:solidFill>
                          <w14:schemeClr w14:val="tx1"/>
                        </w14:solidFill>
                      </w14:textFill>
                    </w:rPr>
                    <w:t>.本签证单仅用于确认存在工程变更事宜。</w:t>
                  </w:r>
                </w:p>
                <w:p w14:paraId="5DC6BA84">
                  <w:pPr>
                    <w:spacing w:before="129" w:line="386" w:lineRule="auto"/>
                    <w:ind w:left="26" w:right="87" w:firstLine="98"/>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8"/>
                      <w:sz w:val="20"/>
                      <w:szCs w:val="20"/>
                      <w:highlight w:val="none"/>
                      <w14:textFill>
                        <w14:solidFill>
                          <w14:schemeClr w14:val="tx1"/>
                        </w14:solidFill>
                      </w14:textFill>
                    </w:rPr>
                    <w:t>3.</w:t>
                  </w:r>
                  <w:r>
                    <w:rPr>
                      <w:rFonts w:hint="eastAsia" w:ascii="仿宋" w:hAnsi="仿宋" w:eastAsia="仿宋" w:cs="仿宋"/>
                      <w:color w:val="000000" w:themeColor="text1"/>
                      <w:spacing w:val="10"/>
                      <w:sz w:val="20"/>
                      <w:szCs w:val="20"/>
                      <w:highlight w:val="none"/>
                      <w14:textFill>
                        <w14:solidFill>
                          <w14:schemeClr w14:val="tx1"/>
                        </w14:solidFill>
                      </w14:textFill>
                    </w:rPr>
                    <w:t>本</w:t>
                  </w:r>
                  <w:r>
                    <w:rPr>
                      <w:rFonts w:hint="eastAsia" w:ascii="仿宋" w:hAnsi="仿宋" w:eastAsia="仿宋" w:cs="仿宋"/>
                      <w:color w:val="000000" w:themeColor="text1"/>
                      <w:spacing w:val="9"/>
                      <w:sz w:val="20"/>
                      <w:szCs w:val="20"/>
                      <w:highlight w:val="none"/>
                      <w14:textFill>
                        <w14:solidFill>
                          <w14:schemeClr w14:val="tx1"/>
                        </w14:solidFill>
                      </w14:textFill>
                    </w:rPr>
                    <w:t>签证单所述内容为双方对事项发生的签认，本签证单结算价款以分包方主合同工程结算时与</w:t>
                  </w:r>
                  <w:r>
                    <w:rPr>
                      <w:rFonts w:hint="eastAsia" w:ascii="仿宋" w:hAnsi="仿宋" w:eastAsia="仿宋" w:cs="仿宋"/>
                      <w:color w:val="000000" w:themeColor="text1"/>
                      <w:spacing w:val="14"/>
                      <w:sz w:val="20"/>
                      <w:szCs w:val="20"/>
                      <w:highlight w:val="none"/>
                      <w14:textFill>
                        <w14:solidFill>
                          <w14:schemeClr w14:val="tx1"/>
                        </w14:solidFill>
                      </w14:textFill>
                    </w:rPr>
                    <w:t>承</w:t>
                  </w:r>
                  <w:r>
                    <w:rPr>
                      <w:rFonts w:hint="eastAsia" w:ascii="仿宋" w:hAnsi="仿宋" w:eastAsia="仿宋" w:cs="仿宋"/>
                      <w:color w:val="000000" w:themeColor="text1"/>
                      <w:spacing w:val="8"/>
                      <w:sz w:val="20"/>
                      <w:szCs w:val="20"/>
                      <w:highlight w:val="none"/>
                      <w14:textFill>
                        <w14:solidFill>
                          <w14:schemeClr w14:val="tx1"/>
                        </w14:solidFill>
                      </w14:textFill>
                    </w:rPr>
                    <w:t>包</w:t>
                  </w:r>
                  <w:r>
                    <w:rPr>
                      <w:rFonts w:hint="eastAsia" w:ascii="仿宋" w:hAnsi="仿宋" w:eastAsia="仿宋" w:cs="仿宋"/>
                      <w:color w:val="000000" w:themeColor="text1"/>
                      <w:spacing w:val="7"/>
                      <w:sz w:val="20"/>
                      <w:szCs w:val="20"/>
                      <w:highlight w:val="none"/>
                      <w14:textFill>
                        <w14:solidFill>
                          <w14:schemeClr w14:val="tx1"/>
                        </w14:solidFill>
                      </w14:textFill>
                    </w:rPr>
                    <w:t>方共同确认的为准。</w:t>
                  </w:r>
                </w:p>
              </w:tc>
            </w:tr>
          </w:tbl>
          <w:p w14:paraId="0F2E38E3">
            <w:pPr>
              <w:widowControl/>
              <w:snapToGrid w:val="0"/>
              <w:spacing w:line="192" w:lineRule="auto"/>
              <w:ind w:left="0" w:leftChars="0" w:firstLine="552" w:firstLineChars="276"/>
              <w:jc w:val="left"/>
              <w:textAlignment w:val="center"/>
              <w:rPr>
                <w:rFonts w:hint="eastAsia" w:ascii="仿宋" w:hAnsi="仿宋" w:eastAsia="仿宋" w:cs="仿宋"/>
                <w:color w:val="000000" w:themeColor="text1"/>
                <w:sz w:val="20"/>
                <w:szCs w:val="20"/>
                <w:highlight w:val="none"/>
                <w14:textFill>
                  <w14:solidFill>
                    <w14:schemeClr w14:val="tx1"/>
                  </w14:solidFill>
                </w14:textFill>
              </w:rPr>
            </w:pPr>
          </w:p>
        </w:tc>
      </w:tr>
    </w:tbl>
    <w:p w14:paraId="557FD465">
      <w:pPr>
        <w:keepNext w:val="0"/>
        <w:keepLines w:val="0"/>
        <w:pageBreakBefore w:val="0"/>
        <w:shd w:val="clear" w:color="auto" w:fill="auto"/>
        <w:wordWrap w:val="0"/>
        <w:overflowPunct/>
        <w:topLinePunct w:val="0"/>
        <w:bidi w:val="0"/>
        <w:snapToGrid w:val="0"/>
        <w:spacing w:line="360" w:lineRule="auto"/>
        <w:ind w:right="-896" w:rightChars="-320"/>
        <w:jc w:val="center"/>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 xml:space="preserve">                                     附件三</w:t>
      </w:r>
    </w:p>
    <w:p w14:paraId="5B6972D7">
      <w:pPr>
        <w:pStyle w:val="16"/>
        <w:tabs>
          <w:tab w:val="left" w:pos="840"/>
          <w:tab w:val="clear" w:pos="-116"/>
          <w:tab w:val="clear" w:pos="420"/>
        </w:tabs>
        <w:ind w:firstLine="2409" w:firstLineChars="1000"/>
        <w:jc w:val="left"/>
        <w:rPr>
          <w:rFonts w:hint="eastAsia"/>
          <w:color w:val="000000" w:themeColor="text1"/>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eastAsia="zh-CN"/>
          <w14:textFill>
            <w14:solidFill>
              <w14:schemeClr w14:val="tx1"/>
            </w14:solidFill>
          </w14:textFill>
        </w:rPr>
        <w:t>分项工程</w:t>
      </w:r>
      <w:r>
        <w:rPr>
          <w:rFonts w:hint="eastAsia" w:ascii="仿宋" w:hAnsi="仿宋" w:eastAsia="仿宋" w:cs="仿宋"/>
          <w:b/>
          <w:color w:val="000000" w:themeColor="text1"/>
          <w:sz w:val="24"/>
          <w:szCs w:val="24"/>
          <w:highlight w:val="none"/>
          <w:lang w:val="en-US" w:eastAsia="zh-CN"/>
          <w14:textFill>
            <w14:solidFill>
              <w14:schemeClr w14:val="tx1"/>
            </w14:solidFill>
          </w14:textFill>
        </w:rPr>
        <w:t>/认质认价申报审批表</w:t>
      </w:r>
    </w:p>
    <w:tbl>
      <w:tblPr>
        <w:tblStyle w:val="17"/>
        <w:tblW w:w="9276"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66"/>
        <w:gridCol w:w="1073"/>
        <w:gridCol w:w="758"/>
        <w:gridCol w:w="381"/>
        <w:gridCol w:w="1119"/>
        <w:gridCol w:w="1160"/>
        <w:gridCol w:w="377"/>
        <w:gridCol w:w="762"/>
        <w:gridCol w:w="757"/>
        <w:gridCol w:w="382"/>
        <w:gridCol w:w="1141"/>
      </w:tblGrid>
      <w:tr w14:paraId="0D3739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8" w:hRule="atLeast"/>
        </w:trPr>
        <w:tc>
          <w:tcPr>
            <w:tcW w:w="1366" w:type="dxa"/>
            <w:noWrap w:val="0"/>
            <w:vAlign w:val="center"/>
          </w:tcPr>
          <w:p w14:paraId="3F99A466">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标题</w:t>
            </w:r>
          </w:p>
        </w:tc>
        <w:tc>
          <w:tcPr>
            <w:tcW w:w="1831" w:type="dxa"/>
            <w:gridSpan w:val="2"/>
            <w:noWrap w:val="0"/>
            <w:vAlign w:val="center"/>
          </w:tcPr>
          <w:p w14:paraId="7CEE1208">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c>
          <w:tcPr>
            <w:tcW w:w="1500" w:type="dxa"/>
            <w:gridSpan w:val="2"/>
            <w:noWrap w:val="0"/>
            <w:vAlign w:val="center"/>
          </w:tcPr>
          <w:p w14:paraId="5BEB4A78">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单号</w:t>
            </w:r>
          </w:p>
        </w:tc>
        <w:tc>
          <w:tcPr>
            <w:tcW w:w="1537" w:type="dxa"/>
            <w:gridSpan w:val="2"/>
            <w:noWrap w:val="0"/>
            <w:vAlign w:val="center"/>
          </w:tcPr>
          <w:p w14:paraId="1FB3B440">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c>
          <w:tcPr>
            <w:tcW w:w="1519" w:type="dxa"/>
            <w:gridSpan w:val="2"/>
            <w:noWrap w:val="0"/>
            <w:vAlign w:val="center"/>
          </w:tcPr>
          <w:p w14:paraId="08EAFF68">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提单日期</w:t>
            </w:r>
          </w:p>
        </w:tc>
        <w:tc>
          <w:tcPr>
            <w:tcW w:w="1523" w:type="dxa"/>
            <w:gridSpan w:val="2"/>
            <w:noWrap w:val="0"/>
            <w:vAlign w:val="center"/>
          </w:tcPr>
          <w:p w14:paraId="496B0F2A">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69C89A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4585D6C9">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r>
              <w:rPr>
                <w:rFonts w:hint="eastAsia" w:ascii="仿宋" w:hAnsi="仿宋" w:eastAsia="仿宋" w:cs="仿宋"/>
                <w:b w:val="0"/>
                <w:bCs/>
                <w:color w:val="000000" w:themeColor="text1"/>
                <w:sz w:val="16"/>
                <w:szCs w:val="16"/>
                <w:highlight w:val="none"/>
                <w:lang w:eastAsia="zh-CN"/>
                <w14:textFill>
                  <w14:solidFill>
                    <w14:schemeClr w14:val="tx1"/>
                  </w14:solidFill>
                </w14:textFill>
              </w:rPr>
              <w:t>提单人</w:t>
            </w:r>
          </w:p>
        </w:tc>
        <w:tc>
          <w:tcPr>
            <w:tcW w:w="1073" w:type="dxa"/>
            <w:noWrap w:val="0"/>
            <w:vAlign w:val="center"/>
          </w:tcPr>
          <w:p w14:paraId="670B6DA7">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p>
        </w:tc>
        <w:tc>
          <w:tcPr>
            <w:tcW w:w="1139" w:type="dxa"/>
            <w:gridSpan w:val="2"/>
            <w:noWrap w:val="0"/>
            <w:vAlign w:val="center"/>
          </w:tcPr>
          <w:p w14:paraId="5C1FB4EF">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r>
              <w:rPr>
                <w:rFonts w:hint="eastAsia" w:ascii="仿宋" w:hAnsi="仿宋" w:eastAsia="仿宋" w:cs="仿宋"/>
                <w:b w:val="0"/>
                <w:bCs/>
                <w:color w:val="000000" w:themeColor="text1"/>
                <w:sz w:val="16"/>
                <w:szCs w:val="16"/>
                <w:highlight w:val="none"/>
                <w:lang w:eastAsia="zh-CN"/>
                <w14:textFill>
                  <w14:solidFill>
                    <w14:schemeClr w14:val="tx1"/>
                  </w14:solidFill>
                </w14:textFill>
              </w:rPr>
              <w:t>提单人工号</w:t>
            </w:r>
          </w:p>
        </w:tc>
        <w:tc>
          <w:tcPr>
            <w:tcW w:w="1119" w:type="dxa"/>
            <w:noWrap w:val="0"/>
            <w:vAlign w:val="center"/>
          </w:tcPr>
          <w:p w14:paraId="43FA0A44">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p>
        </w:tc>
        <w:tc>
          <w:tcPr>
            <w:tcW w:w="1160" w:type="dxa"/>
            <w:noWrap w:val="0"/>
            <w:vAlign w:val="center"/>
          </w:tcPr>
          <w:p w14:paraId="15C6EBA0">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r>
              <w:rPr>
                <w:rFonts w:hint="eastAsia" w:ascii="仿宋" w:hAnsi="仿宋" w:eastAsia="仿宋" w:cs="仿宋"/>
                <w:b w:val="0"/>
                <w:bCs/>
                <w:color w:val="000000" w:themeColor="text1"/>
                <w:sz w:val="16"/>
                <w:szCs w:val="16"/>
                <w:highlight w:val="none"/>
                <w:lang w:eastAsia="zh-CN"/>
                <w14:textFill>
                  <w14:solidFill>
                    <w14:schemeClr w14:val="tx1"/>
                  </w14:solidFill>
                </w14:textFill>
              </w:rPr>
              <w:t>提单人职位</w:t>
            </w:r>
          </w:p>
        </w:tc>
        <w:tc>
          <w:tcPr>
            <w:tcW w:w="1139" w:type="dxa"/>
            <w:gridSpan w:val="2"/>
            <w:noWrap w:val="0"/>
            <w:vAlign w:val="center"/>
          </w:tcPr>
          <w:p w14:paraId="34AF064F">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p>
        </w:tc>
        <w:tc>
          <w:tcPr>
            <w:tcW w:w="1139" w:type="dxa"/>
            <w:gridSpan w:val="2"/>
            <w:noWrap w:val="0"/>
            <w:vAlign w:val="center"/>
          </w:tcPr>
          <w:p w14:paraId="2AF55B71">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r>
              <w:rPr>
                <w:rFonts w:hint="eastAsia" w:ascii="仿宋" w:hAnsi="仿宋" w:eastAsia="仿宋" w:cs="仿宋"/>
                <w:b w:val="0"/>
                <w:bCs/>
                <w:color w:val="000000" w:themeColor="text1"/>
                <w:sz w:val="16"/>
                <w:szCs w:val="16"/>
                <w:highlight w:val="none"/>
                <w:lang w:eastAsia="zh-CN"/>
                <w14:textFill>
                  <w14:solidFill>
                    <w14:schemeClr w14:val="tx1"/>
                  </w14:solidFill>
                </w14:textFill>
              </w:rPr>
              <w:t>提单人部门</w:t>
            </w:r>
          </w:p>
        </w:tc>
        <w:tc>
          <w:tcPr>
            <w:tcW w:w="1141" w:type="dxa"/>
            <w:noWrap w:val="0"/>
            <w:vAlign w:val="center"/>
          </w:tcPr>
          <w:p w14:paraId="787B6843">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34A0E2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695A6C07">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申报类别</w:t>
            </w:r>
          </w:p>
        </w:tc>
        <w:tc>
          <w:tcPr>
            <w:tcW w:w="7910" w:type="dxa"/>
            <w:gridSpan w:val="10"/>
            <w:noWrap w:val="0"/>
            <w:vAlign w:val="center"/>
          </w:tcPr>
          <w:p w14:paraId="722AB1A6">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5B2A8F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0B95CF87">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项目名称</w:t>
            </w:r>
          </w:p>
        </w:tc>
        <w:tc>
          <w:tcPr>
            <w:tcW w:w="7910" w:type="dxa"/>
            <w:gridSpan w:val="10"/>
            <w:noWrap w:val="0"/>
            <w:vAlign w:val="center"/>
          </w:tcPr>
          <w:p w14:paraId="7F93BBF3">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7ED4D7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4BC6B67A">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报价单位</w:t>
            </w:r>
          </w:p>
        </w:tc>
        <w:tc>
          <w:tcPr>
            <w:tcW w:w="7910" w:type="dxa"/>
            <w:gridSpan w:val="10"/>
            <w:noWrap w:val="0"/>
            <w:vAlign w:val="center"/>
          </w:tcPr>
          <w:p w14:paraId="241E275C">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0E8AEE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0C9802B8">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工程类型</w:t>
            </w:r>
          </w:p>
        </w:tc>
        <w:tc>
          <w:tcPr>
            <w:tcW w:w="7910" w:type="dxa"/>
            <w:gridSpan w:val="10"/>
            <w:noWrap w:val="0"/>
            <w:vAlign w:val="center"/>
          </w:tcPr>
          <w:p w14:paraId="00858248">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6BB58D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5C4FC1B4">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工程金额</w:t>
            </w:r>
          </w:p>
        </w:tc>
        <w:tc>
          <w:tcPr>
            <w:tcW w:w="7910" w:type="dxa"/>
            <w:gridSpan w:val="10"/>
            <w:noWrap w:val="0"/>
            <w:vAlign w:val="center"/>
          </w:tcPr>
          <w:p w14:paraId="39157D56">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2F7573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12" w:hRule="atLeast"/>
        </w:trPr>
        <w:tc>
          <w:tcPr>
            <w:tcW w:w="1366" w:type="dxa"/>
            <w:noWrap w:val="0"/>
            <w:vAlign w:val="center"/>
          </w:tcPr>
          <w:p w14:paraId="021312DC">
            <w:pPr>
              <w:jc w:val="left"/>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z w:val="21"/>
                <w:szCs w:val="21"/>
                <w:highlight w:val="none"/>
                <w14:textFill>
                  <w14:solidFill>
                    <w14:schemeClr w14:val="tx1"/>
                  </w14:solidFill>
                </w14:textFill>
              </w:rPr>
              <w:t>分项工程名称、主要工作内容、工程量及难易情况等信息(主合同外工程)</w:t>
            </w:r>
          </w:p>
        </w:tc>
        <w:tc>
          <w:tcPr>
            <w:tcW w:w="7910" w:type="dxa"/>
            <w:gridSpan w:val="10"/>
            <w:noWrap w:val="0"/>
            <w:vAlign w:val="center"/>
          </w:tcPr>
          <w:p w14:paraId="0307EF65">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2ADF4E88">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46B98B68">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069A7F5E">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24BF2979">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03EE55CE">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1FD98BE9">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57E051B7">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5B6DC961">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4ADC5AA5">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1DA38432">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76844B58">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4ACB6D66">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6D134A59">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73EC25D3">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23EA68E6">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69D4DC33">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2847CBDD">
            <w:pPr>
              <w:rPr>
                <w:rFonts w:hint="eastAsia" w:ascii="仿宋" w:hAnsi="仿宋" w:eastAsia="仿宋" w:cs="仿宋"/>
                <w:b w:val="0"/>
                <w:bCs/>
                <w:color w:val="000000" w:themeColor="text1"/>
                <w:sz w:val="21"/>
                <w:szCs w:val="21"/>
                <w:highlight w:val="none"/>
                <w14:textFill>
                  <w14:solidFill>
                    <w14:schemeClr w14:val="tx1"/>
                  </w14:solidFill>
                </w14:textFill>
              </w:rPr>
            </w:pPr>
          </w:p>
          <w:p w14:paraId="2BC35FBE">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tc>
      </w:tr>
      <w:tr w14:paraId="049A94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33CEFAB7">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附件</w:t>
            </w:r>
          </w:p>
        </w:tc>
        <w:tc>
          <w:tcPr>
            <w:tcW w:w="7910" w:type="dxa"/>
            <w:gridSpan w:val="10"/>
            <w:noWrap w:val="0"/>
            <w:vAlign w:val="center"/>
          </w:tcPr>
          <w:p w14:paraId="439A6704">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r w14:paraId="32D4EC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3951F664">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关联流程</w:t>
            </w:r>
          </w:p>
        </w:tc>
        <w:tc>
          <w:tcPr>
            <w:tcW w:w="7910" w:type="dxa"/>
            <w:gridSpan w:val="10"/>
            <w:noWrap w:val="0"/>
            <w:vAlign w:val="center"/>
          </w:tcPr>
          <w:p w14:paraId="68A32E39">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r w14:paraId="47C020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0D361074">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备注</w:t>
            </w:r>
          </w:p>
        </w:tc>
        <w:tc>
          <w:tcPr>
            <w:tcW w:w="7910" w:type="dxa"/>
            <w:gridSpan w:val="10"/>
            <w:noWrap w:val="0"/>
            <w:vAlign w:val="center"/>
          </w:tcPr>
          <w:p w14:paraId="03793EDF">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r w14:paraId="64A95E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9276" w:type="dxa"/>
            <w:gridSpan w:val="11"/>
            <w:noWrap w:val="0"/>
            <w:vAlign w:val="center"/>
          </w:tcPr>
          <w:p w14:paraId="51504885">
            <w:pPr>
              <w:ind w:right="284"/>
              <w:jc w:val="center"/>
              <w:rPr>
                <w:rFonts w:hint="default" w:ascii="仿宋" w:hAnsi="仿宋" w:eastAsia="仿宋" w:cs="仿宋"/>
                <w:b/>
                <w:color w:val="000000" w:themeColor="text1"/>
                <w:sz w:val="21"/>
                <w:szCs w:val="21"/>
                <w:highlight w:val="none"/>
                <w:lang w:val="en-US"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审核</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/审批</w:t>
            </w:r>
          </w:p>
        </w:tc>
      </w:tr>
      <w:tr w14:paraId="388F27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05742BCD">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申请部门</w:t>
            </w:r>
          </w:p>
        </w:tc>
        <w:tc>
          <w:tcPr>
            <w:tcW w:w="7910" w:type="dxa"/>
            <w:gridSpan w:val="10"/>
            <w:noWrap w:val="0"/>
            <w:vAlign w:val="center"/>
          </w:tcPr>
          <w:p w14:paraId="7AC5CC6C">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r w14:paraId="055C80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3D733E59">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工程部</w:t>
            </w:r>
          </w:p>
        </w:tc>
        <w:tc>
          <w:tcPr>
            <w:tcW w:w="7910" w:type="dxa"/>
            <w:gridSpan w:val="10"/>
            <w:noWrap w:val="0"/>
            <w:vAlign w:val="center"/>
          </w:tcPr>
          <w:p w14:paraId="2608FDCC">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r w14:paraId="643B0F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3E8C1280">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成本</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管理部</w:t>
            </w:r>
          </w:p>
        </w:tc>
        <w:tc>
          <w:tcPr>
            <w:tcW w:w="7910" w:type="dxa"/>
            <w:gridSpan w:val="10"/>
            <w:noWrap w:val="0"/>
            <w:vAlign w:val="center"/>
          </w:tcPr>
          <w:p w14:paraId="536F5EE7">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r w14:paraId="1EBBA3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51BCB034">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总经理</w:t>
            </w:r>
          </w:p>
        </w:tc>
        <w:tc>
          <w:tcPr>
            <w:tcW w:w="7910" w:type="dxa"/>
            <w:gridSpan w:val="10"/>
            <w:noWrap w:val="0"/>
            <w:vAlign w:val="center"/>
          </w:tcPr>
          <w:p w14:paraId="40519639">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bl>
    <w:p w14:paraId="0FF1E9ED">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540" w:name="_Toc29438"/>
      <w:bookmarkStart w:id="541" w:name="_Toc12179"/>
      <w:bookmarkStart w:id="542" w:name="_Toc12425"/>
      <w:bookmarkStart w:id="543" w:name="_Toc2479"/>
      <w:bookmarkStart w:id="544" w:name="_Toc13180"/>
      <w:bookmarkStart w:id="545" w:name="_Toc4037"/>
      <w:bookmarkStart w:id="546" w:name="_Toc22471"/>
      <w:bookmarkStart w:id="547" w:name="_Toc28037"/>
      <w:bookmarkStart w:id="548" w:name="_Toc5591"/>
      <w:bookmarkStart w:id="549" w:name="_Toc27035"/>
    </w:p>
    <w:p w14:paraId="5EC945D0">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540"/>
      <w:bookmarkEnd w:id="541"/>
      <w:bookmarkEnd w:id="542"/>
      <w:bookmarkEnd w:id="543"/>
      <w:bookmarkEnd w:id="544"/>
      <w:bookmarkEnd w:id="545"/>
      <w:bookmarkEnd w:id="546"/>
      <w:bookmarkEnd w:id="547"/>
      <w:bookmarkEnd w:id="548"/>
      <w:bookmarkEnd w:id="549"/>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四</w:t>
      </w:r>
    </w:p>
    <w:p w14:paraId="7D65997C">
      <w:pPr>
        <w:pStyle w:val="16"/>
        <w:tabs>
          <w:tab w:val="left" w:pos="840"/>
          <w:tab w:val="clear" w:pos="-116"/>
          <w:tab w:val="clear" w:pos="420"/>
        </w:tabs>
        <w:ind w:firstLine="2409" w:firstLineChars="1000"/>
        <w:jc w:val="left"/>
        <w:rPr>
          <w:rFonts w:hint="eastAsia" w:ascii="仿宋" w:hAnsi="仿宋" w:eastAsia="仿宋" w:cs="仿宋"/>
          <w:b/>
          <w:color w:val="000000" w:themeColor="text1"/>
          <w:sz w:val="24"/>
          <w:szCs w:val="24"/>
          <w:highlight w:val="none"/>
          <w:lang w:eastAsia="zh-CN"/>
          <w14:textFill>
            <w14:solidFill>
              <w14:schemeClr w14:val="tx1"/>
            </w14:solidFill>
          </w14:textFill>
        </w:rPr>
      </w:pPr>
    </w:p>
    <w:p w14:paraId="659FD748">
      <w:pPr>
        <w:widowControl/>
        <w:kinsoku w:val="0"/>
        <w:autoSpaceDE w:val="0"/>
        <w:autoSpaceDN w:val="0"/>
        <w:adjustRightInd w:val="0"/>
        <w:snapToGrid w:val="0"/>
        <w:spacing w:before="60" w:line="226" w:lineRule="auto"/>
        <w:ind w:left="3233"/>
        <w:jc w:val="left"/>
        <w:textAlignment w:val="baseline"/>
        <w:rPr>
          <w:rFonts w:ascii="仿宋" w:hAnsi="仿宋" w:eastAsia="仿宋" w:cs="仿宋"/>
          <w:snapToGrid w:val="0"/>
          <w:color w:val="000000" w:themeColor="text1"/>
          <w:kern w:val="0"/>
          <w:sz w:val="31"/>
          <w:szCs w:val="31"/>
          <w:highlight w:val="none"/>
          <w14:textFill>
            <w14:solidFill>
              <w14:schemeClr w14:val="tx1"/>
            </w14:solidFill>
          </w14:textFill>
        </w:rPr>
      </w:pPr>
      <w:r>
        <w:rPr>
          <w:rFonts w:ascii="仿宋" w:hAnsi="仿宋" w:eastAsia="仿宋" w:cs="仿宋"/>
          <w:snapToGrid w:val="0"/>
          <w:color w:val="000000" w:themeColor="text1"/>
          <w:spacing w:val="11"/>
          <w:kern w:val="0"/>
          <w:sz w:val="31"/>
          <w:szCs w:val="31"/>
          <w:highlight w:val="none"/>
          <w14:textFill>
            <w14:solidFill>
              <w14:schemeClr w14:val="tx1"/>
            </w14:solidFill>
          </w14:textFill>
        </w:rPr>
        <w:t>签</w:t>
      </w:r>
      <w:r>
        <w:rPr>
          <w:rFonts w:ascii="仿宋" w:hAnsi="仿宋" w:eastAsia="仿宋" w:cs="仿宋"/>
          <w:snapToGrid w:val="0"/>
          <w:color w:val="000000" w:themeColor="text1"/>
          <w:spacing w:val="6"/>
          <w:kern w:val="0"/>
          <w:sz w:val="31"/>
          <w:szCs w:val="31"/>
          <w:highlight w:val="none"/>
          <w14:textFill>
            <w14:solidFill>
              <w14:schemeClr w14:val="tx1"/>
            </w14:solidFill>
          </w14:textFill>
        </w:rPr>
        <w:t>证单分包说明</w:t>
      </w:r>
    </w:p>
    <w:p w14:paraId="2242C6A5">
      <w:pPr>
        <w:widowControl/>
        <w:kinsoku w:val="0"/>
        <w:autoSpaceDE w:val="0"/>
        <w:autoSpaceDN w:val="0"/>
        <w:adjustRightInd w:val="0"/>
        <w:snapToGrid w:val="0"/>
        <w:spacing w:line="193" w:lineRule="exact"/>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bl>
      <w:tblPr>
        <w:tblStyle w:val="30"/>
        <w:tblW w:w="87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7"/>
        <w:gridCol w:w="4044"/>
        <w:gridCol w:w="993"/>
        <w:gridCol w:w="2327"/>
      </w:tblGrid>
      <w:tr w14:paraId="09AF0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1357" w:type="dxa"/>
            <w:noWrap w:val="0"/>
            <w:vAlign w:val="top"/>
          </w:tcPr>
          <w:p w14:paraId="04DE8668">
            <w:pPr>
              <w:widowControl/>
              <w:kinsoku w:val="0"/>
              <w:autoSpaceDE w:val="0"/>
              <w:autoSpaceDN w:val="0"/>
              <w:adjustRightInd w:val="0"/>
              <w:snapToGrid w:val="0"/>
              <w:spacing w:before="149" w:line="229" w:lineRule="auto"/>
              <w:ind w:left="216"/>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6"/>
                <w:kern w:val="0"/>
                <w:sz w:val="23"/>
                <w:szCs w:val="23"/>
                <w:highlight w:val="none"/>
                <w14:textFill>
                  <w14:solidFill>
                    <w14:schemeClr w14:val="tx1"/>
                  </w14:solidFill>
                </w14:textFill>
              </w:rPr>
              <w:t>工</w:t>
            </w:r>
            <w:r>
              <w:rPr>
                <w:rFonts w:ascii="仿宋" w:hAnsi="仿宋" w:eastAsia="仿宋" w:cs="仿宋"/>
                <w:snapToGrid w:val="0"/>
                <w:color w:val="000000" w:themeColor="text1"/>
                <w:spacing w:val="4"/>
                <w:kern w:val="0"/>
                <w:sz w:val="23"/>
                <w:szCs w:val="23"/>
                <w:highlight w:val="none"/>
                <w14:textFill>
                  <w14:solidFill>
                    <w14:schemeClr w14:val="tx1"/>
                  </w14:solidFill>
                </w14:textFill>
              </w:rPr>
              <w:t>程名称</w:t>
            </w:r>
          </w:p>
        </w:tc>
        <w:tc>
          <w:tcPr>
            <w:tcW w:w="4044" w:type="dxa"/>
            <w:noWrap w:val="0"/>
            <w:vAlign w:val="top"/>
          </w:tcPr>
          <w:p w14:paraId="3BB74ABB">
            <w:pPr>
              <w:widowControl/>
              <w:kinsoku w:val="0"/>
              <w:autoSpaceDE w:val="0"/>
              <w:autoSpaceDN w:val="0"/>
              <w:adjustRightInd w:val="0"/>
              <w:snapToGrid w:val="0"/>
              <w:spacing w:before="148" w:line="232" w:lineRule="auto"/>
              <w:ind w:left="108"/>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6"/>
                <w:kern w:val="0"/>
                <w:sz w:val="23"/>
                <w:szCs w:val="23"/>
                <w:highlight w:val="none"/>
                <w14:textFill>
                  <w14:solidFill>
                    <w14:schemeClr w14:val="tx1"/>
                  </w14:solidFill>
                </w14:textFill>
              </w:rPr>
              <w:t>XX</w:t>
            </w:r>
            <w:r>
              <w:rPr>
                <w:rFonts w:ascii="仿宋" w:hAnsi="仿宋" w:eastAsia="仿宋" w:cs="仿宋"/>
                <w:snapToGrid w:val="0"/>
                <w:color w:val="000000" w:themeColor="text1"/>
                <w:spacing w:val="-7"/>
                <w:kern w:val="0"/>
                <w:sz w:val="23"/>
                <w:szCs w:val="23"/>
                <w:highlight w:val="none"/>
                <w14:textFill>
                  <w14:solidFill>
                    <w14:schemeClr w14:val="tx1"/>
                  </w14:solidFill>
                </w14:textFill>
              </w:rPr>
              <w:t xml:space="preserve"> </w:t>
            </w:r>
            <w:r>
              <w:rPr>
                <w:rFonts w:ascii="仿宋" w:hAnsi="仿宋" w:eastAsia="仿宋" w:cs="仿宋"/>
                <w:snapToGrid w:val="0"/>
                <w:color w:val="000000" w:themeColor="text1"/>
                <w:spacing w:val="-6"/>
                <w:kern w:val="0"/>
                <w:sz w:val="23"/>
                <w:szCs w:val="23"/>
                <w:highlight w:val="none"/>
                <w14:textFill>
                  <w14:solidFill>
                    <w14:schemeClr w14:val="tx1"/>
                  </w14:solidFill>
                </w14:textFill>
              </w:rPr>
              <w:t>项目</w:t>
            </w:r>
          </w:p>
        </w:tc>
        <w:tc>
          <w:tcPr>
            <w:tcW w:w="993" w:type="dxa"/>
            <w:noWrap w:val="0"/>
            <w:vAlign w:val="top"/>
          </w:tcPr>
          <w:p w14:paraId="784C8402">
            <w:pPr>
              <w:widowControl/>
              <w:kinsoku w:val="0"/>
              <w:autoSpaceDE w:val="0"/>
              <w:autoSpaceDN w:val="0"/>
              <w:adjustRightInd w:val="0"/>
              <w:snapToGrid w:val="0"/>
              <w:spacing w:before="149" w:line="229" w:lineRule="auto"/>
              <w:ind w:left="274"/>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单</w:t>
            </w:r>
            <w:r>
              <w:rPr>
                <w:rFonts w:ascii="仿宋" w:hAnsi="仿宋" w:eastAsia="仿宋" w:cs="仿宋"/>
                <w:snapToGrid w:val="0"/>
                <w:color w:val="000000" w:themeColor="text1"/>
                <w:kern w:val="0"/>
                <w:sz w:val="23"/>
                <w:szCs w:val="23"/>
                <w:highlight w:val="none"/>
                <w14:textFill>
                  <w14:solidFill>
                    <w14:schemeClr w14:val="tx1"/>
                  </w14:solidFill>
                </w14:textFill>
              </w:rPr>
              <w:t>号</w:t>
            </w:r>
          </w:p>
        </w:tc>
        <w:tc>
          <w:tcPr>
            <w:tcW w:w="2327" w:type="dxa"/>
            <w:noWrap w:val="0"/>
            <w:vAlign w:val="top"/>
          </w:tcPr>
          <w:p w14:paraId="1EAAF4F3">
            <w:pPr>
              <w:widowControl/>
              <w:kinsoku w:val="0"/>
              <w:autoSpaceDE w:val="0"/>
              <w:autoSpaceDN w:val="0"/>
              <w:adjustRightInd w:val="0"/>
              <w:snapToGrid w:val="0"/>
              <w:spacing w:before="149" w:line="231" w:lineRule="auto"/>
              <w:ind w:left="111"/>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XX 地块/01</w:t>
            </w:r>
          </w:p>
        </w:tc>
      </w:tr>
      <w:tr w14:paraId="04E25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9" w:hRule="atLeast"/>
        </w:trPr>
        <w:tc>
          <w:tcPr>
            <w:tcW w:w="8721" w:type="dxa"/>
            <w:gridSpan w:val="4"/>
            <w:noWrap w:val="0"/>
            <w:vAlign w:val="top"/>
          </w:tcPr>
          <w:p w14:paraId="5CF125BA">
            <w:pPr>
              <w:widowControl/>
              <w:kinsoku w:val="0"/>
              <w:autoSpaceDE w:val="0"/>
              <w:autoSpaceDN w:val="0"/>
              <w:adjustRightInd w:val="0"/>
              <w:snapToGrid w:val="0"/>
              <w:spacing w:before="35" w:line="231" w:lineRule="auto"/>
              <w:ind w:left="3859"/>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6"/>
                <w:kern w:val="0"/>
                <w:sz w:val="23"/>
                <w:szCs w:val="23"/>
                <w:highlight w:val="none"/>
                <w14:textFill>
                  <w14:solidFill>
                    <w14:schemeClr w14:val="tx1"/>
                  </w14:solidFill>
                </w14:textFill>
              </w:rPr>
              <w:t>说明内</w:t>
            </w:r>
            <w:r>
              <w:rPr>
                <w:rFonts w:ascii="仿宋" w:hAnsi="仿宋" w:eastAsia="仿宋" w:cs="仿宋"/>
                <w:snapToGrid w:val="0"/>
                <w:color w:val="000000" w:themeColor="text1"/>
                <w:spacing w:val="5"/>
                <w:kern w:val="0"/>
                <w:sz w:val="23"/>
                <w:szCs w:val="23"/>
                <w:highlight w:val="none"/>
                <w14:textFill>
                  <w14:solidFill>
                    <w14:schemeClr w14:val="tx1"/>
                  </w14:solidFill>
                </w14:textFill>
              </w:rPr>
              <w:t>容</w:t>
            </w:r>
          </w:p>
          <w:p w14:paraId="563511CD">
            <w:pPr>
              <w:widowControl/>
              <w:kinsoku w:val="0"/>
              <w:autoSpaceDE w:val="0"/>
              <w:autoSpaceDN w:val="0"/>
              <w:adjustRightInd w:val="0"/>
              <w:snapToGrid w:val="0"/>
              <w:spacing w:before="178" w:line="229" w:lineRule="auto"/>
              <w:ind w:left="125"/>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8"/>
                <w:kern w:val="0"/>
                <w:sz w:val="23"/>
                <w:szCs w:val="23"/>
                <w:highlight w:val="none"/>
                <w14:textFill>
                  <w14:solidFill>
                    <w14:schemeClr w14:val="tx1"/>
                  </w14:solidFill>
                </w14:textFill>
              </w:rPr>
              <w:t>根据甲</w:t>
            </w:r>
            <w:r>
              <w:rPr>
                <w:rFonts w:ascii="仿宋" w:hAnsi="仿宋" w:eastAsia="仿宋" w:cs="仿宋"/>
                <w:snapToGrid w:val="0"/>
                <w:color w:val="000000" w:themeColor="text1"/>
                <w:spacing w:val="6"/>
                <w:kern w:val="0"/>
                <w:sz w:val="23"/>
                <w:szCs w:val="23"/>
                <w:highlight w:val="none"/>
                <w14:textFill>
                  <w14:solidFill>
                    <w14:schemeClr w14:val="tx1"/>
                  </w14:solidFill>
                </w14:textFill>
              </w:rPr>
              <w:t>方</w:t>
            </w:r>
            <w:r>
              <w:rPr>
                <w:rFonts w:ascii="仿宋" w:hAnsi="仿宋" w:eastAsia="仿宋" w:cs="仿宋"/>
                <w:snapToGrid w:val="0"/>
                <w:color w:val="000000" w:themeColor="text1"/>
                <w:spacing w:val="4"/>
                <w:kern w:val="0"/>
                <w:sz w:val="23"/>
                <w:szCs w:val="23"/>
                <w:highlight w:val="none"/>
                <w14:textFill>
                  <w14:solidFill>
                    <w14:schemeClr w14:val="tx1"/>
                  </w14:solidFill>
                </w14:textFill>
              </w:rPr>
              <w:t xml:space="preserve">签字确认的签证单 (编号 </w:t>
            </w:r>
            <w:r>
              <w:rPr>
                <w:rFonts w:ascii="仿宋" w:hAnsi="仿宋" w:eastAsia="仿宋" w:cs="仿宋"/>
                <w:snapToGrid w:val="0"/>
                <w:color w:val="000000" w:themeColor="text1"/>
                <w:kern w:val="0"/>
                <w:sz w:val="23"/>
                <w:szCs w:val="23"/>
                <w:highlight w:val="none"/>
                <w14:textFill>
                  <w14:solidFill>
                    <w14:schemeClr w14:val="tx1"/>
                  </w14:solidFill>
                </w14:textFill>
              </w:rPr>
              <w:t>XX</w:t>
            </w:r>
            <w:r>
              <w:rPr>
                <w:rFonts w:ascii="仿宋" w:hAnsi="仿宋" w:eastAsia="仿宋" w:cs="仿宋"/>
                <w:snapToGrid w:val="0"/>
                <w:color w:val="000000" w:themeColor="text1"/>
                <w:spacing w:val="4"/>
                <w:kern w:val="0"/>
                <w:sz w:val="23"/>
                <w:szCs w:val="23"/>
                <w:highlight w:val="none"/>
                <w14:textFill>
                  <w14:solidFill>
                    <w14:schemeClr w14:val="tx1"/>
                  </w14:solidFill>
                </w14:textFill>
              </w:rPr>
              <w:t xml:space="preserve"> 地块/01) 内容中，其中</w:t>
            </w:r>
          </w:p>
          <w:p w14:paraId="7F7937B7">
            <w:pPr>
              <w:widowControl/>
              <w:kinsoku w:val="0"/>
              <w:autoSpaceDE w:val="0"/>
              <w:autoSpaceDN w:val="0"/>
              <w:adjustRightInd w:val="0"/>
              <w:snapToGrid w:val="0"/>
              <w:spacing w:before="180" w:line="229" w:lineRule="auto"/>
              <w:ind w:left="134"/>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1、第</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w:t>
            </w:r>
            <w:r>
              <w:rPr>
                <w:rFonts w:hint="eastAsia" w:ascii="仿宋" w:hAnsi="仿宋" w:eastAsia="仿宋" w:cs="仿宋"/>
                <w:snapToGrid w:val="0"/>
                <w:color w:val="000000" w:themeColor="text1"/>
                <w:spacing w:val="2"/>
                <w:kern w:val="0"/>
                <w:sz w:val="23"/>
                <w:szCs w:val="23"/>
                <w:highlight w:val="none"/>
                <w:u w:val="single" w:color="auto"/>
                <w:lang w:val="en-US" w:eastAsia="zh-CN"/>
                <w14:textFill>
                  <w14:solidFill>
                    <w14:schemeClr w14:val="tx1"/>
                  </w14:solidFill>
                </w14:textFill>
              </w:rPr>
              <w:t xml:space="preserve">       </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spacing w:val="2"/>
                <w:kern w:val="0"/>
                <w:sz w:val="23"/>
                <w:szCs w:val="23"/>
                <w:highlight w:val="none"/>
                <w14:textFill>
                  <w14:solidFill>
                    <w14:schemeClr w14:val="tx1"/>
                  </w14:solidFill>
                </w14:textFill>
              </w:rPr>
              <w:t xml:space="preserve"> 项 </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由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XX</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分包单位完成，</w:t>
            </w:r>
            <w:r>
              <w:rPr>
                <w:rFonts w:ascii="仿宋" w:hAnsi="仿宋" w:eastAsia="仿宋" w:cs="仿宋"/>
                <w:snapToGrid w:val="0"/>
                <w:color w:val="000000" w:themeColor="text1"/>
                <w:spacing w:val="2"/>
                <w:kern w:val="0"/>
                <w:sz w:val="23"/>
                <w:szCs w:val="23"/>
                <w:highlight w:val="none"/>
                <w14:textFill>
                  <w14:solidFill>
                    <w14:schemeClr w14:val="tx1"/>
                  </w14:solidFill>
                </w14:textFill>
              </w:rPr>
              <w:t>承包</w:t>
            </w:r>
            <w:r>
              <w:rPr>
                <w:rFonts w:ascii="仿宋" w:hAnsi="仿宋" w:eastAsia="仿宋" w:cs="仿宋"/>
                <w:snapToGrid w:val="0"/>
                <w:color w:val="000000" w:themeColor="text1"/>
                <w:spacing w:val="1"/>
                <w:kern w:val="0"/>
                <w:sz w:val="23"/>
                <w:szCs w:val="23"/>
                <w:highlight w:val="none"/>
                <w14:textFill>
                  <w14:solidFill>
                    <w14:schemeClr w14:val="tx1"/>
                  </w14:solidFill>
                </w14:textFill>
              </w:rPr>
              <w:t>范围：</w:t>
            </w:r>
            <w:r>
              <w:rPr>
                <w:rFonts w:ascii="仿宋" w:hAnsi="仿宋" w:eastAsia="仿宋" w:cs="仿宋"/>
                <w:snapToGrid w:val="0"/>
                <w:color w:val="000000" w:themeColor="text1"/>
                <w:spacing w:val="1"/>
                <w:kern w:val="0"/>
                <w:sz w:val="23"/>
                <w:szCs w:val="23"/>
                <w:highlight w:val="none"/>
                <w:u w:val="single" w:color="auto"/>
                <w14:textFill>
                  <w14:solidFill>
                    <w14:schemeClr w14:val="tx1"/>
                  </w14:solidFill>
                </w14:textFill>
              </w:rPr>
              <w:t xml:space="preserve">包工包机械包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XX    </w:t>
            </w:r>
          </w:p>
          <w:p w14:paraId="303A4121">
            <w:pPr>
              <w:widowControl/>
              <w:kinsoku w:val="0"/>
              <w:autoSpaceDE w:val="0"/>
              <w:autoSpaceDN w:val="0"/>
              <w:adjustRightInd w:val="0"/>
              <w:snapToGrid w:val="0"/>
              <w:spacing w:before="182" w:line="229" w:lineRule="auto"/>
              <w:ind w:left="119"/>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3"/>
                <w:kern w:val="0"/>
                <w:sz w:val="23"/>
                <w:szCs w:val="23"/>
                <w:highlight w:val="none"/>
                <w14:textFill>
                  <w14:solidFill>
                    <w14:schemeClr w14:val="tx1"/>
                  </w14:solidFill>
                </w14:textFill>
              </w:rPr>
              <w:t>2</w:t>
            </w:r>
            <w:r>
              <w:rPr>
                <w:rFonts w:ascii="仿宋" w:hAnsi="仿宋" w:eastAsia="仿宋" w:cs="仿宋"/>
                <w:snapToGrid w:val="0"/>
                <w:color w:val="000000" w:themeColor="text1"/>
                <w:spacing w:val="2"/>
                <w:kern w:val="0"/>
                <w:sz w:val="23"/>
                <w:szCs w:val="23"/>
                <w:highlight w:val="none"/>
                <w14:textFill>
                  <w14:solidFill>
                    <w14:schemeClr w14:val="tx1"/>
                  </w14:solidFill>
                </w14:textFill>
              </w:rPr>
              <w:t>、第</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spacing w:val="2"/>
                <w:kern w:val="0"/>
                <w:sz w:val="23"/>
                <w:szCs w:val="23"/>
                <w:highlight w:val="none"/>
                <w14:textFill>
                  <w14:solidFill>
                    <w14:schemeClr w14:val="tx1"/>
                  </w14:solidFill>
                </w14:textFill>
              </w:rPr>
              <w:t xml:space="preserve"> 项 </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由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XX</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分包单位完成，</w:t>
            </w:r>
            <w:r>
              <w:rPr>
                <w:rFonts w:ascii="仿宋" w:hAnsi="仿宋" w:eastAsia="仿宋" w:cs="仿宋"/>
                <w:snapToGrid w:val="0"/>
                <w:color w:val="000000" w:themeColor="text1"/>
                <w:spacing w:val="2"/>
                <w:kern w:val="0"/>
                <w:sz w:val="23"/>
                <w:szCs w:val="23"/>
                <w:highlight w:val="none"/>
                <w14:textFill>
                  <w14:solidFill>
                    <w14:schemeClr w14:val="tx1"/>
                  </w14:solidFill>
                </w14:textFill>
              </w:rPr>
              <w:t>承包范围：</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包工包机械包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XX   </w:t>
            </w:r>
          </w:p>
          <w:p w14:paraId="345DBDCF">
            <w:pPr>
              <w:widowControl/>
              <w:kinsoku w:val="0"/>
              <w:autoSpaceDE w:val="0"/>
              <w:autoSpaceDN w:val="0"/>
              <w:adjustRightInd w:val="0"/>
              <w:snapToGrid w:val="0"/>
              <w:spacing w:before="183" w:line="229" w:lineRule="auto"/>
              <w:ind w:left="121"/>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3、第</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spacing w:val="2"/>
                <w:kern w:val="0"/>
                <w:sz w:val="23"/>
                <w:szCs w:val="23"/>
                <w:highlight w:val="none"/>
                <w14:textFill>
                  <w14:solidFill>
                    <w14:schemeClr w14:val="tx1"/>
                  </w14:solidFill>
                </w14:textFill>
              </w:rPr>
              <w:t xml:space="preserve"> 项 </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由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XX</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分包单位完成，</w:t>
            </w:r>
            <w:r>
              <w:rPr>
                <w:rFonts w:ascii="仿宋" w:hAnsi="仿宋" w:eastAsia="仿宋" w:cs="仿宋"/>
                <w:snapToGrid w:val="0"/>
                <w:color w:val="000000" w:themeColor="text1"/>
                <w:spacing w:val="2"/>
                <w:kern w:val="0"/>
                <w:sz w:val="23"/>
                <w:szCs w:val="23"/>
                <w:highlight w:val="none"/>
                <w14:textFill>
                  <w14:solidFill>
                    <w14:schemeClr w14:val="tx1"/>
                  </w14:solidFill>
                </w14:textFill>
              </w:rPr>
              <w:t>承包范围：</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包工包机械包</w:t>
            </w:r>
            <w:r>
              <w:rPr>
                <w:rFonts w:ascii="仿宋" w:hAnsi="仿宋" w:eastAsia="仿宋" w:cs="仿宋"/>
                <w:snapToGrid w:val="0"/>
                <w:color w:val="000000" w:themeColor="text1"/>
                <w:spacing w:val="1"/>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XX   </w:t>
            </w:r>
          </w:p>
          <w:p w14:paraId="121568E0">
            <w:pPr>
              <w:widowControl/>
              <w:kinsoku w:val="0"/>
              <w:autoSpaceDE w:val="0"/>
              <w:autoSpaceDN w:val="0"/>
              <w:adjustRightInd w:val="0"/>
              <w:snapToGrid w:val="0"/>
              <w:spacing w:before="180" w:line="229" w:lineRule="auto"/>
              <w:ind w:left="115"/>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4"/>
                <w:kern w:val="0"/>
                <w:sz w:val="23"/>
                <w:szCs w:val="23"/>
                <w:highlight w:val="none"/>
                <w14:textFill>
                  <w14:solidFill>
                    <w14:schemeClr w14:val="tx1"/>
                  </w14:solidFill>
                </w14:textFill>
              </w:rPr>
              <w:t>4、</w:t>
            </w:r>
            <w:r>
              <w:rPr>
                <w:rFonts w:ascii="仿宋" w:hAnsi="仿宋" w:eastAsia="仿宋" w:cs="仿宋"/>
                <w:snapToGrid w:val="0"/>
                <w:color w:val="000000" w:themeColor="text1"/>
                <w:spacing w:val="3"/>
                <w:kern w:val="0"/>
                <w:sz w:val="23"/>
                <w:szCs w:val="23"/>
                <w:highlight w:val="none"/>
                <w14:textFill>
                  <w14:solidFill>
                    <w14:schemeClr w14:val="tx1"/>
                  </w14:solidFill>
                </w14:textFill>
              </w:rPr>
              <w:t>第</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spacing w:val="2"/>
                <w:kern w:val="0"/>
                <w:sz w:val="23"/>
                <w:szCs w:val="23"/>
                <w:highlight w:val="none"/>
                <w14:textFill>
                  <w14:solidFill>
                    <w14:schemeClr w14:val="tx1"/>
                  </w14:solidFill>
                </w14:textFill>
              </w:rPr>
              <w:t xml:space="preserve"> 项 </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由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XX</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分包单位完成，</w:t>
            </w:r>
            <w:r>
              <w:rPr>
                <w:rFonts w:ascii="仿宋" w:hAnsi="仿宋" w:eastAsia="仿宋" w:cs="仿宋"/>
                <w:snapToGrid w:val="0"/>
                <w:color w:val="000000" w:themeColor="text1"/>
                <w:spacing w:val="2"/>
                <w:kern w:val="0"/>
                <w:sz w:val="23"/>
                <w:szCs w:val="23"/>
                <w:highlight w:val="none"/>
                <w14:textFill>
                  <w14:solidFill>
                    <w14:schemeClr w14:val="tx1"/>
                  </w14:solidFill>
                </w14:textFill>
              </w:rPr>
              <w:t>承包范围：</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包工包机械包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XX   </w:t>
            </w:r>
          </w:p>
          <w:p w14:paraId="368C5D73">
            <w:pPr>
              <w:widowControl/>
              <w:kinsoku w:val="0"/>
              <w:autoSpaceDE w:val="0"/>
              <w:autoSpaceDN w:val="0"/>
              <w:adjustRightInd w:val="0"/>
              <w:snapToGrid w:val="0"/>
              <w:spacing w:before="183" w:line="229" w:lineRule="auto"/>
              <w:ind w:left="121"/>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5、第</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spacing w:val="2"/>
                <w:kern w:val="0"/>
                <w:sz w:val="23"/>
                <w:szCs w:val="23"/>
                <w:highlight w:val="none"/>
                <w14:textFill>
                  <w14:solidFill>
                    <w14:schemeClr w14:val="tx1"/>
                  </w14:solidFill>
                </w14:textFill>
              </w:rPr>
              <w:t xml:space="preserve"> 项 </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由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XX</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分包单位完成，</w:t>
            </w:r>
            <w:r>
              <w:rPr>
                <w:rFonts w:ascii="仿宋" w:hAnsi="仿宋" w:eastAsia="仿宋" w:cs="仿宋"/>
                <w:snapToGrid w:val="0"/>
                <w:color w:val="000000" w:themeColor="text1"/>
                <w:spacing w:val="2"/>
                <w:kern w:val="0"/>
                <w:sz w:val="23"/>
                <w:szCs w:val="23"/>
                <w:highlight w:val="none"/>
                <w14:textFill>
                  <w14:solidFill>
                    <w14:schemeClr w14:val="tx1"/>
                  </w14:solidFill>
                </w14:textFill>
              </w:rPr>
              <w:t>承包范围：</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包工包机械包</w:t>
            </w:r>
            <w:r>
              <w:rPr>
                <w:rFonts w:ascii="仿宋" w:hAnsi="仿宋" w:eastAsia="仿宋" w:cs="仿宋"/>
                <w:snapToGrid w:val="0"/>
                <w:color w:val="000000" w:themeColor="text1"/>
                <w:spacing w:val="1"/>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XX   </w:t>
            </w:r>
          </w:p>
        </w:tc>
      </w:tr>
    </w:tbl>
    <w:p w14:paraId="7630D806">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39CCE3C6">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0B053CB4">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3F0D2114">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6C058F97">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421FEBC1">
      <w:pPr>
        <w:widowControl/>
        <w:kinsoku w:val="0"/>
        <w:autoSpaceDE w:val="0"/>
        <w:autoSpaceDN w:val="0"/>
        <w:adjustRightInd w:val="0"/>
        <w:snapToGrid w:val="0"/>
        <w:spacing w:before="75" w:line="232" w:lineRule="auto"/>
        <w:ind w:left="128"/>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施工员：</w:t>
      </w:r>
      <w:r>
        <w:rPr>
          <w:rFonts w:ascii="仿宋" w:hAnsi="仿宋" w:eastAsia="仿宋" w:cs="仿宋"/>
          <w:snapToGrid w:val="0"/>
          <w:color w:val="000000" w:themeColor="text1"/>
          <w:spacing w:val="-1"/>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kern w:val="0"/>
          <w:sz w:val="23"/>
          <w:szCs w:val="23"/>
          <w:highlight w:val="none"/>
          <w14:textFill>
            <w14:solidFill>
              <w14:schemeClr w14:val="tx1"/>
            </w14:solidFill>
          </w14:textFill>
        </w:rPr>
        <w:t>项目副经理：</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                     </w:t>
      </w:r>
    </w:p>
    <w:p w14:paraId="4D23667A">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20C08EA8">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211650F9">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108A3BA8">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613EBCEA">
      <w:pPr>
        <w:widowControl/>
        <w:kinsoku w:val="0"/>
        <w:autoSpaceDE w:val="0"/>
        <w:autoSpaceDN w:val="0"/>
        <w:adjustRightInd w:val="0"/>
        <w:snapToGrid w:val="0"/>
        <w:spacing w:before="75" w:line="231" w:lineRule="auto"/>
        <w:ind w:left="130"/>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项目成本管理员：</w:t>
      </w:r>
      <w:r>
        <w:rPr>
          <w:rFonts w:ascii="仿宋" w:hAnsi="仿宋" w:eastAsia="仿宋" w:cs="仿宋"/>
          <w:snapToGrid w:val="0"/>
          <w:color w:val="000000" w:themeColor="text1"/>
          <w:spacing w:val="-1"/>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kern w:val="0"/>
          <w:sz w:val="23"/>
          <w:szCs w:val="23"/>
          <w:highlight w:val="none"/>
          <w14:textFill>
            <w14:solidFill>
              <w14:schemeClr w14:val="tx1"/>
            </w14:solidFill>
          </w14:textFill>
        </w:rPr>
        <w:t>项目经理：</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                     </w:t>
      </w:r>
    </w:p>
    <w:p w14:paraId="5E928CBA">
      <w:pPr>
        <w:widowControl/>
        <w:kinsoku w:val="0"/>
        <w:autoSpaceDE w:val="0"/>
        <w:autoSpaceDN w:val="0"/>
        <w:adjustRightInd w:val="0"/>
        <w:snapToGrid w:val="0"/>
        <w:spacing w:line="258"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2D34649E">
      <w:pPr>
        <w:widowControl/>
        <w:kinsoku w:val="0"/>
        <w:autoSpaceDE w:val="0"/>
        <w:autoSpaceDN w:val="0"/>
        <w:adjustRightInd w:val="0"/>
        <w:snapToGrid w:val="0"/>
        <w:spacing w:line="258"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3E7932A3">
      <w:pPr>
        <w:widowControl/>
        <w:kinsoku w:val="0"/>
        <w:autoSpaceDE w:val="0"/>
        <w:autoSpaceDN w:val="0"/>
        <w:adjustRightInd w:val="0"/>
        <w:snapToGrid w:val="0"/>
        <w:spacing w:line="258"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57F809D5">
      <w:pPr>
        <w:widowControl/>
        <w:kinsoku w:val="0"/>
        <w:autoSpaceDE w:val="0"/>
        <w:autoSpaceDN w:val="0"/>
        <w:adjustRightInd w:val="0"/>
        <w:snapToGrid w:val="0"/>
        <w:spacing w:line="258"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57F1B247">
      <w:pPr>
        <w:widowControl/>
        <w:kinsoku w:val="0"/>
        <w:autoSpaceDE w:val="0"/>
        <w:autoSpaceDN w:val="0"/>
        <w:adjustRightInd w:val="0"/>
        <w:snapToGrid w:val="0"/>
        <w:spacing w:before="76" w:line="231" w:lineRule="auto"/>
        <w:ind w:left="135"/>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8"/>
          <w:kern w:val="0"/>
          <w:sz w:val="23"/>
          <w:szCs w:val="23"/>
          <w:highlight w:val="none"/>
          <w14:textFill>
            <w14:solidFill>
              <w14:schemeClr w14:val="tx1"/>
            </w14:solidFill>
          </w14:textFill>
        </w:rPr>
        <w:t>工</w:t>
      </w:r>
      <w:r>
        <w:rPr>
          <w:rFonts w:ascii="仿宋" w:hAnsi="仿宋" w:eastAsia="仿宋" w:cs="仿宋"/>
          <w:snapToGrid w:val="0"/>
          <w:color w:val="000000" w:themeColor="text1"/>
          <w:spacing w:val="5"/>
          <w:kern w:val="0"/>
          <w:sz w:val="23"/>
          <w:szCs w:val="23"/>
          <w:highlight w:val="none"/>
          <w14:textFill>
            <w14:solidFill>
              <w14:schemeClr w14:val="tx1"/>
            </w14:solidFill>
          </w14:textFill>
        </w:rPr>
        <w:t>程部负责人：</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                  </w:t>
      </w:r>
    </w:p>
    <w:p w14:paraId="2688365B">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6D805349">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7C5EBDFF">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77477AEC">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06F38E65">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550" w:name="_Toc19333"/>
      <w:bookmarkStart w:id="551" w:name="_Toc765"/>
      <w:bookmarkStart w:id="552" w:name="_Toc17423"/>
      <w:bookmarkStart w:id="553" w:name="_Toc17060"/>
      <w:bookmarkStart w:id="554" w:name="_Toc9543"/>
      <w:bookmarkStart w:id="555" w:name="_Toc311"/>
      <w:bookmarkStart w:id="556" w:name="_Toc29498"/>
      <w:bookmarkStart w:id="557" w:name="_Toc3295"/>
      <w:bookmarkStart w:id="558" w:name="_Toc26417"/>
      <w:bookmarkStart w:id="559" w:name="_Toc7045"/>
      <w:bookmarkStart w:id="560" w:name="_Toc8727"/>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550"/>
      <w:bookmarkEnd w:id="551"/>
      <w:bookmarkEnd w:id="552"/>
      <w:bookmarkEnd w:id="553"/>
      <w:bookmarkEnd w:id="554"/>
      <w:bookmarkEnd w:id="555"/>
      <w:bookmarkEnd w:id="556"/>
      <w:bookmarkEnd w:id="557"/>
      <w:bookmarkEnd w:id="558"/>
      <w:bookmarkEnd w:id="559"/>
      <w:bookmarkEnd w:id="560"/>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五</w:t>
      </w:r>
    </w:p>
    <w:p w14:paraId="37812351">
      <w:pPr>
        <w:widowControl/>
        <w:kinsoku w:val="0"/>
        <w:autoSpaceDE w:val="0"/>
        <w:autoSpaceDN w:val="0"/>
        <w:adjustRightInd w:val="0"/>
        <w:snapToGrid w:val="0"/>
        <w:spacing w:before="59" w:line="228" w:lineRule="auto"/>
        <w:jc w:val="center"/>
        <w:textAlignment w:val="baseline"/>
        <w:rPr>
          <w:rFonts w:hint="eastAsia" w:ascii="仿宋" w:hAnsi="仿宋" w:eastAsia="仿宋" w:cs="仿宋"/>
          <w:snapToGrid w:val="0"/>
          <w:color w:val="000000" w:themeColor="text1"/>
          <w:spacing w:val="8"/>
          <w:kern w:val="0"/>
          <w:sz w:val="31"/>
          <w:szCs w:val="31"/>
          <w:highlight w:val="none"/>
          <w:lang w:val="en-US" w:eastAsia="zh-CN"/>
          <w14:textFill>
            <w14:solidFill>
              <w14:schemeClr w14:val="tx1"/>
            </w14:solidFill>
          </w14:textFill>
        </w:rPr>
      </w:pPr>
      <w:r>
        <w:rPr>
          <w:rFonts w:ascii="仿宋" w:hAnsi="仿宋" w:eastAsia="仿宋" w:cs="仿宋"/>
          <w:snapToGrid w:val="0"/>
          <w:color w:val="000000" w:themeColor="text1"/>
          <w:spacing w:val="10"/>
          <w:kern w:val="0"/>
          <w:sz w:val="31"/>
          <w:szCs w:val="31"/>
          <w:highlight w:val="none"/>
          <w14:textFill>
            <w14:solidFill>
              <w14:schemeClr w14:val="tx1"/>
            </w14:solidFill>
          </w14:textFill>
        </w:rPr>
        <w:t>工</w:t>
      </w:r>
      <w:r>
        <w:rPr>
          <w:rFonts w:ascii="仿宋" w:hAnsi="仿宋" w:eastAsia="仿宋" w:cs="仿宋"/>
          <w:snapToGrid w:val="0"/>
          <w:color w:val="000000" w:themeColor="text1"/>
          <w:spacing w:val="8"/>
          <w:kern w:val="0"/>
          <w:sz w:val="31"/>
          <w:szCs w:val="31"/>
          <w:highlight w:val="none"/>
          <w14:textFill>
            <w14:solidFill>
              <w14:schemeClr w14:val="tx1"/>
            </w14:solidFill>
          </w14:textFill>
        </w:rPr>
        <w:t>程量现场草签记录表</w:t>
      </w:r>
    </w:p>
    <w:p w14:paraId="04599252">
      <w:pPr>
        <w:widowControl/>
        <w:kinsoku w:val="0"/>
        <w:autoSpaceDE w:val="0"/>
        <w:autoSpaceDN w:val="0"/>
        <w:adjustRightInd w:val="0"/>
        <w:snapToGrid w:val="0"/>
        <w:spacing w:before="59" w:line="228" w:lineRule="auto"/>
        <w:ind w:firstLine="1956" w:firstLineChars="600"/>
        <w:jc w:val="left"/>
        <w:textAlignment w:val="baseline"/>
        <w:rPr>
          <w:rFonts w:hint="eastAsia" w:ascii="仿宋" w:hAnsi="仿宋" w:eastAsia="仿宋" w:cs="仿宋"/>
          <w:snapToGrid w:val="0"/>
          <w:color w:val="000000" w:themeColor="text1"/>
          <w:spacing w:val="8"/>
          <w:kern w:val="0"/>
          <w:sz w:val="31"/>
          <w:szCs w:val="31"/>
          <w:highlight w:val="none"/>
          <w:lang w:val="en-US" w:eastAsia="zh-CN"/>
          <w14:textFill>
            <w14:solidFill>
              <w14:schemeClr w14:val="tx1"/>
            </w14:solidFill>
          </w14:textFill>
        </w:rPr>
      </w:pPr>
    </w:p>
    <w:tbl>
      <w:tblPr>
        <w:tblStyle w:val="30"/>
        <w:tblW w:w="8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7"/>
        <w:gridCol w:w="490"/>
        <w:gridCol w:w="1364"/>
        <w:gridCol w:w="2264"/>
        <w:gridCol w:w="809"/>
        <w:gridCol w:w="824"/>
        <w:gridCol w:w="795"/>
        <w:gridCol w:w="1371"/>
      </w:tblGrid>
      <w:tr w14:paraId="36191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297" w:type="dxa"/>
            <w:gridSpan w:val="2"/>
            <w:noWrap w:val="0"/>
            <w:vAlign w:val="top"/>
          </w:tcPr>
          <w:p w14:paraId="2BA21283">
            <w:pPr>
              <w:widowControl/>
              <w:kinsoku w:val="0"/>
              <w:autoSpaceDE w:val="0"/>
              <w:autoSpaceDN w:val="0"/>
              <w:adjustRightInd w:val="0"/>
              <w:snapToGrid w:val="0"/>
              <w:spacing w:before="86" w:line="229" w:lineRule="auto"/>
              <w:ind w:left="130"/>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5"/>
                <w:kern w:val="0"/>
                <w:sz w:val="23"/>
                <w:szCs w:val="23"/>
                <w:highlight w:val="none"/>
                <w14:textFill>
                  <w14:solidFill>
                    <w14:schemeClr w14:val="tx1"/>
                  </w14:solidFill>
                </w14:textFill>
              </w:rPr>
              <w:t>工程名称</w:t>
            </w:r>
          </w:p>
        </w:tc>
        <w:tc>
          <w:tcPr>
            <w:tcW w:w="7427" w:type="dxa"/>
            <w:gridSpan w:val="6"/>
            <w:noWrap w:val="0"/>
            <w:vAlign w:val="top"/>
          </w:tcPr>
          <w:p w14:paraId="3B5818F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16A36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297" w:type="dxa"/>
            <w:gridSpan w:val="2"/>
            <w:noWrap w:val="0"/>
            <w:vAlign w:val="top"/>
          </w:tcPr>
          <w:p w14:paraId="75763202">
            <w:pPr>
              <w:widowControl/>
              <w:kinsoku w:val="0"/>
              <w:autoSpaceDE w:val="0"/>
              <w:autoSpaceDN w:val="0"/>
              <w:adjustRightInd w:val="0"/>
              <w:snapToGrid w:val="0"/>
              <w:spacing w:before="83" w:line="232" w:lineRule="auto"/>
              <w:ind w:left="299"/>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6"/>
                <w:kern w:val="0"/>
                <w:sz w:val="23"/>
                <w:szCs w:val="23"/>
                <w:highlight w:val="none"/>
                <w14:textFill>
                  <w14:solidFill>
                    <w14:schemeClr w14:val="tx1"/>
                  </w14:solidFill>
                </w14:textFill>
              </w:rPr>
              <w:t>承</w:t>
            </w:r>
            <w:r>
              <w:rPr>
                <w:rFonts w:ascii="仿宋" w:hAnsi="仿宋" w:eastAsia="仿宋" w:cs="仿宋"/>
                <w:snapToGrid w:val="0"/>
                <w:color w:val="000000" w:themeColor="text1"/>
                <w:spacing w:val="5"/>
                <w:kern w:val="0"/>
                <w:sz w:val="23"/>
                <w:szCs w:val="23"/>
                <w:highlight w:val="none"/>
                <w14:textFill>
                  <w14:solidFill>
                    <w14:schemeClr w14:val="tx1"/>
                  </w14:solidFill>
                </w14:textFill>
              </w:rPr>
              <w:t>包方</w:t>
            </w:r>
          </w:p>
        </w:tc>
        <w:tc>
          <w:tcPr>
            <w:tcW w:w="3628" w:type="dxa"/>
            <w:gridSpan w:val="2"/>
            <w:noWrap w:val="0"/>
            <w:vAlign w:val="top"/>
          </w:tcPr>
          <w:p w14:paraId="3F308AC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09" w:type="dxa"/>
            <w:noWrap w:val="0"/>
            <w:vAlign w:val="top"/>
          </w:tcPr>
          <w:p w14:paraId="3FF55490">
            <w:pPr>
              <w:widowControl/>
              <w:kinsoku w:val="0"/>
              <w:autoSpaceDE w:val="0"/>
              <w:autoSpaceDN w:val="0"/>
              <w:adjustRightInd w:val="0"/>
              <w:snapToGrid w:val="0"/>
              <w:spacing w:before="83" w:line="229" w:lineRule="auto"/>
              <w:ind w:left="126"/>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单</w:t>
            </w:r>
            <w:r>
              <w:rPr>
                <w:rFonts w:ascii="仿宋" w:hAnsi="仿宋" w:eastAsia="仿宋" w:cs="仿宋"/>
                <w:snapToGrid w:val="0"/>
                <w:color w:val="000000" w:themeColor="text1"/>
                <w:kern w:val="0"/>
                <w:sz w:val="23"/>
                <w:szCs w:val="23"/>
                <w:highlight w:val="none"/>
                <w14:textFill>
                  <w14:solidFill>
                    <w14:schemeClr w14:val="tx1"/>
                  </w14:solidFill>
                </w14:textFill>
              </w:rPr>
              <w:t>号</w:t>
            </w:r>
          </w:p>
        </w:tc>
        <w:tc>
          <w:tcPr>
            <w:tcW w:w="2990" w:type="dxa"/>
            <w:gridSpan w:val="3"/>
            <w:noWrap w:val="0"/>
            <w:vAlign w:val="top"/>
          </w:tcPr>
          <w:p w14:paraId="76B585C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40551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297" w:type="dxa"/>
            <w:gridSpan w:val="2"/>
            <w:noWrap w:val="0"/>
            <w:vAlign w:val="top"/>
          </w:tcPr>
          <w:p w14:paraId="4F586A25">
            <w:pPr>
              <w:widowControl/>
              <w:kinsoku w:val="0"/>
              <w:autoSpaceDE w:val="0"/>
              <w:autoSpaceDN w:val="0"/>
              <w:adjustRightInd w:val="0"/>
              <w:snapToGrid w:val="0"/>
              <w:spacing w:before="84" w:line="232" w:lineRule="auto"/>
              <w:ind w:left="302"/>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5"/>
                <w:kern w:val="0"/>
                <w:sz w:val="23"/>
                <w:szCs w:val="23"/>
                <w:highlight w:val="none"/>
                <w14:textFill>
                  <w14:solidFill>
                    <w14:schemeClr w14:val="tx1"/>
                  </w14:solidFill>
                </w14:textFill>
              </w:rPr>
              <w:t>分</w:t>
            </w:r>
            <w:r>
              <w:rPr>
                <w:rFonts w:ascii="仿宋" w:hAnsi="仿宋" w:eastAsia="仿宋" w:cs="仿宋"/>
                <w:snapToGrid w:val="0"/>
                <w:color w:val="000000" w:themeColor="text1"/>
                <w:spacing w:val="4"/>
                <w:kern w:val="0"/>
                <w:sz w:val="23"/>
                <w:szCs w:val="23"/>
                <w:highlight w:val="none"/>
                <w14:textFill>
                  <w14:solidFill>
                    <w14:schemeClr w14:val="tx1"/>
                  </w14:solidFill>
                </w14:textFill>
              </w:rPr>
              <w:t>包方</w:t>
            </w:r>
          </w:p>
        </w:tc>
        <w:tc>
          <w:tcPr>
            <w:tcW w:w="3628" w:type="dxa"/>
            <w:gridSpan w:val="2"/>
            <w:noWrap w:val="0"/>
            <w:vAlign w:val="top"/>
          </w:tcPr>
          <w:p w14:paraId="333E314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09" w:type="dxa"/>
            <w:noWrap w:val="0"/>
            <w:vAlign w:val="top"/>
          </w:tcPr>
          <w:p w14:paraId="0288E821">
            <w:pPr>
              <w:widowControl/>
              <w:kinsoku w:val="0"/>
              <w:autoSpaceDE w:val="0"/>
              <w:autoSpaceDN w:val="0"/>
              <w:adjustRightInd w:val="0"/>
              <w:snapToGrid w:val="0"/>
              <w:spacing w:before="84" w:line="231" w:lineRule="auto"/>
              <w:ind w:left="126"/>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原</w:t>
            </w:r>
            <w:r>
              <w:rPr>
                <w:rFonts w:ascii="仿宋" w:hAnsi="仿宋" w:eastAsia="仿宋" w:cs="仿宋"/>
                <w:snapToGrid w:val="0"/>
                <w:color w:val="000000" w:themeColor="text1"/>
                <w:kern w:val="0"/>
                <w:sz w:val="23"/>
                <w:szCs w:val="23"/>
                <w:highlight w:val="none"/>
                <w14:textFill>
                  <w14:solidFill>
                    <w14:schemeClr w14:val="tx1"/>
                  </w14:solidFill>
                </w14:textFill>
              </w:rPr>
              <w:t>因</w:t>
            </w:r>
          </w:p>
        </w:tc>
        <w:tc>
          <w:tcPr>
            <w:tcW w:w="2990" w:type="dxa"/>
            <w:gridSpan w:val="3"/>
            <w:noWrap w:val="0"/>
            <w:vAlign w:val="top"/>
          </w:tcPr>
          <w:p w14:paraId="30764AC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72FAB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679FE11F">
            <w:pPr>
              <w:widowControl/>
              <w:kinsoku w:val="0"/>
              <w:autoSpaceDE w:val="0"/>
              <w:autoSpaceDN w:val="0"/>
              <w:adjustRightInd w:val="0"/>
              <w:snapToGrid w:val="0"/>
              <w:spacing w:before="149" w:line="231" w:lineRule="auto"/>
              <w:ind w:left="124"/>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序号</w:t>
            </w:r>
          </w:p>
        </w:tc>
        <w:tc>
          <w:tcPr>
            <w:tcW w:w="4927" w:type="dxa"/>
            <w:gridSpan w:val="4"/>
            <w:noWrap w:val="0"/>
            <w:vAlign w:val="top"/>
          </w:tcPr>
          <w:p w14:paraId="7596AD25">
            <w:pPr>
              <w:widowControl/>
              <w:kinsoku w:val="0"/>
              <w:autoSpaceDE w:val="0"/>
              <w:autoSpaceDN w:val="0"/>
              <w:adjustRightInd w:val="0"/>
              <w:snapToGrid w:val="0"/>
              <w:spacing w:before="150" w:line="229" w:lineRule="auto"/>
              <w:ind w:left="1996"/>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6"/>
                <w:kern w:val="0"/>
                <w:sz w:val="23"/>
                <w:szCs w:val="23"/>
                <w:highlight w:val="none"/>
                <w14:textFill>
                  <w14:solidFill>
                    <w14:schemeClr w14:val="tx1"/>
                  </w14:solidFill>
                </w14:textFill>
              </w:rPr>
              <w:t>项目名</w:t>
            </w:r>
            <w:r>
              <w:rPr>
                <w:rFonts w:ascii="仿宋" w:hAnsi="仿宋" w:eastAsia="仿宋" w:cs="仿宋"/>
                <w:snapToGrid w:val="0"/>
                <w:color w:val="000000" w:themeColor="text1"/>
                <w:spacing w:val="5"/>
                <w:kern w:val="0"/>
                <w:sz w:val="23"/>
                <w:szCs w:val="23"/>
                <w:highlight w:val="none"/>
                <w14:textFill>
                  <w14:solidFill>
                    <w14:schemeClr w14:val="tx1"/>
                  </w14:solidFill>
                </w14:textFill>
              </w:rPr>
              <w:t>称</w:t>
            </w:r>
          </w:p>
        </w:tc>
        <w:tc>
          <w:tcPr>
            <w:tcW w:w="824" w:type="dxa"/>
            <w:noWrap w:val="0"/>
            <w:vAlign w:val="top"/>
          </w:tcPr>
          <w:p w14:paraId="1254CE91">
            <w:pPr>
              <w:widowControl/>
              <w:kinsoku w:val="0"/>
              <w:autoSpaceDE w:val="0"/>
              <w:autoSpaceDN w:val="0"/>
              <w:adjustRightInd w:val="0"/>
              <w:snapToGrid w:val="0"/>
              <w:spacing w:before="150" w:line="229" w:lineRule="auto"/>
              <w:ind w:left="191"/>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单</w:t>
            </w:r>
            <w:r>
              <w:rPr>
                <w:rFonts w:ascii="仿宋" w:hAnsi="仿宋" w:eastAsia="仿宋" w:cs="仿宋"/>
                <w:snapToGrid w:val="0"/>
                <w:color w:val="000000" w:themeColor="text1"/>
                <w:kern w:val="0"/>
                <w:sz w:val="23"/>
                <w:szCs w:val="23"/>
                <w:highlight w:val="none"/>
                <w14:textFill>
                  <w14:solidFill>
                    <w14:schemeClr w14:val="tx1"/>
                  </w14:solidFill>
                </w14:textFill>
              </w:rPr>
              <w:t>位</w:t>
            </w:r>
          </w:p>
        </w:tc>
        <w:tc>
          <w:tcPr>
            <w:tcW w:w="795" w:type="dxa"/>
            <w:noWrap w:val="0"/>
            <w:vAlign w:val="top"/>
          </w:tcPr>
          <w:p w14:paraId="15E5647F">
            <w:pPr>
              <w:widowControl/>
              <w:kinsoku w:val="0"/>
              <w:autoSpaceDE w:val="0"/>
              <w:autoSpaceDN w:val="0"/>
              <w:adjustRightInd w:val="0"/>
              <w:snapToGrid w:val="0"/>
              <w:spacing w:before="150" w:line="231" w:lineRule="auto"/>
              <w:ind w:left="172"/>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数量</w:t>
            </w:r>
          </w:p>
        </w:tc>
        <w:tc>
          <w:tcPr>
            <w:tcW w:w="1371" w:type="dxa"/>
            <w:noWrap w:val="0"/>
            <w:vAlign w:val="top"/>
          </w:tcPr>
          <w:p w14:paraId="5D3CFE6D">
            <w:pPr>
              <w:widowControl/>
              <w:kinsoku w:val="0"/>
              <w:autoSpaceDE w:val="0"/>
              <w:autoSpaceDN w:val="0"/>
              <w:adjustRightInd w:val="0"/>
              <w:snapToGrid w:val="0"/>
              <w:spacing w:before="150" w:line="233" w:lineRule="auto"/>
              <w:ind w:left="450"/>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备注</w:t>
            </w:r>
          </w:p>
        </w:tc>
      </w:tr>
      <w:tr w14:paraId="69566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1F099E20">
            <w:pPr>
              <w:widowControl/>
              <w:kinsoku w:val="0"/>
              <w:autoSpaceDE w:val="0"/>
              <w:autoSpaceDN w:val="0"/>
              <w:adjustRightInd w:val="0"/>
              <w:snapToGrid w:val="0"/>
              <w:spacing w:before="190" w:line="187" w:lineRule="auto"/>
              <w:ind w:left="367"/>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1</w:t>
            </w:r>
          </w:p>
        </w:tc>
        <w:tc>
          <w:tcPr>
            <w:tcW w:w="4927" w:type="dxa"/>
            <w:gridSpan w:val="4"/>
            <w:noWrap w:val="0"/>
            <w:vAlign w:val="top"/>
          </w:tcPr>
          <w:p w14:paraId="0C89660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0F8531F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16DE391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5011DE7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43739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0CD050F7">
            <w:pPr>
              <w:widowControl/>
              <w:kinsoku w:val="0"/>
              <w:autoSpaceDE w:val="0"/>
              <w:autoSpaceDN w:val="0"/>
              <w:adjustRightInd w:val="0"/>
              <w:snapToGrid w:val="0"/>
              <w:spacing w:before="191" w:line="186" w:lineRule="auto"/>
              <w:ind w:left="352"/>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2</w:t>
            </w:r>
          </w:p>
        </w:tc>
        <w:tc>
          <w:tcPr>
            <w:tcW w:w="4927" w:type="dxa"/>
            <w:gridSpan w:val="4"/>
            <w:noWrap w:val="0"/>
            <w:vAlign w:val="top"/>
          </w:tcPr>
          <w:p w14:paraId="08FFBAF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7EFA327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376A191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5E9503E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7D0F6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807" w:type="dxa"/>
            <w:noWrap w:val="0"/>
            <w:vAlign w:val="top"/>
          </w:tcPr>
          <w:p w14:paraId="6DCF930C">
            <w:pPr>
              <w:widowControl/>
              <w:kinsoku w:val="0"/>
              <w:autoSpaceDE w:val="0"/>
              <w:autoSpaceDN w:val="0"/>
              <w:adjustRightInd w:val="0"/>
              <w:snapToGrid w:val="0"/>
              <w:spacing w:before="191" w:line="186" w:lineRule="auto"/>
              <w:ind w:left="354"/>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3</w:t>
            </w:r>
          </w:p>
        </w:tc>
        <w:tc>
          <w:tcPr>
            <w:tcW w:w="4927" w:type="dxa"/>
            <w:gridSpan w:val="4"/>
            <w:noWrap w:val="0"/>
            <w:vAlign w:val="top"/>
          </w:tcPr>
          <w:p w14:paraId="023DE43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5527CEF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4D474A3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7DC9E53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15B70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770D23AE">
            <w:pPr>
              <w:widowControl/>
              <w:kinsoku w:val="0"/>
              <w:autoSpaceDE w:val="0"/>
              <w:autoSpaceDN w:val="0"/>
              <w:adjustRightInd w:val="0"/>
              <w:snapToGrid w:val="0"/>
              <w:spacing w:before="192" w:line="186" w:lineRule="auto"/>
              <w:ind w:left="348"/>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4</w:t>
            </w:r>
          </w:p>
        </w:tc>
        <w:tc>
          <w:tcPr>
            <w:tcW w:w="4927" w:type="dxa"/>
            <w:gridSpan w:val="4"/>
            <w:noWrap w:val="0"/>
            <w:vAlign w:val="top"/>
          </w:tcPr>
          <w:p w14:paraId="1DBBB78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1A68997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0A8EAFB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1DD157B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68974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63E20ABF">
            <w:pPr>
              <w:widowControl/>
              <w:kinsoku w:val="0"/>
              <w:autoSpaceDE w:val="0"/>
              <w:autoSpaceDN w:val="0"/>
              <w:adjustRightInd w:val="0"/>
              <w:snapToGrid w:val="0"/>
              <w:spacing w:before="195" w:line="184" w:lineRule="auto"/>
              <w:ind w:left="354"/>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5</w:t>
            </w:r>
          </w:p>
        </w:tc>
        <w:tc>
          <w:tcPr>
            <w:tcW w:w="4927" w:type="dxa"/>
            <w:gridSpan w:val="4"/>
            <w:noWrap w:val="0"/>
            <w:vAlign w:val="top"/>
          </w:tcPr>
          <w:p w14:paraId="6381358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05ED34E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30D4252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27F55EF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0707C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1B891623">
            <w:pPr>
              <w:widowControl/>
              <w:kinsoku w:val="0"/>
              <w:autoSpaceDE w:val="0"/>
              <w:autoSpaceDN w:val="0"/>
              <w:adjustRightInd w:val="0"/>
              <w:snapToGrid w:val="0"/>
              <w:spacing w:before="192" w:line="186" w:lineRule="auto"/>
              <w:ind w:left="351"/>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6</w:t>
            </w:r>
          </w:p>
        </w:tc>
        <w:tc>
          <w:tcPr>
            <w:tcW w:w="4927" w:type="dxa"/>
            <w:gridSpan w:val="4"/>
            <w:noWrap w:val="0"/>
            <w:vAlign w:val="top"/>
          </w:tcPr>
          <w:p w14:paraId="5A6AD43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33FD795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2EAFC72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42D03A4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2AE69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807" w:type="dxa"/>
            <w:noWrap w:val="0"/>
            <w:vAlign w:val="top"/>
          </w:tcPr>
          <w:p w14:paraId="68E57A8D">
            <w:pPr>
              <w:widowControl/>
              <w:kinsoku w:val="0"/>
              <w:autoSpaceDE w:val="0"/>
              <w:autoSpaceDN w:val="0"/>
              <w:adjustRightInd w:val="0"/>
              <w:snapToGrid w:val="0"/>
              <w:spacing w:before="195" w:line="184" w:lineRule="auto"/>
              <w:ind w:left="355"/>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7</w:t>
            </w:r>
          </w:p>
        </w:tc>
        <w:tc>
          <w:tcPr>
            <w:tcW w:w="4927" w:type="dxa"/>
            <w:gridSpan w:val="4"/>
            <w:noWrap w:val="0"/>
            <w:vAlign w:val="top"/>
          </w:tcPr>
          <w:p w14:paraId="216D61D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76130F2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260070C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399F13A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3F47B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1FF700D0">
            <w:pPr>
              <w:widowControl/>
              <w:kinsoku w:val="0"/>
              <w:autoSpaceDE w:val="0"/>
              <w:autoSpaceDN w:val="0"/>
              <w:adjustRightInd w:val="0"/>
              <w:snapToGrid w:val="0"/>
              <w:spacing w:before="193" w:line="186" w:lineRule="auto"/>
              <w:ind w:left="350"/>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8</w:t>
            </w:r>
          </w:p>
        </w:tc>
        <w:tc>
          <w:tcPr>
            <w:tcW w:w="4927" w:type="dxa"/>
            <w:gridSpan w:val="4"/>
            <w:noWrap w:val="0"/>
            <w:vAlign w:val="top"/>
          </w:tcPr>
          <w:p w14:paraId="7DDA66B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1872DD0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12E45A6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6594708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59696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141CFC6D">
            <w:pPr>
              <w:widowControl/>
              <w:kinsoku w:val="0"/>
              <w:autoSpaceDE w:val="0"/>
              <w:autoSpaceDN w:val="0"/>
              <w:adjustRightInd w:val="0"/>
              <w:snapToGrid w:val="0"/>
              <w:spacing w:before="193" w:line="186" w:lineRule="auto"/>
              <w:ind w:left="350"/>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9</w:t>
            </w:r>
          </w:p>
        </w:tc>
        <w:tc>
          <w:tcPr>
            <w:tcW w:w="4927" w:type="dxa"/>
            <w:gridSpan w:val="4"/>
            <w:noWrap w:val="0"/>
            <w:vAlign w:val="top"/>
          </w:tcPr>
          <w:p w14:paraId="1F5848D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798F2C5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41C74F1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072EB40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30D0A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6EA68F5C">
            <w:pPr>
              <w:widowControl/>
              <w:kinsoku w:val="0"/>
              <w:autoSpaceDE w:val="0"/>
              <w:autoSpaceDN w:val="0"/>
              <w:adjustRightInd w:val="0"/>
              <w:snapToGrid w:val="0"/>
              <w:spacing w:before="193" w:line="186" w:lineRule="auto"/>
              <w:ind w:left="307"/>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9"/>
                <w:kern w:val="0"/>
                <w:sz w:val="23"/>
                <w:szCs w:val="23"/>
                <w:highlight w:val="none"/>
                <w14:textFill>
                  <w14:solidFill>
                    <w14:schemeClr w14:val="tx1"/>
                  </w14:solidFill>
                </w14:textFill>
              </w:rPr>
              <w:t>1</w:t>
            </w:r>
            <w:r>
              <w:rPr>
                <w:rFonts w:ascii="仿宋" w:hAnsi="仿宋" w:eastAsia="仿宋" w:cs="仿宋"/>
                <w:snapToGrid w:val="0"/>
                <w:color w:val="000000" w:themeColor="text1"/>
                <w:spacing w:val="-8"/>
                <w:kern w:val="0"/>
                <w:sz w:val="23"/>
                <w:szCs w:val="23"/>
                <w:highlight w:val="none"/>
                <w14:textFill>
                  <w14:solidFill>
                    <w14:schemeClr w14:val="tx1"/>
                  </w14:solidFill>
                </w14:textFill>
              </w:rPr>
              <w:t>0</w:t>
            </w:r>
          </w:p>
        </w:tc>
        <w:tc>
          <w:tcPr>
            <w:tcW w:w="4927" w:type="dxa"/>
            <w:gridSpan w:val="4"/>
            <w:noWrap w:val="0"/>
            <w:vAlign w:val="top"/>
          </w:tcPr>
          <w:p w14:paraId="370F701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051EF3A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709B2BB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3A2E209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0AC85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4FF7139F">
            <w:pPr>
              <w:widowControl/>
              <w:kinsoku w:val="0"/>
              <w:autoSpaceDE w:val="0"/>
              <w:autoSpaceDN w:val="0"/>
              <w:adjustRightInd w:val="0"/>
              <w:snapToGrid w:val="0"/>
              <w:spacing w:before="192" w:line="187" w:lineRule="auto"/>
              <w:ind w:left="307"/>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9"/>
                <w:kern w:val="0"/>
                <w:sz w:val="23"/>
                <w:szCs w:val="23"/>
                <w:highlight w:val="none"/>
                <w14:textFill>
                  <w14:solidFill>
                    <w14:schemeClr w14:val="tx1"/>
                  </w14:solidFill>
                </w14:textFill>
              </w:rPr>
              <w:t>1</w:t>
            </w:r>
            <w:r>
              <w:rPr>
                <w:rFonts w:ascii="仿宋" w:hAnsi="仿宋" w:eastAsia="仿宋" w:cs="仿宋"/>
                <w:snapToGrid w:val="0"/>
                <w:color w:val="000000" w:themeColor="text1"/>
                <w:spacing w:val="-8"/>
                <w:kern w:val="0"/>
                <w:sz w:val="23"/>
                <w:szCs w:val="23"/>
                <w:highlight w:val="none"/>
                <w14:textFill>
                  <w14:solidFill>
                    <w14:schemeClr w14:val="tx1"/>
                  </w14:solidFill>
                </w14:textFill>
              </w:rPr>
              <w:t>1</w:t>
            </w:r>
          </w:p>
        </w:tc>
        <w:tc>
          <w:tcPr>
            <w:tcW w:w="4927" w:type="dxa"/>
            <w:gridSpan w:val="4"/>
            <w:noWrap w:val="0"/>
            <w:vAlign w:val="top"/>
          </w:tcPr>
          <w:p w14:paraId="0962A2C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578D7EF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34F0336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16A3E28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6F5A6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807" w:type="dxa"/>
            <w:noWrap w:val="0"/>
            <w:vAlign w:val="top"/>
          </w:tcPr>
          <w:p w14:paraId="43D43D70">
            <w:pPr>
              <w:widowControl/>
              <w:kinsoku w:val="0"/>
              <w:autoSpaceDE w:val="0"/>
              <w:autoSpaceDN w:val="0"/>
              <w:adjustRightInd w:val="0"/>
              <w:snapToGrid w:val="0"/>
              <w:spacing w:before="197" w:line="187" w:lineRule="auto"/>
              <w:ind w:left="307"/>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9"/>
                <w:kern w:val="0"/>
                <w:sz w:val="23"/>
                <w:szCs w:val="23"/>
                <w:highlight w:val="none"/>
                <w14:textFill>
                  <w14:solidFill>
                    <w14:schemeClr w14:val="tx1"/>
                  </w14:solidFill>
                </w14:textFill>
              </w:rPr>
              <w:t>1</w:t>
            </w:r>
            <w:r>
              <w:rPr>
                <w:rFonts w:ascii="仿宋" w:hAnsi="仿宋" w:eastAsia="仿宋" w:cs="仿宋"/>
                <w:snapToGrid w:val="0"/>
                <w:color w:val="000000" w:themeColor="text1"/>
                <w:spacing w:val="-8"/>
                <w:kern w:val="0"/>
                <w:sz w:val="23"/>
                <w:szCs w:val="23"/>
                <w:highlight w:val="none"/>
                <w14:textFill>
                  <w14:solidFill>
                    <w14:schemeClr w14:val="tx1"/>
                  </w14:solidFill>
                </w14:textFill>
              </w:rPr>
              <w:t>2</w:t>
            </w:r>
          </w:p>
        </w:tc>
        <w:tc>
          <w:tcPr>
            <w:tcW w:w="4927" w:type="dxa"/>
            <w:gridSpan w:val="4"/>
            <w:noWrap w:val="0"/>
            <w:vAlign w:val="top"/>
          </w:tcPr>
          <w:p w14:paraId="131FC75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2C63ACA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73818BD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7622998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610C3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661" w:type="dxa"/>
            <w:gridSpan w:val="3"/>
            <w:noWrap w:val="0"/>
            <w:vAlign w:val="top"/>
          </w:tcPr>
          <w:p w14:paraId="77A746BA">
            <w:pPr>
              <w:widowControl/>
              <w:kinsoku w:val="0"/>
              <w:autoSpaceDE w:val="0"/>
              <w:autoSpaceDN w:val="0"/>
              <w:adjustRightInd w:val="0"/>
              <w:snapToGrid w:val="0"/>
              <w:spacing w:before="39" w:line="222" w:lineRule="auto"/>
              <w:ind w:left="743"/>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8"/>
                <w:kern w:val="0"/>
                <w:sz w:val="23"/>
                <w:szCs w:val="23"/>
                <w:highlight w:val="none"/>
                <w14:textFill>
                  <w14:solidFill>
                    <w14:schemeClr w14:val="tx1"/>
                  </w14:solidFill>
                </w14:textFill>
              </w:rPr>
              <w:t>分</w:t>
            </w:r>
            <w:r>
              <w:rPr>
                <w:rFonts w:ascii="仿宋" w:hAnsi="仿宋" w:eastAsia="仿宋" w:cs="仿宋"/>
                <w:snapToGrid w:val="0"/>
                <w:color w:val="000000" w:themeColor="text1"/>
                <w:spacing w:val="7"/>
                <w:kern w:val="0"/>
                <w:sz w:val="23"/>
                <w:szCs w:val="23"/>
                <w:highlight w:val="none"/>
                <w14:textFill>
                  <w14:solidFill>
                    <w14:schemeClr w14:val="tx1"/>
                  </w14:solidFill>
                </w14:textFill>
              </w:rPr>
              <w:t>包方代表</w:t>
            </w:r>
          </w:p>
        </w:tc>
        <w:tc>
          <w:tcPr>
            <w:tcW w:w="3073" w:type="dxa"/>
            <w:gridSpan w:val="2"/>
            <w:noWrap w:val="0"/>
            <w:vAlign w:val="top"/>
          </w:tcPr>
          <w:p w14:paraId="6AB67FBF">
            <w:pPr>
              <w:widowControl/>
              <w:kinsoku w:val="0"/>
              <w:autoSpaceDE w:val="0"/>
              <w:autoSpaceDN w:val="0"/>
              <w:adjustRightInd w:val="0"/>
              <w:snapToGrid w:val="0"/>
              <w:spacing w:before="39" w:line="222" w:lineRule="auto"/>
              <w:ind w:left="948"/>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0"/>
                <w:kern w:val="0"/>
                <w:sz w:val="23"/>
                <w:szCs w:val="23"/>
                <w:highlight w:val="none"/>
                <w14:textFill>
                  <w14:solidFill>
                    <w14:schemeClr w14:val="tx1"/>
                  </w14:solidFill>
                </w14:textFill>
              </w:rPr>
              <w:t>承</w:t>
            </w:r>
            <w:r>
              <w:rPr>
                <w:rFonts w:ascii="仿宋" w:hAnsi="仿宋" w:eastAsia="仿宋" w:cs="仿宋"/>
                <w:snapToGrid w:val="0"/>
                <w:color w:val="000000" w:themeColor="text1"/>
                <w:spacing w:val="7"/>
                <w:kern w:val="0"/>
                <w:sz w:val="23"/>
                <w:szCs w:val="23"/>
                <w:highlight w:val="none"/>
                <w14:textFill>
                  <w14:solidFill>
                    <w14:schemeClr w14:val="tx1"/>
                  </w14:solidFill>
                </w14:textFill>
              </w:rPr>
              <w:t>包方代表</w:t>
            </w:r>
          </w:p>
        </w:tc>
        <w:tc>
          <w:tcPr>
            <w:tcW w:w="2990" w:type="dxa"/>
            <w:gridSpan w:val="3"/>
            <w:noWrap w:val="0"/>
            <w:vAlign w:val="top"/>
          </w:tcPr>
          <w:p w14:paraId="343977CB">
            <w:pPr>
              <w:widowControl/>
              <w:kinsoku w:val="0"/>
              <w:autoSpaceDE w:val="0"/>
              <w:autoSpaceDN w:val="0"/>
              <w:adjustRightInd w:val="0"/>
              <w:snapToGrid w:val="0"/>
              <w:spacing w:before="39" w:line="222" w:lineRule="auto"/>
              <w:ind w:left="1268"/>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其它</w:t>
            </w:r>
          </w:p>
        </w:tc>
      </w:tr>
      <w:tr w14:paraId="10D8F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0" w:hRule="atLeast"/>
        </w:trPr>
        <w:tc>
          <w:tcPr>
            <w:tcW w:w="2661" w:type="dxa"/>
            <w:gridSpan w:val="3"/>
            <w:noWrap w:val="0"/>
            <w:vAlign w:val="top"/>
          </w:tcPr>
          <w:p w14:paraId="72613456">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556B1081">
            <w:pPr>
              <w:widowControl/>
              <w:kinsoku w:val="0"/>
              <w:autoSpaceDE w:val="0"/>
              <w:autoSpaceDN w:val="0"/>
              <w:adjustRightInd w:val="0"/>
              <w:snapToGrid w:val="0"/>
              <w:spacing w:before="75" w:line="229" w:lineRule="auto"/>
              <w:ind w:left="123"/>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6"/>
                <w:kern w:val="0"/>
                <w:sz w:val="23"/>
                <w:szCs w:val="23"/>
                <w:highlight w:val="none"/>
                <w14:textFill>
                  <w14:solidFill>
                    <w14:schemeClr w14:val="tx1"/>
                  </w14:solidFill>
                </w14:textFill>
              </w:rPr>
              <w:t>现场执行人</w:t>
            </w:r>
            <w:r>
              <w:rPr>
                <w:rFonts w:ascii="仿宋" w:hAnsi="仿宋" w:eastAsia="仿宋" w:cs="仿宋"/>
                <w:snapToGrid w:val="0"/>
                <w:color w:val="000000" w:themeColor="text1"/>
                <w:spacing w:val="4"/>
                <w:kern w:val="0"/>
                <w:sz w:val="23"/>
                <w:szCs w:val="23"/>
                <w:highlight w:val="none"/>
                <w14:textFill>
                  <w14:solidFill>
                    <w14:schemeClr w14:val="tx1"/>
                  </w14:solidFill>
                </w14:textFill>
              </w:rPr>
              <w:t>：</w:t>
            </w:r>
          </w:p>
        </w:tc>
        <w:tc>
          <w:tcPr>
            <w:tcW w:w="3073" w:type="dxa"/>
            <w:gridSpan w:val="2"/>
            <w:noWrap w:val="0"/>
            <w:vAlign w:val="top"/>
          </w:tcPr>
          <w:p w14:paraId="55A8FB19">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4D5CBE42">
            <w:pPr>
              <w:widowControl/>
              <w:kinsoku w:val="0"/>
              <w:autoSpaceDE w:val="0"/>
              <w:autoSpaceDN w:val="0"/>
              <w:adjustRightInd w:val="0"/>
              <w:snapToGrid w:val="0"/>
              <w:spacing w:before="74" w:line="233" w:lineRule="auto"/>
              <w:ind w:left="119"/>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5"/>
                <w:kern w:val="0"/>
                <w:sz w:val="23"/>
                <w:szCs w:val="23"/>
                <w:highlight w:val="none"/>
                <w14:textFill>
                  <w14:solidFill>
                    <w14:schemeClr w14:val="tx1"/>
                  </w14:solidFill>
                </w14:textFill>
              </w:rPr>
              <w:t>施</w:t>
            </w:r>
            <w:r>
              <w:rPr>
                <w:rFonts w:ascii="仿宋" w:hAnsi="仿宋" w:eastAsia="仿宋" w:cs="仿宋"/>
                <w:snapToGrid w:val="0"/>
                <w:color w:val="000000" w:themeColor="text1"/>
                <w:spacing w:val="3"/>
                <w:kern w:val="0"/>
                <w:sz w:val="23"/>
                <w:szCs w:val="23"/>
                <w:highlight w:val="none"/>
                <w14:textFill>
                  <w14:solidFill>
                    <w14:schemeClr w14:val="tx1"/>
                  </w14:solidFill>
                </w14:textFill>
              </w:rPr>
              <w:t>工员：</w:t>
            </w:r>
          </w:p>
          <w:p w14:paraId="75F4A64D">
            <w:pPr>
              <w:widowControl/>
              <w:kinsoku w:val="0"/>
              <w:autoSpaceDE w:val="0"/>
              <w:autoSpaceDN w:val="0"/>
              <w:adjustRightInd w:val="0"/>
              <w:snapToGrid w:val="0"/>
              <w:spacing w:line="255"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3369E7D3">
            <w:pPr>
              <w:widowControl/>
              <w:kinsoku w:val="0"/>
              <w:autoSpaceDE w:val="0"/>
              <w:autoSpaceDN w:val="0"/>
              <w:adjustRightInd w:val="0"/>
              <w:snapToGrid w:val="0"/>
              <w:spacing w:before="74" w:line="233" w:lineRule="auto"/>
              <w:ind w:left="126"/>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副经理</w:t>
            </w:r>
            <w:r>
              <w:rPr>
                <w:rFonts w:ascii="仿宋" w:hAnsi="仿宋" w:eastAsia="仿宋" w:cs="仿宋"/>
                <w:snapToGrid w:val="0"/>
                <w:color w:val="000000" w:themeColor="text1"/>
                <w:spacing w:val="1"/>
                <w:kern w:val="0"/>
                <w:sz w:val="23"/>
                <w:szCs w:val="23"/>
                <w:highlight w:val="none"/>
                <w14:textFill>
                  <w14:solidFill>
                    <w14:schemeClr w14:val="tx1"/>
                  </w14:solidFill>
                </w14:textFill>
              </w:rPr>
              <w:t>：</w:t>
            </w:r>
          </w:p>
          <w:p w14:paraId="77192654">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6DF5F838">
            <w:pPr>
              <w:widowControl/>
              <w:kinsoku w:val="0"/>
              <w:autoSpaceDE w:val="0"/>
              <w:autoSpaceDN w:val="0"/>
              <w:adjustRightInd w:val="0"/>
              <w:snapToGrid w:val="0"/>
              <w:spacing w:before="74" w:line="231" w:lineRule="auto"/>
              <w:ind w:left="123"/>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5"/>
                <w:kern w:val="0"/>
                <w:sz w:val="23"/>
                <w:szCs w:val="23"/>
                <w:highlight w:val="none"/>
                <w14:textFill>
                  <w14:solidFill>
                    <w14:schemeClr w14:val="tx1"/>
                  </w14:solidFill>
                </w14:textFill>
              </w:rPr>
              <w:t>成本管理员：</w:t>
            </w:r>
          </w:p>
        </w:tc>
        <w:tc>
          <w:tcPr>
            <w:tcW w:w="2990" w:type="dxa"/>
            <w:gridSpan w:val="3"/>
            <w:noWrap w:val="0"/>
            <w:vAlign w:val="top"/>
          </w:tcPr>
          <w:p w14:paraId="5A376571">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3D9C54CD">
            <w:pPr>
              <w:widowControl/>
              <w:kinsoku w:val="0"/>
              <w:autoSpaceDE w:val="0"/>
              <w:autoSpaceDN w:val="0"/>
              <w:adjustRightInd w:val="0"/>
              <w:snapToGrid w:val="0"/>
              <w:spacing w:before="74" w:line="265" w:lineRule="auto"/>
              <w:ind w:left="127" w:right="107" w:firstLine="4"/>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附件如</w:t>
            </w:r>
            <w:r>
              <w:rPr>
                <w:rFonts w:ascii="仿宋" w:hAnsi="仿宋" w:eastAsia="仿宋" w:cs="仿宋"/>
                <w:snapToGrid w:val="0"/>
                <w:color w:val="000000" w:themeColor="text1"/>
                <w:spacing w:val="-1"/>
                <w:kern w:val="0"/>
                <w:sz w:val="23"/>
                <w:szCs w:val="23"/>
                <w:highlight w:val="none"/>
                <w14:textFill>
                  <w14:solidFill>
                    <w14:schemeClr w14:val="tx1"/>
                  </w14:solidFill>
                </w14:textFill>
              </w:rPr>
              <w:t>：施工前、中、后的</w:t>
            </w:r>
            <w:r>
              <w:rPr>
                <w:rFonts w:ascii="仿宋" w:hAnsi="仿宋" w:eastAsia="仿宋" w:cs="仿宋"/>
                <w:snapToGrid w:val="0"/>
                <w:color w:val="000000" w:themeColor="text1"/>
                <w:kern w:val="0"/>
                <w:sz w:val="23"/>
                <w:szCs w:val="23"/>
                <w:highlight w:val="none"/>
                <w14:textFill>
                  <w14:solidFill>
                    <w14:schemeClr w14:val="tx1"/>
                  </w14:solidFill>
                </w14:textFill>
              </w:rPr>
              <w:t xml:space="preserve"> </w:t>
            </w:r>
            <w:r>
              <w:rPr>
                <w:rFonts w:ascii="仿宋" w:hAnsi="仿宋" w:eastAsia="仿宋" w:cs="仿宋"/>
                <w:snapToGrid w:val="0"/>
                <w:color w:val="000000" w:themeColor="text1"/>
                <w:spacing w:val="8"/>
                <w:kern w:val="0"/>
                <w:sz w:val="23"/>
                <w:szCs w:val="23"/>
                <w:highlight w:val="none"/>
                <w14:textFill>
                  <w14:solidFill>
                    <w14:schemeClr w14:val="tx1"/>
                  </w14:solidFill>
                </w14:textFill>
              </w:rPr>
              <w:t>照</w:t>
            </w:r>
            <w:r>
              <w:rPr>
                <w:rFonts w:ascii="仿宋" w:hAnsi="仿宋" w:eastAsia="仿宋" w:cs="仿宋"/>
                <w:snapToGrid w:val="0"/>
                <w:color w:val="000000" w:themeColor="text1"/>
                <w:spacing w:val="5"/>
                <w:kern w:val="0"/>
                <w:sz w:val="23"/>
                <w:szCs w:val="23"/>
                <w:highlight w:val="none"/>
                <w14:textFill>
                  <w14:solidFill>
                    <w14:schemeClr w14:val="tx1"/>
                  </w14:solidFill>
                </w14:textFill>
              </w:rPr>
              <w:t>片、录像</w:t>
            </w:r>
          </w:p>
        </w:tc>
      </w:tr>
      <w:tr w14:paraId="20A0F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2661" w:type="dxa"/>
            <w:gridSpan w:val="3"/>
            <w:noWrap w:val="0"/>
            <w:vAlign w:val="top"/>
          </w:tcPr>
          <w:p w14:paraId="13F651C2">
            <w:pPr>
              <w:widowControl/>
              <w:kinsoku w:val="0"/>
              <w:autoSpaceDE w:val="0"/>
              <w:autoSpaceDN w:val="0"/>
              <w:adjustRightInd w:val="0"/>
              <w:snapToGrid w:val="0"/>
              <w:spacing w:before="212" w:line="231" w:lineRule="auto"/>
              <w:ind w:left="628"/>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5"/>
                <w:kern w:val="0"/>
                <w:sz w:val="23"/>
                <w:szCs w:val="23"/>
                <w:highlight w:val="none"/>
                <w14:textFill>
                  <w14:solidFill>
                    <w14:schemeClr w14:val="tx1"/>
                  </w14:solidFill>
                </w14:textFill>
              </w:rPr>
              <w:t>年</w:t>
            </w:r>
            <w:r>
              <w:rPr>
                <w:rFonts w:ascii="仿宋" w:hAnsi="仿宋" w:eastAsia="仿宋" w:cs="仿宋"/>
                <w:snapToGrid w:val="0"/>
                <w:color w:val="000000" w:themeColor="text1"/>
                <w:spacing w:val="10"/>
                <w:kern w:val="0"/>
                <w:sz w:val="23"/>
                <w:szCs w:val="23"/>
                <w:highlight w:val="none"/>
                <w14:textFill>
                  <w14:solidFill>
                    <w14:schemeClr w14:val="tx1"/>
                  </w14:solidFill>
                </w14:textFill>
              </w:rPr>
              <w:t xml:space="preserve">   月   日</w:t>
            </w:r>
          </w:p>
        </w:tc>
        <w:tc>
          <w:tcPr>
            <w:tcW w:w="3073" w:type="dxa"/>
            <w:gridSpan w:val="2"/>
            <w:noWrap w:val="0"/>
            <w:vAlign w:val="top"/>
          </w:tcPr>
          <w:p w14:paraId="1FE22EA0">
            <w:pPr>
              <w:widowControl/>
              <w:kinsoku w:val="0"/>
              <w:autoSpaceDE w:val="0"/>
              <w:autoSpaceDN w:val="0"/>
              <w:adjustRightInd w:val="0"/>
              <w:snapToGrid w:val="0"/>
              <w:spacing w:before="212" w:line="231" w:lineRule="auto"/>
              <w:ind w:left="835"/>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5"/>
                <w:kern w:val="0"/>
                <w:sz w:val="23"/>
                <w:szCs w:val="23"/>
                <w:highlight w:val="none"/>
                <w14:textFill>
                  <w14:solidFill>
                    <w14:schemeClr w14:val="tx1"/>
                  </w14:solidFill>
                </w14:textFill>
              </w:rPr>
              <w:t>年</w:t>
            </w:r>
            <w:r>
              <w:rPr>
                <w:rFonts w:ascii="仿宋" w:hAnsi="仿宋" w:eastAsia="仿宋" w:cs="仿宋"/>
                <w:snapToGrid w:val="0"/>
                <w:color w:val="000000" w:themeColor="text1"/>
                <w:spacing w:val="10"/>
                <w:kern w:val="0"/>
                <w:sz w:val="23"/>
                <w:szCs w:val="23"/>
                <w:highlight w:val="none"/>
                <w14:textFill>
                  <w14:solidFill>
                    <w14:schemeClr w14:val="tx1"/>
                  </w14:solidFill>
                </w14:textFill>
              </w:rPr>
              <w:t xml:space="preserve">   月   日</w:t>
            </w:r>
          </w:p>
        </w:tc>
        <w:tc>
          <w:tcPr>
            <w:tcW w:w="2990" w:type="dxa"/>
            <w:gridSpan w:val="3"/>
            <w:noWrap w:val="0"/>
            <w:vAlign w:val="top"/>
          </w:tcPr>
          <w:p w14:paraId="06057E72">
            <w:pPr>
              <w:widowControl/>
              <w:kinsoku w:val="0"/>
              <w:autoSpaceDE w:val="0"/>
              <w:autoSpaceDN w:val="0"/>
              <w:adjustRightInd w:val="0"/>
              <w:snapToGrid w:val="0"/>
              <w:spacing w:before="212" w:line="231" w:lineRule="auto"/>
              <w:ind w:left="793"/>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5"/>
                <w:kern w:val="0"/>
                <w:sz w:val="23"/>
                <w:szCs w:val="23"/>
                <w:highlight w:val="none"/>
                <w14:textFill>
                  <w14:solidFill>
                    <w14:schemeClr w14:val="tx1"/>
                  </w14:solidFill>
                </w14:textFill>
              </w:rPr>
              <w:t>年</w:t>
            </w:r>
            <w:r>
              <w:rPr>
                <w:rFonts w:ascii="仿宋" w:hAnsi="仿宋" w:eastAsia="仿宋" w:cs="仿宋"/>
                <w:snapToGrid w:val="0"/>
                <w:color w:val="000000" w:themeColor="text1"/>
                <w:spacing w:val="10"/>
                <w:kern w:val="0"/>
                <w:sz w:val="23"/>
                <w:szCs w:val="23"/>
                <w:highlight w:val="none"/>
                <w14:textFill>
                  <w14:solidFill>
                    <w14:schemeClr w14:val="tx1"/>
                  </w14:solidFill>
                </w14:textFill>
              </w:rPr>
              <w:t xml:space="preserve">   月   日</w:t>
            </w:r>
          </w:p>
        </w:tc>
      </w:tr>
    </w:tbl>
    <w:p w14:paraId="67D74A28">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7C9B313D">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561" w:name="_Toc4753"/>
      <w:bookmarkStart w:id="562" w:name="_Toc2501"/>
      <w:bookmarkStart w:id="563" w:name="_Toc9011"/>
      <w:bookmarkStart w:id="564" w:name="_Toc19348"/>
      <w:bookmarkStart w:id="565" w:name="_Toc7157"/>
      <w:bookmarkStart w:id="566" w:name="_Toc25895"/>
      <w:bookmarkStart w:id="567" w:name="_Toc17176"/>
      <w:bookmarkStart w:id="568" w:name="_Toc15553"/>
      <w:bookmarkStart w:id="569" w:name="_Toc25405"/>
      <w:bookmarkStart w:id="570" w:name="_Toc22173"/>
      <w:bookmarkStart w:id="571" w:name="_Toc13663"/>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561"/>
      <w:bookmarkEnd w:id="562"/>
      <w:bookmarkEnd w:id="563"/>
      <w:bookmarkEnd w:id="564"/>
      <w:bookmarkEnd w:id="565"/>
      <w:bookmarkEnd w:id="566"/>
      <w:bookmarkEnd w:id="567"/>
      <w:bookmarkEnd w:id="568"/>
      <w:bookmarkEnd w:id="569"/>
      <w:bookmarkEnd w:id="570"/>
      <w:bookmarkEnd w:id="571"/>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六</w:t>
      </w:r>
    </w:p>
    <w:p w14:paraId="34C0CB1A">
      <w:pPr>
        <w:jc w:val="center"/>
        <w:rPr>
          <w:rFonts w:hint="eastAsia"/>
          <w:b/>
          <w:bCs/>
          <w:color w:val="000000" w:themeColor="text1"/>
          <w:sz w:val="44"/>
          <w:szCs w:val="44"/>
          <w:highlight w:val="none"/>
          <w14:textFill>
            <w14:solidFill>
              <w14:schemeClr w14:val="tx1"/>
            </w14:solidFill>
          </w14:textFill>
        </w:rPr>
      </w:pPr>
      <w:r>
        <w:rPr>
          <w:rFonts w:hint="eastAsia" w:ascii="宋体" w:hAnsi="宋体" w:cs="宋体"/>
          <w:b/>
          <w:bCs/>
          <w:color w:val="000000" w:themeColor="text1"/>
          <w:sz w:val="44"/>
          <w:szCs w:val="44"/>
          <w:highlight w:val="none"/>
          <w14:textFill>
            <w14:solidFill>
              <w14:schemeClr w14:val="tx1"/>
            </w14:solidFill>
          </w14:textFill>
        </w:rPr>
        <w:t>工程结算</w:t>
      </w:r>
      <w:r>
        <w:rPr>
          <w:rFonts w:hint="eastAsia"/>
          <w:b/>
          <w:bCs/>
          <w:color w:val="000000" w:themeColor="text1"/>
          <w:sz w:val="44"/>
          <w:szCs w:val="44"/>
          <w:highlight w:val="none"/>
          <w14:textFill>
            <w14:solidFill>
              <w14:schemeClr w14:val="tx1"/>
            </w14:solidFill>
          </w14:textFill>
        </w:rPr>
        <w:t>支付证明单</w:t>
      </w:r>
    </w:p>
    <w:p w14:paraId="41A4C320">
      <w:pPr>
        <w:jc w:val="center"/>
        <w:rPr>
          <w:rFonts w:hint="eastAsia" w:eastAsia="宋体"/>
          <w:b/>
          <w:bCs/>
          <w:color w:val="000000" w:themeColor="text1"/>
          <w:sz w:val="44"/>
          <w:szCs w:val="44"/>
          <w:highlight w:val="none"/>
          <w:lang w:eastAsia="zh-CN"/>
          <w14:textFill>
            <w14:solidFill>
              <w14:schemeClr w14:val="tx1"/>
            </w14:solidFill>
          </w14:textFill>
        </w:rPr>
      </w:pPr>
      <w:r>
        <w:rPr>
          <w:rFonts w:hint="eastAsia"/>
          <w:b/>
          <w:bCs/>
          <w:color w:val="000000" w:themeColor="text1"/>
          <w:sz w:val="21"/>
          <w:szCs w:val="21"/>
          <w:highlight w:val="none"/>
          <w:lang w:eastAsia="zh-CN"/>
          <w14:textFill>
            <w14:solidFill>
              <w14:schemeClr w14:val="tx1"/>
            </w14:solidFill>
          </w14:textFill>
        </w:rPr>
        <w:t>（</w:t>
      </w:r>
      <w:r>
        <w:rPr>
          <w:rFonts w:hint="eastAsia"/>
          <w:b/>
          <w:bCs/>
          <w:color w:val="000000" w:themeColor="text1"/>
          <w:sz w:val="21"/>
          <w:szCs w:val="21"/>
          <w:highlight w:val="none"/>
          <w:lang w:val="en-US" w:eastAsia="zh-CN"/>
          <w14:textFill>
            <w14:solidFill>
              <w14:schemeClr w14:val="tx1"/>
            </w14:solidFill>
          </w14:textFill>
        </w:rPr>
        <w:t>参考格式</w:t>
      </w:r>
      <w:r>
        <w:rPr>
          <w:rFonts w:hint="eastAsia"/>
          <w:b/>
          <w:bCs/>
          <w:color w:val="000000" w:themeColor="text1"/>
          <w:sz w:val="21"/>
          <w:szCs w:val="21"/>
          <w:highlight w:val="none"/>
          <w:lang w:eastAsia="zh-CN"/>
          <w14:textFill>
            <w14:solidFill>
              <w14:schemeClr w14:val="tx1"/>
            </w14:solidFill>
          </w14:textFill>
        </w:rPr>
        <w:t>）</w:t>
      </w:r>
    </w:p>
    <w:p w14:paraId="4ED19DD6">
      <w:pPr>
        <w:jc w:val="center"/>
        <w:rPr>
          <w:color w:val="000000" w:themeColor="text1"/>
          <w:sz w:val="32"/>
          <w:szCs w:val="32"/>
          <w:highlight w:val="none"/>
          <w14:textFill>
            <w14:solidFill>
              <w14:schemeClr w14:val="tx1"/>
            </w14:solidFill>
          </w14:textFill>
        </w:rPr>
      </w:pPr>
    </w:p>
    <w:tbl>
      <w:tblPr>
        <w:tblStyle w:val="18"/>
        <w:tblW w:w="92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8428"/>
      </w:tblGrid>
      <w:tr w14:paraId="41723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45" w:type="dxa"/>
            <w:noWrap w:val="0"/>
            <w:vAlign w:val="top"/>
          </w:tcPr>
          <w:p w14:paraId="191CFB06">
            <w:pPr>
              <w:jc w:val="center"/>
              <w:rPr>
                <w:b/>
                <w:color w:val="000000" w:themeColor="text1"/>
                <w:sz w:val="30"/>
                <w:szCs w:val="30"/>
                <w:highlight w:val="none"/>
                <w14:textFill>
                  <w14:solidFill>
                    <w14:schemeClr w14:val="tx1"/>
                  </w14:solidFill>
                </w14:textFill>
              </w:rPr>
            </w:pPr>
            <w:r>
              <w:rPr>
                <w:rFonts w:hint="eastAsia"/>
                <w:b/>
                <w:color w:val="000000" w:themeColor="text1"/>
                <w:sz w:val="30"/>
                <w:szCs w:val="30"/>
                <w:highlight w:val="none"/>
                <w14:textFill>
                  <w14:solidFill>
                    <w14:schemeClr w14:val="tx1"/>
                  </w14:solidFill>
                </w14:textFill>
              </w:rPr>
              <w:t>序号</w:t>
            </w:r>
          </w:p>
        </w:tc>
        <w:tc>
          <w:tcPr>
            <w:tcW w:w="8428" w:type="dxa"/>
            <w:noWrap w:val="0"/>
            <w:vAlign w:val="top"/>
          </w:tcPr>
          <w:p w14:paraId="5F7AD33F">
            <w:pPr>
              <w:jc w:val="center"/>
              <w:rPr>
                <w:b/>
                <w:color w:val="000000" w:themeColor="text1"/>
                <w:sz w:val="30"/>
                <w:szCs w:val="30"/>
                <w:highlight w:val="none"/>
                <w14:textFill>
                  <w14:solidFill>
                    <w14:schemeClr w14:val="tx1"/>
                  </w14:solidFill>
                </w14:textFill>
              </w:rPr>
            </w:pPr>
            <w:r>
              <w:rPr>
                <w:rFonts w:hint="eastAsia"/>
                <w:b/>
                <w:color w:val="000000" w:themeColor="text1"/>
                <w:sz w:val="30"/>
                <w:szCs w:val="30"/>
                <w:highlight w:val="none"/>
                <w14:textFill>
                  <w14:solidFill>
                    <w14:schemeClr w14:val="tx1"/>
                  </w14:solidFill>
                </w14:textFill>
              </w:rPr>
              <w:t>结算明细</w:t>
            </w:r>
          </w:p>
        </w:tc>
      </w:tr>
      <w:tr w14:paraId="668D0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7F820AE7">
            <w:pPr>
              <w:jc w:val="center"/>
              <w:rPr>
                <w:color w:val="000000" w:themeColor="text1"/>
                <w:sz w:val="30"/>
                <w:szCs w:val="30"/>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1</w:t>
            </w:r>
          </w:p>
        </w:tc>
        <w:tc>
          <w:tcPr>
            <w:tcW w:w="8428" w:type="dxa"/>
            <w:noWrap w:val="0"/>
            <w:vAlign w:val="top"/>
          </w:tcPr>
          <w:p w14:paraId="170C1D38">
            <w:pPr>
              <w:jc w:val="left"/>
              <w:rPr>
                <w:color w:val="000000" w:themeColor="text1"/>
                <w:sz w:val="30"/>
                <w:szCs w:val="30"/>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工程名称：</w:t>
            </w:r>
          </w:p>
        </w:tc>
      </w:tr>
      <w:tr w14:paraId="6FEE0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5" w:type="dxa"/>
            <w:noWrap w:val="0"/>
            <w:vAlign w:val="top"/>
          </w:tcPr>
          <w:p w14:paraId="67853EBC">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2</w:t>
            </w:r>
          </w:p>
        </w:tc>
        <w:tc>
          <w:tcPr>
            <w:tcW w:w="8428" w:type="dxa"/>
            <w:noWrap w:val="0"/>
            <w:vAlign w:val="top"/>
          </w:tcPr>
          <w:p w14:paraId="3FCD887D">
            <w:pPr>
              <w:jc w:val="left"/>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单位名称：</w:t>
            </w:r>
          </w:p>
        </w:tc>
      </w:tr>
      <w:tr w14:paraId="477B7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2FB96784">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3</w:t>
            </w:r>
          </w:p>
        </w:tc>
        <w:tc>
          <w:tcPr>
            <w:tcW w:w="8428" w:type="dxa"/>
            <w:noWrap w:val="0"/>
            <w:vAlign w:val="top"/>
          </w:tcPr>
          <w:p w14:paraId="76C35E05">
            <w:pPr>
              <w:jc w:val="left"/>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合同单位负责人:</w:t>
            </w:r>
          </w:p>
        </w:tc>
      </w:tr>
      <w:tr w14:paraId="707A4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337B5AF9">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4</w:t>
            </w:r>
          </w:p>
        </w:tc>
        <w:tc>
          <w:tcPr>
            <w:tcW w:w="8428" w:type="dxa"/>
            <w:noWrap w:val="0"/>
            <w:vAlign w:val="top"/>
          </w:tcPr>
          <w:p w14:paraId="26462634">
            <w:pPr>
              <w:jc w:val="left"/>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合同编号：</w:t>
            </w:r>
          </w:p>
        </w:tc>
      </w:tr>
      <w:tr w14:paraId="79625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145DA0A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5</w:t>
            </w:r>
          </w:p>
        </w:tc>
        <w:tc>
          <w:tcPr>
            <w:tcW w:w="8428" w:type="dxa"/>
            <w:noWrap w:val="0"/>
            <w:vAlign w:val="top"/>
          </w:tcPr>
          <w:p w14:paraId="48B5217E">
            <w:pPr>
              <w:jc w:val="left"/>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合同总价：</w:t>
            </w:r>
            <w:r>
              <w:rPr>
                <w:rFonts w:hint="eastAsia"/>
                <w:color w:val="000000" w:themeColor="text1"/>
                <w:sz w:val="28"/>
                <w:szCs w:val="28"/>
                <w:highlight w:val="none"/>
                <w:lang w:val="en-US" w:eastAsia="zh-CN"/>
                <w14:textFill>
                  <w14:solidFill>
                    <w14:schemeClr w14:val="tx1"/>
                  </w14:solidFill>
                </w14:textFill>
              </w:rPr>
              <w:t xml:space="preserve">     元</w:t>
            </w:r>
          </w:p>
        </w:tc>
      </w:tr>
      <w:tr w14:paraId="237B0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1D2B986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6</w:t>
            </w:r>
          </w:p>
        </w:tc>
        <w:tc>
          <w:tcPr>
            <w:tcW w:w="8428" w:type="dxa"/>
            <w:noWrap w:val="0"/>
            <w:vAlign w:val="top"/>
          </w:tcPr>
          <w:p w14:paraId="6D9C6A75">
            <w:pPr>
              <w:jc w:val="left"/>
              <w:rPr>
                <w:rFonts w:hint="default"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结算总价：</w:t>
            </w:r>
            <w:r>
              <w:rPr>
                <w:rFonts w:hint="eastAsia"/>
                <w:color w:val="000000" w:themeColor="text1"/>
                <w:sz w:val="28"/>
                <w:szCs w:val="28"/>
                <w:highlight w:val="none"/>
                <w:lang w:val="en-US" w:eastAsia="zh-CN"/>
                <w14:textFill>
                  <w14:solidFill>
                    <w14:schemeClr w14:val="tx1"/>
                  </w14:solidFill>
                </w14:textFill>
              </w:rPr>
              <w:t xml:space="preserve">     元</w:t>
            </w:r>
          </w:p>
        </w:tc>
      </w:tr>
      <w:tr w14:paraId="3AFF2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22DE963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7</w:t>
            </w:r>
          </w:p>
        </w:tc>
        <w:tc>
          <w:tcPr>
            <w:tcW w:w="8428" w:type="dxa"/>
            <w:noWrap w:val="0"/>
            <w:vAlign w:val="top"/>
          </w:tcPr>
          <w:p w14:paraId="5CA1EBFE">
            <w:pPr>
              <w:jc w:val="left"/>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累计已收款：</w:t>
            </w:r>
            <w:r>
              <w:rPr>
                <w:rFonts w:hint="eastAsia"/>
                <w:color w:val="000000" w:themeColor="text1"/>
                <w:sz w:val="28"/>
                <w:szCs w:val="28"/>
                <w:highlight w:val="none"/>
                <w:lang w:val="en-US" w:eastAsia="zh-CN"/>
                <w14:textFill>
                  <w14:solidFill>
                    <w14:schemeClr w14:val="tx1"/>
                  </w14:solidFill>
                </w14:textFill>
              </w:rPr>
              <w:t xml:space="preserve">   元</w:t>
            </w:r>
            <w:r>
              <w:rPr>
                <w:rFonts w:hint="eastAsia"/>
                <w:color w:val="000000" w:themeColor="text1"/>
                <w:sz w:val="28"/>
                <w:szCs w:val="28"/>
                <w:highlight w:val="none"/>
                <w14:textFill>
                  <w14:solidFill>
                    <w14:schemeClr w14:val="tx1"/>
                  </w14:solidFill>
                </w14:textFill>
              </w:rPr>
              <w:t xml:space="preserve">        截止日期：</w:t>
            </w:r>
            <w:r>
              <w:rPr>
                <w:rFonts w:hint="eastAsia"/>
                <w:color w:val="000000" w:themeColor="text1"/>
                <w:sz w:val="28"/>
                <w:szCs w:val="28"/>
                <w:highlight w:val="none"/>
                <w:lang w:val="en-US" w:eastAsia="zh-CN"/>
                <w14:textFill>
                  <w14:solidFill>
                    <w14:schemeClr w14:val="tx1"/>
                  </w14:solidFill>
                </w14:textFill>
              </w:rPr>
              <w:t xml:space="preserve">202  </w:t>
            </w:r>
            <w:r>
              <w:rPr>
                <w:rFonts w:hint="eastAsia"/>
                <w:color w:val="000000" w:themeColor="text1"/>
                <w:sz w:val="28"/>
                <w:szCs w:val="28"/>
                <w:highlight w:val="none"/>
                <w14:textFill>
                  <w14:solidFill>
                    <w14:schemeClr w14:val="tx1"/>
                  </w14:solidFill>
                </w14:textFill>
              </w:rPr>
              <w:t>年</w:t>
            </w:r>
            <w:r>
              <w:rPr>
                <w:rFonts w:hint="eastAsia"/>
                <w:color w:val="000000" w:themeColor="text1"/>
                <w:sz w:val="28"/>
                <w:szCs w:val="28"/>
                <w:highlight w:val="none"/>
                <w:lang w:val="en-US" w:eastAsia="zh-CN"/>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月</w:t>
            </w:r>
            <w:r>
              <w:rPr>
                <w:rFonts w:hint="eastAsia"/>
                <w:color w:val="000000" w:themeColor="text1"/>
                <w:sz w:val="28"/>
                <w:szCs w:val="28"/>
                <w:highlight w:val="none"/>
                <w:lang w:val="en-US" w:eastAsia="zh-CN"/>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日</w:t>
            </w:r>
          </w:p>
        </w:tc>
      </w:tr>
      <w:tr w14:paraId="38A50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4894C593">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8</w:t>
            </w:r>
          </w:p>
        </w:tc>
        <w:tc>
          <w:tcPr>
            <w:tcW w:w="8428" w:type="dxa"/>
            <w:noWrap w:val="0"/>
            <w:vAlign w:val="top"/>
          </w:tcPr>
          <w:p w14:paraId="7E689A4F">
            <w:pPr>
              <w:jc w:val="left"/>
              <w:rPr>
                <w:rFonts w:hint="default"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未付款：</w:t>
            </w:r>
            <w:r>
              <w:rPr>
                <w:rFonts w:hint="eastAsia"/>
                <w:color w:val="000000" w:themeColor="text1"/>
                <w:sz w:val="28"/>
                <w:szCs w:val="28"/>
                <w:highlight w:val="none"/>
                <w:lang w:val="en-US" w:eastAsia="zh-CN"/>
                <w14:textFill>
                  <w14:solidFill>
                    <w14:schemeClr w14:val="tx1"/>
                  </w14:solidFill>
                </w14:textFill>
              </w:rPr>
              <w:t xml:space="preserve">       元</w:t>
            </w:r>
          </w:p>
        </w:tc>
      </w:tr>
    </w:tbl>
    <w:p w14:paraId="10D16487">
      <w:pPr>
        <w:jc w:val="center"/>
        <w:rPr>
          <w:color w:val="000000" w:themeColor="text1"/>
          <w:sz w:val="36"/>
          <w:szCs w:val="36"/>
          <w:highlight w:val="none"/>
          <w14:textFill>
            <w14:solidFill>
              <w14:schemeClr w14:val="tx1"/>
            </w14:solidFill>
          </w14:textFill>
        </w:rPr>
      </w:pPr>
    </w:p>
    <w:p w14:paraId="088CD904">
      <w:pPr>
        <w:jc w:val="center"/>
        <w:rPr>
          <w:rFonts w:ascii="宋体" w:hAnsi="宋体" w:cs="宋体"/>
          <w:color w:val="000000" w:themeColor="text1"/>
          <w:sz w:val="28"/>
          <w:szCs w:val="28"/>
          <w:highlight w:val="none"/>
          <w14:textFill>
            <w14:solidFill>
              <w14:schemeClr w14:val="tx1"/>
            </w14:solidFill>
          </w14:textFill>
        </w:rPr>
      </w:pPr>
    </w:p>
    <w:p w14:paraId="2D8FD4E4">
      <w:pPr>
        <w:jc w:val="center"/>
        <w:rPr>
          <w:rFonts w:ascii="宋体" w:hAnsi="宋体" w:cs="宋体"/>
          <w:color w:val="000000" w:themeColor="text1"/>
          <w:sz w:val="28"/>
          <w:szCs w:val="28"/>
          <w:highlight w:val="none"/>
          <w14:textFill>
            <w14:solidFill>
              <w14:schemeClr w14:val="tx1"/>
            </w14:solidFill>
          </w14:textFill>
        </w:rPr>
      </w:pPr>
    </w:p>
    <w:p w14:paraId="3D23E132">
      <w:pPr>
        <w:jc w:val="center"/>
        <w:rPr>
          <w:rFonts w:ascii="宋体" w:hAnsi="宋体" w:cs="宋体"/>
          <w:color w:val="000000" w:themeColor="text1"/>
          <w:sz w:val="28"/>
          <w:szCs w:val="28"/>
          <w:highlight w:val="none"/>
          <w14:textFill>
            <w14:solidFill>
              <w14:schemeClr w14:val="tx1"/>
            </w14:solidFill>
          </w14:textFill>
        </w:rPr>
      </w:pPr>
    </w:p>
    <w:p w14:paraId="4E0DCE5D">
      <w:pPr>
        <w:jc w:val="center"/>
        <w:rPr>
          <w:rFonts w:hint="default"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 xml:space="preserve">                               </w:t>
      </w:r>
      <w:r>
        <w:rPr>
          <w:rFonts w:hint="eastAsia" w:ascii="宋体" w:hAnsi="宋体" w:cs="宋体"/>
          <w:color w:val="000000" w:themeColor="text1"/>
          <w:sz w:val="30"/>
          <w:szCs w:val="30"/>
          <w:highlight w:val="none"/>
          <w:lang w:val="en-US" w:eastAsia="zh-CN"/>
          <w14:textFill>
            <w14:solidFill>
              <w14:schemeClr w14:val="tx1"/>
            </w14:solidFill>
          </w14:textFill>
        </w:rPr>
        <w:t>***</w:t>
      </w:r>
      <w:r>
        <w:rPr>
          <w:rFonts w:hint="eastAsia" w:ascii="宋体" w:hAnsi="宋体" w:cs="宋体"/>
          <w:color w:val="000000" w:themeColor="text1"/>
          <w:sz w:val="28"/>
          <w:szCs w:val="28"/>
          <w:highlight w:val="none"/>
          <w14:textFill>
            <w14:solidFill>
              <w14:schemeClr w14:val="tx1"/>
            </w14:solidFill>
          </w14:textFill>
        </w:rPr>
        <w:t>有限公司</w:t>
      </w:r>
      <w:r>
        <w:rPr>
          <w:rFonts w:hint="eastAsia" w:ascii="宋体" w:hAnsi="宋体" w:cs="宋体"/>
          <w:color w:val="000000" w:themeColor="text1"/>
          <w:sz w:val="28"/>
          <w:szCs w:val="28"/>
          <w:highlight w:val="none"/>
          <w:lang w:val="en-US" w:eastAsia="zh-CN"/>
          <w14:textFill>
            <w14:solidFill>
              <w14:schemeClr w14:val="tx1"/>
            </w14:solidFill>
          </w14:textFill>
        </w:rPr>
        <w:t>(加盖公章)</w:t>
      </w:r>
    </w:p>
    <w:p w14:paraId="5676F2FA">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 xml:space="preserve">                                   </w:t>
      </w:r>
      <w:bookmarkStart w:id="572" w:name="_Toc17495"/>
      <w:bookmarkStart w:id="573" w:name="_Toc14730"/>
      <w:bookmarkStart w:id="574" w:name="_Toc15934"/>
      <w:bookmarkStart w:id="575" w:name="_Toc5978"/>
      <w:r>
        <w:rPr>
          <w:rFonts w:hint="eastAsia" w:ascii="宋体" w:hAnsi="宋体" w:cs="宋体"/>
          <w:color w:val="000000" w:themeColor="text1"/>
          <w:sz w:val="28"/>
          <w:szCs w:val="28"/>
          <w:highlight w:val="none"/>
          <w:lang w:val="en-US" w:eastAsia="zh-CN"/>
          <w14:textFill>
            <w14:solidFill>
              <w14:schemeClr w14:val="tx1"/>
            </w14:solidFill>
          </w14:textFill>
        </w:rPr>
        <w:t xml:space="preserve">202  </w:t>
      </w:r>
      <w:r>
        <w:rPr>
          <w:rFonts w:hint="eastAsia" w:ascii="宋体" w:hAnsi="宋体" w:cs="宋体"/>
          <w:color w:val="000000" w:themeColor="text1"/>
          <w:sz w:val="28"/>
          <w:szCs w:val="28"/>
          <w:highlight w:val="none"/>
          <w14:textFill>
            <w14:solidFill>
              <w14:schemeClr w14:val="tx1"/>
            </w14:solidFill>
          </w14:textFill>
        </w:rPr>
        <w:t>年</w:t>
      </w:r>
      <w:r>
        <w:rPr>
          <w:rFonts w:hint="eastAsia" w:ascii="宋体" w:hAnsi="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月</w:t>
      </w:r>
      <w:r>
        <w:rPr>
          <w:rFonts w:hint="eastAsia" w:ascii="宋体" w:hAnsi="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日</w:t>
      </w:r>
      <w:bookmarkEnd w:id="572"/>
      <w:bookmarkEnd w:id="573"/>
      <w:bookmarkEnd w:id="574"/>
      <w:bookmarkEnd w:id="575"/>
    </w:p>
    <w:p w14:paraId="26421EA4">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39548B50">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73B06E30">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0BDF4D7C">
      <w:pPr>
        <w:keepNext w:val="0"/>
        <w:keepLines w:val="0"/>
        <w:pageBreakBefore w:val="0"/>
        <w:shd w:val="clear" w:color="auto" w:fill="auto"/>
        <w:overflowPunct/>
        <w:topLinePunct w:val="0"/>
        <w:bidi w:val="0"/>
        <w:snapToGrid w:val="0"/>
        <w:spacing w:line="360" w:lineRule="auto"/>
        <w:ind w:firstLineChars="0"/>
        <w:jc w:val="both"/>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069B428B">
      <w:pPr>
        <w:keepNext w:val="0"/>
        <w:keepLines w:val="0"/>
        <w:pageBreakBefore w:val="0"/>
        <w:shd w:val="clear" w:color="auto" w:fill="auto"/>
        <w:overflowPunct/>
        <w:topLinePunct w:val="0"/>
        <w:bidi w:val="0"/>
        <w:snapToGrid w:val="0"/>
        <w:spacing w:line="360" w:lineRule="auto"/>
        <w:ind w:firstLineChars="0"/>
        <w:jc w:val="both"/>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5CAF122A">
      <w:pPr>
        <w:keepNext w:val="0"/>
        <w:keepLines w:val="0"/>
        <w:pageBreakBefore w:val="0"/>
        <w:shd w:val="clear" w:color="auto" w:fill="auto"/>
        <w:overflowPunct/>
        <w:topLinePunct w:val="0"/>
        <w:bidi w:val="0"/>
        <w:snapToGrid w:val="0"/>
        <w:spacing w:line="360" w:lineRule="auto"/>
        <w:ind w:firstLineChars="0"/>
        <w:jc w:val="both"/>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67BBDB1B">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576" w:name="_Toc11833"/>
      <w:bookmarkStart w:id="577" w:name="_Toc23627"/>
      <w:bookmarkStart w:id="578" w:name="_Toc30249"/>
      <w:bookmarkStart w:id="579" w:name="_Toc9387"/>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508"/>
      <w:bookmarkEnd w:id="509"/>
      <w:bookmarkEnd w:id="510"/>
      <w:bookmarkEnd w:id="511"/>
      <w:bookmarkEnd w:id="512"/>
      <w:bookmarkEnd w:id="513"/>
      <w:bookmarkEnd w:id="514"/>
      <w:bookmarkEnd w:id="576"/>
      <w:bookmarkEnd w:id="577"/>
      <w:bookmarkEnd w:id="578"/>
      <w:bookmarkEnd w:id="579"/>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七</w:t>
      </w:r>
    </w:p>
    <w:tbl>
      <w:tblPr>
        <w:tblStyle w:val="17"/>
        <w:tblpPr w:leftFromText="180" w:rightFromText="180" w:vertAnchor="text" w:horzAnchor="page" w:tblpX="1465" w:tblpY="768"/>
        <w:tblOverlap w:val="never"/>
        <w:tblW w:w="92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0"/>
        <w:gridCol w:w="4451"/>
        <w:gridCol w:w="1410"/>
        <w:gridCol w:w="2145"/>
      </w:tblGrid>
      <w:tr w14:paraId="22036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266" w:type="dxa"/>
            <w:gridSpan w:val="4"/>
            <w:tcBorders>
              <w:top w:val="nil"/>
              <w:left w:val="nil"/>
              <w:bottom w:val="nil"/>
              <w:right w:val="nil"/>
            </w:tcBorders>
            <w:noWrap w:val="0"/>
            <w:vAlign w:val="center"/>
          </w:tcPr>
          <w:p w14:paraId="5B9C9BF0">
            <w:pPr>
              <w:keepNext w:val="0"/>
              <w:keepLines w:val="0"/>
              <w:widowControl/>
              <w:suppressLineNumbers w:val="0"/>
              <w:jc w:val="center"/>
              <w:textAlignment w:val="center"/>
              <w:rPr>
                <w:rFonts w:hint="eastAsia" w:ascii="宋体" w:hAnsi="宋体" w:eastAsia="宋体" w:cs="宋体"/>
                <w:b/>
                <w:bCs/>
                <w:i w:val="0"/>
                <w:iCs w:val="0"/>
                <w:color w:val="000000" w:themeColor="text1"/>
                <w:sz w:val="40"/>
                <w:szCs w:val="40"/>
                <w:highlight w:val="none"/>
                <w:u w:val="none"/>
                <w14:textFill>
                  <w14:solidFill>
                    <w14:schemeClr w14:val="tx1"/>
                  </w14:solidFill>
                </w14:textFill>
              </w:rPr>
            </w:pPr>
            <w:r>
              <w:rPr>
                <w:rFonts w:hint="eastAsia" w:ascii="仿宋_GB2312" w:hAnsi="仿宋_GB2312" w:eastAsia="仿宋_GB2312" w:cs="仿宋_GB2312"/>
                <w:b/>
                <w:bCs w:val="0"/>
                <w:color w:val="000000" w:themeColor="text1"/>
                <w:sz w:val="40"/>
                <w:szCs w:val="40"/>
                <w:highlight w:val="none"/>
                <w:shd w:val="clear" w:color="auto" w:fill="auto"/>
                <w:lang w:val="en-US" w:eastAsia="zh-CN"/>
                <w14:textFill>
                  <w14:solidFill>
                    <w14:schemeClr w14:val="tx1"/>
                  </w14:solidFill>
                </w14:textFill>
              </w:rPr>
              <w:t>工完场清交接单</w:t>
            </w:r>
            <w:r>
              <w:rPr>
                <w:rFonts w:hint="eastAsia" w:ascii="宋体" w:hAnsi="宋体" w:eastAsia="宋体" w:cs="宋体"/>
                <w:b/>
                <w:bCs/>
                <w:i w:val="0"/>
                <w:iCs w:val="0"/>
                <w:color w:val="000000" w:themeColor="text1"/>
                <w:kern w:val="0"/>
                <w:sz w:val="40"/>
                <w:szCs w:val="40"/>
                <w:highlight w:val="none"/>
                <w:u w:val="none"/>
                <w:lang w:val="en-US" w:eastAsia="zh-CN" w:bidi="ar"/>
                <w14:textFill>
                  <w14:solidFill>
                    <w14:schemeClr w14:val="tx1"/>
                  </w14:solidFill>
                </w14:textFill>
              </w:rPr>
              <w:t xml:space="preserve">                                                                                                            </w:t>
            </w:r>
          </w:p>
        </w:tc>
      </w:tr>
      <w:tr w14:paraId="362E1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266" w:type="dxa"/>
            <w:gridSpan w:val="4"/>
            <w:tcBorders>
              <w:top w:val="nil"/>
              <w:left w:val="nil"/>
              <w:bottom w:val="nil"/>
              <w:right w:val="nil"/>
            </w:tcBorders>
            <w:noWrap w:val="0"/>
            <w:vAlign w:val="center"/>
          </w:tcPr>
          <w:p w14:paraId="166C3F09">
            <w:pPr>
              <w:keepNext w:val="0"/>
              <w:keepLines w:val="0"/>
              <w:widowControl/>
              <w:suppressLineNumbers w:val="0"/>
              <w:jc w:val="right"/>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 xml:space="preserve">                                              </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填表日期：     年    月    日</w:t>
            </w:r>
          </w:p>
        </w:tc>
      </w:tr>
      <w:tr w14:paraId="2AF0B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260" w:type="dxa"/>
            <w:tcBorders>
              <w:top w:val="single" w:color="000000" w:sz="4" w:space="0"/>
              <w:left w:val="single" w:color="000000" w:sz="4" w:space="0"/>
              <w:bottom w:val="single" w:color="000000" w:sz="4" w:space="0"/>
              <w:right w:val="single" w:color="000000" w:sz="4" w:space="0"/>
            </w:tcBorders>
            <w:noWrap/>
            <w:vAlign w:val="center"/>
          </w:tcPr>
          <w:p w14:paraId="5C5D4EBC">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工程名称</w:t>
            </w:r>
          </w:p>
        </w:tc>
        <w:tc>
          <w:tcPr>
            <w:tcW w:w="4451" w:type="dxa"/>
            <w:tcBorders>
              <w:top w:val="single" w:color="000000" w:sz="4" w:space="0"/>
              <w:left w:val="single" w:color="000000" w:sz="4" w:space="0"/>
              <w:bottom w:val="single" w:color="000000" w:sz="4" w:space="0"/>
              <w:right w:val="nil"/>
            </w:tcBorders>
            <w:noWrap/>
            <w:vAlign w:val="center"/>
          </w:tcPr>
          <w:p w14:paraId="5C5B23E3">
            <w:pP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0CF6EC17">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移交部位</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52962EF0">
            <w:pP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1C4A6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vMerge w:val="restart"/>
            <w:tcBorders>
              <w:top w:val="single" w:color="000000" w:sz="4" w:space="0"/>
              <w:left w:val="single" w:color="000000" w:sz="4" w:space="0"/>
              <w:bottom w:val="single" w:color="000000" w:sz="4" w:space="0"/>
              <w:right w:val="single" w:color="000000" w:sz="4" w:space="0"/>
            </w:tcBorders>
            <w:noWrap w:val="0"/>
            <w:vAlign w:val="center"/>
          </w:tcPr>
          <w:p w14:paraId="1F971653">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1、移交合格内容</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2、移交时间</w:t>
            </w:r>
          </w:p>
        </w:tc>
        <w:tc>
          <w:tcPr>
            <w:tcW w:w="4451" w:type="dxa"/>
            <w:vMerge w:val="restart"/>
            <w:tcBorders>
              <w:top w:val="single" w:color="000000" w:sz="4" w:space="0"/>
              <w:left w:val="single" w:color="000000" w:sz="4" w:space="0"/>
              <w:bottom w:val="single" w:color="000000" w:sz="4" w:space="0"/>
              <w:right w:val="single" w:color="000000" w:sz="4" w:space="0"/>
            </w:tcBorders>
            <w:noWrap/>
            <w:vAlign w:val="center"/>
          </w:tcPr>
          <w:p w14:paraId="12AF5D56">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restart"/>
            <w:tcBorders>
              <w:top w:val="single" w:color="000000" w:sz="4" w:space="0"/>
              <w:left w:val="single" w:color="000000" w:sz="4" w:space="0"/>
              <w:bottom w:val="single" w:color="000000" w:sz="4" w:space="0"/>
              <w:right w:val="single" w:color="000000" w:sz="4" w:space="0"/>
            </w:tcBorders>
            <w:noWrap w:val="0"/>
            <w:vAlign w:val="center"/>
          </w:tcPr>
          <w:p w14:paraId="6730B336">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1、甩项部位</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2、甩项内容</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3、计划移交时间</w:t>
            </w:r>
          </w:p>
        </w:tc>
        <w:tc>
          <w:tcPr>
            <w:tcW w:w="2145" w:type="dxa"/>
            <w:vMerge w:val="restart"/>
            <w:tcBorders>
              <w:top w:val="single" w:color="000000" w:sz="4" w:space="0"/>
              <w:left w:val="single" w:color="000000" w:sz="4" w:space="0"/>
              <w:bottom w:val="single" w:color="000000" w:sz="4" w:space="0"/>
              <w:right w:val="single" w:color="000000" w:sz="4" w:space="0"/>
            </w:tcBorders>
            <w:noWrap/>
            <w:vAlign w:val="center"/>
          </w:tcPr>
          <w:p w14:paraId="5960070F">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 </w:t>
            </w:r>
          </w:p>
        </w:tc>
      </w:tr>
      <w:tr w14:paraId="4313C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2D227C">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155F4437">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5AE345">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43B257E0">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58B13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108BD6">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29F86CC1">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4C54DB">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6E363834">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0BC6C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C13B23">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28C65603">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D3F1E2">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347EFDE0">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16115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967C44">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34686532">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17BAA9">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7F32F817">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6F6F3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102A16">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381EE0D9">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9096A2">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281E4C57">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371F7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4E2A4C">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588CDC0F">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390E24">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3E85499D">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22259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57333C">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5AFC1BA6">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785371">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4EB23AEC">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1100E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A66F60F">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移交单位</w:t>
            </w:r>
          </w:p>
        </w:tc>
        <w:tc>
          <w:tcPr>
            <w:tcW w:w="4451" w:type="dxa"/>
            <w:tcBorders>
              <w:top w:val="nil"/>
              <w:left w:val="single" w:color="000000" w:sz="4" w:space="0"/>
              <w:bottom w:val="single" w:color="000000" w:sz="4" w:space="0"/>
              <w:right w:val="single" w:color="000000" w:sz="4" w:space="0"/>
            </w:tcBorders>
            <w:noWrap/>
            <w:vAlign w:val="center"/>
          </w:tcPr>
          <w:p w14:paraId="2BE7813F">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799C6E5F">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移交人及电话</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48467E80">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14995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B5D8ADF">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接收单位                                                                                                                                                                  </w:t>
            </w:r>
          </w:p>
        </w:tc>
        <w:tc>
          <w:tcPr>
            <w:tcW w:w="4451" w:type="dxa"/>
            <w:tcBorders>
              <w:top w:val="single" w:color="000000" w:sz="4" w:space="0"/>
              <w:left w:val="single" w:color="000000" w:sz="4" w:space="0"/>
              <w:bottom w:val="single" w:color="000000" w:sz="4" w:space="0"/>
              <w:right w:val="single" w:color="000000" w:sz="4" w:space="0"/>
            </w:tcBorders>
            <w:noWrap w:val="0"/>
            <w:vAlign w:val="top"/>
          </w:tcPr>
          <w:p w14:paraId="3B1312D6">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38C07622">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接收人及电话</w:t>
            </w:r>
          </w:p>
        </w:tc>
        <w:tc>
          <w:tcPr>
            <w:tcW w:w="2145" w:type="dxa"/>
            <w:tcBorders>
              <w:top w:val="single" w:color="000000" w:sz="4" w:space="0"/>
              <w:left w:val="single" w:color="000000" w:sz="4" w:space="0"/>
              <w:bottom w:val="single" w:color="000000" w:sz="4" w:space="0"/>
              <w:right w:val="single" w:color="000000" w:sz="4" w:space="0"/>
            </w:tcBorders>
            <w:noWrap w:val="0"/>
            <w:vAlign w:val="top"/>
          </w:tcPr>
          <w:p w14:paraId="18F90E3B">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4B89D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974E9D1">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项目部组织及参加人员                                                          </w:t>
            </w:r>
          </w:p>
        </w:tc>
        <w:tc>
          <w:tcPr>
            <w:tcW w:w="8006" w:type="dxa"/>
            <w:gridSpan w:val="3"/>
            <w:tcBorders>
              <w:top w:val="single" w:color="000000" w:sz="4" w:space="0"/>
              <w:left w:val="single" w:color="000000" w:sz="4" w:space="0"/>
              <w:bottom w:val="single" w:color="000000" w:sz="4" w:space="0"/>
              <w:right w:val="single" w:color="000000" w:sz="4" w:space="0"/>
            </w:tcBorders>
            <w:noWrap w:val="0"/>
            <w:vAlign w:val="top"/>
          </w:tcPr>
          <w:p w14:paraId="44A86A3B">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7A59A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66" w:type="dxa"/>
            <w:gridSpan w:val="4"/>
            <w:vMerge w:val="restart"/>
            <w:tcBorders>
              <w:top w:val="nil"/>
              <w:left w:val="nil"/>
              <w:bottom w:val="nil"/>
              <w:right w:val="nil"/>
            </w:tcBorders>
            <w:noWrap w:val="0"/>
            <w:vAlign w:val="center"/>
          </w:tcPr>
          <w:p w14:paraId="2E94F149">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注：1、本表一式三份，交接双方及中泰项目部各执一份，本表签字完善后作为分包单位申请工程进度款的依据。2、移交人和接收人均须为合同约定的现场负责人。</w:t>
            </w:r>
          </w:p>
        </w:tc>
      </w:tr>
      <w:tr w14:paraId="3BD1C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66" w:type="dxa"/>
            <w:gridSpan w:val="4"/>
            <w:vMerge w:val="continue"/>
            <w:tcBorders>
              <w:top w:val="nil"/>
              <w:left w:val="nil"/>
              <w:bottom w:val="nil"/>
              <w:right w:val="nil"/>
            </w:tcBorders>
            <w:noWrap w:val="0"/>
            <w:vAlign w:val="center"/>
          </w:tcPr>
          <w:p w14:paraId="5776BA02">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bl>
    <w:p w14:paraId="650A8F53">
      <w:pPr>
        <w:keepNext w:val="0"/>
        <w:keepLines w:val="0"/>
        <w:pageBreakBefore w:val="0"/>
        <w:shd w:val="clear" w:color="auto" w:fill="auto"/>
        <w:overflowPunct/>
        <w:topLinePunct w:val="0"/>
        <w:bidi w:val="0"/>
        <w:snapToGrid w:val="0"/>
        <w:spacing w:line="360" w:lineRule="auto"/>
        <w:ind w:firstLineChars="0"/>
        <w:jc w:val="both"/>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580" w:name="_Toc5270"/>
      <w:bookmarkStart w:id="581" w:name="_Toc16390"/>
    </w:p>
    <w:p w14:paraId="46EE013A">
      <w:pPr>
        <w:keepNext w:val="0"/>
        <w:keepLines w:val="0"/>
        <w:pageBreakBefore w:val="0"/>
        <w:shd w:val="clear" w:color="auto" w:fill="auto"/>
        <w:overflowPunct/>
        <w:topLinePunct w:val="0"/>
        <w:bidi w:val="0"/>
        <w:snapToGrid w:val="0"/>
        <w:spacing w:line="24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582" w:name="_Toc10211"/>
      <w:bookmarkStart w:id="583" w:name="_Toc22242"/>
      <w:bookmarkStart w:id="584" w:name="_Toc24935"/>
      <w:bookmarkStart w:id="585" w:name="_Toc31140"/>
      <w:bookmarkStart w:id="586" w:name="_Toc2372"/>
      <w:bookmarkStart w:id="587" w:name="_Toc12279"/>
      <w:bookmarkStart w:id="588" w:name="_Toc24471"/>
      <w:bookmarkStart w:id="589" w:name="_Toc27382"/>
      <w:bookmarkStart w:id="590" w:name="_Toc23748"/>
      <w:bookmarkStart w:id="591" w:name="_Toc6245"/>
      <w:bookmarkStart w:id="592" w:name="_Toc25693"/>
      <w:bookmarkStart w:id="593" w:name="_Toc18032"/>
      <w:bookmarkStart w:id="594" w:name="_Toc24255"/>
      <w:bookmarkStart w:id="595" w:name="_Toc3138"/>
      <w:bookmarkStart w:id="596" w:name="_Toc4693"/>
    </w:p>
    <w:p w14:paraId="7FE75AD6">
      <w:pPr>
        <w:keepNext w:val="0"/>
        <w:keepLines w:val="0"/>
        <w:pageBreakBefore w:val="0"/>
        <w:shd w:val="clear" w:color="auto" w:fill="auto"/>
        <w:overflowPunct/>
        <w:topLinePunct w:val="0"/>
        <w:bidi w:val="0"/>
        <w:snapToGrid w:val="0"/>
        <w:spacing w:line="24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5195A67F">
      <w:pPr>
        <w:keepNext w:val="0"/>
        <w:keepLines w:val="0"/>
        <w:pageBreakBefore w:val="0"/>
        <w:shd w:val="clear" w:color="auto" w:fill="auto"/>
        <w:overflowPunct/>
        <w:topLinePunct w:val="0"/>
        <w:bidi w:val="0"/>
        <w:snapToGrid w:val="0"/>
        <w:spacing w:line="24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5E2EFC00">
      <w:pPr>
        <w:keepNext w:val="0"/>
        <w:keepLines w:val="0"/>
        <w:pageBreakBefore w:val="0"/>
        <w:shd w:val="clear" w:color="auto" w:fill="auto"/>
        <w:overflowPunct/>
        <w:topLinePunct w:val="0"/>
        <w:bidi w:val="0"/>
        <w:snapToGrid w:val="0"/>
        <w:spacing w:line="24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5FA7133B">
      <w:pPr>
        <w:keepNext w:val="0"/>
        <w:keepLines w:val="0"/>
        <w:pageBreakBefore w:val="0"/>
        <w:shd w:val="clear" w:color="auto" w:fill="auto"/>
        <w:overflowPunct/>
        <w:topLinePunct w:val="0"/>
        <w:bidi w:val="0"/>
        <w:snapToGrid w:val="0"/>
        <w:spacing w:line="24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4C0EF14F">
      <w:pPr>
        <w:keepNext w:val="0"/>
        <w:keepLines w:val="0"/>
        <w:pageBreakBefore w:val="0"/>
        <w:shd w:val="clear" w:color="auto" w:fill="auto"/>
        <w:overflowPunct/>
        <w:topLinePunct w:val="0"/>
        <w:bidi w:val="0"/>
        <w:snapToGrid w:val="0"/>
        <w:spacing w:line="24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582"/>
      <w:bookmarkEnd w:id="583"/>
      <w:bookmarkEnd w:id="584"/>
      <w:bookmarkEnd w:id="585"/>
      <w:bookmarkEnd w:id="586"/>
      <w:bookmarkEnd w:id="587"/>
      <w:bookmarkEnd w:id="588"/>
      <w:bookmarkEnd w:id="589"/>
      <w:bookmarkEnd w:id="590"/>
      <w:bookmarkEnd w:id="591"/>
      <w:bookmarkEnd w:id="592"/>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八</w:t>
      </w:r>
    </w:p>
    <w:p w14:paraId="4D909A58">
      <w:pPr>
        <w:keepNext w:val="0"/>
        <w:keepLines w:val="0"/>
        <w:pageBreakBefore w:val="0"/>
        <w:widowControl w:val="0"/>
        <w:kinsoku/>
        <w:wordWrap/>
        <w:overflowPunct/>
        <w:topLinePunct w:val="0"/>
        <w:autoSpaceDE/>
        <w:autoSpaceDN/>
        <w:bidi w:val="0"/>
        <w:adjustRightInd w:val="0"/>
        <w:snapToGrid w:val="0"/>
        <w:spacing w:before="241" w:line="240" w:lineRule="auto"/>
        <w:ind w:left="0" w:right="0" w:rightChars="0" w:firstLine="281" w:firstLineChars="100"/>
        <w:jc w:val="center"/>
        <w:textAlignment w:val="auto"/>
        <w:rPr>
          <w:rFonts w:hint="default" w:ascii="仿宋" w:hAnsi="仿宋" w:eastAsia="仿宋" w:cs="仿宋"/>
          <w:b/>
          <w:bCs/>
          <w:color w:val="000000" w:themeColor="text1"/>
          <w:spacing w:val="-4"/>
          <w:position w:val="21"/>
          <w:sz w:val="32"/>
          <w:szCs w:val="32"/>
          <w:highlight w:val="none"/>
          <w:lang w:val="en-US" w:eastAsia="zh-CN"/>
          <w14:textFill>
            <w14:solidFill>
              <w14:schemeClr w14:val="tx1"/>
            </w14:solidFill>
          </w14:textFill>
        </w:rPr>
      </w:pPr>
      <w:r>
        <w:rPr>
          <w:rFonts w:hint="eastAsia" w:ascii="宋体" w:hAnsi="宋体" w:cs="宋体"/>
          <w:b/>
          <w:bCs/>
          <w:color w:val="000000" w:themeColor="text1"/>
          <w:sz w:val="28"/>
          <w:szCs w:val="28"/>
          <w:highlight w:val="none"/>
          <w:u w:val="single"/>
          <w:lang w:val="en-US" w:eastAsia="zh-CN"/>
          <w14:textFill>
            <w14:solidFill>
              <w14:schemeClr w14:val="tx1"/>
            </w14:solidFill>
          </w14:textFill>
        </w:rPr>
        <w:t>XXXXXXXX工程</w:t>
      </w:r>
      <w:r>
        <w:rPr>
          <w:rFonts w:hint="eastAsia" w:ascii="宋体" w:hAnsi="宋体" w:eastAsia="宋体" w:cs="宋体"/>
          <w:b/>
          <w:bCs/>
          <w:color w:val="000000" w:themeColor="text1"/>
          <w:sz w:val="28"/>
          <w:szCs w:val="28"/>
          <w:highlight w:val="none"/>
          <w14:textFill>
            <w14:solidFill>
              <w14:schemeClr w14:val="tx1"/>
            </w14:solidFill>
          </w14:textFill>
        </w:rPr>
        <w:t>结算资料目录</w:t>
      </w:r>
      <w:r>
        <w:rPr>
          <w:rFonts w:hint="eastAsia" w:ascii="宋体" w:hAnsi="宋体" w:cs="宋体"/>
          <w:b/>
          <w:bCs/>
          <w:color w:val="000000" w:themeColor="text1"/>
          <w:sz w:val="36"/>
          <w:szCs w:val="36"/>
          <w:highlight w:val="none"/>
          <w:lang w:val="en-US" w:eastAsia="zh-CN"/>
          <w14:textFill>
            <w14:solidFill>
              <w14:schemeClr w14:val="tx1"/>
            </w14:solidFill>
          </w14:textFill>
        </w:rPr>
        <w:t xml:space="preserve">   </w:t>
      </w:r>
      <w:r>
        <w:rPr>
          <w:rFonts w:hint="eastAsia" w:ascii="宋体" w:hAnsi="宋体" w:cs="宋体"/>
          <w:color w:val="000000" w:themeColor="text1"/>
          <w:sz w:val="36"/>
          <w:szCs w:val="36"/>
          <w:highlight w:val="none"/>
          <w:lang w:val="en-US" w:eastAsia="zh-CN"/>
          <w14:textFill>
            <w14:solidFill>
              <w14:schemeClr w14:val="tx1"/>
            </w14:solidFill>
          </w14:textFill>
        </w:rPr>
        <w:t xml:space="preserve">   </w:t>
      </w:r>
    </w:p>
    <w:p w14:paraId="6FFF6043">
      <w:pPr>
        <w:ind w:firstLine="880" w:firstLineChars="400"/>
        <w:rPr>
          <w:rFonts w:hint="eastAsia"/>
          <w:color w:val="000000" w:themeColor="text1"/>
          <w:sz w:val="24"/>
          <w:highlight w:val="none"/>
          <w:u w:val="single"/>
          <w:lang w:eastAsia="zh-CN"/>
          <w14:textFill>
            <w14:solidFill>
              <w14:schemeClr w14:val="tx1"/>
            </w14:solidFill>
          </w14:textFill>
        </w:rPr>
      </w:pPr>
      <w:r>
        <w:rPr>
          <w:rFonts w:hint="eastAsia"/>
          <w:color w:val="000000" w:themeColor="text1"/>
          <w:sz w:val="22"/>
          <w:szCs w:val="21"/>
          <w:highlight w:val="none"/>
          <w14:textFill>
            <w14:solidFill>
              <w14:schemeClr w14:val="tx1"/>
            </w14:solidFill>
          </w14:textFill>
        </w:rPr>
        <w:t>填表日期:</w:t>
      </w:r>
      <w:r>
        <w:rPr>
          <w:rFonts w:hint="eastAsia"/>
          <w:color w:val="000000" w:themeColor="text1"/>
          <w:sz w:val="22"/>
          <w:szCs w:val="21"/>
          <w:highlight w:val="none"/>
          <w:u w:val="single"/>
          <w14:textFill>
            <w14:solidFill>
              <w14:schemeClr w14:val="tx1"/>
            </w14:solidFill>
          </w14:textFill>
        </w:rPr>
        <w:t xml:space="preserve"> </w:t>
      </w:r>
      <w:r>
        <w:rPr>
          <w:rFonts w:hint="eastAsia"/>
          <w:color w:val="000000" w:themeColor="text1"/>
          <w:sz w:val="22"/>
          <w:szCs w:val="21"/>
          <w:highlight w:val="none"/>
          <w:u w:val="single"/>
          <w:lang w:val="en-US" w:eastAsia="zh-CN"/>
          <w14:textFill>
            <w14:solidFill>
              <w14:schemeClr w14:val="tx1"/>
            </w14:solidFill>
          </w14:textFill>
        </w:rPr>
        <w:t xml:space="preserve">     </w:t>
      </w:r>
      <w:r>
        <w:rPr>
          <w:rFonts w:hint="eastAsia"/>
          <w:color w:val="000000" w:themeColor="text1"/>
          <w:sz w:val="22"/>
          <w:szCs w:val="21"/>
          <w:highlight w:val="none"/>
          <w:u w:val="single"/>
          <w:lang w:eastAsia="zh-CN"/>
          <w14:textFill>
            <w14:solidFill>
              <w14:schemeClr w14:val="tx1"/>
            </w14:solidFill>
          </w14:textFill>
        </w:rPr>
        <w:t>年</w:t>
      </w:r>
      <w:r>
        <w:rPr>
          <w:rFonts w:hint="eastAsia"/>
          <w:color w:val="000000" w:themeColor="text1"/>
          <w:sz w:val="22"/>
          <w:szCs w:val="21"/>
          <w:highlight w:val="none"/>
          <w:u w:val="single"/>
          <w:lang w:val="en-US" w:eastAsia="zh-CN"/>
          <w14:textFill>
            <w14:solidFill>
              <w14:schemeClr w14:val="tx1"/>
            </w14:solidFill>
          </w14:textFill>
        </w:rPr>
        <w:t xml:space="preserve">    </w:t>
      </w:r>
      <w:r>
        <w:rPr>
          <w:rFonts w:hint="eastAsia"/>
          <w:color w:val="000000" w:themeColor="text1"/>
          <w:sz w:val="22"/>
          <w:szCs w:val="21"/>
          <w:highlight w:val="none"/>
          <w:u w:val="single"/>
          <w:lang w:eastAsia="zh-CN"/>
          <w14:textFill>
            <w14:solidFill>
              <w14:schemeClr w14:val="tx1"/>
            </w14:solidFill>
          </w14:textFill>
        </w:rPr>
        <w:t>月</w:t>
      </w:r>
      <w:r>
        <w:rPr>
          <w:rFonts w:hint="eastAsia"/>
          <w:color w:val="000000" w:themeColor="text1"/>
          <w:sz w:val="22"/>
          <w:szCs w:val="21"/>
          <w:highlight w:val="none"/>
          <w:u w:val="single"/>
          <w:lang w:val="en-US" w:eastAsia="zh-CN"/>
          <w14:textFill>
            <w14:solidFill>
              <w14:schemeClr w14:val="tx1"/>
            </w14:solidFill>
          </w14:textFill>
        </w:rPr>
        <w:t xml:space="preserve">    </w:t>
      </w:r>
      <w:r>
        <w:rPr>
          <w:rFonts w:hint="eastAsia"/>
          <w:color w:val="000000" w:themeColor="text1"/>
          <w:sz w:val="22"/>
          <w:szCs w:val="21"/>
          <w:highlight w:val="none"/>
          <w:u w:val="single"/>
          <w:lang w:eastAsia="zh-CN"/>
          <w14:textFill>
            <w14:solidFill>
              <w14:schemeClr w14:val="tx1"/>
            </w14:solidFill>
          </w14:textFill>
        </w:rPr>
        <w:t>日</w:t>
      </w:r>
      <w:r>
        <w:rPr>
          <w:rFonts w:hint="eastAsia"/>
          <w:color w:val="000000" w:themeColor="text1"/>
          <w:sz w:val="22"/>
          <w:szCs w:val="21"/>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 xml:space="preserve">           </w:t>
      </w:r>
    </w:p>
    <w:tbl>
      <w:tblPr>
        <w:tblStyle w:val="17"/>
        <w:tblW w:w="0" w:type="auto"/>
        <w:tblInd w:w="33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10"/>
        <w:gridCol w:w="517"/>
        <w:gridCol w:w="1763"/>
        <w:gridCol w:w="2707"/>
        <w:gridCol w:w="770"/>
        <w:gridCol w:w="2770"/>
      </w:tblGrid>
      <w:tr w14:paraId="74D0A3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exact"/>
        </w:trPr>
        <w:tc>
          <w:tcPr>
            <w:tcW w:w="1027" w:type="dxa"/>
            <w:gridSpan w:val="2"/>
            <w:tcBorders>
              <w:top w:val="single" w:color="auto" w:sz="12" w:space="0"/>
              <w:bottom w:val="single" w:color="auto" w:sz="12" w:space="0"/>
            </w:tcBorders>
            <w:noWrap w:val="0"/>
            <w:vAlign w:val="center"/>
          </w:tcPr>
          <w:p w14:paraId="52C91C7D">
            <w:pPr>
              <w:spacing w:line="440" w:lineRule="atLeast"/>
              <w:jc w:val="center"/>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序号</w:t>
            </w:r>
          </w:p>
        </w:tc>
        <w:tc>
          <w:tcPr>
            <w:tcW w:w="4470" w:type="dxa"/>
            <w:gridSpan w:val="2"/>
            <w:tcBorders>
              <w:top w:val="single" w:color="auto" w:sz="12" w:space="0"/>
              <w:bottom w:val="single" w:color="auto" w:sz="12" w:space="0"/>
            </w:tcBorders>
            <w:noWrap w:val="0"/>
            <w:vAlign w:val="center"/>
          </w:tcPr>
          <w:p w14:paraId="2C00538A">
            <w:pPr>
              <w:spacing w:line="440" w:lineRule="atLeast"/>
              <w:jc w:val="center"/>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资料目录及内容</w:t>
            </w:r>
          </w:p>
        </w:tc>
        <w:tc>
          <w:tcPr>
            <w:tcW w:w="770" w:type="dxa"/>
            <w:tcBorders>
              <w:top w:val="single" w:color="auto" w:sz="12" w:space="0"/>
              <w:bottom w:val="single" w:color="auto" w:sz="12" w:space="0"/>
            </w:tcBorders>
            <w:noWrap w:val="0"/>
            <w:vAlign w:val="center"/>
          </w:tcPr>
          <w:p w14:paraId="11E9C680">
            <w:pPr>
              <w:spacing w:line="440" w:lineRule="atLeast"/>
              <w:jc w:val="center"/>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lang w:eastAsia="zh-CN"/>
                <w14:textFill>
                  <w14:solidFill>
                    <w14:schemeClr w14:val="tx1"/>
                  </w14:solidFill>
                </w14:textFill>
              </w:rPr>
              <w:t>份</w:t>
            </w:r>
            <w:r>
              <w:rPr>
                <w:rFonts w:hint="eastAsia"/>
                <w:b/>
                <w:color w:val="000000" w:themeColor="text1"/>
                <w:sz w:val="24"/>
                <w:highlight w:val="none"/>
                <w14:textFill>
                  <w14:solidFill>
                    <w14:schemeClr w14:val="tx1"/>
                  </w14:solidFill>
                </w14:textFill>
              </w:rPr>
              <w:t>数</w:t>
            </w:r>
          </w:p>
        </w:tc>
        <w:tc>
          <w:tcPr>
            <w:tcW w:w="2770" w:type="dxa"/>
            <w:tcBorders>
              <w:top w:val="single" w:color="auto" w:sz="12" w:space="0"/>
              <w:bottom w:val="single" w:color="auto" w:sz="12" w:space="0"/>
            </w:tcBorders>
            <w:noWrap w:val="0"/>
            <w:vAlign w:val="center"/>
          </w:tcPr>
          <w:p w14:paraId="2A3AC248">
            <w:pPr>
              <w:spacing w:line="440" w:lineRule="atLeast"/>
              <w:jc w:val="center"/>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备       注</w:t>
            </w:r>
          </w:p>
        </w:tc>
      </w:tr>
      <w:tr w14:paraId="50D5A7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exact"/>
        </w:trPr>
        <w:tc>
          <w:tcPr>
            <w:tcW w:w="9037" w:type="dxa"/>
            <w:gridSpan w:val="6"/>
            <w:tcBorders>
              <w:top w:val="single" w:color="auto" w:sz="12" w:space="0"/>
              <w:bottom w:val="single" w:color="auto" w:sz="8" w:space="0"/>
            </w:tcBorders>
            <w:noWrap w:val="0"/>
            <w:vAlign w:val="center"/>
          </w:tcPr>
          <w:p w14:paraId="789D73EE">
            <w:pPr>
              <w:spacing w:line="440" w:lineRule="atLeast"/>
              <w:jc w:val="left"/>
              <w:rPr>
                <w:rFonts w:hint="default"/>
                <w:color w:val="000000" w:themeColor="text1"/>
                <w:sz w:val="24"/>
                <w:highlight w:val="none"/>
                <w:lang w:val="en-US" w:eastAsia="zh-CN"/>
                <w14:textFill>
                  <w14:solidFill>
                    <w14:schemeClr w14:val="tx1"/>
                  </w14:solidFill>
                </w14:textFill>
              </w:rPr>
            </w:pPr>
            <w:r>
              <w:rPr>
                <w:rFonts w:hint="eastAsia"/>
                <w:b/>
                <w:bCs/>
                <w:color w:val="000000" w:themeColor="text1"/>
                <w:sz w:val="24"/>
                <w:highlight w:val="none"/>
                <w:lang w:val="en-US" w:eastAsia="zh-CN"/>
                <w14:textFill>
                  <w14:solidFill>
                    <w14:schemeClr w14:val="tx1"/>
                  </w14:solidFill>
                </w14:textFill>
              </w:rPr>
              <w:t>成本管理部提供（正副本各一份）</w:t>
            </w:r>
          </w:p>
        </w:tc>
      </w:tr>
      <w:tr w14:paraId="35B640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exact"/>
        </w:trPr>
        <w:tc>
          <w:tcPr>
            <w:tcW w:w="1027" w:type="dxa"/>
            <w:gridSpan w:val="2"/>
            <w:tcBorders>
              <w:top w:val="single" w:color="auto" w:sz="8" w:space="0"/>
              <w:bottom w:val="single" w:color="auto" w:sz="8" w:space="0"/>
            </w:tcBorders>
            <w:noWrap w:val="0"/>
            <w:vAlign w:val="center"/>
          </w:tcPr>
          <w:p w14:paraId="21241062">
            <w:pPr>
              <w:spacing w:line="440" w:lineRule="atLeast"/>
              <w:jc w:val="center"/>
              <w:rPr>
                <w:rFonts w:hint="eastAsia" w:eastAsia="宋体"/>
                <w:b/>
                <w:color w:val="000000" w:themeColor="text1"/>
                <w:sz w:val="24"/>
                <w:highlight w:val="none"/>
                <w:lang w:eastAsia="zh-CN"/>
                <w14:textFill>
                  <w14:solidFill>
                    <w14:schemeClr w14:val="tx1"/>
                  </w14:solidFill>
                </w14:textFill>
              </w:rPr>
            </w:pPr>
            <w:r>
              <w:rPr>
                <w:rFonts w:hint="eastAsia"/>
                <w:b w:val="0"/>
                <w:bCs/>
                <w:color w:val="000000" w:themeColor="text1"/>
                <w:sz w:val="24"/>
                <w:highlight w:val="none"/>
                <w:lang w:eastAsia="zh-CN"/>
                <w14:textFill>
                  <w14:solidFill>
                    <w14:schemeClr w14:val="tx1"/>
                  </w14:solidFill>
                </w14:textFill>
              </w:rPr>
              <w:t>1</w:t>
            </w:r>
          </w:p>
        </w:tc>
        <w:tc>
          <w:tcPr>
            <w:tcW w:w="4470" w:type="dxa"/>
            <w:gridSpan w:val="2"/>
            <w:tcBorders>
              <w:top w:val="single" w:color="auto" w:sz="8" w:space="0"/>
              <w:bottom w:val="single" w:color="auto" w:sz="8" w:space="0"/>
            </w:tcBorders>
            <w:noWrap w:val="0"/>
            <w:vAlign w:val="center"/>
          </w:tcPr>
          <w:p w14:paraId="55ECE526">
            <w:pPr>
              <w:spacing w:line="440" w:lineRule="atLeast"/>
              <w:jc w:val="left"/>
              <w:rPr>
                <w:rFonts w:hint="eastAsia" w:eastAsia="宋体"/>
                <w:b/>
                <w:color w:val="000000" w:themeColor="text1"/>
                <w:sz w:val="24"/>
                <w:highlight w:val="none"/>
                <w:lang w:eastAsia="zh-CN"/>
                <w14:textFill>
                  <w14:solidFill>
                    <w14:schemeClr w14:val="tx1"/>
                  </w14:solidFill>
                </w14:textFill>
              </w:rPr>
            </w:pPr>
            <w:r>
              <w:rPr>
                <w:rFonts w:hint="eastAsia" w:eastAsia="宋体"/>
                <w:color w:val="000000" w:themeColor="text1"/>
                <w:kern w:val="2"/>
                <w:sz w:val="24"/>
                <w:highlight w:val="none"/>
                <w:lang w:val="en-US" w:eastAsia="zh-CN"/>
                <w14:textFill>
                  <w14:solidFill>
                    <w14:schemeClr w14:val="tx1"/>
                  </w14:solidFill>
                </w14:textFill>
              </w:rPr>
              <w:t>结算资料目录</w:t>
            </w:r>
          </w:p>
        </w:tc>
        <w:tc>
          <w:tcPr>
            <w:tcW w:w="770" w:type="dxa"/>
            <w:tcBorders>
              <w:top w:val="single" w:color="auto" w:sz="8" w:space="0"/>
              <w:bottom w:val="single" w:color="auto" w:sz="8" w:space="0"/>
            </w:tcBorders>
            <w:noWrap w:val="0"/>
            <w:vAlign w:val="center"/>
          </w:tcPr>
          <w:p w14:paraId="218FEE82">
            <w:pPr>
              <w:spacing w:line="440" w:lineRule="atLeast"/>
              <w:jc w:val="center"/>
              <w:rPr>
                <w:rFonts w:hint="eastAsia" w:eastAsia="宋体"/>
                <w:b/>
                <w:color w:val="000000" w:themeColor="text1"/>
                <w:sz w:val="24"/>
                <w:highlight w:val="none"/>
                <w:lang w:eastAsia="zh-CN"/>
                <w14:textFill>
                  <w14:solidFill>
                    <w14:schemeClr w14:val="tx1"/>
                  </w14:solidFill>
                </w14:textFill>
              </w:rPr>
            </w:pPr>
            <w:r>
              <w:rPr>
                <w:rFonts w:hint="eastAsia"/>
                <w:b w:val="0"/>
                <w:bCs/>
                <w:color w:val="000000" w:themeColor="text1"/>
                <w:sz w:val="24"/>
                <w:highlight w:val="none"/>
                <w:lang w:eastAsia="zh-CN"/>
                <w14:textFill>
                  <w14:solidFill>
                    <w14:schemeClr w14:val="tx1"/>
                  </w14:solidFill>
                </w14:textFill>
              </w:rPr>
              <w:t>1</w:t>
            </w:r>
          </w:p>
        </w:tc>
        <w:tc>
          <w:tcPr>
            <w:tcW w:w="2770" w:type="dxa"/>
            <w:tcBorders>
              <w:top w:val="single" w:color="auto" w:sz="8" w:space="0"/>
              <w:bottom w:val="single" w:color="auto" w:sz="8" w:space="0"/>
            </w:tcBorders>
            <w:noWrap w:val="0"/>
            <w:vAlign w:val="center"/>
          </w:tcPr>
          <w:p w14:paraId="25F35BC9">
            <w:pPr>
              <w:spacing w:line="440" w:lineRule="atLeast"/>
              <w:jc w:val="center"/>
              <w:rPr>
                <w:rFonts w:hint="eastAsia" w:eastAsia="宋体"/>
                <w:b/>
                <w:color w:val="000000" w:themeColor="text1"/>
                <w:sz w:val="24"/>
                <w:highlight w:val="none"/>
                <w:lang w:val="en-US" w:eastAsia="zh-CN"/>
                <w14:textFill>
                  <w14:solidFill>
                    <w14:schemeClr w14:val="tx1"/>
                  </w14:solidFill>
                </w14:textFill>
              </w:rPr>
            </w:pPr>
          </w:p>
        </w:tc>
      </w:tr>
      <w:tr w14:paraId="5D07D8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7" w:type="dxa"/>
            <w:gridSpan w:val="2"/>
            <w:tcBorders>
              <w:top w:val="single" w:color="auto" w:sz="8" w:space="0"/>
            </w:tcBorders>
            <w:noWrap w:val="0"/>
            <w:vAlign w:val="center"/>
          </w:tcPr>
          <w:p w14:paraId="6753F690">
            <w:pPr>
              <w:spacing w:line="440" w:lineRule="atLeast"/>
              <w:jc w:val="center"/>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2</w:t>
            </w:r>
          </w:p>
        </w:tc>
        <w:tc>
          <w:tcPr>
            <w:tcW w:w="4470" w:type="dxa"/>
            <w:gridSpan w:val="2"/>
            <w:tcBorders>
              <w:top w:val="single" w:color="auto" w:sz="8" w:space="0"/>
            </w:tcBorders>
            <w:noWrap w:val="0"/>
            <w:vAlign w:val="center"/>
          </w:tcPr>
          <w:p w14:paraId="16C30FD6">
            <w:pPr>
              <w:spacing w:line="440" w:lineRule="atLeast"/>
              <w:rPr>
                <w:rFonts w:hint="eastAsia"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结算确认书</w:t>
            </w:r>
          </w:p>
        </w:tc>
        <w:tc>
          <w:tcPr>
            <w:tcW w:w="770" w:type="dxa"/>
            <w:tcBorders>
              <w:top w:val="single" w:color="auto" w:sz="8" w:space="0"/>
            </w:tcBorders>
            <w:noWrap w:val="0"/>
            <w:vAlign w:val="center"/>
          </w:tcPr>
          <w:p w14:paraId="4BFF14A3">
            <w:pPr>
              <w:spacing w:line="440" w:lineRule="atLeast"/>
              <w:jc w:val="center"/>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1</w:t>
            </w:r>
          </w:p>
        </w:tc>
        <w:tc>
          <w:tcPr>
            <w:tcW w:w="2770" w:type="dxa"/>
            <w:tcBorders>
              <w:top w:val="single" w:color="auto" w:sz="8" w:space="0"/>
            </w:tcBorders>
            <w:noWrap w:val="0"/>
            <w:vAlign w:val="center"/>
          </w:tcPr>
          <w:p w14:paraId="5432EF58">
            <w:pPr>
              <w:spacing w:line="440" w:lineRule="atLeast"/>
              <w:jc w:val="center"/>
              <w:rPr>
                <w:rFonts w:hint="eastAsia"/>
                <w:color w:val="000000" w:themeColor="text1"/>
                <w:sz w:val="24"/>
                <w:highlight w:val="none"/>
                <w:lang w:eastAsia="zh-CN"/>
                <w14:textFill>
                  <w14:solidFill>
                    <w14:schemeClr w14:val="tx1"/>
                  </w14:solidFill>
                </w14:textFill>
              </w:rPr>
            </w:pPr>
          </w:p>
        </w:tc>
      </w:tr>
      <w:tr w14:paraId="405E5A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7" w:type="dxa"/>
            <w:gridSpan w:val="2"/>
            <w:tcBorders>
              <w:top w:val="nil"/>
            </w:tcBorders>
            <w:noWrap w:val="0"/>
            <w:vAlign w:val="center"/>
          </w:tcPr>
          <w:p w14:paraId="77521874">
            <w:pPr>
              <w:spacing w:line="440" w:lineRule="atLeast"/>
              <w:jc w:val="center"/>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3</w:t>
            </w:r>
          </w:p>
        </w:tc>
        <w:tc>
          <w:tcPr>
            <w:tcW w:w="4470" w:type="dxa"/>
            <w:gridSpan w:val="2"/>
            <w:tcBorders>
              <w:top w:val="nil"/>
            </w:tcBorders>
            <w:noWrap w:val="0"/>
            <w:vAlign w:val="center"/>
          </w:tcPr>
          <w:p w14:paraId="48006AFB">
            <w:pPr>
              <w:spacing w:line="440" w:lineRule="atLeast"/>
              <w:rPr>
                <w:rFonts w:hint="eastAsia"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结算审核汇总表</w:t>
            </w:r>
          </w:p>
        </w:tc>
        <w:tc>
          <w:tcPr>
            <w:tcW w:w="770" w:type="dxa"/>
            <w:tcBorders>
              <w:top w:val="nil"/>
            </w:tcBorders>
            <w:noWrap w:val="0"/>
            <w:vAlign w:val="center"/>
          </w:tcPr>
          <w:p w14:paraId="2F8D057F">
            <w:pPr>
              <w:spacing w:line="440" w:lineRule="atLeast"/>
              <w:jc w:val="center"/>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1</w:t>
            </w:r>
          </w:p>
        </w:tc>
        <w:tc>
          <w:tcPr>
            <w:tcW w:w="2770" w:type="dxa"/>
            <w:tcBorders>
              <w:top w:val="nil"/>
            </w:tcBorders>
            <w:noWrap w:val="0"/>
            <w:vAlign w:val="center"/>
          </w:tcPr>
          <w:p w14:paraId="7EDE7870">
            <w:pPr>
              <w:spacing w:line="440" w:lineRule="atLeast"/>
              <w:jc w:val="center"/>
              <w:rPr>
                <w:rFonts w:hint="eastAsia"/>
                <w:color w:val="000000" w:themeColor="text1"/>
                <w:sz w:val="24"/>
                <w:highlight w:val="none"/>
                <w:lang w:eastAsia="zh-CN"/>
                <w14:textFill>
                  <w14:solidFill>
                    <w14:schemeClr w14:val="tx1"/>
                  </w14:solidFill>
                </w14:textFill>
              </w:rPr>
            </w:pPr>
          </w:p>
        </w:tc>
      </w:tr>
      <w:tr w14:paraId="3BCA59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7" w:type="dxa"/>
            <w:gridSpan w:val="2"/>
            <w:tcBorders>
              <w:top w:val="nil"/>
            </w:tcBorders>
            <w:noWrap w:val="0"/>
            <w:vAlign w:val="center"/>
          </w:tcPr>
          <w:p w14:paraId="34A51522">
            <w:pPr>
              <w:spacing w:line="440" w:lineRule="atLeast"/>
              <w:jc w:val="center"/>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4</w:t>
            </w:r>
          </w:p>
          <w:p w14:paraId="7DEAFC9E">
            <w:pPr>
              <w:spacing w:line="440" w:lineRule="atLeast"/>
              <w:jc w:val="center"/>
              <w:rPr>
                <w:rFonts w:hint="eastAsia"/>
                <w:color w:val="000000" w:themeColor="text1"/>
                <w:sz w:val="24"/>
                <w:highlight w:val="none"/>
                <w:lang w:val="en-US" w:eastAsia="zh-CN"/>
                <w14:textFill>
                  <w14:solidFill>
                    <w14:schemeClr w14:val="tx1"/>
                  </w14:solidFill>
                </w14:textFill>
              </w:rPr>
            </w:pPr>
          </w:p>
          <w:p w14:paraId="7748DFAC">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4470" w:type="dxa"/>
            <w:gridSpan w:val="2"/>
            <w:tcBorders>
              <w:top w:val="nil"/>
            </w:tcBorders>
            <w:noWrap w:val="0"/>
            <w:vAlign w:val="center"/>
          </w:tcPr>
          <w:p w14:paraId="560208D7">
            <w:pPr>
              <w:spacing w:line="440" w:lineRule="atLeast"/>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审核结算书</w:t>
            </w:r>
          </w:p>
        </w:tc>
        <w:tc>
          <w:tcPr>
            <w:tcW w:w="770" w:type="dxa"/>
            <w:tcBorders>
              <w:top w:val="nil"/>
            </w:tcBorders>
            <w:noWrap w:val="0"/>
            <w:vAlign w:val="center"/>
          </w:tcPr>
          <w:p w14:paraId="1A422861">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26AFC29B">
            <w:pPr>
              <w:spacing w:line="440" w:lineRule="atLeast"/>
              <w:jc w:val="center"/>
              <w:rPr>
                <w:rFonts w:hint="eastAsia"/>
                <w:color w:val="000000" w:themeColor="text1"/>
                <w:sz w:val="24"/>
                <w:highlight w:val="none"/>
                <w:lang w:eastAsia="zh-CN"/>
                <w14:textFill>
                  <w14:solidFill>
                    <w14:schemeClr w14:val="tx1"/>
                  </w14:solidFill>
                </w14:textFill>
              </w:rPr>
            </w:pPr>
          </w:p>
        </w:tc>
      </w:tr>
      <w:tr w14:paraId="4CC8B0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9037" w:type="dxa"/>
            <w:gridSpan w:val="6"/>
            <w:tcBorders>
              <w:top w:val="nil"/>
            </w:tcBorders>
            <w:noWrap w:val="0"/>
            <w:vAlign w:val="center"/>
          </w:tcPr>
          <w:p w14:paraId="7B53E0AC">
            <w:pPr>
              <w:spacing w:line="440" w:lineRule="atLeast"/>
              <w:jc w:val="left"/>
              <w:rPr>
                <w:rFonts w:hint="default"/>
                <w:color w:val="000000" w:themeColor="text1"/>
                <w:sz w:val="24"/>
                <w:highlight w:val="none"/>
                <w:lang w:val="en-US" w:eastAsia="zh-CN"/>
                <w14:textFill>
                  <w14:solidFill>
                    <w14:schemeClr w14:val="tx1"/>
                  </w14:solidFill>
                </w14:textFill>
              </w:rPr>
            </w:pPr>
            <w:r>
              <w:rPr>
                <w:rFonts w:hint="eastAsia"/>
                <w:b/>
                <w:bCs/>
                <w:color w:val="000000" w:themeColor="text1"/>
                <w:sz w:val="24"/>
                <w:highlight w:val="none"/>
                <w:lang w:val="en-US" w:eastAsia="zh-CN"/>
                <w14:textFill>
                  <w14:solidFill>
                    <w14:schemeClr w14:val="tx1"/>
                  </w14:solidFill>
                </w14:textFill>
              </w:rPr>
              <w:t>分包单位提供（正副本各一份）</w:t>
            </w:r>
          </w:p>
        </w:tc>
      </w:tr>
      <w:tr w14:paraId="546295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510" w:type="dxa"/>
            <w:vMerge w:val="restart"/>
            <w:tcBorders>
              <w:top w:val="nil"/>
            </w:tcBorders>
            <w:noWrap w:val="0"/>
            <w:vAlign w:val="center"/>
          </w:tcPr>
          <w:p w14:paraId="1F730284">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分包单位结算申请书</w:t>
            </w:r>
          </w:p>
        </w:tc>
        <w:tc>
          <w:tcPr>
            <w:tcW w:w="517" w:type="dxa"/>
            <w:tcBorders>
              <w:top w:val="nil"/>
            </w:tcBorders>
            <w:noWrap w:val="0"/>
            <w:vAlign w:val="center"/>
          </w:tcPr>
          <w:p w14:paraId="41EA4CA1">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4470" w:type="dxa"/>
            <w:gridSpan w:val="2"/>
            <w:tcBorders>
              <w:top w:val="nil"/>
            </w:tcBorders>
            <w:noWrap w:val="0"/>
            <w:vAlign w:val="center"/>
          </w:tcPr>
          <w:p w14:paraId="7FD1DC3B">
            <w:pPr>
              <w:spacing w:line="440" w:lineRule="atLeast"/>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kern w:val="2"/>
                <w:sz w:val="24"/>
                <w:highlight w:val="none"/>
                <w:lang w:val="en-US" w:eastAsia="zh-CN"/>
                <w14:textFill>
                  <w14:solidFill>
                    <w14:schemeClr w14:val="tx1"/>
                  </w14:solidFill>
                </w14:textFill>
              </w:rPr>
              <w:t>封面</w:t>
            </w:r>
          </w:p>
        </w:tc>
        <w:tc>
          <w:tcPr>
            <w:tcW w:w="770" w:type="dxa"/>
            <w:tcBorders>
              <w:top w:val="nil"/>
            </w:tcBorders>
            <w:noWrap w:val="0"/>
            <w:vAlign w:val="center"/>
          </w:tcPr>
          <w:p w14:paraId="5535270E">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09C49CAC">
            <w:pPr>
              <w:spacing w:line="440" w:lineRule="atLeast"/>
              <w:jc w:val="center"/>
              <w:rPr>
                <w:rFonts w:hint="default"/>
                <w:color w:val="000000" w:themeColor="text1"/>
                <w:sz w:val="24"/>
                <w:highlight w:val="none"/>
                <w:lang w:val="en-US" w:eastAsia="zh-CN"/>
                <w14:textFill>
                  <w14:solidFill>
                    <w14:schemeClr w14:val="tx1"/>
                  </w14:solidFill>
                </w14:textFill>
              </w:rPr>
            </w:pPr>
          </w:p>
        </w:tc>
      </w:tr>
      <w:tr w14:paraId="6ADD1A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147B1138">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p>
        </w:tc>
        <w:tc>
          <w:tcPr>
            <w:tcW w:w="517" w:type="dxa"/>
            <w:tcBorders>
              <w:top w:val="nil"/>
            </w:tcBorders>
            <w:noWrap w:val="0"/>
            <w:vAlign w:val="center"/>
          </w:tcPr>
          <w:p w14:paraId="090B4CF1">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w:t>
            </w:r>
          </w:p>
        </w:tc>
        <w:tc>
          <w:tcPr>
            <w:tcW w:w="4470" w:type="dxa"/>
            <w:gridSpan w:val="2"/>
            <w:tcBorders>
              <w:top w:val="nil"/>
            </w:tcBorders>
            <w:noWrap w:val="0"/>
            <w:vAlign w:val="center"/>
          </w:tcPr>
          <w:p w14:paraId="321B664B">
            <w:pPr>
              <w:tabs>
                <w:tab w:val="left" w:pos="1138"/>
              </w:tabs>
              <w:spacing w:line="440" w:lineRule="atLeast"/>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目录</w:t>
            </w:r>
          </w:p>
        </w:tc>
        <w:tc>
          <w:tcPr>
            <w:tcW w:w="770" w:type="dxa"/>
            <w:tcBorders>
              <w:top w:val="nil"/>
            </w:tcBorders>
            <w:noWrap w:val="0"/>
            <w:vAlign w:val="center"/>
          </w:tcPr>
          <w:p w14:paraId="666EEE63">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0E2F1BDC">
            <w:pPr>
              <w:spacing w:line="440" w:lineRule="atLeast"/>
              <w:jc w:val="center"/>
              <w:rPr>
                <w:rFonts w:hint="eastAsia"/>
                <w:color w:val="000000" w:themeColor="text1"/>
                <w:sz w:val="24"/>
                <w:highlight w:val="none"/>
                <w:lang w:val="en-US" w:eastAsia="zh-CN"/>
                <w14:textFill>
                  <w14:solidFill>
                    <w14:schemeClr w14:val="tx1"/>
                  </w14:solidFill>
                </w14:textFill>
              </w:rPr>
            </w:pPr>
          </w:p>
        </w:tc>
      </w:tr>
      <w:tr w14:paraId="2B93E2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48C75D13">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p>
        </w:tc>
        <w:tc>
          <w:tcPr>
            <w:tcW w:w="517" w:type="dxa"/>
            <w:tcBorders>
              <w:top w:val="nil"/>
            </w:tcBorders>
            <w:noWrap w:val="0"/>
            <w:vAlign w:val="center"/>
          </w:tcPr>
          <w:p w14:paraId="6BD5F5FC">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3</w:t>
            </w:r>
          </w:p>
        </w:tc>
        <w:tc>
          <w:tcPr>
            <w:tcW w:w="4470" w:type="dxa"/>
            <w:gridSpan w:val="2"/>
            <w:tcBorders>
              <w:top w:val="nil"/>
            </w:tcBorders>
            <w:noWrap w:val="0"/>
            <w:vAlign w:val="center"/>
          </w:tcPr>
          <w:p w14:paraId="07DC071E">
            <w:pPr>
              <w:tabs>
                <w:tab w:val="left" w:pos="1138"/>
              </w:tabs>
              <w:spacing w:line="440" w:lineRule="atLeast"/>
              <w:rPr>
                <w:rFonts w:hint="eastAsia"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结算申请表</w:t>
            </w:r>
          </w:p>
        </w:tc>
        <w:tc>
          <w:tcPr>
            <w:tcW w:w="770" w:type="dxa"/>
            <w:tcBorders>
              <w:top w:val="nil"/>
            </w:tcBorders>
            <w:noWrap w:val="0"/>
            <w:vAlign w:val="center"/>
          </w:tcPr>
          <w:p w14:paraId="3F424058">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39D16BCF">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164ADF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77A44A1D">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6FA73CD0">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4</w:t>
            </w:r>
          </w:p>
        </w:tc>
        <w:tc>
          <w:tcPr>
            <w:tcW w:w="4470" w:type="dxa"/>
            <w:gridSpan w:val="2"/>
            <w:tcBorders>
              <w:top w:val="nil"/>
            </w:tcBorders>
            <w:noWrap w:val="0"/>
            <w:vAlign w:val="center"/>
          </w:tcPr>
          <w:p w14:paraId="05402AE6">
            <w:pPr>
              <w:tabs>
                <w:tab w:val="left" w:pos="1138"/>
              </w:tabs>
              <w:spacing w:line="440" w:lineRule="atLeast"/>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工程结算资料审查表</w:t>
            </w:r>
          </w:p>
        </w:tc>
        <w:tc>
          <w:tcPr>
            <w:tcW w:w="770" w:type="dxa"/>
            <w:tcBorders>
              <w:top w:val="nil"/>
            </w:tcBorders>
            <w:noWrap w:val="0"/>
            <w:vAlign w:val="center"/>
          </w:tcPr>
          <w:p w14:paraId="657E2B31">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4469A873">
            <w:pPr>
              <w:spacing w:line="440" w:lineRule="atLeast"/>
              <w:jc w:val="center"/>
              <w:rPr>
                <w:rFonts w:hint="eastAsia"/>
                <w:color w:val="000000" w:themeColor="text1"/>
                <w:sz w:val="24"/>
                <w:highlight w:val="none"/>
                <w:lang w:val="en-US" w:eastAsia="zh-CN"/>
                <w14:textFill>
                  <w14:solidFill>
                    <w14:schemeClr w14:val="tx1"/>
                  </w14:solidFill>
                </w14:textFill>
              </w:rPr>
            </w:pPr>
          </w:p>
        </w:tc>
      </w:tr>
      <w:tr w14:paraId="44AA56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037CFD33">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1FA0F7E1">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5</w:t>
            </w:r>
          </w:p>
        </w:tc>
        <w:tc>
          <w:tcPr>
            <w:tcW w:w="4470" w:type="dxa"/>
            <w:gridSpan w:val="2"/>
            <w:tcBorders>
              <w:top w:val="nil"/>
            </w:tcBorders>
            <w:noWrap w:val="0"/>
            <w:vAlign w:val="center"/>
          </w:tcPr>
          <w:p w14:paraId="4DCED62B">
            <w:pPr>
              <w:tabs>
                <w:tab w:val="left" w:pos="1138"/>
              </w:tabs>
              <w:spacing w:line="440" w:lineRule="atLeast"/>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送审承诺书</w:t>
            </w:r>
          </w:p>
        </w:tc>
        <w:tc>
          <w:tcPr>
            <w:tcW w:w="770" w:type="dxa"/>
            <w:tcBorders>
              <w:top w:val="nil"/>
            </w:tcBorders>
            <w:noWrap w:val="0"/>
            <w:vAlign w:val="center"/>
          </w:tcPr>
          <w:p w14:paraId="35518FBF">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4CB8B9A0">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124F58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2EC30374">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57300232">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6</w:t>
            </w:r>
          </w:p>
        </w:tc>
        <w:tc>
          <w:tcPr>
            <w:tcW w:w="4470" w:type="dxa"/>
            <w:gridSpan w:val="2"/>
            <w:tcBorders>
              <w:top w:val="nil"/>
            </w:tcBorders>
            <w:noWrap w:val="0"/>
            <w:vAlign w:val="center"/>
          </w:tcPr>
          <w:p w14:paraId="55343DBB">
            <w:pPr>
              <w:tabs>
                <w:tab w:val="left" w:pos="1138"/>
              </w:tabs>
              <w:spacing w:line="440" w:lineRule="atLeast"/>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结算承诺书</w:t>
            </w:r>
          </w:p>
        </w:tc>
        <w:tc>
          <w:tcPr>
            <w:tcW w:w="770" w:type="dxa"/>
            <w:tcBorders>
              <w:top w:val="nil"/>
            </w:tcBorders>
            <w:noWrap w:val="0"/>
            <w:vAlign w:val="center"/>
          </w:tcPr>
          <w:p w14:paraId="3BE2981F">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48A790D6">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008D7C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exact"/>
        </w:trPr>
        <w:tc>
          <w:tcPr>
            <w:tcW w:w="510" w:type="dxa"/>
            <w:vMerge w:val="continue"/>
            <w:noWrap w:val="0"/>
            <w:vAlign w:val="center"/>
          </w:tcPr>
          <w:p w14:paraId="55D70B47">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03EBD3A4">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7</w:t>
            </w:r>
          </w:p>
        </w:tc>
        <w:tc>
          <w:tcPr>
            <w:tcW w:w="4470" w:type="dxa"/>
            <w:gridSpan w:val="2"/>
            <w:tcBorders>
              <w:top w:val="nil"/>
            </w:tcBorders>
            <w:noWrap w:val="0"/>
            <w:vAlign w:val="center"/>
          </w:tcPr>
          <w:p w14:paraId="4661DA3E">
            <w:pPr>
              <w:spacing w:line="440" w:lineRule="atLeast"/>
              <w:rPr>
                <w:rFonts w:hint="eastAsia" w:ascii="Times New Roman" w:hAnsi="Times New Roman" w:cs="Times New Roman"/>
                <w:color w:val="000000" w:themeColor="text1"/>
                <w:sz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highlight w:val="none"/>
                <w:lang w:val="en-US" w:eastAsia="zh-CN"/>
                <w14:textFill>
                  <w14:solidFill>
                    <w14:schemeClr w14:val="tx1"/>
                  </w14:solidFill>
                </w14:textFill>
              </w:rPr>
              <w:t>工程结算支付证明单</w:t>
            </w:r>
          </w:p>
          <w:p w14:paraId="52208DC5">
            <w:pPr>
              <w:tabs>
                <w:tab w:val="left" w:pos="1138"/>
              </w:tabs>
              <w:spacing w:line="440" w:lineRule="atLeast"/>
              <w:rPr>
                <w:rFonts w:hint="eastAsia"/>
                <w:color w:val="000000" w:themeColor="text1"/>
                <w:sz w:val="24"/>
                <w:highlight w:val="none"/>
                <w:lang w:val="en-US" w:eastAsia="zh-CN"/>
                <w14:textFill>
                  <w14:solidFill>
                    <w14:schemeClr w14:val="tx1"/>
                  </w14:solidFill>
                </w14:textFill>
              </w:rPr>
            </w:pPr>
          </w:p>
        </w:tc>
        <w:tc>
          <w:tcPr>
            <w:tcW w:w="770" w:type="dxa"/>
            <w:tcBorders>
              <w:top w:val="nil"/>
            </w:tcBorders>
            <w:noWrap w:val="0"/>
            <w:vAlign w:val="center"/>
          </w:tcPr>
          <w:p w14:paraId="07B5C33A">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42F0E1C7">
            <w:pPr>
              <w:spacing w:line="440" w:lineRule="atLeast"/>
              <w:jc w:val="center"/>
              <w:rPr>
                <w:rFonts w:hint="eastAsia"/>
                <w:color w:val="000000" w:themeColor="text1"/>
                <w:sz w:val="24"/>
                <w:highlight w:val="none"/>
                <w:lang w:val="en-US" w:eastAsia="zh-CN"/>
                <w14:textFill>
                  <w14:solidFill>
                    <w14:schemeClr w14:val="tx1"/>
                  </w14:solidFill>
                </w14:textFill>
              </w:rPr>
            </w:pPr>
          </w:p>
        </w:tc>
      </w:tr>
      <w:tr w14:paraId="6B610D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5DAAA996">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27F24941">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8</w:t>
            </w:r>
          </w:p>
        </w:tc>
        <w:tc>
          <w:tcPr>
            <w:tcW w:w="4470" w:type="dxa"/>
            <w:gridSpan w:val="2"/>
            <w:tcBorders>
              <w:top w:val="nil"/>
            </w:tcBorders>
            <w:noWrap w:val="0"/>
            <w:vAlign w:val="center"/>
          </w:tcPr>
          <w:p w14:paraId="0D0D9D0E">
            <w:pPr>
              <w:tabs>
                <w:tab w:val="left" w:pos="1138"/>
              </w:tabs>
              <w:spacing w:line="440" w:lineRule="atLeast"/>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分包情况说明</w:t>
            </w:r>
          </w:p>
        </w:tc>
        <w:tc>
          <w:tcPr>
            <w:tcW w:w="770" w:type="dxa"/>
            <w:tcBorders>
              <w:top w:val="nil"/>
            </w:tcBorders>
            <w:noWrap w:val="0"/>
            <w:vAlign w:val="center"/>
          </w:tcPr>
          <w:p w14:paraId="0505FDDA">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2CF9883B">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06D577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7D6F7770">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p>
        </w:tc>
        <w:tc>
          <w:tcPr>
            <w:tcW w:w="517" w:type="dxa"/>
            <w:tcBorders>
              <w:top w:val="nil"/>
            </w:tcBorders>
            <w:noWrap w:val="0"/>
            <w:vAlign w:val="center"/>
          </w:tcPr>
          <w:p w14:paraId="02B85A1A">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9</w:t>
            </w:r>
          </w:p>
        </w:tc>
        <w:tc>
          <w:tcPr>
            <w:tcW w:w="4470" w:type="dxa"/>
            <w:gridSpan w:val="2"/>
            <w:tcBorders>
              <w:top w:val="nil"/>
            </w:tcBorders>
            <w:noWrap w:val="0"/>
            <w:vAlign w:val="center"/>
          </w:tcPr>
          <w:p w14:paraId="309441AC">
            <w:pPr>
              <w:tabs>
                <w:tab w:val="left" w:pos="1138"/>
              </w:tabs>
              <w:spacing w:line="440" w:lineRule="atLeast"/>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kern w:val="2"/>
                <w:sz w:val="24"/>
                <w:highlight w:val="none"/>
                <w:lang w:val="en-US" w:eastAsia="zh-CN"/>
                <w14:textFill>
                  <w14:solidFill>
                    <w14:schemeClr w14:val="tx1"/>
                  </w14:solidFill>
                </w14:textFill>
              </w:rPr>
              <w:t>竣工验收移交证明</w:t>
            </w:r>
          </w:p>
        </w:tc>
        <w:tc>
          <w:tcPr>
            <w:tcW w:w="770" w:type="dxa"/>
            <w:tcBorders>
              <w:top w:val="nil"/>
            </w:tcBorders>
            <w:noWrap w:val="0"/>
            <w:vAlign w:val="center"/>
          </w:tcPr>
          <w:p w14:paraId="4F77E740">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286B04F5">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3F5212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0AABEBF0">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406DFDFF">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10</w:t>
            </w:r>
          </w:p>
        </w:tc>
        <w:tc>
          <w:tcPr>
            <w:tcW w:w="4470" w:type="dxa"/>
            <w:gridSpan w:val="2"/>
            <w:tcBorders>
              <w:top w:val="nil"/>
            </w:tcBorders>
            <w:noWrap w:val="0"/>
            <w:vAlign w:val="center"/>
          </w:tcPr>
          <w:p w14:paraId="75BC8E0D">
            <w:pPr>
              <w:tabs>
                <w:tab w:val="left" w:pos="1138"/>
              </w:tabs>
              <w:spacing w:line="440" w:lineRule="atLeast"/>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kern w:val="2"/>
                <w:sz w:val="24"/>
                <w:highlight w:val="none"/>
                <w:lang w:val="en-US" w:eastAsia="zh-CN"/>
                <w14:textFill>
                  <w14:solidFill>
                    <w14:schemeClr w14:val="tx1"/>
                  </w14:solidFill>
                </w14:textFill>
              </w:rPr>
              <w:t>施工合同</w:t>
            </w:r>
          </w:p>
        </w:tc>
        <w:tc>
          <w:tcPr>
            <w:tcW w:w="770" w:type="dxa"/>
            <w:tcBorders>
              <w:top w:val="nil"/>
            </w:tcBorders>
            <w:noWrap w:val="0"/>
            <w:vAlign w:val="center"/>
          </w:tcPr>
          <w:p w14:paraId="26EAAAC6">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43240007">
            <w:pPr>
              <w:spacing w:line="440" w:lineRule="atLeast"/>
              <w:jc w:val="center"/>
              <w:rPr>
                <w:rFonts w:hint="eastAsia"/>
                <w:color w:val="000000" w:themeColor="text1"/>
                <w:sz w:val="24"/>
                <w:highlight w:val="none"/>
                <w:lang w:eastAsia="zh-CN"/>
                <w14:textFill>
                  <w14:solidFill>
                    <w14:schemeClr w14:val="tx1"/>
                  </w14:solidFill>
                </w14:textFill>
              </w:rPr>
            </w:pPr>
          </w:p>
        </w:tc>
      </w:tr>
      <w:tr w14:paraId="44B5C3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8" w:hRule="exact"/>
        </w:trPr>
        <w:tc>
          <w:tcPr>
            <w:tcW w:w="510" w:type="dxa"/>
            <w:vMerge w:val="continue"/>
            <w:noWrap w:val="0"/>
            <w:vAlign w:val="center"/>
          </w:tcPr>
          <w:p w14:paraId="743647B3">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0CC60D47">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11</w:t>
            </w:r>
          </w:p>
        </w:tc>
        <w:tc>
          <w:tcPr>
            <w:tcW w:w="4470" w:type="dxa"/>
            <w:gridSpan w:val="2"/>
            <w:tcBorders>
              <w:top w:val="nil"/>
            </w:tcBorders>
            <w:noWrap w:val="0"/>
            <w:vAlign w:val="center"/>
          </w:tcPr>
          <w:p w14:paraId="20C9C8DE">
            <w:pPr>
              <w:tabs>
                <w:tab w:val="left" w:pos="1138"/>
              </w:tabs>
              <w:spacing w:line="440" w:lineRule="atLeast"/>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kern w:val="2"/>
                <w:sz w:val="24"/>
                <w:highlight w:val="none"/>
                <w:lang w:val="en-US" w:eastAsia="zh-CN"/>
                <w14:textFill>
                  <w14:solidFill>
                    <w14:schemeClr w14:val="tx1"/>
                  </w14:solidFill>
                </w14:textFill>
              </w:rPr>
              <w:t>送审结算书</w:t>
            </w:r>
          </w:p>
        </w:tc>
        <w:tc>
          <w:tcPr>
            <w:tcW w:w="770" w:type="dxa"/>
            <w:tcBorders>
              <w:top w:val="nil"/>
            </w:tcBorders>
            <w:noWrap w:val="0"/>
            <w:vAlign w:val="center"/>
          </w:tcPr>
          <w:p w14:paraId="69C609C9">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04ED37AA">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429310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510" w:type="dxa"/>
            <w:vMerge w:val="continue"/>
            <w:noWrap w:val="0"/>
            <w:vAlign w:val="center"/>
          </w:tcPr>
          <w:p w14:paraId="4978F65E">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noWrap w:val="0"/>
            <w:vAlign w:val="center"/>
          </w:tcPr>
          <w:p w14:paraId="2ECC4012">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12</w:t>
            </w:r>
          </w:p>
        </w:tc>
        <w:tc>
          <w:tcPr>
            <w:tcW w:w="4470" w:type="dxa"/>
            <w:gridSpan w:val="2"/>
            <w:noWrap w:val="0"/>
            <w:vAlign w:val="center"/>
          </w:tcPr>
          <w:p w14:paraId="13DA2201">
            <w:pPr>
              <w:tabs>
                <w:tab w:val="left" w:pos="1289"/>
              </w:tabs>
              <w:spacing w:line="440" w:lineRule="atLeast"/>
              <w:jc w:val="both"/>
              <w:rPr>
                <w:rFonts w:hint="eastAsia" w:eastAsia="宋体"/>
                <w:color w:val="000000" w:themeColor="text1"/>
                <w:kern w:val="2"/>
                <w:sz w:val="24"/>
                <w:highlight w:val="none"/>
                <w:lang w:val="en-US" w:eastAsia="zh-CN"/>
                <w14:textFill>
                  <w14:solidFill>
                    <w14:schemeClr w14:val="tx1"/>
                  </w14:solidFill>
                </w14:textFill>
              </w:rPr>
            </w:pPr>
            <w:r>
              <w:rPr>
                <w:rFonts w:hint="eastAsia"/>
                <w:color w:val="000000" w:themeColor="text1"/>
                <w:kern w:val="2"/>
                <w:sz w:val="24"/>
                <w:highlight w:val="none"/>
                <w:lang w:val="en-US" w:eastAsia="zh-CN"/>
                <w14:textFill>
                  <w14:solidFill>
                    <w14:schemeClr w14:val="tx1"/>
                  </w14:solidFill>
                </w14:textFill>
              </w:rPr>
              <w:t>结算</w:t>
            </w:r>
            <w:r>
              <w:rPr>
                <w:rFonts w:hint="eastAsia" w:eastAsia="宋体"/>
                <w:color w:val="000000" w:themeColor="text1"/>
                <w:kern w:val="2"/>
                <w:sz w:val="24"/>
                <w:highlight w:val="none"/>
                <w:lang w:val="en-US" w:eastAsia="zh-CN"/>
                <w14:textFill>
                  <w14:solidFill>
                    <w14:schemeClr w14:val="tx1"/>
                  </w14:solidFill>
                </w14:textFill>
              </w:rPr>
              <w:t>资料</w:t>
            </w:r>
          </w:p>
        </w:tc>
        <w:tc>
          <w:tcPr>
            <w:tcW w:w="770" w:type="dxa"/>
            <w:noWrap w:val="0"/>
            <w:vAlign w:val="center"/>
          </w:tcPr>
          <w:p w14:paraId="00D3BDFB">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noWrap w:val="0"/>
            <w:vAlign w:val="center"/>
          </w:tcPr>
          <w:p w14:paraId="61C42E53">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4340DB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510" w:type="dxa"/>
            <w:vMerge w:val="continue"/>
            <w:noWrap w:val="0"/>
            <w:vAlign w:val="center"/>
          </w:tcPr>
          <w:p w14:paraId="08CC2D7E">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noWrap w:val="0"/>
            <w:vAlign w:val="center"/>
          </w:tcPr>
          <w:p w14:paraId="7831C136">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13</w:t>
            </w:r>
          </w:p>
        </w:tc>
        <w:tc>
          <w:tcPr>
            <w:tcW w:w="4470" w:type="dxa"/>
            <w:gridSpan w:val="2"/>
            <w:noWrap w:val="0"/>
            <w:vAlign w:val="center"/>
          </w:tcPr>
          <w:p w14:paraId="1BD000DD">
            <w:pPr>
              <w:spacing w:line="440" w:lineRule="atLeast"/>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kern w:val="2"/>
                <w:sz w:val="24"/>
                <w:highlight w:val="none"/>
                <w:lang w:val="en-US" w:eastAsia="zh-CN"/>
                <w14:textFill>
                  <w14:solidFill>
                    <w14:schemeClr w14:val="tx1"/>
                  </w14:solidFill>
                </w14:textFill>
              </w:rPr>
              <w:t>其他相关资料</w:t>
            </w:r>
          </w:p>
        </w:tc>
        <w:tc>
          <w:tcPr>
            <w:tcW w:w="770" w:type="dxa"/>
            <w:noWrap w:val="0"/>
            <w:vAlign w:val="center"/>
          </w:tcPr>
          <w:p w14:paraId="00609195">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p>
        </w:tc>
        <w:tc>
          <w:tcPr>
            <w:tcW w:w="2770" w:type="dxa"/>
            <w:noWrap w:val="0"/>
            <w:vAlign w:val="center"/>
          </w:tcPr>
          <w:p w14:paraId="735A8DCD">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04A678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39" w:hRule="exact"/>
        </w:trPr>
        <w:tc>
          <w:tcPr>
            <w:tcW w:w="1027" w:type="dxa"/>
            <w:gridSpan w:val="2"/>
            <w:vMerge w:val="restart"/>
            <w:noWrap w:val="0"/>
            <w:vAlign w:val="center"/>
          </w:tcPr>
          <w:p w14:paraId="6EE436CD">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14</w:t>
            </w:r>
          </w:p>
        </w:tc>
        <w:tc>
          <w:tcPr>
            <w:tcW w:w="1763" w:type="dxa"/>
            <w:vMerge w:val="restart"/>
            <w:noWrap w:val="0"/>
            <w:vAlign w:val="center"/>
          </w:tcPr>
          <w:p w14:paraId="6FEBCFFF">
            <w:pPr>
              <w:spacing w:line="440" w:lineRule="atLeast"/>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总结意见</w:t>
            </w:r>
          </w:p>
        </w:tc>
        <w:tc>
          <w:tcPr>
            <w:tcW w:w="2707" w:type="dxa"/>
            <w:noWrap w:val="0"/>
            <w:vAlign w:val="center"/>
          </w:tcPr>
          <w:p w14:paraId="7F66A077">
            <w:pPr>
              <w:spacing w:line="440" w:lineRule="atLeast"/>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个人</w:t>
            </w:r>
          </w:p>
        </w:tc>
        <w:tc>
          <w:tcPr>
            <w:tcW w:w="770" w:type="dxa"/>
            <w:noWrap w:val="0"/>
            <w:vAlign w:val="center"/>
          </w:tcPr>
          <w:p w14:paraId="3F096FF3">
            <w:pPr>
              <w:spacing w:line="240" w:lineRule="auto"/>
              <w:jc w:val="center"/>
              <w:rPr>
                <w:rFonts w:hint="eastAsia"/>
                <w:color w:val="000000" w:themeColor="text1"/>
                <w:sz w:val="24"/>
                <w:highlight w:val="none"/>
                <w14:textFill>
                  <w14:solidFill>
                    <w14:schemeClr w14:val="tx1"/>
                  </w14:solidFill>
                </w14:textFill>
              </w:rPr>
            </w:pPr>
          </w:p>
        </w:tc>
        <w:tc>
          <w:tcPr>
            <w:tcW w:w="2770" w:type="dxa"/>
            <w:noWrap w:val="0"/>
            <w:vAlign w:val="center"/>
          </w:tcPr>
          <w:p w14:paraId="22D325E1">
            <w:pPr>
              <w:spacing w:line="440" w:lineRule="atLeast"/>
              <w:jc w:val="center"/>
              <w:rPr>
                <w:rFonts w:hint="eastAsia"/>
                <w:color w:val="000000" w:themeColor="text1"/>
                <w:sz w:val="24"/>
                <w:highlight w:val="none"/>
                <w14:textFill>
                  <w14:solidFill>
                    <w14:schemeClr w14:val="tx1"/>
                  </w14:solidFill>
                </w14:textFill>
              </w:rPr>
            </w:pPr>
          </w:p>
        </w:tc>
      </w:tr>
      <w:tr w14:paraId="174447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4" w:hRule="exact"/>
        </w:trPr>
        <w:tc>
          <w:tcPr>
            <w:tcW w:w="1027" w:type="dxa"/>
            <w:gridSpan w:val="2"/>
            <w:vMerge w:val="continue"/>
            <w:noWrap w:val="0"/>
            <w:vAlign w:val="center"/>
          </w:tcPr>
          <w:p w14:paraId="5EE90F2D">
            <w:pPr>
              <w:spacing w:line="440" w:lineRule="atLeast"/>
              <w:jc w:val="center"/>
              <w:rPr>
                <w:rFonts w:hint="eastAsia"/>
                <w:color w:val="000000" w:themeColor="text1"/>
                <w:sz w:val="24"/>
                <w:highlight w:val="none"/>
                <w14:textFill>
                  <w14:solidFill>
                    <w14:schemeClr w14:val="tx1"/>
                  </w14:solidFill>
                </w14:textFill>
              </w:rPr>
            </w:pPr>
          </w:p>
        </w:tc>
        <w:tc>
          <w:tcPr>
            <w:tcW w:w="1763" w:type="dxa"/>
            <w:vMerge w:val="continue"/>
            <w:noWrap w:val="0"/>
            <w:vAlign w:val="center"/>
          </w:tcPr>
          <w:p w14:paraId="32D0DAE3">
            <w:pPr>
              <w:spacing w:line="440" w:lineRule="atLeast"/>
              <w:jc w:val="center"/>
              <w:rPr>
                <w:rFonts w:hint="eastAsia"/>
                <w:color w:val="000000" w:themeColor="text1"/>
                <w:sz w:val="24"/>
                <w:highlight w:val="none"/>
                <w14:textFill>
                  <w14:solidFill>
                    <w14:schemeClr w14:val="tx1"/>
                  </w14:solidFill>
                </w14:textFill>
              </w:rPr>
            </w:pPr>
          </w:p>
        </w:tc>
        <w:tc>
          <w:tcPr>
            <w:tcW w:w="2707" w:type="dxa"/>
            <w:noWrap w:val="0"/>
            <w:vAlign w:val="center"/>
          </w:tcPr>
          <w:p w14:paraId="23C76EC2">
            <w:pPr>
              <w:spacing w:line="440" w:lineRule="atLeast"/>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部门</w:t>
            </w:r>
          </w:p>
        </w:tc>
        <w:tc>
          <w:tcPr>
            <w:tcW w:w="770" w:type="dxa"/>
            <w:noWrap w:val="0"/>
            <w:vAlign w:val="center"/>
          </w:tcPr>
          <w:p w14:paraId="06FC6D37">
            <w:pPr>
              <w:spacing w:line="440" w:lineRule="atLeast"/>
              <w:jc w:val="center"/>
              <w:rPr>
                <w:rFonts w:hint="eastAsia"/>
                <w:color w:val="000000" w:themeColor="text1"/>
                <w:sz w:val="24"/>
                <w:highlight w:val="none"/>
                <w14:textFill>
                  <w14:solidFill>
                    <w14:schemeClr w14:val="tx1"/>
                  </w14:solidFill>
                </w14:textFill>
              </w:rPr>
            </w:pPr>
          </w:p>
        </w:tc>
        <w:tc>
          <w:tcPr>
            <w:tcW w:w="2770" w:type="dxa"/>
            <w:noWrap w:val="0"/>
            <w:vAlign w:val="center"/>
          </w:tcPr>
          <w:p w14:paraId="2A2CC92F">
            <w:pPr>
              <w:spacing w:line="440" w:lineRule="atLeast"/>
              <w:jc w:val="center"/>
              <w:rPr>
                <w:rFonts w:hint="eastAsia"/>
                <w:color w:val="000000" w:themeColor="text1"/>
                <w:sz w:val="24"/>
                <w:highlight w:val="none"/>
                <w14:textFill>
                  <w14:solidFill>
                    <w14:schemeClr w14:val="tx1"/>
                  </w14:solidFill>
                </w14:textFill>
              </w:rPr>
            </w:pPr>
          </w:p>
        </w:tc>
      </w:tr>
    </w:tbl>
    <w:p w14:paraId="182D4563">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5F6532AA">
      <w:pPr>
        <w:keepNext w:val="0"/>
        <w:keepLines w:val="0"/>
        <w:pageBreakBefore w:val="0"/>
        <w:shd w:val="clear" w:color="auto" w:fill="auto"/>
        <w:overflowPunct/>
        <w:topLinePunct w:val="0"/>
        <w:bidi w:val="0"/>
        <w:snapToGrid w:val="0"/>
        <w:spacing w:line="360" w:lineRule="auto"/>
        <w:jc w:val="right"/>
        <w:rPr>
          <w:rFonts w:hint="default" w:ascii="仿宋" w:hAnsi="仿宋" w:eastAsia="仿宋" w:cs="仿宋"/>
          <w:color w:val="000000" w:themeColor="text1"/>
          <w:sz w:val="24"/>
          <w:szCs w:val="24"/>
          <w:highlight w:val="none"/>
          <w:lang w:val="en-US" w:eastAsia="zh-CN"/>
          <w14:textFill>
            <w14:solidFill>
              <w14:schemeClr w14:val="tx1"/>
            </w14:solidFill>
          </w14:textFill>
        </w:rPr>
      </w:pPr>
      <w:bookmarkStart w:id="597" w:name="_Toc3206"/>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597"/>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九</w:t>
      </w:r>
    </w:p>
    <w:p w14:paraId="39D5EBFF">
      <w:pPr>
        <w:keepNext w:val="0"/>
        <w:keepLines w:val="0"/>
        <w:pageBreakBefore w:val="0"/>
        <w:wordWrap/>
        <w:overflowPunct/>
        <w:topLinePunct w:val="0"/>
        <w:bidi w:val="0"/>
        <w:spacing w:before="241" w:line="192" w:lineRule="auto"/>
        <w:ind w:left="0"/>
        <w:jc w:val="center"/>
        <w:rPr>
          <w:rFonts w:hint="eastAsia" w:ascii="仿宋" w:hAnsi="仿宋" w:eastAsia="仿宋" w:cs="仿宋"/>
          <w:b/>
          <w:bCs/>
          <w:color w:val="000000"/>
          <w:spacing w:val="-4"/>
          <w:position w:val="21"/>
          <w:sz w:val="8"/>
          <w:szCs w:val="8"/>
          <w:highlight w:val="none"/>
        </w:rPr>
      </w:pPr>
      <w:bookmarkStart w:id="598" w:name="_Toc21156"/>
      <w:bookmarkStart w:id="599" w:name="_Toc19900"/>
      <w:bookmarkStart w:id="600" w:name="_Toc9945"/>
      <w:bookmarkStart w:id="601" w:name="_Toc2087"/>
      <w:bookmarkStart w:id="602" w:name="_Toc12135"/>
      <w:r>
        <w:rPr>
          <w:rFonts w:hint="eastAsia" w:ascii="仿宋" w:hAnsi="仿宋" w:eastAsia="仿宋" w:cs="仿宋"/>
          <w:b/>
          <w:bCs/>
          <w:color w:val="000000"/>
          <w:spacing w:val="-4"/>
          <w:position w:val="21"/>
          <w:sz w:val="32"/>
          <w:szCs w:val="32"/>
          <w:highlight w:val="none"/>
          <w:lang w:val="en-US" w:eastAsia="zh-CN"/>
        </w:rPr>
        <w:t>工人工资发放</w:t>
      </w:r>
      <w:r>
        <w:rPr>
          <w:rFonts w:hint="eastAsia" w:ascii="仿宋" w:hAnsi="仿宋" w:eastAsia="仿宋" w:cs="仿宋"/>
          <w:b/>
          <w:bCs/>
          <w:color w:val="000000"/>
          <w:spacing w:val="-4"/>
          <w:position w:val="21"/>
          <w:sz w:val="32"/>
          <w:szCs w:val="32"/>
          <w:highlight w:val="none"/>
        </w:rPr>
        <w:t>承诺书</w:t>
      </w:r>
    </w:p>
    <w:p w14:paraId="0718AD0B">
      <w:pPr>
        <w:keepNext w:val="0"/>
        <w:keepLines w:val="0"/>
        <w:pageBreakBefore w:val="0"/>
        <w:wordWrap/>
        <w:overflowPunct/>
        <w:topLinePunct w:val="0"/>
        <w:bidi w:val="0"/>
        <w:adjustRightInd w:val="0"/>
        <w:snapToGrid w:val="0"/>
        <w:spacing w:line="240" w:lineRule="auto"/>
        <w:ind w:left="253"/>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eastAsia="zh-CN"/>
        </w:rPr>
        <w:t>致：</w:t>
      </w:r>
      <w:r>
        <w:rPr>
          <w:rFonts w:hint="eastAsia" w:ascii="仿宋" w:hAnsi="仿宋" w:eastAsia="仿宋" w:cs="仿宋"/>
          <w:b/>
          <w:bCs/>
          <w:color w:val="000000"/>
          <w:sz w:val="24"/>
          <w:szCs w:val="24"/>
          <w:highlight w:val="none"/>
          <w:lang w:val="en-US" w:eastAsia="zh-CN"/>
        </w:rPr>
        <w:t>**********</w:t>
      </w:r>
      <w:r>
        <w:rPr>
          <w:rFonts w:hint="eastAsia" w:ascii="仿宋" w:hAnsi="仿宋" w:eastAsia="仿宋" w:cs="仿宋"/>
          <w:b/>
          <w:bCs/>
          <w:color w:val="000000"/>
          <w:sz w:val="24"/>
          <w:szCs w:val="24"/>
          <w:highlight w:val="none"/>
        </w:rPr>
        <w:t>有限公司</w:t>
      </w:r>
    </w:p>
    <w:p w14:paraId="41F2CD36">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120" w:line="240" w:lineRule="auto"/>
        <w:ind w:left="286" w:leftChars="102" w:right="238" w:rightChars="0" w:firstLine="422" w:firstLineChars="165"/>
        <w:jc w:val="both"/>
        <w:textAlignment w:val="baseline"/>
        <w:rPr>
          <w:rFonts w:hint="eastAsia" w:ascii="仿宋" w:hAnsi="仿宋" w:eastAsia="仿宋" w:cs="仿宋"/>
          <w:color w:val="000000"/>
          <w:spacing w:val="8"/>
          <w:sz w:val="24"/>
          <w:szCs w:val="24"/>
          <w:highlight w:val="none"/>
          <w:lang w:val="en-US" w:eastAsia="zh-CN"/>
        </w:rPr>
      </w:pPr>
      <w:r>
        <w:rPr>
          <w:rFonts w:hint="eastAsia" w:ascii="仿宋" w:hAnsi="仿宋" w:eastAsia="仿宋" w:cs="仿宋"/>
          <w:color w:val="000000"/>
          <w:spacing w:val="8"/>
          <w:sz w:val="24"/>
          <w:szCs w:val="24"/>
          <w:highlight w:val="none"/>
          <w:lang w:val="en-US" w:eastAsia="zh-CN"/>
        </w:rPr>
        <w:t>我司与贵司于****年**月**日签订了《***合同》(以下简称“施工合同”），合同约定由我司承接贵司****项目工程***分项工程（以下简称“该工程”），该工程合同价***元，其中工人工资共计约***元。</w:t>
      </w:r>
    </w:p>
    <w:p w14:paraId="0F5E4EB0">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120" w:line="240" w:lineRule="auto"/>
        <w:ind w:left="286" w:leftChars="102" w:right="238" w:rightChars="0" w:firstLine="422" w:firstLineChars="165"/>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000000"/>
          <w:spacing w:val="8"/>
          <w:sz w:val="24"/>
          <w:szCs w:val="24"/>
          <w:highlight w:val="none"/>
          <w:lang w:val="en-US" w:eastAsia="zh-CN"/>
        </w:rPr>
        <w:t>目前该工程在</w:t>
      </w:r>
      <w:r>
        <w:rPr>
          <w:rFonts w:hint="eastAsia" w:ascii="仿宋" w:hAnsi="仿宋" w:eastAsia="仿宋" w:cs="仿宋"/>
          <w:color w:val="000000"/>
          <w:spacing w:val="8"/>
          <w:sz w:val="24"/>
          <w:szCs w:val="24"/>
          <w:highlight w:val="none"/>
          <w:u w:val="single"/>
          <w:lang w:val="en-US" w:eastAsia="zh-CN"/>
        </w:rPr>
        <w:sym w:font="Wingdings 2" w:char="00A3"/>
      </w:r>
      <w:r>
        <w:rPr>
          <w:rFonts w:hint="eastAsia" w:ascii="仿宋" w:hAnsi="仿宋" w:eastAsia="仿宋" w:cs="仿宋"/>
          <w:color w:val="000000"/>
          <w:spacing w:val="8"/>
          <w:sz w:val="24"/>
          <w:szCs w:val="24"/>
          <w:highlight w:val="none"/>
          <w:u w:val="single"/>
          <w:lang w:val="en-US" w:eastAsia="zh-CN"/>
        </w:rPr>
        <w:t xml:space="preserve">施工过程中  </w:t>
      </w:r>
      <w:r>
        <w:rPr>
          <w:rFonts w:hint="eastAsia" w:ascii="仿宋" w:hAnsi="仿宋" w:eastAsia="仿宋" w:cs="仿宋"/>
          <w:color w:val="000000"/>
          <w:spacing w:val="8"/>
          <w:sz w:val="24"/>
          <w:szCs w:val="24"/>
          <w:highlight w:val="none"/>
          <w:u w:val="single"/>
          <w:lang w:val="en-US" w:eastAsia="zh-CN"/>
        </w:rPr>
        <w:sym w:font="Wingdings 2" w:char="00A3"/>
      </w:r>
      <w:r>
        <w:rPr>
          <w:rFonts w:hint="eastAsia" w:ascii="仿宋" w:hAnsi="仿宋" w:eastAsia="仿宋" w:cs="仿宋"/>
          <w:color w:val="000000"/>
          <w:spacing w:val="8"/>
          <w:sz w:val="24"/>
          <w:szCs w:val="24"/>
          <w:highlight w:val="none"/>
          <w:u w:val="single"/>
          <w:lang w:val="en-US" w:eastAsia="zh-CN"/>
        </w:rPr>
        <w:t>结算过程中</w:t>
      </w:r>
      <w:r>
        <w:rPr>
          <w:rFonts w:hint="eastAsia" w:ascii="仿宋" w:hAnsi="仿宋" w:eastAsia="仿宋" w:cs="仿宋"/>
          <w:color w:val="000000"/>
          <w:spacing w:val="8"/>
          <w:sz w:val="24"/>
          <w:szCs w:val="24"/>
          <w:highlight w:val="none"/>
          <w:lang w:val="en-US" w:eastAsia="zh-CN"/>
        </w:rPr>
        <w:t>。现我司申请贵司向我司支付**月份工程款共计</w:t>
      </w:r>
      <w:r>
        <w:rPr>
          <w:rFonts w:hint="eastAsia" w:ascii="仿宋" w:hAnsi="仿宋" w:eastAsia="仿宋" w:cs="仿宋"/>
          <w:color w:val="000000"/>
          <w:spacing w:val="8"/>
          <w:sz w:val="24"/>
          <w:szCs w:val="24"/>
          <w:highlight w:val="none"/>
          <w:u w:val="single"/>
          <w:lang w:val="en-US" w:eastAsia="zh-CN"/>
        </w:rPr>
        <w:t>**** 元</w:t>
      </w:r>
      <w:r>
        <w:rPr>
          <w:rFonts w:hint="eastAsia" w:ascii="仿宋" w:hAnsi="仿宋" w:eastAsia="仿宋" w:cs="仿宋"/>
          <w:color w:val="000000"/>
          <w:spacing w:val="8"/>
          <w:sz w:val="24"/>
          <w:szCs w:val="24"/>
          <w:highlight w:val="none"/>
          <w:lang w:val="en-US" w:eastAsia="zh-CN"/>
        </w:rPr>
        <w:t>，大写：</w:t>
      </w:r>
      <w:r>
        <w:rPr>
          <w:rFonts w:hint="eastAsia" w:ascii="仿宋" w:hAnsi="仿宋" w:eastAsia="仿宋" w:cs="仿宋"/>
          <w:color w:val="000000"/>
          <w:spacing w:val="8"/>
          <w:sz w:val="24"/>
          <w:szCs w:val="24"/>
          <w:highlight w:val="none"/>
          <w:u w:val="single"/>
          <w:lang w:val="en-US" w:eastAsia="zh-CN"/>
        </w:rPr>
        <w:t xml:space="preserve"> **** 元，其中</w:t>
      </w:r>
      <w:r>
        <w:rPr>
          <w:rFonts w:hint="eastAsia" w:ascii="仿宋" w:hAnsi="仿宋" w:eastAsia="仿宋" w:cs="仿宋"/>
          <w:color w:val="000000"/>
          <w:spacing w:val="8"/>
          <w:sz w:val="24"/>
          <w:szCs w:val="24"/>
          <w:highlight w:val="none"/>
          <w:lang w:val="en-US" w:eastAsia="zh-CN"/>
        </w:rPr>
        <w:t xml:space="preserve"> </w:t>
      </w:r>
      <w:r>
        <w:rPr>
          <w:rFonts w:hint="eastAsia" w:ascii="仿宋" w:hAnsi="仿宋" w:eastAsia="仿宋" w:cs="仿宋"/>
          <w:color w:val="000000"/>
          <w:spacing w:val="8"/>
          <w:sz w:val="24"/>
          <w:szCs w:val="24"/>
          <w:highlight w:val="none"/>
          <w:u w:val="single"/>
          <w:lang w:val="en-US" w:eastAsia="zh-CN"/>
        </w:rPr>
        <w:t>***元为</w:t>
      </w:r>
      <w:r>
        <w:rPr>
          <w:rFonts w:hint="eastAsia" w:ascii="仿宋" w:hAnsi="仿宋" w:eastAsia="仿宋" w:cs="仿宋"/>
          <w:color w:val="000000"/>
          <w:spacing w:val="8"/>
          <w:sz w:val="24"/>
          <w:szCs w:val="24"/>
          <w:highlight w:val="none"/>
          <w:lang w:val="en-US" w:eastAsia="zh-CN"/>
        </w:rPr>
        <w:t>施工合同涉及的所有施工工人工资，由</w:t>
      </w:r>
      <w:r>
        <w:rPr>
          <w:rFonts w:hint="eastAsia" w:ascii="仿宋" w:hAnsi="仿宋" w:eastAsia="仿宋" w:cs="仿宋"/>
          <w:color w:val="000000"/>
          <w:spacing w:val="8"/>
          <w:sz w:val="24"/>
          <w:szCs w:val="24"/>
          <w:highlight w:val="none"/>
          <w:u w:val="single"/>
          <w:lang w:val="en-US" w:eastAsia="zh-CN"/>
        </w:rPr>
        <w:t>贵司</w:t>
      </w:r>
      <w:r>
        <w:rPr>
          <w:rFonts w:hint="eastAsia" w:ascii="仿宋" w:hAnsi="仿宋" w:eastAsia="仿宋" w:cs="仿宋"/>
          <w:color w:val="auto"/>
          <w:spacing w:val="8"/>
          <w:sz w:val="24"/>
          <w:szCs w:val="24"/>
          <w:highlight w:val="none"/>
          <w:u w:val="single"/>
          <w:lang w:val="en-US" w:eastAsia="zh-CN"/>
        </w:rPr>
        <w:t>直接支付至工人银行卡账号</w:t>
      </w:r>
      <w:r>
        <w:rPr>
          <w:rFonts w:hint="eastAsia" w:ascii="仿宋" w:hAnsi="仿宋" w:eastAsia="仿宋" w:cs="仿宋"/>
          <w:color w:val="auto"/>
          <w:spacing w:val="8"/>
          <w:sz w:val="24"/>
          <w:szCs w:val="24"/>
          <w:highlight w:val="none"/>
          <w:u w:val="none"/>
          <w:lang w:val="en-US" w:eastAsia="zh-CN"/>
        </w:rPr>
        <w:t>，工人</w:t>
      </w:r>
      <w:r>
        <w:rPr>
          <w:rFonts w:hint="eastAsia" w:ascii="仿宋" w:hAnsi="仿宋" w:eastAsia="仿宋" w:cs="仿宋"/>
          <w:color w:val="auto"/>
          <w:spacing w:val="8"/>
          <w:sz w:val="24"/>
          <w:szCs w:val="24"/>
          <w:highlight w:val="none"/>
          <w:lang w:val="en-US" w:eastAsia="zh-CN"/>
        </w:rPr>
        <w:t>名单及工资明细情况等详见附件1</w:t>
      </w:r>
      <w:r>
        <w:rPr>
          <w:rFonts w:hint="eastAsia" w:ascii="仿宋" w:hAnsi="仿宋" w:eastAsia="仿宋" w:cs="仿宋"/>
          <w:color w:val="auto"/>
          <w:spacing w:val="-4"/>
          <w:sz w:val="24"/>
          <w:szCs w:val="24"/>
          <w:highlight w:val="none"/>
          <w:lang w:val="en-US" w:eastAsia="zh-CN"/>
        </w:rPr>
        <w:t>《建筑工人工资表》</w:t>
      </w:r>
      <w:r>
        <w:rPr>
          <w:rFonts w:hint="eastAsia" w:ascii="仿宋" w:hAnsi="仿宋" w:eastAsia="仿宋" w:cs="仿宋"/>
          <w:color w:val="auto"/>
          <w:spacing w:val="8"/>
          <w:sz w:val="24"/>
          <w:szCs w:val="24"/>
          <w:highlight w:val="none"/>
          <w:u w:val="none"/>
          <w:lang w:val="en-US" w:eastAsia="zh-CN"/>
        </w:rPr>
        <w:t>。</w:t>
      </w:r>
    </w:p>
    <w:p w14:paraId="13F691EA">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120" w:line="240" w:lineRule="auto"/>
        <w:ind w:left="286" w:leftChars="102" w:right="238" w:rightChars="0" w:firstLine="422" w:firstLineChars="165"/>
        <w:jc w:val="both"/>
        <w:textAlignment w:val="baseline"/>
        <w:rPr>
          <w:rFonts w:hint="eastAsia" w:ascii="仿宋" w:hAnsi="仿宋" w:eastAsia="仿宋" w:cs="仿宋"/>
          <w:color w:val="auto"/>
          <w:highlight w:val="none"/>
          <w:lang w:val="en-US" w:eastAsia="zh-CN"/>
        </w:rPr>
      </w:pPr>
      <w:r>
        <w:rPr>
          <w:rFonts w:hint="eastAsia" w:ascii="仿宋" w:hAnsi="仿宋" w:eastAsia="仿宋" w:cs="仿宋"/>
          <w:color w:val="auto"/>
          <w:spacing w:val="8"/>
          <w:sz w:val="24"/>
          <w:szCs w:val="24"/>
          <w:highlight w:val="none"/>
          <w:lang w:val="en-US" w:eastAsia="zh-CN"/>
        </w:rPr>
        <w:t>我司承诺全面贯彻落实《保障农民工工资支付条例》（中华人民共和国国务院令第724号）等国家及地方关于农民工工资支付的相关政策法规要求，切实履行农民工工资支付主体责任。我司如瞒报、漏报、错报工人工资或以其他形式克扣或拖欠工人工资，导致发生该工程工人因欠薪去政府部门上访、投诉、静坐、讨要工资，或在贵司相关场所非法集结讨要工资，或阻碍现场施工等行为的，属我司严重违约，我司同意按以下方式处理：</w:t>
      </w:r>
    </w:p>
    <w:p w14:paraId="6CBBEFA8">
      <w:pPr>
        <w:keepNext w:val="0"/>
        <w:keepLines w:val="0"/>
        <w:pageBreakBefore w:val="0"/>
        <w:numPr>
          <w:ilvl w:val="0"/>
          <w:numId w:val="5"/>
        </w:numPr>
        <w:wordWrap/>
        <w:overflowPunct/>
        <w:topLinePunct w:val="0"/>
        <w:bidi w:val="0"/>
        <w:adjustRightInd w:val="0"/>
        <w:snapToGrid w:val="0"/>
        <w:spacing w:before="120" w:line="240" w:lineRule="auto"/>
        <w:ind w:left="211" w:leftChars="0" w:right="238" w:rightChars="0" w:firstLine="419" w:firstLineChars="0"/>
        <w:jc w:val="both"/>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我司同意由贵司在应付未付工程款范围内直接代为支付该工程尚拖欠的工人工资（以现场工人所主张数据为准，贵司无核实的责任或义务，数据准确性后果由我司自行承担），我司在贵司代付工人工资后3个工作日内无条件开具对应金额的发票给贵司，并且我司还需就此另按贵司当次所代付工资总额的50%向贵司承担相关虚假承诺违约金。每发生一次劳资纠纷事件，或因我司拖欠工人工资而导致媒体曝光或政府部门介入的，我司按合同约定承担违约责任及向贵司支付相应违约金。以上全部违约金等，贵司有权单方在我司任何的后续合同款/进度款/结算款中直接做扣减处置，如后续合同款/进度款/结算款不足以被扣减违约金的，由我司负责另行支付给贵司，我司并应另向贵司赔偿因此遭遇的其他损失及费用。</w:t>
      </w:r>
    </w:p>
    <w:p w14:paraId="4AA0FFE8">
      <w:pPr>
        <w:keepNext w:val="0"/>
        <w:keepLines w:val="0"/>
        <w:pageBreakBefore w:val="0"/>
        <w:widowControl/>
        <w:numPr>
          <w:ilvl w:val="0"/>
          <w:numId w:val="5"/>
        </w:numPr>
        <w:kinsoku/>
        <w:wordWrap/>
        <w:overflowPunct/>
        <w:topLinePunct w:val="0"/>
        <w:autoSpaceDE/>
        <w:autoSpaceDN/>
        <w:bidi w:val="0"/>
        <w:adjustRightInd w:val="0"/>
        <w:snapToGrid w:val="0"/>
        <w:spacing w:before="120" w:line="240" w:lineRule="auto"/>
        <w:ind w:left="211" w:leftChars="0" w:right="238" w:rightChars="0" w:firstLine="419" w:firstLineChars="0"/>
        <w:jc w:val="both"/>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我司承诺将无条件负责相应的善后工作及消除对贵司造成的不良影响。</w:t>
      </w:r>
    </w:p>
    <w:p w14:paraId="2C93825C">
      <w:pPr>
        <w:keepNext w:val="0"/>
        <w:keepLines w:val="0"/>
        <w:pageBreakBefore w:val="0"/>
        <w:widowControl/>
        <w:numPr>
          <w:ilvl w:val="0"/>
          <w:numId w:val="5"/>
        </w:numPr>
        <w:kinsoku/>
        <w:wordWrap/>
        <w:overflowPunct/>
        <w:topLinePunct w:val="0"/>
        <w:autoSpaceDE/>
        <w:autoSpaceDN/>
        <w:bidi w:val="0"/>
        <w:adjustRightInd w:val="0"/>
        <w:snapToGrid w:val="0"/>
        <w:spacing w:before="120" w:line="240" w:lineRule="auto"/>
        <w:ind w:left="211" w:leftChars="0" w:right="238" w:rightChars="0" w:firstLine="419" w:firstLineChars="0"/>
        <w:jc w:val="both"/>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i w:val="0"/>
          <w:iCs w:val="0"/>
          <w:caps w:val="0"/>
          <w:color w:val="auto"/>
          <w:spacing w:val="0"/>
          <w:sz w:val="24"/>
          <w:szCs w:val="24"/>
          <w:highlight w:val="none"/>
          <w:shd w:val="clear" w:fill="FFFFFF"/>
        </w:rPr>
        <w:t xml:space="preserve">我司保证该工程完工之日起**个日历天内，将该工程的工人工资全部结清支付给所有工人，如遇节假日或休息日，将提前在最近的工作日进行支付，确保工人能够及时获得劳动报酬。对于新入职的工人，自其入职之日起，按照约定的工资支付周期和标准支付工资。否则，贵司有权不向我司支付合同进度款且不给我司办理结算，并由贵司按上述第三条规则进行处理。 </w:t>
      </w:r>
    </w:p>
    <w:p w14:paraId="4BD87257">
      <w:pPr>
        <w:keepNext w:val="0"/>
        <w:keepLines w:val="0"/>
        <w:pageBreakBefore w:val="0"/>
        <w:widowControl/>
        <w:numPr>
          <w:ilvl w:val="-1"/>
          <w:numId w:val="0"/>
        </w:numPr>
        <w:kinsoku/>
        <w:wordWrap/>
        <w:overflowPunct/>
        <w:topLinePunct w:val="0"/>
        <w:autoSpaceDE/>
        <w:autoSpaceDN/>
        <w:bidi w:val="0"/>
        <w:adjustRightInd w:val="0"/>
        <w:snapToGrid w:val="0"/>
        <w:spacing w:before="120" w:line="240" w:lineRule="auto"/>
        <w:ind w:left="630" w:leftChars="0" w:right="238" w:rightChars="0" w:firstLine="0" w:firstLineChars="0"/>
        <w:jc w:val="both"/>
        <w:textAlignment w:val="auto"/>
        <w:rPr>
          <w:rFonts w:hint="eastAsia" w:ascii="仿宋" w:hAnsi="仿宋" w:eastAsia="仿宋" w:cs="仿宋"/>
          <w:color w:val="000000"/>
          <w:spacing w:val="8"/>
          <w:sz w:val="24"/>
          <w:szCs w:val="24"/>
          <w:highlight w:val="none"/>
          <w:lang w:val="en-US" w:eastAsia="zh-CN"/>
        </w:rPr>
      </w:pPr>
      <w:r>
        <w:rPr>
          <w:rFonts w:hint="eastAsia" w:ascii="仿宋" w:hAnsi="仿宋" w:eastAsia="仿宋" w:cs="仿宋"/>
          <w:color w:val="000000"/>
          <w:spacing w:val="8"/>
          <w:sz w:val="24"/>
          <w:szCs w:val="24"/>
          <w:highlight w:val="none"/>
          <w:lang w:val="en-US" w:eastAsia="zh-CN"/>
        </w:rPr>
        <w:t>四、特别约定：</w:t>
      </w:r>
    </w:p>
    <w:p w14:paraId="108385C0">
      <w:pPr>
        <w:keepNext w:val="0"/>
        <w:keepLines w:val="0"/>
        <w:pageBreakBefore w:val="0"/>
        <w:widowControl/>
        <w:numPr>
          <w:ilvl w:val="-1"/>
          <w:numId w:val="0"/>
        </w:numPr>
        <w:kinsoku/>
        <w:wordWrap/>
        <w:overflowPunct/>
        <w:topLinePunct w:val="0"/>
        <w:autoSpaceDE/>
        <w:autoSpaceDN/>
        <w:bidi w:val="0"/>
        <w:adjustRightInd w:val="0"/>
        <w:snapToGrid w:val="0"/>
        <w:spacing w:before="120" w:line="240" w:lineRule="auto"/>
        <w:ind w:left="630" w:right="238" w:rightChars="0" w:firstLine="0" w:firstLineChars="0"/>
        <w:jc w:val="both"/>
        <w:textAlignment w:val="auto"/>
        <w:rPr>
          <w:rFonts w:hint="eastAsia" w:ascii="仿宋" w:hAnsi="仿宋" w:eastAsia="仿宋" w:cs="仿宋"/>
          <w:color w:val="000000"/>
          <w:spacing w:val="8"/>
          <w:sz w:val="24"/>
          <w:szCs w:val="24"/>
          <w:highlight w:val="none"/>
          <w:lang w:val="en-US" w:eastAsia="zh-CN"/>
        </w:rPr>
      </w:pPr>
      <w:r>
        <w:rPr>
          <w:rFonts w:hint="eastAsia" w:ascii="仿宋" w:hAnsi="仿宋" w:eastAsia="仿宋" w:cs="仿宋"/>
          <w:color w:val="000000"/>
          <w:spacing w:val="8"/>
          <w:sz w:val="24"/>
          <w:szCs w:val="24"/>
          <w:highlight w:val="none"/>
          <w:lang w:val="en-US" w:eastAsia="zh-CN"/>
        </w:rPr>
        <w:t>******公司法定代表人</w:t>
      </w:r>
      <w:r>
        <w:rPr>
          <w:rFonts w:hint="eastAsia" w:ascii="仿宋" w:hAnsi="仿宋" w:eastAsia="仿宋" w:cs="仿宋"/>
          <w:color w:val="000000"/>
          <w:spacing w:val="8"/>
          <w:sz w:val="24"/>
          <w:szCs w:val="24"/>
          <w:highlight w:val="none"/>
          <w:u w:val="none"/>
          <w:lang w:val="en-US" w:eastAsia="zh-CN"/>
        </w:rPr>
        <w:t xml:space="preserve"> **** </w:t>
      </w:r>
      <w:r>
        <w:rPr>
          <w:rFonts w:hint="eastAsia" w:ascii="仿宋" w:hAnsi="仿宋" w:eastAsia="仿宋" w:cs="仿宋"/>
          <w:color w:val="000000"/>
          <w:spacing w:val="8"/>
          <w:sz w:val="24"/>
          <w:szCs w:val="24"/>
          <w:highlight w:val="none"/>
          <w:lang w:val="en-US" w:eastAsia="zh-CN"/>
        </w:rPr>
        <w:t>（身份证号：</w:t>
      </w:r>
      <w:r>
        <w:rPr>
          <w:rFonts w:hint="eastAsia" w:ascii="仿宋" w:hAnsi="仿宋" w:eastAsia="仿宋" w:cs="仿宋"/>
          <w:color w:val="000000"/>
          <w:spacing w:val="8"/>
          <w:sz w:val="24"/>
          <w:szCs w:val="24"/>
          <w:highlight w:val="none"/>
          <w:u w:val="none"/>
          <w:lang w:val="en-US" w:eastAsia="zh-CN"/>
        </w:rPr>
        <w:t xml:space="preserve"> </w:t>
      </w:r>
      <w:r>
        <w:rPr>
          <w:rFonts w:hint="eastAsia" w:ascii="仿宋" w:hAnsi="仿宋" w:eastAsia="仿宋" w:cs="仿宋"/>
          <w:color w:val="000000"/>
          <w:spacing w:val="8"/>
          <w:sz w:val="24"/>
          <w:szCs w:val="24"/>
          <w:highlight w:val="none"/>
          <w:u w:val="none"/>
          <w:shd w:val="clear"/>
          <w:lang w:val="en-US" w:eastAsia="zh-CN"/>
        </w:rPr>
        <w:t>******</w:t>
      </w:r>
      <w:r>
        <w:rPr>
          <w:rFonts w:hint="eastAsia" w:ascii="仿宋" w:hAnsi="仿宋" w:eastAsia="仿宋" w:cs="仿宋"/>
          <w:color w:val="000000"/>
          <w:spacing w:val="8"/>
          <w:sz w:val="24"/>
          <w:szCs w:val="24"/>
          <w:highlight w:val="none"/>
          <w:u w:val="none"/>
          <w:lang w:val="en-US" w:eastAsia="zh-CN"/>
        </w:rPr>
        <w:t xml:space="preserve"> </w:t>
      </w:r>
      <w:r>
        <w:rPr>
          <w:rFonts w:hint="eastAsia" w:ascii="仿宋" w:hAnsi="仿宋" w:eastAsia="仿宋" w:cs="仿宋"/>
          <w:color w:val="000000"/>
          <w:spacing w:val="8"/>
          <w:sz w:val="24"/>
          <w:szCs w:val="24"/>
          <w:highlight w:val="none"/>
          <w:lang w:val="en-US" w:eastAsia="zh-CN"/>
        </w:rPr>
        <w:t>）、实际控制人</w:t>
      </w:r>
      <w:r>
        <w:rPr>
          <w:rFonts w:hint="eastAsia" w:ascii="仿宋" w:hAnsi="仿宋" w:eastAsia="仿宋" w:cs="仿宋"/>
          <w:color w:val="000000"/>
          <w:spacing w:val="8"/>
          <w:sz w:val="24"/>
          <w:szCs w:val="24"/>
          <w:highlight w:val="none"/>
          <w:u w:val="none"/>
          <w:lang w:val="en-US" w:eastAsia="zh-CN"/>
        </w:rPr>
        <w:t xml:space="preserve">**** </w:t>
      </w:r>
      <w:r>
        <w:rPr>
          <w:rFonts w:hint="eastAsia" w:ascii="仿宋" w:hAnsi="仿宋" w:eastAsia="仿宋" w:cs="仿宋"/>
          <w:color w:val="000000"/>
          <w:spacing w:val="8"/>
          <w:sz w:val="24"/>
          <w:szCs w:val="24"/>
          <w:highlight w:val="none"/>
          <w:lang w:val="en-US" w:eastAsia="zh-CN"/>
        </w:rPr>
        <w:t>（身</w:t>
      </w:r>
    </w:p>
    <w:p w14:paraId="632F0687">
      <w:pPr>
        <w:keepNext w:val="0"/>
        <w:keepLines w:val="0"/>
        <w:pageBreakBefore w:val="0"/>
        <w:widowControl/>
        <w:numPr>
          <w:ilvl w:val="-1"/>
          <w:numId w:val="0"/>
        </w:numPr>
        <w:kinsoku/>
        <w:wordWrap/>
        <w:overflowPunct/>
        <w:topLinePunct w:val="0"/>
        <w:autoSpaceDE/>
        <w:autoSpaceDN/>
        <w:bidi w:val="0"/>
        <w:adjustRightInd w:val="0"/>
        <w:snapToGrid w:val="0"/>
        <w:spacing w:before="120" w:line="240" w:lineRule="auto"/>
        <w:ind w:right="238" w:rightChars="0"/>
        <w:jc w:val="both"/>
        <w:textAlignment w:val="auto"/>
        <w:rPr>
          <w:rFonts w:hint="eastAsia" w:ascii="仿宋" w:hAnsi="仿宋" w:eastAsia="仿宋" w:cs="仿宋"/>
          <w:color w:val="000000"/>
          <w:spacing w:val="8"/>
          <w:sz w:val="24"/>
          <w:szCs w:val="24"/>
          <w:highlight w:val="none"/>
          <w:lang w:val="en-US" w:eastAsia="zh-CN"/>
        </w:rPr>
      </w:pPr>
      <w:r>
        <w:rPr>
          <w:rFonts w:hint="eastAsia" w:ascii="仿宋" w:hAnsi="仿宋" w:eastAsia="仿宋" w:cs="仿宋"/>
          <w:color w:val="000000"/>
          <w:spacing w:val="8"/>
          <w:sz w:val="24"/>
          <w:szCs w:val="24"/>
          <w:highlight w:val="none"/>
          <w:lang w:val="en-US" w:eastAsia="zh-CN"/>
        </w:rPr>
        <w:t>份证号：</w:t>
      </w:r>
      <w:r>
        <w:rPr>
          <w:rFonts w:hint="eastAsia" w:ascii="仿宋" w:hAnsi="仿宋" w:eastAsia="仿宋" w:cs="仿宋"/>
          <w:color w:val="000000"/>
          <w:spacing w:val="8"/>
          <w:sz w:val="24"/>
          <w:szCs w:val="24"/>
          <w:highlight w:val="none"/>
          <w:u w:val="none"/>
          <w:lang w:val="en-US" w:eastAsia="zh-CN"/>
        </w:rPr>
        <w:t xml:space="preserve"> </w:t>
      </w:r>
      <w:r>
        <w:rPr>
          <w:rFonts w:hint="eastAsia" w:ascii="仿宋" w:hAnsi="仿宋" w:eastAsia="仿宋" w:cs="仿宋"/>
          <w:color w:val="000000"/>
          <w:spacing w:val="8"/>
          <w:sz w:val="24"/>
          <w:szCs w:val="24"/>
          <w:highlight w:val="none"/>
          <w:u w:val="none"/>
          <w:shd w:val="clear"/>
          <w:lang w:val="en-US" w:eastAsia="zh-CN"/>
        </w:rPr>
        <w:t>******</w:t>
      </w:r>
      <w:r>
        <w:rPr>
          <w:rFonts w:hint="eastAsia" w:ascii="仿宋" w:hAnsi="仿宋" w:eastAsia="仿宋" w:cs="仿宋"/>
          <w:color w:val="000000"/>
          <w:spacing w:val="8"/>
          <w:sz w:val="24"/>
          <w:szCs w:val="24"/>
          <w:highlight w:val="none"/>
          <w:u w:val="none"/>
          <w:lang w:val="en-US" w:eastAsia="zh-CN"/>
        </w:rPr>
        <w:t xml:space="preserve"> </w:t>
      </w:r>
      <w:r>
        <w:rPr>
          <w:rFonts w:hint="eastAsia" w:ascii="仿宋" w:hAnsi="仿宋" w:eastAsia="仿宋" w:cs="仿宋"/>
          <w:color w:val="000000"/>
          <w:spacing w:val="8"/>
          <w:sz w:val="24"/>
          <w:szCs w:val="24"/>
          <w:highlight w:val="none"/>
          <w:lang w:val="en-US" w:eastAsia="zh-CN"/>
        </w:rPr>
        <w:t>）就本《工人工资发放承诺书》所列明的全部公司责任后果，分别同意以个人名义另向贵司承担连带清偿责任，连带清偿范围除以上第三条列明后果外，还及于贵司为维护自身合法权益而向*******公司主张的诉讼费、财产保全费、保全担保费、证据保全公证费、律师代理费、差旅费等费用。</w:t>
      </w:r>
    </w:p>
    <w:p w14:paraId="2B255966">
      <w:pPr>
        <w:keepNext w:val="0"/>
        <w:keepLines w:val="0"/>
        <w:pageBreakBefore w:val="0"/>
        <w:widowControl/>
        <w:numPr>
          <w:ilvl w:val="-1"/>
          <w:numId w:val="0"/>
        </w:numPr>
        <w:kinsoku/>
        <w:wordWrap/>
        <w:overflowPunct/>
        <w:topLinePunct w:val="0"/>
        <w:autoSpaceDE/>
        <w:autoSpaceDN/>
        <w:bidi w:val="0"/>
        <w:adjustRightInd w:val="0"/>
        <w:snapToGrid w:val="0"/>
        <w:spacing w:before="120" w:line="240" w:lineRule="auto"/>
        <w:ind w:left="630" w:leftChars="0" w:right="238" w:rightChars="0" w:firstLine="0" w:firstLineChars="0"/>
        <w:jc w:val="both"/>
        <w:textAlignment w:val="auto"/>
        <w:rPr>
          <w:rFonts w:hint="eastAsia" w:ascii="仿宋" w:hAnsi="仿宋" w:eastAsia="仿宋" w:cs="仿宋"/>
          <w:color w:val="000000"/>
          <w:spacing w:val="8"/>
          <w:sz w:val="24"/>
          <w:szCs w:val="24"/>
          <w:highlight w:val="none"/>
          <w:lang w:val="en-US" w:eastAsia="zh-CN"/>
        </w:rPr>
      </w:pPr>
      <w:r>
        <w:rPr>
          <w:rFonts w:hint="eastAsia" w:ascii="仿宋" w:hAnsi="仿宋" w:eastAsia="仿宋" w:cs="仿宋"/>
          <w:color w:val="000000"/>
          <w:spacing w:val="8"/>
          <w:sz w:val="24"/>
          <w:szCs w:val="24"/>
          <w:highlight w:val="none"/>
          <w:lang w:val="en-US" w:eastAsia="zh-CN"/>
        </w:rPr>
        <w:t>特此承诺！</w:t>
      </w:r>
    </w:p>
    <w:p w14:paraId="59C7D5AE">
      <w:pPr>
        <w:keepNext w:val="0"/>
        <w:keepLines w:val="0"/>
        <w:pageBreakBefore w:val="0"/>
        <w:widowControl/>
        <w:numPr>
          <w:ilvl w:val="-1"/>
          <w:numId w:val="0"/>
        </w:numPr>
        <w:kinsoku/>
        <w:wordWrap/>
        <w:overflowPunct/>
        <w:topLinePunct w:val="0"/>
        <w:autoSpaceDE/>
        <w:autoSpaceDN/>
        <w:bidi w:val="0"/>
        <w:adjustRightInd w:val="0"/>
        <w:snapToGrid w:val="0"/>
        <w:spacing w:before="120" w:line="240" w:lineRule="auto"/>
        <w:ind w:left="0" w:leftChars="0" w:right="238" w:rightChars="0" w:firstLine="0" w:firstLineChars="0"/>
        <w:jc w:val="both"/>
        <w:textAlignment w:val="auto"/>
        <w:rPr>
          <w:rFonts w:hint="eastAsia" w:ascii="仿宋" w:hAnsi="仿宋" w:eastAsia="仿宋" w:cs="仿宋"/>
          <w:color w:val="000000"/>
          <w:spacing w:val="8"/>
          <w:sz w:val="24"/>
          <w:szCs w:val="24"/>
          <w:highlight w:val="none"/>
          <w:lang w:val="en-US" w:eastAsia="zh-CN"/>
        </w:rPr>
      </w:pPr>
      <w:r>
        <w:rPr>
          <w:rFonts w:hint="eastAsia" w:ascii="仿宋" w:hAnsi="仿宋" w:eastAsia="仿宋" w:cs="仿宋"/>
          <w:color w:val="000000"/>
          <w:spacing w:val="8"/>
          <w:sz w:val="24"/>
          <w:szCs w:val="24"/>
          <w:highlight w:val="none"/>
          <w:lang w:val="en-US" w:eastAsia="zh-CN"/>
        </w:rPr>
        <w:t>附件1：《建筑工人工资表》（样表）；</w:t>
      </w:r>
    </w:p>
    <w:p w14:paraId="3B4EC16F">
      <w:pPr>
        <w:keepNext w:val="0"/>
        <w:keepLines w:val="0"/>
        <w:pageBreakBefore w:val="0"/>
        <w:widowControl/>
        <w:numPr>
          <w:ilvl w:val="-1"/>
          <w:numId w:val="0"/>
        </w:numPr>
        <w:kinsoku/>
        <w:wordWrap/>
        <w:overflowPunct/>
        <w:topLinePunct w:val="0"/>
        <w:autoSpaceDE/>
        <w:autoSpaceDN/>
        <w:bidi w:val="0"/>
        <w:adjustRightInd w:val="0"/>
        <w:snapToGrid w:val="0"/>
        <w:spacing w:before="120" w:line="240" w:lineRule="auto"/>
        <w:ind w:left="0" w:leftChars="0" w:right="238" w:rightChars="0" w:firstLine="0" w:firstLineChars="0"/>
        <w:jc w:val="both"/>
        <w:textAlignment w:val="auto"/>
        <w:rPr>
          <w:rFonts w:hint="eastAsia" w:ascii="仿宋" w:hAnsi="仿宋" w:eastAsia="仿宋" w:cs="仿宋"/>
          <w:color w:val="000000"/>
          <w:spacing w:val="8"/>
          <w:sz w:val="24"/>
          <w:szCs w:val="24"/>
          <w:highlight w:val="none"/>
          <w:lang w:val="en-US" w:eastAsia="zh-CN"/>
        </w:rPr>
      </w:pPr>
      <w:r>
        <w:rPr>
          <w:rFonts w:hint="eastAsia" w:ascii="仿宋" w:hAnsi="仿宋" w:eastAsia="仿宋" w:cs="仿宋"/>
          <w:color w:val="000000"/>
          <w:spacing w:val="8"/>
          <w:sz w:val="24"/>
          <w:szCs w:val="24"/>
          <w:highlight w:val="none"/>
          <w:lang w:val="en-US" w:eastAsia="zh-CN"/>
        </w:rPr>
        <w:t>附件2：各连带清偿人身份证正反面复印件。</w:t>
      </w:r>
    </w:p>
    <w:p w14:paraId="54A2249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line="240" w:lineRule="auto"/>
        <w:ind w:left="0" w:leftChars="0" w:right="238" w:rightChars="0" w:firstLine="0" w:firstLineChars="0"/>
        <w:jc w:val="both"/>
        <w:textAlignment w:val="baseline"/>
        <w:rPr>
          <w:rFonts w:hint="default" w:ascii="仿宋" w:hAnsi="仿宋" w:eastAsia="仿宋" w:cs="仿宋"/>
          <w:color w:val="auto"/>
          <w:spacing w:val="-4"/>
          <w:sz w:val="24"/>
          <w:szCs w:val="24"/>
          <w:highlight w:val="none"/>
          <w:lang w:val="en-US" w:eastAsia="zh-CN"/>
        </w:rPr>
      </w:pPr>
    </w:p>
    <w:p w14:paraId="4BA7314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line="240" w:lineRule="auto"/>
        <w:ind w:right="238" w:rightChars="0" w:firstLine="0" w:firstLineChars="0"/>
        <w:jc w:val="both"/>
        <w:textAlignment w:val="baseline"/>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承诺单位（盖章）：*******公司       连带清偿责任人（签名）：</w:t>
      </w:r>
    </w:p>
    <w:p w14:paraId="26665624">
      <w:pPr>
        <w:keepNext w:val="0"/>
        <w:keepLines w:val="0"/>
        <w:pageBreakBefore w:val="0"/>
        <w:numPr>
          <w:ilvl w:val="0"/>
          <w:numId w:val="0"/>
        </w:numPr>
        <w:wordWrap/>
        <w:overflowPunct/>
        <w:topLinePunct w:val="0"/>
        <w:bidi w:val="0"/>
        <w:adjustRightInd w:val="0"/>
        <w:snapToGrid w:val="0"/>
        <w:spacing w:before="120" w:line="240" w:lineRule="auto"/>
        <w:ind w:right="238" w:rightChars="0" w:firstLine="0" w:firstLineChars="0"/>
        <w:jc w:val="right"/>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 xml:space="preserve">                                       </w:t>
      </w:r>
    </w:p>
    <w:p w14:paraId="4AA1CBFD">
      <w:pPr>
        <w:keepNext w:val="0"/>
        <w:keepLines w:val="0"/>
        <w:pageBreakBefore w:val="0"/>
        <w:numPr>
          <w:ilvl w:val="0"/>
          <w:numId w:val="0"/>
        </w:numPr>
        <w:wordWrap/>
        <w:overflowPunct/>
        <w:topLinePunct w:val="0"/>
        <w:bidi w:val="0"/>
        <w:adjustRightInd w:val="0"/>
        <w:snapToGrid w:val="0"/>
        <w:spacing w:before="120" w:line="240" w:lineRule="auto"/>
        <w:ind w:right="238" w:rightChars="0" w:firstLine="0" w:firstLineChars="0"/>
        <w:jc w:val="right"/>
        <w:rPr>
          <w:rFonts w:hint="eastAsia"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color w:val="auto"/>
          <w:spacing w:val="8"/>
          <w:sz w:val="24"/>
          <w:szCs w:val="24"/>
          <w:highlight w:val="none"/>
          <w:lang w:val="en-US" w:eastAsia="zh-CN"/>
        </w:rPr>
        <w:t xml:space="preserve"> 日   期：****年**月**日</w:t>
      </w:r>
    </w:p>
    <w:bookmarkEnd w:id="598"/>
    <w:bookmarkEnd w:id="599"/>
    <w:bookmarkEnd w:id="600"/>
    <w:bookmarkEnd w:id="601"/>
    <w:bookmarkEnd w:id="602"/>
    <w:p w14:paraId="2FD6BCE2">
      <w:pPr>
        <w:jc w:val="right"/>
        <w:rPr>
          <w:rFonts w:hint="eastAsia" w:ascii="仿宋" w:hAnsi="仿宋" w:eastAsia="仿宋" w:cs="仿宋"/>
          <w:b/>
          <w:bCs w:val="0"/>
          <w:color w:val="auto"/>
          <w:sz w:val="40"/>
          <w:szCs w:val="40"/>
          <w:highlight w:val="none"/>
          <w:shd w:val="clear" w:color="auto" w:fill="auto"/>
          <w:lang w:val="en-US" w:eastAsia="zh-CN"/>
        </w:rPr>
        <w:sectPr>
          <w:footerReference r:id="rId7" w:type="default"/>
          <w:pgSz w:w="11906" w:h="16838"/>
          <w:pgMar w:top="1327" w:right="1080" w:bottom="1270" w:left="1080" w:header="964" w:footer="567" w:gutter="0"/>
          <w:pgBorders>
            <w:top w:val="none" w:sz="0" w:space="0"/>
            <w:left w:val="none" w:sz="0" w:space="0"/>
            <w:bottom w:val="none" w:sz="0" w:space="0"/>
            <w:right w:val="none" w:sz="0" w:space="0"/>
          </w:pgBorders>
          <w:pgNumType w:fmt="decimal" w:start="1"/>
          <w:cols w:space="720" w:num="1"/>
          <w:docGrid w:type="lines" w:linePitch="293" w:charSpace="0"/>
        </w:sectPr>
      </w:pPr>
    </w:p>
    <w:tbl>
      <w:tblPr>
        <w:tblStyle w:val="17"/>
        <w:tblW w:w="9460" w:type="dxa"/>
        <w:tblInd w:w="-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3"/>
        <w:gridCol w:w="629"/>
        <w:gridCol w:w="1134"/>
        <w:gridCol w:w="1082"/>
        <w:gridCol w:w="551"/>
        <w:gridCol w:w="816"/>
        <w:gridCol w:w="740"/>
        <w:gridCol w:w="750"/>
        <w:gridCol w:w="609"/>
        <w:gridCol w:w="503"/>
        <w:gridCol w:w="793"/>
        <w:gridCol w:w="764"/>
        <w:gridCol w:w="636"/>
      </w:tblGrid>
      <w:tr w14:paraId="6D6EC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4" w:hRule="atLeast"/>
        </w:trPr>
        <w:tc>
          <w:tcPr>
            <w:tcW w:w="9460" w:type="dxa"/>
            <w:gridSpan w:val="13"/>
            <w:tcBorders>
              <w:top w:val="nil"/>
              <w:left w:val="nil"/>
              <w:bottom w:val="nil"/>
              <w:right w:val="nil"/>
            </w:tcBorders>
            <w:noWrap/>
            <w:vAlign w:val="center"/>
          </w:tcPr>
          <w:p w14:paraId="0366C709">
            <w:pPr>
              <w:keepNext w:val="0"/>
              <w:keepLines w:val="0"/>
              <w:widowControl/>
              <w:suppressLineNumbers w:val="0"/>
              <w:jc w:val="right"/>
              <w:textAlignment w:val="center"/>
              <w:rPr>
                <w:rFonts w:hint="eastAsia" w:ascii="宋体" w:hAnsi="宋体" w:eastAsia="宋体" w:cs="宋体"/>
                <w:i w:val="0"/>
                <w:iCs w:val="0"/>
                <w:color w:val="auto"/>
                <w:kern w:val="0"/>
                <w:sz w:val="32"/>
                <w:szCs w:val="32"/>
                <w:highlight w:val="none"/>
                <w:u w:val="none"/>
                <w:lang w:val="en-US" w:eastAsia="zh-CN" w:bidi="ar"/>
              </w:rPr>
            </w:pPr>
            <w:r>
              <w:rPr>
                <w:rFonts w:hint="eastAsia" w:ascii="宋体" w:hAnsi="宋体" w:cs="宋体"/>
                <w:i w:val="0"/>
                <w:iCs w:val="0"/>
                <w:color w:val="auto"/>
                <w:kern w:val="0"/>
                <w:sz w:val="32"/>
                <w:szCs w:val="32"/>
                <w:highlight w:val="none"/>
                <w:u w:val="none"/>
                <w:lang w:val="en-US" w:eastAsia="zh-CN" w:bidi="ar"/>
              </w:rPr>
              <w:t>（样表）</w:t>
            </w:r>
          </w:p>
          <w:p w14:paraId="27457C0B">
            <w:pPr>
              <w:keepNext w:val="0"/>
              <w:keepLines w:val="0"/>
              <w:widowControl/>
              <w:suppressLineNumbers w:val="0"/>
              <w:jc w:val="center"/>
              <w:textAlignment w:val="center"/>
              <w:rPr>
                <w:rFonts w:hint="eastAsia" w:ascii="宋体" w:hAnsi="宋体" w:eastAsia="宋体" w:cs="宋体"/>
                <w:i w:val="0"/>
                <w:iCs w:val="0"/>
                <w:color w:val="auto"/>
                <w:sz w:val="36"/>
                <w:szCs w:val="36"/>
                <w:highlight w:val="none"/>
                <w:u w:val="none"/>
              </w:rPr>
            </w:pPr>
            <w:r>
              <w:rPr>
                <w:rFonts w:hint="eastAsia" w:ascii="宋体" w:hAnsi="宋体" w:eastAsia="宋体" w:cs="宋体"/>
                <w:i w:val="0"/>
                <w:iCs w:val="0"/>
                <w:color w:val="auto"/>
                <w:kern w:val="0"/>
                <w:sz w:val="36"/>
                <w:szCs w:val="36"/>
                <w:highlight w:val="none"/>
                <w:u w:val="none"/>
                <w:lang w:val="en-US" w:eastAsia="zh-CN" w:bidi="ar"/>
              </w:rPr>
              <w:t>建筑工人工资表（    年  月份）</w:t>
            </w:r>
          </w:p>
        </w:tc>
      </w:tr>
      <w:tr w14:paraId="36E07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65" w:type="dxa"/>
            <w:gridSpan w:val="6"/>
            <w:tcBorders>
              <w:top w:val="nil"/>
              <w:left w:val="nil"/>
              <w:bottom w:val="nil"/>
              <w:right w:val="nil"/>
            </w:tcBorders>
            <w:noWrap/>
            <w:vAlign w:val="center"/>
          </w:tcPr>
          <w:p w14:paraId="6C0ECB47">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项目名称：</w:t>
            </w:r>
          </w:p>
        </w:tc>
        <w:tc>
          <w:tcPr>
            <w:tcW w:w="4795" w:type="dxa"/>
            <w:gridSpan w:val="7"/>
            <w:tcBorders>
              <w:top w:val="nil"/>
              <w:left w:val="nil"/>
              <w:bottom w:val="nil"/>
              <w:right w:val="nil"/>
            </w:tcBorders>
            <w:noWrap/>
            <w:vAlign w:val="center"/>
          </w:tcPr>
          <w:p w14:paraId="1CF635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班组：</w:t>
            </w:r>
          </w:p>
        </w:tc>
      </w:tr>
      <w:tr w14:paraId="7A35F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3CD1D8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3BA01A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姓名</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9413C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身份证号码</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32B2B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银行卡账号</w:t>
            </w:r>
          </w:p>
        </w:tc>
        <w:tc>
          <w:tcPr>
            <w:tcW w:w="551" w:type="dxa"/>
            <w:tcBorders>
              <w:top w:val="single" w:color="000000" w:sz="4" w:space="0"/>
              <w:left w:val="single" w:color="000000" w:sz="4" w:space="0"/>
              <w:bottom w:val="single" w:color="000000" w:sz="4" w:space="0"/>
              <w:right w:val="single" w:color="000000" w:sz="4" w:space="0"/>
            </w:tcBorders>
            <w:noWrap w:val="0"/>
            <w:vAlign w:val="center"/>
          </w:tcPr>
          <w:p w14:paraId="2C83E7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本月工资</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231C0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上月结余工资（元）</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6C4FAC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加班工资（元）</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9560F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本月借支工资（元）</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119560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扣除项目名称</w:t>
            </w:r>
          </w:p>
        </w:tc>
        <w:tc>
          <w:tcPr>
            <w:tcW w:w="503" w:type="dxa"/>
            <w:tcBorders>
              <w:top w:val="single" w:color="000000" w:sz="4" w:space="0"/>
              <w:left w:val="single" w:color="000000" w:sz="4" w:space="0"/>
              <w:bottom w:val="single" w:color="000000" w:sz="4" w:space="0"/>
              <w:right w:val="single" w:color="000000" w:sz="4" w:space="0"/>
            </w:tcBorders>
            <w:noWrap w:val="0"/>
            <w:vAlign w:val="center"/>
          </w:tcPr>
          <w:p w14:paraId="63D9BA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金额（元）</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14:paraId="2985E6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累计应付工资（元）</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2AFA7D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本月实发工资（元）</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14:paraId="78839B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签名</w:t>
            </w:r>
          </w:p>
        </w:tc>
      </w:tr>
      <w:tr w14:paraId="312C5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245CA0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5FA28F63">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61EF058">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E77B4AF">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70A211B">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289503C8">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53C717F">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CDEAF5D">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743ECFC8">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72A23B00">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1EA4891F">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02CDA7D7">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01129FD">
            <w:pPr>
              <w:jc w:val="center"/>
              <w:rPr>
                <w:rFonts w:hint="eastAsia" w:ascii="宋体" w:hAnsi="宋体" w:eastAsia="宋体" w:cs="宋体"/>
                <w:i w:val="0"/>
                <w:iCs w:val="0"/>
                <w:color w:val="auto"/>
                <w:sz w:val="20"/>
                <w:szCs w:val="20"/>
                <w:highlight w:val="none"/>
                <w:u w:val="none"/>
              </w:rPr>
            </w:pPr>
          </w:p>
        </w:tc>
      </w:tr>
      <w:tr w14:paraId="50301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75E50F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46A5A444">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F6BF51A">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04C260C">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EDBF8C2">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6857C008">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5D5C9983">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CAAE715">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2D4EE630">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42BE429F">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1960BAAE">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0D63532A">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66B73E3">
            <w:pPr>
              <w:jc w:val="center"/>
              <w:rPr>
                <w:rFonts w:hint="eastAsia" w:ascii="宋体" w:hAnsi="宋体" w:eastAsia="宋体" w:cs="宋体"/>
                <w:i w:val="0"/>
                <w:iCs w:val="0"/>
                <w:color w:val="auto"/>
                <w:sz w:val="20"/>
                <w:szCs w:val="20"/>
                <w:highlight w:val="none"/>
                <w:u w:val="none"/>
              </w:rPr>
            </w:pPr>
          </w:p>
        </w:tc>
      </w:tr>
      <w:tr w14:paraId="31D6C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0FB132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036ABEFA">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B8AB78C">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75F742E">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2393CDD">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39DA2967">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6B221556">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589AC63">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53C04FE3">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43B66CFE">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49324B54">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62CF8D97">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F9AA0D8">
            <w:pPr>
              <w:jc w:val="center"/>
              <w:rPr>
                <w:rFonts w:hint="eastAsia" w:ascii="宋体" w:hAnsi="宋体" w:eastAsia="宋体" w:cs="宋体"/>
                <w:i w:val="0"/>
                <w:iCs w:val="0"/>
                <w:color w:val="auto"/>
                <w:sz w:val="20"/>
                <w:szCs w:val="20"/>
                <w:highlight w:val="none"/>
                <w:u w:val="none"/>
              </w:rPr>
            </w:pPr>
          </w:p>
        </w:tc>
      </w:tr>
      <w:tr w14:paraId="1043B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12DEC3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7F79FF9A">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721816E">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B61B046">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59A9EA1">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7B3C6220">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697A4F0">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1A5C58A">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18C443FA">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4FB93C87">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46B407C4">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14D19618">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66E6155">
            <w:pPr>
              <w:jc w:val="center"/>
              <w:rPr>
                <w:rFonts w:hint="eastAsia" w:ascii="宋体" w:hAnsi="宋体" w:eastAsia="宋体" w:cs="宋体"/>
                <w:i w:val="0"/>
                <w:iCs w:val="0"/>
                <w:color w:val="auto"/>
                <w:sz w:val="20"/>
                <w:szCs w:val="20"/>
                <w:highlight w:val="none"/>
                <w:u w:val="none"/>
              </w:rPr>
            </w:pPr>
          </w:p>
        </w:tc>
      </w:tr>
      <w:tr w14:paraId="36E8D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44A216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6AE2AE69">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6065EDE">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4861754">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C0B8444">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2B0CDF52">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A740111">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8B858F7">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26F3B32C">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1DFAAC8C">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0E62F321">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416CFB8E">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724C95D">
            <w:pPr>
              <w:jc w:val="center"/>
              <w:rPr>
                <w:rFonts w:hint="eastAsia" w:ascii="宋体" w:hAnsi="宋体" w:eastAsia="宋体" w:cs="宋体"/>
                <w:i w:val="0"/>
                <w:iCs w:val="0"/>
                <w:color w:val="auto"/>
                <w:sz w:val="20"/>
                <w:szCs w:val="20"/>
                <w:highlight w:val="none"/>
                <w:u w:val="none"/>
              </w:rPr>
            </w:pPr>
          </w:p>
        </w:tc>
      </w:tr>
      <w:tr w14:paraId="1A248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6C9146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3346A811">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273D513">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970C408">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CA0E31D">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75B54F93">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8420AB0">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4F1C4A1">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13E25D73">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26EC4F80">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42A78CDD">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32493CC6">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B4880F7">
            <w:pPr>
              <w:jc w:val="center"/>
              <w:rPr>
                <w:rFonts w:hint="eastAsia" w:ascii="宋体" w:hAnsi="宋体" w:eastAsia="宋体" w:cs="宋体"/>
                <w:i w:val="0"/>
                <w:iCs w:val="0"/>
                <w:color w:val="auto"/>
                <w:sz w:val="20"/>
                <w:szCs w:val="20"/>
                <w:highlight w:val="none"/>
                <w:u w:val="none"/>
              </w:rPr>
            </w:pPr>
          </w:p>
        </w:tc>
      </w:tr>
      <w:tr w14:paraId="574B5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37C56A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7128F69A">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A1C085D">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181E42D">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D4D8943">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483CC5EC">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522F6DE7">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42270C6">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61E6E347">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4AC802AD">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1FE9E16F">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63C53F54">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736EC2D">
            <w:pPr>
              <w:jc w:val="center"/>
              <w:rPr>
                <w:rFonts w:hint="eastAsia" w:ascii="宋体" w:hAnsi="宋体" w:eastAsia="宋体" w:cs="宋体"/>
                <w:i w:val="0"/>
                <w:iCs w:val="0"/>
                <w:color w:val="auto"/>
                <w:sz w:val="20"/>
                <w:szCs w:val="20"/>
                <w:highlight w:val="none"/>
                <w:u w:val="none"/>
              </w:rPr>
            </w:pPr>
          </w:p>
        </w:tc>
      </w:tr>
      <w:tr w14:paraId="08992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4BA0E0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42D894B4">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1E67BC8">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850E28A">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8CA2EA4">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74D4E314">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2CEC656">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F3C6BAB">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5C4C39F8">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16FE4B9F">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145833B6">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46B1F5BB">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C70F152">
            <w:pPr>
              <w:jc w:val="center"/>
              <w:rPr>
                <w:rFonts w:hint="eastAsia" w:ascii="宋体" w:hAnsi="宋体" w:eastAsia="宋体" w:cs="宋体"/>
                <w:i w:val="0"/>
                <w:iCs w:val="0"/>
                <w:color w:val="auto"/>
                <w:sz w:val="20"/>
                <w:szCs w:val="20"/>
                <w:highlight w:val="none"/>
                <w:u w:val="none"/>
              </w:rPr>
            </w:pPr>
          </w:p>
        </w:tc>
      </w:tr>
      <w:tr w14:paraId="0966B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655F74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3FB360B9">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6FFA452">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402D14C">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388C323">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170DF3F3">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F7DA655">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E31F94E">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30B080A7">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18ACE154">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3D29FCF1">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70F76BAC">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108BF5F">
            <w:pPr>
              <w:jc w:val="center"/>
              <w:rPr>
                <w:rFonts w:hint="eastAsia" w:ascii="宋体" w:hAnsi="宋体" w:eastAsia="宋体" w:cs="宋体"/>
                <w:i w:val="0"/>
                <w:iCs w:val="0"/>
                <w:color w:val="auto"/>
                <w:sz w:val="20"/>
                <w:szCs w:val="20"/>
                <w:highlight w:val="none"/>
                <w:u w:val="none"/>
              </w:rPr>
            </w:pPr>
          </w:p>
        </w:tc>
      </w:tr>
      <w:tr w14:paraId="32529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2C8757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417EC0E6">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C15166D">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F32080B">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B7E7D7F">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4EE207B0">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55557657">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1AC2B10">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726598CE">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15804D8D">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7FF48CAD">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2102331A">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9ABFAED">
            <w:pPr>
              <w:jc w:val="center"/>
              <w:rPr>
                <w:rFonts w:hint="eastAsia" w:ascii="宋体" w:hAnsi="宋体" w:eastAsia="宋体" w:cs="宋体"/>
                <w:i w:val="0"/>
                <w:iCs w:val="0"/>
                <w:color w:val="auto"/>
                <w:sz w:val="20"/>
                <w:szCs w:val="20"/>
                <w:highlight w:val="none"/>
                <w:u w:val="none"/>
              </w:rPr>
            </w:pPr>
          </w:p>
        </w:tc>
      </w:tr>
      <w:tr w14:paraId="329E8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3F9A5E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78B22840">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67CBFDE">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BF3CA28">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52E8C70">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022258E9">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1290DC4F">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EA95522">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144C74AB">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4A347572">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76448F1B">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75F54931">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3426EC2">
            <w:pPr>
              <w:jc w:val="center"/>
              <w:rPr>
                <w:rFonts w:hint="eastAsia" w:ascii="宋体" w:hAnsi="宋体" w:eastAsia="宋体" w:cs="宋体"/>
                <w:i w:val="0"/>
                <w:iCs w:val="0"/>
                <w:color w:val="auto"/>
                <w:sz w:val="20"/>
                <w:szCs w:val="20"/>
                <w:highlight w:val="none"/>
                <w:u w:val="none"/>
              </w:rPr>
            </w:pPr>
          </w:p>
        </w:tc>
      </w:tr>
      <w:tr w14:paraId="32D1A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0E6EBA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3A6B235F">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4FC6FA5">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DE48ECD">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768F6FC">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5E581853">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01471C13">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0461495">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59DDB7F8">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24D06790">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29A71E9C">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1DF26553">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4958669">
            <w:pPr>
              <w:jc w:val="center"/>
              <w:rPr>
                <w:rFonts w:hint="eastAsia" w:ascii="宋体" w:hAnsi="宋体" w:eastAsia="宋体" w:cs="宋体"/>
                <w:i w:val="0"/>
                <w:iCs w:val="0"/>
                <w:color w:val="auto"/>
                <w:sz w:val="20"/>
                <w:szCs w:val="20"/>
                <w:highlight w:val="none"/>
                <w:u w:val="none"/>
              </w:rPr>
            </w:pPr>
          </w:p>
        </w:tc>
      </w:tr>
      <w:tr w14:paraId="249E4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6C52A5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5455390B">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204E086">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43CEC17">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09DBCC1">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0AD2A20F">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AA43313">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832E097">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277EBF09">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775A038D">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5272C88C">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000B7DB5">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02FD9FD">
            <w:pPr>
              <w:jc w:val="center"/>
              <w:rPr>
                <w:rFonts w:hint="eastAsia" w:ascii="宋体" w:hAnsi="宋体" w:eastAsia="宋体" w:cs="宋体"/>
                <w:i w:val="0"/>
                <w:iCs w:val="0"/>
                <w:color w:val="auto"/>
                <w:sz w:val="20"/>
                <w:szCs w:val="20"/>
                <w:highlight w:val="none"/>
                <w:u w:val="none"/>
              </w:rPr>
            </w:pPr>
          </w:p>
        </w:tc>
      </w:tr>
      <w:tr w14:paraId="3A1F1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2939A7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0090A101">
            <w:pPr>
              <w:jc w:val="center"/>
              <w:rPr>
                <w:rFonts w:hint="eastAsia" w:ascii="宋体" w:hAnsi="宋体" w:eastAsia="宋体" w:cs="宋体"/>
                <w:i w:val="0"/>
                <w:iCs w:val="0"/>
                <w:color w:val="auto"/>
                <w:sz w:val="20"/>
                <w:szCs w:val="20"/>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5D5678D">
            <w:pPr>
              <w:jc w:val="center"/>
              <w:rPr>
                <w:rFonts w:hint="eastAsia" w:ascii="宋体" w:hAnsi="宋体" w:eastAsia="宋体" w:cs="宋体"/>
                <w:i w:val="0"/>
                <w:iCs w:val="0"/>
                <w:color w:val="auto"/>
                <w:sz w:val="20"/>
                <w:szCs w:val="20"/>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653F6FD">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3603E4C4">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26FF0D6B">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295604B3">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AB7E049">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0E35311D">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24617E09">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28F18888">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6D08F808">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D02FFBA">
            <w:pPr>
              <w:jc w:val="center"/>
              <w:rPr>
                <w:rFonts w:hint="eastAsia" w:ascii="宋体" w:hAnsi="宋体" w:eastAsia="宋体" w:cs="宋体"/>
                <w:i w:val="0"/>
                <w:iCs w:val="0"/>
                <w:color w:val="auto"/>
                <w:sz w:val="20"/>
                <w:szCs w:val="20"/>
                <w:highlight w:val="none"/>
                <w:u w:val="none"/>
              </w:rPr>
            </w:pPr>
          </w:p>
        </w:tc>
      </w:tr>
      <w:tr w14:paraId="099DA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9460" w:type="dxa"/>
            <w:gridSpan w:val="13"/>
            <w:tcBorders>
              <w:top w:val="single" w:color="000000" w:sz="4" w:space="0"/>
              <w:left w:val="single" w:color="000000" w:sz="4" w:space="0"/>
              <w:bottom w:val="single" w:color="000000" w:sz="4" w:space="0"/>
              <w:right w:val="single" w:color="000000" w:sz="4" w:space="0"/>
            </w:tcBorders>
            <w:noWrap w:val="0"/>
            <w:vAlign w:val="center"/>
          </w:tcPr>
          <w:p w14:paraId="6009BFA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备注：本人对本次工资表所列工资的签名为确认本人当期在本项目的所有工资数额，工资经该项目总包工人工资专户转账支付至本人账户后，视同本人在本项目的当期工资已全部结清。</w:t>
            </w:r>
          </w:p>
        </w:tc>
      </w:tr>
      <w:tr w14:paraId="18759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2216" w:type="dxa"/>
            <w:gridSpan w:val="3"/>
            <w:tcBorders>
              <w:top w:val="nil"/>
              <w:left w:val="nil"/>
              <w:bottom w:val="nil"/>
              <w:right w:val="nil"/>
            </w:tcBorders>
            <w:noWrap/>
            <w:vAlign w:val="center"/>
          </w:tcPr>
          <w:p w14:paraId="5022634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制表：</w:t>
            </w:r>
          </w:p>
        </w:tc>
        <w:tc>
          <w:tcPr>
            <w:tcW w:w="1082" w:type="dxa"/>
            <w:tcBorders>
              <w:top w:val="nil"/>
              <w:left w:val="nil"/>
              <w:bottom w:val="nil"/>
              <w:right w:val="nil"/>
            </w:tcBorders>
            <w:noWrap/>
            <w:vAlign w:val="center"/>
          </w:tcPr>
          <w:p w14:paraId="6F420F6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班组长： </w:t>
            </w:r>
          </w:p>
        </w:tc>
        <w:tc>
          <w:tcPr>
            <w:tcW w:w="551" w:type="dxa"/>
            <w:tcBorders>
              <w:top w:val="nil"/>
              <w:left w:val="nil"/>
              <w:bottom w:val="nil"/>
              <w:right w:val="nil"/>
            </w:tcBorders>
            <w:noWrap/>
            <w:vAlign w:val="center"/>
          </w:tcPr>
          <w:p w14:paraId="7B138D0F">
            <w:pPr>
              <w:rPr>
                <w:rFonts w:hint="eastAsia" w:ascii="宋体" w:hAnsi="宋体" w:eastAsia="宋体" w:cs="宋体"/>
                <w:i w:val="0"/>
                <w:iCs w:val="0"/>
                <w:color w:val="auto"/>
                <w:sz w:val="22"/>
                <w:szCs w:val="22"/>
                <w:highlight w:val="none"/>
                <w:u w:val="none"/>
              </w:rPr>
            </w:pPr>
          </w:p>
        </w:tc>
        <w:tc>
          <w:tcPr>
            <w:tcW w:w="816" w:type="dxa"/>
            <w:tcBorders>
              <w:top w:val="nil"/>
              <w:left w:val="nil"/>
              <w:bottom w:val="nil"/>
              <w:right w:val="nil"/>
            </w:tcBorders>
            <w:noWrap/>
            <w:vAlign w:val="center"/>
          </w:tcPr>
          <w:p w14:paraId="00E410CB">
            <w:pPr>
              <w:rPr>
                <w:rFonts w:hint="eastAsia" w:ascii="宋体" w:hAnsi="宋体" w:eastAsia="宋体" w:cs="宋体"/>
                <w:i w:val="0"/>
                <w:iCs w:val="0"/>
                <w:color w:val="auto"/>
                <w:sz w:val="22"/>
                <w:szCs w:val="22"/>
                <w:highlight w:val="none"/>
                <w:u w:val="none"/>
              </w:rPr>
            </w:pPr>
          </w:p>
        </w:tc>
        <w:tc>
          <w:tcPr>
            <w:tcW w:w="2099" w:type="dxa"/>
            <w:gridSpan w:val="3"/>
            <w:tcBorders>
              <w:top w:val="nil"/>
              <w:left w:val="nil"/>
              <w:bottom w:val="nil"/>
              <w:right w:val="nil"/>
            </w:tcBorders>
            <w:noWrap/>
            <w:vAlign w:val="center"/>
          </w:tcPr>
          <w:p w14:paraId="47DAF48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项目负责人：</w:t>
            </w:r>
          </w:p>
        </w:tc>
        <w:tc>
          <w:tcPr>
            <w:tcW w:w="503" w:type="dxa"/>
            <w:tcBorders>
              <w:top w:val="nil"/>
              <w:left w:val="nil"/>
              <w:bottom w:val="nil"/>
              <w:right w:val="nil"/>
            </w:tcBorders>
            <w:noWrap/>
            <w:vAlign w:val="center"/>
          </w:tcPr>
          <w:p w14:paraId="2037AA9C">
            <w:pPr>
              <w:rPr>
                <w:rFonts w:hint="eastAsia" w:ascii="宋体" w:hAnsi="宋体" w:eastAsia="宋体" w:cs="宋体"/>
                <w:i w:val="0"/>
                <w:iCs w:val="0"/>
                <w:color w:val="auto"/>
                <w:sz w:val="22"/>
                <w:szCs w:val="22"/>
                <w:highlight w:val="none"/>
                <w:u w:val="none"/>
              </w:rPr>
            </w:pPr>
          </w:p>
        </w:tc>
        <w:tc>
          <w:tcPr>
            <w:tcW w:w="1557" w:type="dxa"/>
            <w:gridSpan w:val="2"/>
            <w:tcBorders>
              <w:top w:val="nil"/>
              <w:left w:val="nil"/>
              <w:bottom w:val="nil"/>
              <w:right w:val="nil"/>
            </w:tcBorders>
            <w:noWrap/>
            <w:vAlign w:val="center"/>
          </w:tcPr>
          <w:p w14:paraId="00B7CEB9">
            <w:pP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公司领导审核：</w:t>
            </w:r>
          </w:p>
        </w:tc>
        <w:tc>
          <w:tcPr>
            <w:tcW w:w="636" w:type="dxa"/>
            <w:tcBorders>
              <w:top w:val="nil"/>
              <w:left w:val="nil"/>
              <w:bottom w:val="nil"/>
              <w:right w:val="nil"/>
            </w:tcBorders>
            <w:noWrap/>
            <w:vAlign w:val="center"/>
          </w:tcPr>
          <w:p w14:paraId="448071E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w:t>
            </w:r>
          </w:p>
        </w:tc>
      </w:tr>
      <w:tr w14:paraId="34C0B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2216" w:type="dxa"/>
            <w:gridSpan w:val="3"/>
            <w:tcBorders>
              <w:top w:val="nil"/>
              <w:left w:val="nil"/>
              <w:bottom w:val="nil"/>
              <w:right w:val="nil"/>
            </w:tcBorders>
            <w:noWrap/>
            <w:vAlign w:val="center"/>
          </w:tcPr>
          <w:p w14:paraId="0AB12E09">
            <w:pPr>
              <w:jc w:val="left"/>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总包公司见证人： </w:t>
            </w:r>
          </w:p>
        </w:tc>
        <w:tc>
          <w:tcPr>
            <w:tcW w:w="1633" w:type="dxa"/>
            <w:gridSpan w:val="2"/>
            <w:tcBorders>
              <w:top w:val="nil"/>
              <w:left w:val="nil"/>
              <w:bottom w:val="nil"/>
              <w:right w:val="nil"/>
            </w:tcBorders>
            <w:noWrap/>
            <w:vAlign w:val="center"/>
          </w:tcPr>
          <w:p w14:paraId="229C8201">
            <w:pP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监理公司见证人： </w:t>
            </w:r>
          </w:p>
        </w:tc>
        <w:tc>
          <w:tcPr>
            <w:tcW w:w="816" w:type="dxa"/>
            <w:tcBorders>
              <w:top w:val="nil"/>
              <w:left w:val="nil"/>
              <w:bottom w:val="nil"/>
              <w:right w:val="nil"/>
            </w:tcBorders>
            <w:noWrap/>
            <w:vAlign w:val="center"/>
          </w:tcPr>
          <w:p w14:paraId="1AACEF30">
            <w:pPr>
              <w:rPr>
                <w:rFonts w:hint="eastAsia" w:ascii="宋体" w:hAnsi="宋体" w:eastAsia="宋体" w:cs="宋体"/>
                <w:i w:val="0"/>
                <w:iCs w:val="0"/>
                <w:color w:val="auto"/>
                <w:sz w:val="22"/>
                <w:szCs w:val="22"/>
                <w:highlight w:val="none"/>
                <w:u w:val="none"/>
              </w:rPr>
            </w:pPr>
          </w:p>
        </w:tc>
        <w:tc>
          <w:tcPr>
            <w:tcW w:w="740" w:type="dxa"/>
            <w:tcBorders>
              <w:top w:val="nil"/>
              <w:left w:val="nil"/>
              <w:bottom w:val="nil"/>
              <w:right w:val="nil"/>
            </w:tcBorders>
            <w:noWrap/>
            <w:vAlign w:val="center"/>
          </w:tcPr>
          <w:p w14:paraId="088E8421">
            <w:pPr>
              <w:rPr>
                <w:rFonts w:hint="eastAsia" w:ascii="宋体" w:hAnsi="宋体" w:eastAsia="宋体" w:cs="宋体"/>
                <w:i w:val="0"/>
                <w:iCs w:val="0"/>
                <w:color w:val="auto"/>
                <w:sz w:val="22"/>
                <w:szCs w:val="22"/>
                <w:highlight w:val="none"/>
                <w:u w:val="none"/>
              </w:rPr>
            </w:pPr>
          </w:p>
        </w:tc>
        <w:tc>
          <w:tcPr>
            <w:tcW w:w="750" w:type="dxa"/>
            <w:tcBorders>
              <w:top w:val="nil"/>
              <w:left w:val="nil"/>
              <w:bottom w:val="nil"/>
              <w:right w:val="nil"/>
            </w:tcBorders>
            <w:noWrap/>
            <w:vAlign w:val="center"/>
          </w:tcPr>
          <w:p w14:paraId="2ABF1E37">
            <w:pPr>
              <w:rPr>
                <w:rFonts w:hint="eastAsia" w:ascii="宋体" w:hAnsi="宋体" w:eastAsia="宋体" w:cs="宋体"/>
                <w:i w:val="0"/>
                <w:iCs w:val="0"/>
                <w:color w:val="auto"/>
                <w:sz w:val="22"/>
                <w:szCs w:val="22"/>
                <w:highlight w:val="none"/>
                <w:u w:val="none"/>
              </w:rPr>
            </w:pPr>
          </w:p>
        </w:tc>
        <w:tc>
          <w:tcPr>
            <w:tcW w:w="609" w:type="dxa"/>
            <w:tcBorders>
              <w:top w:val="nil"/>
              <w:left w:val="nil"/>
              <w:bottom w:val="nil"/>
              <w:right w:val="nil"/>
            </w:tcBorders>
            <w:noWrap/>
            <w:vAlign w:val="center"/>
          </w:tcPr>
          <w:p w14:paraId="542CB0FB">
            <w:pPr>
              <w:rPr>
                <w:rFonts w:hint="eastAsia" w:ascii="宋体" w:hAnsi="宋体" w:eastAsia="宋体" w:cs="宋体"/>
                <w:i w:val="0"/>
                <w:iCs w:val="0"/>
                <w:color w:val="auto"/>
                <w:sz w:val="22"/>
                <w:szCs w:val="22"/>
                <w:highlight w:val="none"/>
                <w:u w:val="none"/>
              </w:rPr>
            </w:pPr>
          </w:p>
        </w:tc>
        <w:tc>
          <w:tcPr>
            <w:tcW w:w="503" w:type="dxa"/>
            <w:tcBorders>
              <w:top w:val="nil"/>
              <w:left w:val="nil"/>
              <w:bottom w:val="nil"/>
              <w:right w:val="nil"/>
            </w:tcBorders>
            <w:noWrap/>
            <w:vAlign w:val="center"/>
          </w:tcPr>
          <w:p w14:paraId="14FA1DBB">
            <w:pPr>
              <w:rPr>
                <w:rFonts w:hint="eastAsia" w:ascii="宋体" w:hAnsi="宋体" w:eastAsia="宋体" w:cs="宋体"/>
                <w:i w:val="0"/>
                <w:iCs w:val="0"/>
                <w:color w:val="auto"/>
                <w:sz w:val="22"/>
                <w:szCs w:val="22"/>
                <w:highlight w:val="none"/>
                <w:u w:val="none"/>
              </w:rPr>
            </w:pPr>
          </w:p>
        </w:tc>
        <w:tc>
          <w:tcPr>
            <w:tcW w:w="793" w:type="dxa"/>
            <w:tcBorders>
              <w:top w:val="nil"/>
              <w:left w:val="nil"/>
              <w:bottom w:val="nil"/>
              <w:right w:val="nil"/>
            </w:tcBorders>
            <w:noWrap/>
            <w:vAlign w:val="center"/>
          </w:tcPr>
          <w:p w14:paraId="7973B38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投诉电话：</w:t>
            </w:r>
          </w:p>
        </w:tc>
        <w:tc>
          <w:tcPr>
            <w:tcW w:w="1400" w:type="dxa"/>
            <w:gridSpan w:val="2"/>
            <w:tcBorders>
              <w:top w:val="nil"/>
              <w:left w:val="nil"/>
              <w:bottom w:val="nil"/>
              <w:right w:val="nil"/>
            </w:tcBorders>
            <w:noWrap/>
            <w:vAlign w:val="center"/>
          </w:tcPr>
          <w:p w14:paraId="7C08000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w:t>
            </w:r>
          </w:p>
        </w:tc>
      </w:tr>
    </w:tbl>
    <w:p w14:paraId="43ECA53D">
      <w:pPr>
        <w:rPr>
          <w:highlight w:val="none"/>
        </w:rPr>
      </w:pPr>
    </w:p>
    <w:p w14:paraId="0BFCEFEE">
      <w:pPr>
        <w:pStyle w:val="16"/>
        <w:rPr>
          <w:highlight w:val="none"/>
        </w:rPr>
      </w:pPr>
    </w:p>
    <w:p w14:paraId="31BF60EA">
      <w:pPr>
        <w:pStyle w:val="16"/>
        <w:rPr>
          <w:highlight w:val="none"/>
        </w:rPr>
      </w:pPr>
    </w:p>
    <w:p w14:paraId="209549F9">
      <w:pPr>
        <w:pStyle w:val="16"/>
        <w:rPr>
          <w:highlight w:val="none"/>
        </w:rPr>
      </w:pPr>
    </w:p>
    <w:p w14:paraId="3A7ADAF4">
      <w:pPr>
        <w:pStyle w:val="16"/>
        <w:rPr>
          <w:highlight w:val="none"/>
        </w:rPr>
      </w:pPr>
    </w:p>
    <w:p w14:paraId="50A52695">
      <w:pPr>
        <w:pStyle w:val="16"/>
        <w:rPr>
          <w:highlight w:val="none"/>
        </w:rPr>
      </w:pPr>
    </w:p>
    <w:p w14:paraId="29FAB0B1">
      <w:pPr>
        <w:pStyle w:val="16"/>
        <w:rPr>
          <w:highlight w:val="none"/>
        </w:rPr>
      </w:pPr>
    </w:p>
    <w:p w14:paraId="6B2FF482">
      <w:pPr>
        <w:pStyle w:val="16"/>
        <w:rPr>
          <w:highlight w:val="none"/>
        </w:rPr>
      </w:pPr>
    </w:p>
    <w:p w14:paraId="7FA11AA6">
      <w:pPr>
        <w:keepNext w:val="0"/>
        <w:keepLines w:val="0"/>
        <w:pageBreakBefore w:val="0"/>
        <w:shd w:val="clear" w:color="auto" w:fill="auto"/>
        <w:overflowPunct/>
        <w:topLinePunct w:val="0"/>
        <w:bidi w:val="0"/>
        <w:snapToGrid w:val="0"/>
        <w:spacing w:line="360" w:lineRule="auto"/>
        <w:jc w:val="right"/>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附件十</w:t>
      </w:r>
    </w:p>
    <w:p w14:paraId="113AEF8D">
      <w:pPr>
        <w:pStyle w:val="16"/>
        <w:rPr>
          <w:highlight w:val="none"/>
        </w:rPr>
      </w:pPr>
    </w:p>
    <w:p w14:paraId="5385B63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承诺书</w:t>
      </w:r>
    </w:p>
    <w:p w14:paraId="50877DA1">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致：</w:t>
      </w:r>
      <w:r>
        <w:rPr>
          <w:rFonts w:hint="eastAsia" w:ascii="仿宋" w:hAnsi="仿宋" w:eastAsia="仿宋" w:cs="仿宋"/>
          <w:color w:val="auto"/>
          <w:sz w:val="28"/>
          <w:szCs w:val="28"/>
          <w:highlight w:val="none"/>
          <w:u w:val="single"/>
          <w:lang w:val="en-US" w:eastAsia="zh-CN"/>
        </w:rPr>
        <w:t>XXXXXXXXXXXX</w:t>
      </w:r>
      <w:r>
        <w:rPr>
          <w:rFonts w:hint="eastAsia" w:ascii="仿宋" w:hAnsi="仿宋" w:eastAsia="仿宋" w:cs="仿宋"/>
          <w:b w:val="0"/>
          <w:bCs w:val="0"/>
          <w:color w:val="auto"/>
          <w:sz w:val="28"/>
          <w:szCs w:val="28"/>
          <w:highlight w:val="none"/>
          <w:lang w:val="en-US" w:eastAsia="zh-CN"/>
        </w:rPr>
        <w:t>公司（分包单位）</w:t>
      </w:r>
    </w:p>
    <w:p w14:paraId="5D4621D7">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东莞市中泰建安工程有限公司</w:t>
      </w:r>
    </w:p>
    <w:p w14:paraId="5CCD15C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本人</w:t>
      </w:r>
      <w:r>
        <w:rPr>
          <w:rFonts w:hint="eastAsia" w:ascii="仿宋" w:hAnsi="仿宋" w:eastAsia="仿宋" w:cs="仿宋"/>
          <w:color w:val="auto"/>
          <w:sz w:val="28"/>
          <w:szCs w:val="28"/>
          <w:highlight w:val="none"/>
          <w:u w:val="single"/>
          <w:lang w:val="en-US" w:eastAsia="zh-CN"/>
        </w:rPr>
        <w:t>XXX</w:t>
      </w:r>
      <w:r>
        <w:rPr>
          <w:rFonts w:hint="eastAsia" w:ascii="仿宋" w:hAnsi="仿宋" w:eastAsia="仿宋" w:cs="仿宋"/>
          <w:color w:val="auto"/>
          <w:sz w:val="28"/>
          <w:szCs w:val="28"/>
          <w:highlight w:val="none"/>
        </w:rPr>
        <w:t>(姓名)</w:t>
      </w:r>
      <w:r>
        <w:rPr>
          <w:rFonts w:hint="eastAsia" w:ascii="仿宋" w:hAnsi="仿宋" w:eastAsia="仿宋" w:cs="仿宋"/>
          <w:color w:val="auto"/>
          <w:sz w:val="28"/>
          <w:szCs w:val="28"/>
          <w:highlight w:val="none"/>
          <w:lang w:val="en-US" w:eastAsia="zh-CN"/>
        </w:rPr>
        <w:t>,身份证号：</w:t>
      </w:r>
      <w:r>
        <w:rPr>
          <w:rFonts w:hint="eastAsia" w:ascii="仿宋" w:hAnsi="仿宋" w:eastAsia="仿宋" w:cs="仿宋"/>
          <w:color w:val="auto"/>
          <w:sz w:val="28"/>
          <w:szCs w:val="28"/>
          <w:highlight w:val="none"/>
          <w:u w:val="single"/>
          <w:lang w:val="en-US" w:eastAsia="zh-CN"/>
        </w:rPr>
        <w:t>XXXXXXXXXXXXXXXXXX</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本人是</w:t>
      </w:r>
      <w:r>
        <w:rPr>
          <w:rFonts w:hint="eastAsia" w:ascii="仿宋" w:hAnsi="仿宋" w:eastAsia="仿宋" w:cs="仿宋"/>
          <w:color w:val="auto"/>
          <w:sz w:val="28"/>
          <w:szCs w:val="28"/>
          <w:highlight w:val="none"/>
          <w:u w:val="single"/>
          <w:lang w:val="en-US" w:eastAsia="zh-CN"/>
        </w:rPr>
        <w:t>XXXXXXXXXXXX</w:t>
      </w:r>
      <w:r>
        <w:rPr>
          <w:rFonts w:hint="eastAsia" w:ascii="仿宋" w:hAnsi="仿宋" w:eastAsia="仿宋" w:cs="仿宋"/>
          <w:b w:val="0"/>
          <w:bCs w:val="0"/>
          <w:color w:val="auto"/>
          <w:sz w:val="28"/>
          <w:szCs w:val="28"/>
          <w:highlight w:val="none"/>
          <w:lang w:val="en-US" w:eastAsia="zh-CN"/>
        </w:rPr>
        <w:t>公司的员工，</w:t>
      </w:r>
      <w:r>
        <w:rPr>
          <w:rFonts w:hint="eastAsia" w:ascii="仿宋" w:hAnsi="仿宋" w:eastAsia="仿宋" w:cs="仿宋"/>
          <w:color w:val="auto"/>
          <w:sz w:val="28"/>
          <w:szCs w:val="28"/>
          <w:highlight w:val="none"/>
        </w:rPr>
        <w:t>于</w:t>
      </w:r>
      <w:r>
        <w:rPr>
          <w:rFonts w:hint="eastAsia" w:ascii="仿宋" w:hAnsi="仿宋" w:eastAsia="仿宋" w:cs="仿宋"/>
          <w:color w:val="auto"/>
          <w:sz w:val="28"/>
          <w:szCs w:val="28"/>
          <w:highlight w:val="none"/>
          <w:u w:val="none"/>
          <w:lang w:val="en-US" w:eastAsia="zh-CN"/>
        </w:rPr>
        <w:t>XXXX</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X</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X</w:t>
      </w:r>
      <w:r>
        <w:rPr>
          <w:rFonts w:hint="eastAsia" w:ascii="仿宋" w:hAnsi="仿宋" w:eastAsia="仿宋" w:cs="仿宋"/>
          <w:color w:val="auto"/>
          <w:sz w:val="28"/>
          <w:szCs w:val="28"/>
          <w:highlight w:val="none"/>
        </w:rPr>
        <w:t>日至</w:t>
      </w:r>
      <w:r>
        <w:rPr>
          <w:rFonts w:hint="eastAsia" w:ascii="仿宋" w:hAnsi="仿宋" w:eastAsia="仿宋" w:cs="仿宋"/>
          <w:color w:val="auto"/>
          <w:sz w:val="28"/>
          <w:szCs w:val="28"/>
          <w:highlight w:val="none"/>
          <w:lang w:val="en-US" w:eastAsia="zh-CN"/>
        </w:rPr>
        <w:t>XXXX</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X</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X</w:t>
      </w:r>
      <w:r>
        <w:rPr>
          <w:rFonts w:hint="eastAsia" w:ascii="仿宋" w:hAnsi="仿宋" w:eastAsia="仿宋" w:cs="仿宋"/>
          <w:color w:val="auto"/>
          <w:sz w:val="28"/>
          <w:szCs w:val="28"/>
          <w:highlight w:val="none"/>
        </w:rPr>
        <w:t>日期间</w:t>
      </w:r>
      <w:r>
        <w:rPr>
          <w:rFonts w:hint="eastAsia" w:ascii="仿宋" w:hAnsi="仿宋" w:eastAsia="仿宋" w:cs="仿宋"/>
          <w:color w:val="auto"/>
          <w:sz w:val="28"/>
          <w:szCs w:val="28"/>
          <w:highlight w:val="none"/>
          <w:lang w:val="en-US" w:eastAsia="zh-CN"/>
        </w:rPr>
        <w:t>被</w:t>
      </w:r>
      <w:r>
        <w:rPr>
          <w:rFonts w:hint="eastAsia" w:ascii="仿宋" w:hAnsi="仿宋" w:eastAsia="仿宋" w:cs="仿宋"/>
          <w:color w:val="auto"/>
          <w:sz w:val="28"/>
          <w:szCs w:val="28"/>
          <w:highlight w:val="none"/>
          <w:u w:val="single"/>
          <w:lang w:val="en-US" w:eastAsia="zh-CN"/>
        </w:rPr>
        <w:t>XXXXXXXXXXXX</w:t>
      </w:r>
      <w:r>
        <w:rPr>
          <w:rFonts w:hint="eastAsia" w:ascii="仿宋" w:hAnsi="仿宋" w:eastAsia="仿宋" w:cs="仿宋"/>
          <w:b w:val="0"/>
          <w:bCs w:val="0"/>
          <w:color w:val="auto"/>
          <w:sz w:val="28"/>
          <w:szCs w:val="28"/>
          <w:highlight w:val="none"/>
          <w:lang w:val="en-US" w:eastAsia="zh-CN"/>
        </w:rPr>
        <w:t>公司安排</w:t>
      </w: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lang w:val="en-US" w:eastAsia="zh-CN"/>
        </w:rPr>
        <w:t>总包单位为</w:t>
      </w:r>
      <w:r>
        <w:rPr>
          <w:rFonts w:hint="eastAsia" w:ascii="仿宋" w:hAnsi="仿宋" w:eastAsia="仿宋" w:cs="仿宋"/>
          <w:b w:val="0"/>
          <w:bCs w:val="0"/>
          <w:color w:val="auto"/>
          <w:sz w:val="28"/>
          <w:szCs w:val="28"/>
          <w:highlight w:val="none"/>
          <w:lang w:val="en-US" w:eastAsia="zh-CN"/>
        </w:rPr>
        <w:t>东莞市中泰建安工程有限公司的</w:t>
      </w:r>
      <w:r>
        <w:rPr>
          <w:rFonts w:hint="eastAsia" w:ascii="仿宋" w:hAnsi="仿宋" w:eastAsia="仿宋" w:cs="仿宋"/>
          <w:color w:val="auto"/>
          <w:sz w:val="28"/>
          <w:szCs w:val="28"/>
          <w:highlight w:val="none"/>
          <w:u w:val="single"/>
          <w:lang w:val="en-US" w:eastAsia="zh-CN"/>
        </w:rPr>
        <w:t>XXXXXX</w:t>
      </w:r>
      <w:r>
        <w:rPr>
          <w:rFonts w:hint="eastAsia" w:ascii="仿宋" w:hAnsi="仿宋" w:eastAsia="仿宋" w:cs="仿宋"/>
          <w:color w:val="auto"/>
          <w:sz w:val="28"/>
          <w:szCs w:val="28"/>
          <w:highlight w:val="none"/>
        </w:rPr>
        <w:t>项目</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以下简称：本项目</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务工，</w:t>
      </w:r>
      <w:r>
        <w:rPr>
          <w:rFonts w:hint="eastAsia" w:ascii="仿宋" w:hAnsi="仿宋" w:eastAsia="仿宋" w:cs="仿宋"/>
          <w:color w:val="auto"/>
          <w:sz w:val="28"/>
          <w:szCs w:val="28"/>
          <w:highlight w:val="none"/>
          <w:lang w:val="en-US" w:eastAsia="zh-CN"/>
        </w:rPr>
        <w:t>从事XX工种作业，本人在本项目累计</w:t>
      </w:r>
      <w:r>
        <w:rPr>
          <w:rFonts w:hint="eastAsia" w:ascii="仿宋" w:hAnsi="仿宋" w:eastAsia="仿宋" w:cs="仿宋"/>
          <w:color w:val="auto"/>
          <w:sz w:val="28"/>
          <w:szCs w:val="28"/>
          <w:highlight w:val="none"/>
        </w:rPr>
        <w:t>工资共</w:t>
      </w:r>
      <w:r>
        <w:rPr>
          <w:rFonts w:hint="eastAsia" w:ascii="仿宋" w:hAnsi="仿宋" w:eastAsia="仿宋" w:cs="仿宋"/>
          <w:color w:val="auto"/>
          <w:sz w:val="28"/>
          <w:szCs w:val="28"/>
          <w:highlight w:val="none"/>
          <w:lang w:val="en-US" w:eastAsia="zh-CN"/>
        </w:rPr>
        <w:t>XXX</w:t>
      </w:r>
      <w:r>
        <w:rPr>
          <w:rFonts w:hint="eastAsia" w:ascii="仿宋" w:hAnsi="仿宋" w:eastAsia="仿宋" w:cs="仿宋"/>
          <w:color w:val="auto"/>
          <w:sz w:val="28"/>
          <w:szCs w:val="28"/>
          <w:highlight w:val="none"/>
        </w:rPr>
        <w:t>元</w:t>
      </w:r>
      <w:r>
        <w:rPr>
          <w:rFonts w:hint="eastAsia" w:ascii="仿宋" w:hAnsi="仿宋" w:eastAsia="仿宋" w:cs="仿宋"/>
          <w:color w:val="auto"/>
          <w:sz w:val="28"/>
          <w:szCs w:val="28"/>
          <w:highlight w:val="none"/>
          <w:lang w:val="en-US" w:eastAsia="zh-CN"/>
        </w:rPr>
        <w:t>人民币</w:t>
      </w:r>
      <w:r>
        <w:rPr>
          <w:rFonts w:hint="eastAsia" w:ascii="仿宋" w:hAnsi="仿宋" w:eastAsia="仿宋" w:cs="仿宋"/>
          <w:color w:val="auto"/>
          <w:sz w:val="28"/>
          <w:szCs w:val="28"/>
          <w:highlight w:val="none"/>
        </w:rPr>
        <w:t>，现已</w:t>
      </w:r>
      <w:r>
        <w:rPr>
          <w:rFonts w:hint="eastAsia" w:ascii="仿宋" w:hAnsi="仿宋" w:eastAsia="仿宋" w:cs="仿宋"/>
          <w:color w:val="auto"/>
          <w:sz w:val="28"/>
          <w:szCs w:val="28"/>
          <w:highlight w:val="none"/>
          <w:lang w:val="en-US" w:eastAsia="zh-CN"/>
        </w:rPr>
        <w:t>收到工资XXX</w:t>
      </w:r>
      <w:r>
        <w:rPr>
          <w:rFonts w:hint="eastAsia" w:ascii="仿宋" w:hAnsi="仿宋" w:eastAsia="仿宋" w:cs="仿宋"/>
          <w:color w:val="auto"/>
          <w:sz w:val="28"/>
          <w:szCs w:val="28"/>
          <w:highlight w:val="none"/>
        </w:rPr>
        <w:t>元</w:t>
      </w:r>
      <w:r>
        <w:rPr>
          <w:rFonts w:hint="eastAsia" w:ascii="仿宋" w:hAnsi="仿宋" w:eastAsia="仿宋" w:cs="仿宋"/>
          <w:color w:val="auto"/>
          <w:sz w:val="28"/>
          <w:szCs w:val="28"/>
          <w:highlight w:val="none"/>
          <w:lang w:val="en-US" w:eastAsia="zh-CN"/>
        </w:rPr>
        <w:t>人民币</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剩余</w:t>
      </w:r>
      <w:r>
        <w:rPr>
          <w:rFonts w:hint="eastAsia" w:ascii="仿宋" w:hAnsi="仿宋" w:eastAsia="仿宋" w:cs="仿宋"/>
          <w:color w:val="auto"/>
          <w:sz w:val="28"/>
          <w:szCs w:val="28"/>
          <w:highlight w:val="none"/>
          <w:lang w:val="en-US" w:eastAsia="zh-CN"/>
        </w:rPr>
        <w:t>工资XXX</w:t>
      </w:r>
      <w:r>
        <w:rPr>
          <w:rFonts w:hint="eastAsia" w:ascii="仿宋" w:hAnsi="仿宋" w:eastAsia="仿宋" w:cs="仿宋"/>
          <w:color w:val="auto"/>
          <w:sz w:val="28"/>
          <w:szCs w:val="28"/>
          <w:highlight w:val="none"/>
        </w:rPr>
        <w:t>元未支付</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详见工资表等证据资料共X页</w:t>
      </w:r>
      <w:r>
        <w:rPr>
          <w:rFonts w:hint="eastAsia" w:ascii="仿宋" w:hAnsi="仿宋" w:eastAsia="仿宋" w:cs="仿宋"/>
          <w:color w:val="auto"/>
          <w:sz w:val="28"/>
          <w:szCs w:val="28"/>
          <w:highlight w:val="none"/>
          <w:lang w:eastAsia="zh-CN"/>
        </w:rPr>
        <w:t>。</w:t>
      </w:r>
    </w:p>
    <w:p w14:paraId="0A757CB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现</w:t>
      </w:r>
      <w:r>
        <w:rPr>
          <w:rFonts w:hint="eastAsia" w:ascii="仿宋" w:hAnsi="仿宋" w:eastAsia="仿宋" w:cs="仿宋"/>
          <w:color w:val="auto"/>
          <w:sz w:val="28"/>
          <w:szCs w:val="28"/>
          <w:highlight w:val="none"/>
          <w:lang w:val="en-US" w:eastAsia="zh-CN"/>
        </w:rPr>
        <w:t>本人</w:t>
      </w:r>
      <w:r>
        <w:rPr>
          <w:rFonts w:hint="eastAsia" w:ascii="仿宋" w:hAnsi="仿宋" w:eastAsia="仿宋" w:cs="仿宋"/>
          <w:color w:val="auto"/>
          <w:sz w:val="28"/>
          <w:szCs w:val="28"/>
          <w:highlight w:val="none"/>
        </w:rPr>
        <w:t>承诺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待</w:t>
      </w:r>
      <w:r>
        <w:rPr>
          <w:rFonts w:hint="eastAsia" w:ascii="仿宋" w:hAnsi="仿宋" w:eastAsia="仿宋" w:cs="仿宋"/>
          <w:color w:val="auto"/>
          <w:sz w:val="28"/>
          <w:szCs w:val="28"/>
          <w:highlight w:val="none"/>
          <w:u w:val="single"/>
          <w:lang w:val="en-US" w:eastAsia="zh-CN"/>
        </w:rPr>
        <w:t>XXXXXXXXXXXX</w:t>
      </w:r>
      <w:r>
        <w:rPr>
          <w:rFonts w:hint="eastAsia" w:ascii="仿宋" w:hAnsi="仿宋" w:eastAsia="仿宋" w:cs="仿宋"/>
          <w:b w:val="0"/>
          <w:bCs w:val="0"/>
          <w:color w:val="auto"/>
          <w:sz w:val="28"/>
          <w:szCs w:val="28"/>
          <w:highlight w:val="none"/>
          <w:lang w:val="en-US" w:eastAsia="zh-CN"/>
        </w:rPr>
        <w:t>公司（分包单位）</w:t>
      </w:r>
      <w:r>
        <w:rPr>
          <w:rFonts w:hint="eastAsia" w:ascii="仿宋" w:hAnsi="仿宋" w:eastAsia="仿宋" w:cs="仿宋"/>
          <w:color w:val="auto"/>
          <w:sz w:val="28"/>
          <w:szCs w:val="28"/>
          <w:highlight w:val="none"/>
          <w:lang w:val="en-US" w:eastAsia="zh-CN"/>
        </w:rPr>
        <w:t>或</w:t>
      </w:r>
      <w:r>
        <w:rPr>
          <w:rFonts w:hint="eastAsia" w:ascii="仿宋" w:hAnsi="仿宋" w:eastAsia="仿宋" w:cs="仿宋"/>
          <w:b w:val="0"/>
          <w:bCs w:val="0"/>
          <w:color w:val="auto"/>
          <w:sz w:val="28"/>
          <w:szCs w:val="28"/>
          <w:highlight w:val="none"/>
          <w:lang w:val="en-US" w:eastAsia="zh-CN"/>
        </w:rPr>
        <w:t>东莞市中泰建安工程有限公司</w:t>
      </w:r>
      <w:r>
        <w:rPr>
          <w:rFonts w:hint="eastAsia" w:ascii="仿宋" w:hAnsi="仿宋" w:eastAsia="仿宋" w:cs="仿宋"/>
          <w:color w:val="auto"/>
          <w:sz w:val="28"/>
          <w:szCs w:val="28"/>
          <w:highlight w:val="none"/>
          <w:lang w:val="en-US" w:eastAsia="zh-CN"/>
        </w:rPr>
        <w:t>将本人在本项目</w:t>
      </w:r>
      <w:r>
        <w:rPr>
          <w:rFonts w:hint="eastAsia" w:ascii="仿宋" w:hAnsi="仿宋" w:eastAsia="仿宋" w:cs="仿宋"/>
          <w:color w:val="auto"/>
          <w:sz w:val="28"/>
          <w:szCs w:val="28"/>
          <w:highlight w:val="none"/>
        </w:rPr>
        <w:t>所有剩余工资</w:t>
      </w:r>
      <w:r>
        <w:rPr>
          <w:rFonts w:hint="eastAsia" w:ascii="仿宋" w:hAnsi="仿宋" w:eastAsia="仿宋" w:cs="仿宋"/>
          <w:color w:val="auto"/>
          <w:sz w:val="28"/>
          <w:szCs w:val="28"/>
          <w:highlight w:val="none"/>
          <w:lang w:val="en-US" w:eastAsia="zh-CN"/>
        </w:rPr>
        <w:t>汇</w:t>
      </w:r>
      <w:r>
        <w:rPr>
          <w:rFonts w:hint="eastAsia" w:ascii="仿宋" w:hAnsi="仿宋" w:eastAsia="仿宋" w:cs="仿宋"/>
          <w:color w:val="auto"/>
          <w:sz w:val="28"/>
          <w:szCs w:val="28"/>
          <w:highlight w:val="none"/>
        </w:rPr>
        <w:t>入</w:t>
      </w:r>
      <w:r>
        <w:rPr>
          <w:rFonts w:hint="eastAsia" w:ascii="仿宋" w:hAnsi="仿宋" w:eastAsia="仿宋" w:cs="仿宋"/>
          <w:color w:val="auto"/>
          <w:sz w:val="28"/>
          <w:szCs w:val="28"/>
          <w:highlight w:val="none"/>
          <w:lang w:val="en-US" w:eastAsia="zh-CN"/>
        </w:rPr>
        <w:t>本人指定收款账户</w:t>
      </w:r>
      <w:r>
        <w:rPr>
          <w:rFonts w:hint="eastAsia" w:ascii="仿宋" w:hAnsi="仿宋" w:eastAsia="仿宋" w:cs="仿宋"/>
          <w:color w:val="auto"/>
          <w:sz w:val="28"/>
          <w:szCs w:val="28"/>
          <w:highlight w:val="none"/>
        </w:rPr>
        <w:t>后，本人</w:t>
      </w:r>
      <w:r>
        <w:rPr>
          <w:rFonts w:hint="eastAsia" w:ascii="仿宋" w:hAnsi="仿宋" w:eastAsia="仿宋" w:cs="仿宋"/>
          <w:color w:val="auto"/>
          <w:sz w:val="28"/>
          <w:szCs w:val="28"/>
          <w:highlight w:val="none"/>
          <w:lang w:val="en-US" w:eastAsia="zh-CN"/>
        </w:rPr>
        <w:t>在本项目</w:t>
      </w:r>
      <w:r>
        <w:rPr>
          <w:rFonts w:hint="eastAsia" w:ascii="仿宋" w:hAnsi="仿宋" w:eastAsia="仿宋" w:cs="仿宋"/>
          <w:color w:val="auto"/>
          <w:sz w:val="28"/>
          <w:szCs w:val="28"/>
          <w:highlight w:val="none"/>
        </w:rPr>
        <w:t>工资</w:t>
      </w:r>
      <w:r>
        <w:rPr>
          <w:rFonts w:hint="eastAsia" w:ascii="仿宋" w:hAnsi="仿宋" w:eastAsia="仿宋" w:cs="仿宋"/>
          <w:color w:val="auto"/>
          <w:sz w:val="28"/>
          <w:szCs w:val="28"/>
          <w:highlight w:val="none"/>
          <w:lang w:val="en-US" w:eastAsia="zh-CN"/>
        </w:rPr>
        <w:t>即</w:t>
      </w:r>
      <w:r>
        <w:rPr>
          <w:rFonts w:hint="eastAsia" w:ascii="仿宋" w:hAnsi="仿宋" w:eastAsia="仿宋" w:cs="仿宋"/>
          <w:color w:val="auto"/>
          <w:sz w:val="28"/>
          <w:szCs w:val="28"/>
          <w:highlight w:val="none"/>
        </w:rPr>
        <w:t>全部结清。若后期再次</w:t>
      </w:r>
      <w:r>
        <w:rPr>
          <w:rFonts w:hint="eastAsia" w:ascii="仿宋" w:hAnsi="仿宋" w:eastAsia="仿宋" w:cs="仿宋"/>
          <w:color w:val="auto"/>
          <w:sz w:val="28"/>
          <w:szCs w:val="28"/>
          <w:highlight w:val="none"/>
          <w:lang w:val="en-US" w:eastAsia="zh-CN"/>
        </w:rPr>
        <w:t>以本项目为由</w:t>
      </w:r>
      <w:r>
        <w:rPr>
          <w:rFonts w:hint="eastAsia" w:ascii="仿宋" w:hAnsi="仿宋" w:eastAsia="仿宋" w:cs="仿宋"/>
          <w:color w:val="auto"/>
          <w:sz w:val="28"/>
          <w:szCs w:val="28"/>
          <w:highlight w:val="none"/>
        </w:rPr>
        <w:t>索要工资，均可视为恶意讨薪行为，我本人愿意为此承担一切法律责任和经济后果</w:t>
      </w:r>
      <w:r>
        <w:rPr>
          <w:rFonts w:hint="eastAsia" w:ascii="仿宋" w:hAnsi="仿宋" w:eastAsia="仿宋" w:cs="仿宋"/>
          <w:color w:val="auto"/>
          <w:sz w:val="28"/>
          <w:szCs w:val="28"/>
          <w:highlight w:val="none"/>
          <w:lang w:eastAsia="zh-CN"/>
        </w:rPr>
        <w:t>。</w:t>
      </w:r>
    </w:p>
    <w:p w14:paraId="3E83603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本人指定收款账户信息如下</w:t>
      </w:r>
      <w:r>
        <w:rPr>
          <w:rFonts w:hint="eastAsia" w:ascii="仿宋" w:hAnsi="仿宋" w:eastAsia="仿宋" w:cs="仿宋"/>
          <w:color w:val="auto"/>
          <w:sz w:val="28"/>
          <w:szCs w:val="28"/>
          <w:highlight w:val="none"/>
        </w:rPr>
        <w:t>:</w:t>
      </w:r>
    </w:p>
    <w:p w14:paraId="2772433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lang w:val="en-US" w:eastAsia="zh-CN"/>
        </w:rPr>
        <w:t>银行名称：</w:t>
      </w:r>
      <w:r>
        <w:rPr>
          <w:rFonts w:hint="eastAsia" w:ascii="仿宋" w:hAnsi="仿宋" w:eastAsia="仿宋" w:cs="仿宋"/>
          <w:color w:val="auto"/>
          <w:sz w:val="28"/>
          <w:szCs w:val="28"/>
          <w:highlight w:val="none"/>
          <w:u w:val="none"/>
          <w:lang w:val="en-US" w:eastAsia="zh-CN"/>
        </w:rPr>
        <w:t>XX银行XX支行</w:t>
      </w:r>
    </w:p>
    <w:p w14:paraId="5EDCDB5A">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账    号：XXXXXX</w:t>
      </w:r>
    </w:p>
    <w:p w14:paraId="5BE2C1A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户    名：XXX</w:t>
      </w:r>
    </w:p>
    <w:p w14:paraId="357D4D69">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特此承诺。</w:t>
      </w:r>
    </w:p>
    <w:p w14:paraId="56F54338">
      <w:pPr>
        <w:keepNext w:val="0"/>
        <w:keepLines w:val="0"/>
        <w:pageBreakBefore w:val="0"/>
        <w:widowControl w:val="0"/>
        <w:kinsoku/>
        <w:wordWrap/>
        <w:overflowPunct/>
        <w:topLinePunct w:val="0"/>
        <w:autoSpaceDE/>
        <w:autoSpaceDN/>
        <w:bidi w:val="0"/>
        <w:adjustRightInd/>
        <w:snapToGrid/>
        <w:spacing w:line="600" w:lineRule="exact"/>
        <w:ind w:firstLine="5880" w:firstLineChars="2100"/>
        <w:textAlignment w:val="auto"/>
        <w:rPr>
          <w:rFonts w:hint="eastAsia" w:ascii="仿宋" w:hAnsi="仿宋" w:eastAsia="仿宋" w:cs="仿宋"/>
          <w:color w:val="auto"/>
          <w:sz w:val="28"/>
          <w:szCs w:val="28"/>
          <w:highlight w:val="none"/>
        </w:rPr>
      </w:pPr>
    </w:p>
    <w:p w14:paraId="497A77F2">
      <w:pPr>
        <w:keepNext w:val="0"/>
        <w:keepLines w:val="0"/>
        <w:pageBreakBefore w:val="0"/>
        <w:widowControl w:val="0"/>
        <w:kinsoku/>
        <w:wordWrap/>
        <w:overflowPunct/>
        <w:topLinePunct w:val="0"/>
        <w:autoSpaceDE/>
        <w:autoSpaceDN/>
        <w:bidi w:val="0"/>
        <w:adjustRightInd/>
        <w:snapToGrid/>
        <w:spacing w:line="600" w:lineRule="exact"/>
        <w:ind w:firstLine="4760" w:firstLineChars="17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rPr>
        <w:t>承诺人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签名按指纹）</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none"/>
          <w:lang w:val="en-US" w:eastAsia="zh-CN"/>
        </w:rPr>
        <w:t>XXX</w:t>
      </w:r>
    </w:p>
    <w:p w14:paraId="01046C33">
      <w:pPr>
        <w:ind w:firstLine="4760" w:firstLineChars="17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none"/>
          <w:lang w:val="en-US" w:eastAsia="zh-CN"/>
        </w:rPr>
        <w:t>日 期：XXXX</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X月X</w:t>
      </w:r>
      <w:r>
        <w:rPr>
          <w:rFonts w:hint="eastAsia" w:ascii="仿宋" w:hAnsi="仿宋" w:eastAsia="仿宋" w:cs="仿宋"/>
          <w:color w:val="auto"/>
          <w:sz w:val="28"/>
          <w:szCs w:val="28"/>
          <w:highlight w:val="none"/>
        </w:rPr>
        <w:t>日</w:t>
      </w:r>
    </w:p>
    <w:p w14:paraId="3232CC33">
      <w:pPr>
        <w:pStyle w:val="16"/>
        <w:rPr>
          <w:highlight w:val="none"/>
        </w:rPr>
      </w:pPr>
    </w:p>
    <w:p w14:paraId="6076BA0D">
      <w:pPr>
        <w:keepNext w:val="0"/>
        <w:keepLines w:val="0"/>
        <w:pageBreakBefore w:val="0"/>
        <w:shd w:val="clear" w:color="auto" w:fill="auto"/>
        <w:overflowPunct/>
        <w:topLinePunct w:val="0"/>
        <w:bidi w:val="0"/>
        <w:snapToGrid w:val="0"/>
        <w:spacing w:line="360" w:lineRule="auto"/>
        <w:jc w:val="right"/>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附件十一</w:t>
      </w:r>
    </w:p>
    <w:p w14:paraId="40967940">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b/>
          <w:bCs/>
          <w:sz w:val="28"/>
          <w:szCs w:val="28"/>
          <w:highlight w:val="none"/>
          <w:lang w:val="en-US" w:eastAsia="zh-CN"/>
        </w:rPr>
      </w:pPr>
      <w:r>
        <w:rPr>
          <w:rFonts w:hint="eastAsia"/>
          <w:b/>
          <w:bCs/>
          <w:sz w:val="28"/>
          <w:szCs w:val="28"/>
          <w:highlight w:val="none"/>
          <w:lang w:val="en-US" w:eastAsia="zh-CN"/>
        </w:rPr>
        <w:t>技术工人素质承诺书</w:t>
      </w:r>
    </w:p>
    <w:p w14:paraId="0E09D32B">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b/>
          <w:bCs/>
          <w:sz w:val="24"/>
          <w:szCs w:val="24"/>
          <w:highlight w:val="none"/>
          <w:lang w:val="en-US" w:eastAsia="zh-CN"/>
        </w:rPr>
      </w:pPr>
    </w:p>
    <w:p w14:paraId="4C11CA3C">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b w:val="0"/>
          <w:bCs w:val="0"/>
          <w:sz w:val="22"/>
          <w:szCs w:val="22"/>
          <w:highlight w:val="none"/>
          <w:lang w:val="en-US" w:eastAsia="zh-CN"/>
        </w:rPr>
      </w:pPr>
      <w:r>
        <w:rPr>
          <w:rFonts w:hint="eastAsia"/>
          <w:b w:val="0"/>
          <w:bCs w:val="0"/>
          <w:sz w:val="22"/>
          <w:szCs w:val="22"/>
          <w:highlight w:val="none"/>
          <w:lang w:val="en-US" w:eastAsia="zh-CN"/>
        </w:rPr>
        <w:t>致东莞市中泰建安工程有限公司</w:t>
      </w:r>
      <w:r>
        <w:rPr>
          <w:rFonts w:hint="eastAsia" w:ascii="宋体" w:hAnsi="宋体" w:eastAsia="宋体" w:cs="宋体"/>
          <w:sz w:val="22"/>
          <w:szCs w:val="22"/>
          <w:highlight w:val="none"/>
          <w:lang w:val="en-US" w:eastAsia="zh-CN"/>
        </w:rPr>
        <w:t>（以下简称“甲方”）</w:t>
      </w:r>
      <w:r>
        <w:rPr>
          <w:rFonts w:hint="eastAsia"/>
          <w:b w:val="0"/>
          <w:bCs w:val="0"/>
          <w:sz w:val="22"/>
          <w:szCs w:val="22"/>
          <w:highlight w:val="none"/>
          <w:lang w:val="en-US" w:eastAsia="zh-CN"/>
        </w:rPr>
        <w:t>：</w:t>
      </w:r>
    </w:p>
    <w:p w14:paraId="5F9D77E2">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sz w:val="22"/>
          <w:szCs w:val="22"/>
          <w:highlight w:val="none"/>
          <w:u w:val="none"/>
          <w:lang w:val="en-US" w:eastAsia="zh-CN"/>
        </w:rPr>
      </w:pPr>
      <w:r>
        <w:rPr>
          <w:rFonts w:hint="eastAsia"/>
          <w:b w:val="0"/>
          <w:bCs w:val="0"/>
          <w:sz w:val="22"/>
          <w:szCs w:val="22"/>
          <w:highlight w:val="none"/>
          <w:lang w:val="en-US" w:eastAsia="zh-CN"/>
        </w:rPr>
        <w:t>由我司承接甲方的</w:t>
      </w:r>
      <w:r>
        <w:rPr>
          <w:rFonts w:hint="eastAsia" w:ascii="宋体" w:hAnsi="宋体" w:eastAsia="宋体" w:cs="宋体"/>
          <w:b w:val="0"/>
          <w:bCs w:val="0"/>
          <w:sz w:val="22"/>
          <w:szCs w:val="22"/>
          <w:highlight w:val="none"/>
          <w:u w:val="single"/>
        </w:rPr>
        <w:t xml:space="preserve"> </w:t>
      </w:r>
      <w:r>
        <w:rPr>
          <w:rFonts w:hint="eastAsia" w:ascii="宋体" w:hAnsi="宋体" w:cs="宋体"/>
          <w:b w:val="0"/>
          <w:bCs w:val="0"/>
          <w:sz w:val="22"/>
          <w:szCs w:val="22"/>
          <w:highlight w:val="none"/>
          <w:u w:val="single"/>
          <w:lang w:val="en-US" w:eastAsia="zh-CN"/>
        </w:rPr>
        <w:t xml:space="preserve">    </w:t>
      </w:r>
      <w:r>
        <w:rPr>
          <w:rFonts w:hint="eastAsia" w:ascii="宋体" w:hAnsi="宋体" w:eastAsia="宋体" w:cs="宋体"/>
          <w:sz w:val="22"/>
          <w:szCs w:val="22"/>
          <w:highlight w:val="none"/>
          <w:u w:val="single"/>
        </w:rPr>
        <w:t>（项目名称</w:t>
      </w:r>
      <w:r>
        <w:rPr>
          <w:rFonts w:hint="eastAsia" w:ascii="宋体" w:hAnsi="宋体" w:eastAsia="宋体" w:cs="宋体"/>
          <w:sz w:val="22"/>
          <w:szCs w:val="22"/>
          <w:highlight w:val="none"/>
          <w:u w:val="single"/>
          <w:lang w:eastAsia="zh-CN"/>
        </w:rPr>
        <w:t>）</w:t>
      </w:r>
      <w:r>
        <w:rPr>
          <w:rFonts w:hint="eastAsia" w:ascii="宋体" w:hAnsi="宋体" w:cs="宋体"/>
          <w:sz w:val="22"/>
          <w:szCs w:val="22"/>
          <w:highlight w:val="none"/>
          <w:u w:val="single"/>
          <w:lang w:val="en-US" w:eastAsia="zh-CN"/>
        </w:rPr>
        <w:t xml:space="preserve"> </w:t>
      </w:r>
      <w:r>
        <w:rPr>
          <w:rFonts w:hint="eastAsia" w:ascii="宋体" w:hAnsi="宋体" w:cs="宋体"/>
          <w:sz w:val="22"/>
          <w:szCs w:val="22"/>
          <w:highlight w:val="none"/>
          <w:u w:val="none"/>
          <w:lang w:eastAsia="zh-CN"/>
        </w:rPr>
        <w:t>（</w:t>
      </w:r>
      <w:r>
        <w:rPr>
          <w:rFonts w:hint="eastAsia" w:ascii="宋体" w:hAnsi="宋体" w:cs="宋体"/>
          <w:sz w:val="22"/>
          <w:szCs w:val="22"/>
          <w:highlight w:val="none"/>
          <w:u w:val="none"/>
          <w:lang w:val="en-US" w:eastAsia="zh-CN"/>
        </w:rPr>
        <w:t>以下简称“本项目”</w:t>
      </w:r>
      <w:r>
        <w:rPr>
          <w:rFonts w:hint="eastAsia" w:ascii="宋体" w:hAnsi="宋体" w:cs="宋体"/>
          <w:sz w:val="22"/>
          <w:szCs w:val="22"/>
          <w:highlight w:val="none"/>
          <w:u w:val="none"/>
          <w:lang w:eastAsia="zh-CN"/>
        </w:rPr>
        <w:t>）</w:t>
      </w:r>
      <w:r>
        <w:rPr>
          <w:rFonts w:hint="eastAsia" w:ascii="宋体" w:hAnsi="宋体" w:cs="宋体"/>
          <w:sz w:val="22"/>
          <w:szCs w:val="22"/>
          <w:highlight w:val="none"/>
          <w:u w:val="single"/>
          <w:lang w:val="en-US" w:eastAsia="zh-CN"/>
        </w:rPr>
        <w:t xml:space="preserve">      </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u w:val="single"/>
        </w:rPr>
        <w:t>（</w:t>
      </w:r>
      <w:r>
        <w:rPr>
          <w:rFonts w:hint="eastAsia" w:ascii="宋体" w:hAnsi="宋体" w:eastAsia="宋体" w:cs="宋体"/>
          <w:color w:val="auto"/>
          <w:sz w:val="22"/>
          <w:szCs w:val="22"/>
          <w:highlight w:val="none"/>
          <w:u w:val="single"/>
          <w:lang w:eastAsia="zh-CN"/>
        </w:rPr>
        <w:t>分项工程</w:t>
      </w:r>
      <w:r>
        <w:rPr>
          <w:rFonts w:hint="eastAsia" w:ascii="宋体" w:hAnsi="宋体" w:eastAsia="宋体" w:cs="宋体"/>
          <w:color w:val="auto"/>
          <w:sz w:val="22"/>
          <w:szCs w:val="22"/>
          <w:highlight w:val="none"/>
          <w:u w:val="single"/>
        </w:rPr>
        <w:t>名称）</w:t>
      </w:r>
      <w:r>
        <w:rPr>
          <w:rFonts w:hint="eastAsia" w:ascii="宋体" w:hAnsi="宋体" w:cs="宋体"/>
          <w:color w:val="auto"/>
          <w:sz w:val="22"/>
          <w:szCs w:val="22"/>
          <w:highlight w:val="none"/>
          <w:lang w:eastAsia="zh-CN"/>
        </w:rPr>
        <w:t>涉及</w:t>
      </w:r>
      <w:r>
        <w:rPr>
          <w:rFonts w:hint="eastAsia" w:ascii="宋体" w:hAnsi="宋体" w:cs="宋体"/>
          <w:sz w:val="22"/>
          <w:szCs w:val="22"/>
          <w:highlight w:val="none"/>
          <w:u w:val="single"/>
          <w:lang w:val="en-US" w:eastAsia="zh-CN"/>
        </w:rPr>
        <w:t xml:space="preserve">      </w:t>
      </w:r>
      <w:r>
        <w:rPr>
          <w:rFonts w:hint="eastAsia" w:ascii="宋体" w:hAnsi="宋体" w:eastAsia="宋体" w:cs="宋体"/>
          <w:sz w:val="22"/>
          <w:szCs w:val="22"/>
          <w:highlight w:val="none"/>
          <w:u w:val="single"/>
          <w:lang w:val="en-US" w:eastAsia="zh-CN"/>
        </w:rPr>
        <w:t xml:space="preserve"> </w:t>
      </w:r>
      <w:r>
        <w:rPr>
          <w:rFonts w:hint="eastAsia" w:ascii="宋体" w:hAnsi="宋体" w:cs="宋体"/>
          <w:sz w:val="22"/>
          <w:szCs w:val="22"/>
          <w:highlight w:val="none"/>
          <w:u w:val="single"/>
          <w:lang w:val="en-US" w:eastAsia="zh-CN"/>
        </w:rPr>
        <w:t xml:space="preserve">  （工种名称）</w:t>
      </w:r>
      <w:r>
        <w:rPr>
          <w:rFonts w:hint="eastAsia" w:ascii="宋体" w:hAnsi="宋体" w:cs="宋体"/>
          <w:sz w:val="22"/>
          <w:szCs w:val="22"/>
          <w:highlight w:val="none"/>
          <w:u w:val="none"/>
          <w:lang w:val="en-US" w:eastAsia="zh-CN"/>
        </w:rPr>
        <w:t>等</w:t>
      </w:r>
      <w:r>
        <w:rPr>
          <w:rFonts w:hint="eastAsia" w:ascii="宋体" w:hAnsi="宋体" w:cs="宋体"/>
          <w:sz w:val="22"/>
          <w:szCs w:val="22"/>
          <w:highlight w:val="none"/>
          <w:u w:val="single"/>
          <w:lang w:val="en-US" w:eastAsia="zh-CN"/>
        </w:rPr>
        <w:t xml:space="preserve">    </w:t>
      </w:r>
      <w:r>
        <w:rPr>
          <w:rFonts w:hint="eastAsia" w:ascii="宋体" w:hAnsi="宋体" w:cs="宋体"/>
          <w:sz w:val="22"/>
          <w:szCs w:val="22"/>
          <w:highlight w:val="none"/>
          <w:u w:val="none"/>
          <w:lang w:val="en-US" w:eastAsia="zh-CN"/>
        </w:rPr>
        <w:t>个工种，关于每个工种工人的技术素质能力，我司在此郑重承诺：</w:t>
      </w:r>
    </w:p>
    <w:p w14:paraId="6EDE58F6">
      <w:pPr>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sz w:val="22"/>
          <w:szCs w:val="22"/>
          <w:highlight w:val="none"/>
          <w:u w:val="none"/>
          <w:lang w:val="en-US" w:eastAsia="zh-CN"/>
        </w:rPr>
      </w:pPr>
      <w:r>
        <w:rPr>
          <w:rFonts w:hint="eastAsia" w:ascii="宋体" w:hAnsi="宋体" w:cs="宋体"/>
          <w:sz w:val="22"/>
          <w:szCs w:val="22"/>
          <w:highlight w:val="none"/>
          <w:u w:val="none"/>
          <w:lang w:val="en-US" w:eastAsia="zh-CN"/>
        </w:rPr>
        <w:t>我司人员进场前须提供本项目所在地三甲医院出具的体检健康证明，否则甲方有权将无证人员驱逐出本项目。无论我司是否提供该证明，我司人员须身体健康，无妨碍从事工作的疾病和生理缺陷，符合进场及该工种的操作要求。因我司人员自身疾病或生理缺陷等原因导致的伤亡均由我司自行承担全责，甲方无需承担责任及赔偿任何费用。</w:t>
      </w:r>
    </w:p>
    <w:p w14:paraId="764DD53B">
      <w:pPr>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sz w:val="22"/>
          <w:szCs w:val="22"/>
          <w:highlight w:val="none"/>
          <w:u w:val="none"/>
          <w:lang w:val="en-US" w:eastAsia="zh-CN"/>
        </w:rPr>
      </w:pPr>
      <w:r>
        <w:rPr>
          <w:rFonts w:hint="eastAsia" w:ascii="宋体" w:hAnsi="宋体" w:cs="宋体"/>
          <w:sz w:val="22"/>
          <w:szCs w:val="22"/>
          <w:highlight w:val="none"/>
          <w:u w:val="none"/>
          <w:lang w:val="en-US" w:eastAsia="zh-CN"/>
        </w:rPr>
        <w:t>我司进场的技术工人均具备优秀的专业技术能力，熟练掌握</w:t>
      </w:r>
      <w:r>
        <w:rPr>
          <w:rFonts w:hint="eastAsia" w:ascii="宋体" w:hAnsi="宋体" w:cs="宋体"/>
          <w:sz w:val="22"/>
          <w:szCs w:val="22"/>
          <w:highlight w:val="none"/>
          <w:u w:val="single"/>
          <w:lang w:val="en-US" w:eastAsia="zh-CN"/>
        </w:rPr>
        <w:t xml:space="preserve">          </w:t>
      </w:r>
      <w:r>
        <w:rPr>
          <w:rFonts w:hint="eastAsia" w:ascii="宋体" w:hAnsi="宋体" w:eastAsia="宋体" w:cs="宋体"/>
          <w:color w:val="auto"/>
          <w:sz w:val="22"/>
          <w:szCs w:val="22"/>
          <w:highlight w:val="none"/>
          <w:lang w:eastAsia="zh-CN"/>
        </w:rPr>
        <w:t>各自工种的具体</w:t>
      </w:r>
      <w:r>
        <w:rPr>
          <w:rFonts w:hint="eastAsia" w:ascii="宋体" w:hAnsi="宋体" w:cs="宋体"/>
          <w:sz w:val="22"/>
          <w:szCs w:val="22"/>
          <w:highlight w:val="none"/>
          <w:u w:val="none"/>
          <w:lang w:val="en-US" w:eastAsia="zh-CN"/>
        </w:rPr>
        <w:t>施工工艺流程和技术要领，熟练操作、使用各自工种涉及的相关工、器具，特种作业人员（如架子工、电工）必须持证上岗。</w:t>
      </w:r>
    </w:p>
    <w:p w14:paraId="2A04FB5C">
      <w:pPr>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sz w:val="22"/>
          <w:szCs w:val="22"/>
          <w:highlight w:val="none"/>
          <w:u w:val="none"/>
          <w:lang w:val="en-US" w:eastAsia="zh-CN"/>
        </w:rPr>
      </w:pPr>
      <w:bookmarkStart w:id="603" w:name="_Toc2993"/>
      <w:r>
        <w:rPr>
          <w:rFonts w:hint="eastAsia" w:ascii="宋体" w:hAnsi="宋体" w:cs="宋体"/>
          <w:sz w:val="22"/>
          <w:szCs w:val="22"/>
          <w:highlight w:val="none"/>
          <w:u w:val="none"/>
          <w:lang w:val="en-US" w:eastAsia="zh-CN"/>
        </w:rPr>
        <w:t>我司保证满足甲方工期要求，计划配备熟练技术工人不少于</w:t>
      </w:r>
      <w:r>
        <w:rPr>
          <w:rFonts w:hint="eastAsia" w:ascii="宋体" w:hAnsi="宋体" w:cs="宋体"/>
          <w:sz w:val="22"/>
          <w:szCs w:val="22"/>
          <w:highlight w:val="none"/>
          <w:u w:val="single"/>
          <w:lang w:val="en-US" w:eastAsia="zh-CN"/>
        </w:rPr>
        <w:t xml:space="preserve">    </w:t>
      </w:r>
      <w:r>
        <w:rPr>
          <w:rFonts w:hint="eastAsia" w:ascii="宋体" w:hAnsi="宋体" w:cs="宋体"/>
          <w:sz w:val="22"/>
          <w:szCs w:val="22"/>
          <w:highlight w:val="none"/>
          <w:u w:val="none"/>
          <w:lang w:val="en-US" w:eastAsia="zh-CN"/>
        </w:rPr>
        <w:t>人（涉及多个工种时，需分别列出），并随时增加或减少我司人员以满足工程施工工期要求。如有增加人员，我司承诺必定满足前述第1、2点之条件。</w:t>
      </w:r>
      <w:bookmarkEnd w:id="603"/>
    </w:p>
    <w:p w14:paraId="1C4410D8">
      <w:pPr>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sz w:val="22"/>
          <w:szCs w:val="22"/>
          <w:highlight w:val="none"/>
          <w:u w:val="none"/>
          <w:lang w:val="en-US" w:eastAsia="zh-CN"/>
        </w:rPr>
      </w:pPr>
      <w:r>
        <w:rPr>
          <w:rFonts w:hint="eastAsia" w:ascii="宋体" w:hAnsi="宋体" w:cs="宋体"/>
          <w:sz w:val="22"/>
          <w:szCs w:val="22"/>
          <w:highlight w:val="none"/>
          <w:u w:val="none"/>
          <w:lang w:val="en-US" w:eastAsia="zh-CN"/>
        </w:rPr>
        <w:t>我司严格执行甲方的工人施工样板制度，凡进场的每个技术工人（普工除外）均须先在本项目现场做样板，样板经甲方项目部样板管理组验收通过后，相关施工专业技术人员方可留用，否则按甲方要求无条件清退专业技术不合格工人，并接受甲方3000元/人/次的扣款，同时承担不合格产品的所有责任和经济损失。样板工程验收合格后，该工人在实际施工期间未按样板标准执行或施工不达标的，我司按甲方要求更换工人，并承担相应责任且赔偿甲方所有经济损失。</w:t>
      </w:r>
    </w:p>
    <w:p w14:paraId="071A6E8E">
      <w:pPr>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sz w:val="22"/>
          <w:szCs w:val="22"/>
          <w:highlight w:val="none"/>
          <w:u w:val="none"/>
          <w:lang w:val="en-US" w:eastAsia="zh-CN"/>
        </w:rPr>
      </w:pPr>
      <w:r>
        <w:rPr>
          <w:rFonts w:hint="eastAsia" w:ascii="宋体" w:hAnsi="宋体" w:cs="宋体"/>
          <w:sz w:val="22"/>
          <w:szCs w:val="22"/>
          <w:highlight w:val="none"/>
          <w:u w:val="none"/>
          <w:lang w:val="en-US" w:eastAsia="zh-CN"/>
        </w:rPr>
        <w:t>我司人员进场前须向甲方缴纳1000元/人（仅针对技术工人，普工除外）的样板保证金，样板未通过则视为我司违约、该人员的保证金则作为违约金支付给甲方，甲方不再退还该笔保证金。所有进场技术工人退场后，剩余保证金由甲方无息支付给我司。</w:t>
      </w:r>
    </w:p>
    <w:p w14:paraId="7E823CEB">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firstLine="440" w:firstLineChars="200"/>
        <w:jc w:val="both"/>
        <w:textAlignment w:val="auto"/>
        <w:rPr>
          <w:rFonts w:hint="default" w:ascii="宋体" w:hAnsi="宋体" w:cs="宋体"/>
          <w:sz w:val="22"/>
          <w:szCs w:val="22"/>
          <w:highlight w:val="none"/>
          <w:u w:val="none"/>
          <w:lang w:val="en-US" w:eastAsia="zh-CN"/>
        </w:rPr>
      </w:pPr>
      <w:r>
        <w:rPr>
          <w:rFonts w:hint="eastAsia" w:ascii="宋体" w:hAnsi="宋体" w:cs="宋体"/>
          <w:sz w:val="22"/>
          <w:szCs w:val="22"/>
          <w:highlight w:val="none"/>
          <w:u w:val="none"/>
          <w:lang w:val="en-US" w:eastAsia="zh-CN"/>
        </w:rPr>
        <w:t>我司进场人员均须具备良好安全意识，按规定穿戴安全防护用具，严格遵守国家及甲方各项安全规则和操作规范，确保自身和他人的安全。</w:t>
      </w:r>
    </w:p>
    <w:p w14:paraId="27577659">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sz w:val="22"/>
          <w:szCs w:val="22"/>
          <w:highlight w:val="none"/>
          <w:u w:val="none"/>
          <w:lang w:val="en-US" w:eastAsia="zh-CN"/>
        </w:rPr>
      </w:pPr>
      <w:r>
        <w:rPr>
          <w:rFonts w:hint="eastAsia" w:ascii="宋体" w:hAnsi="宋体" w:cs="宋体"/>
          <w:sz w:val="22"/>
          <w:szCs w:val="22"/>
          <w:highlight w:val="none"/>
          <w:u w:val="none"/>
          <w:lang w:val="en-US" w:eastAsia="zh-CN"/>
        </w:rPr>
        <w:t>7、</w:t>
      </w:r>
      <w:r>
        <w:rPr>
          <w:rFonts w:hint="default" w:ascii="宋体" w:hAnsi="宋体" w:cs="宋体"/>
          <w:sz w:val="22"/>
          <w:szCs w:val="22"/>
          <w:highlight w:val="none"/>
          <w:u w:val="none"/>
          <w:lang w:val="en-US" w:eastAsia="zh-CN"/>
        </w:rPr>
        <w:t>特别约定：</w:t>
      </w:r>
    </w:p>
    <w:p w14:paraId="4EC8638F">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sz w:val="22"/>
          <w:szCs w:val="22"/>
          <w:highlight w:val="none"/>
          <w:u w:val="none"/>
          <w:lang w:val="en-US" w:eastAsia="zh-CN"/>
        </w:rPr>
      </w:pPr>
      <w:r>
        <w:rPr>
          <w:rFonts w:hint="default" w:ascii="宋体" w:hAnsi="宋体" w:cs="宋体"/>
          <w:sz w:val="22"/>
          <w:szCs w:val="22"/>
          <w:highlight w:val="none"/>
          <w:u w:val="none"/>
          <w:lang w:val="en-US" w:eastAsia="zh-CN"/>
        </w:rPr>
        <w:t>*******公司法定代表人 **** （身份证号： ****** ）、实际控制人**** （身份证号： ****** ）就本《技术工人素质承诺书》列明之全部公司责任后果，同意无条件向贵司承担连带清偿责任，并同意承担贵司为实现债权而产生的诉讼费、财产保全费、保全担保费、证据保全公证费、律师代理费、差旅费等费用。</w:t>
      </w:r>
    </w:p>
    <w:p w14:paraId="15826054">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sz w:val="22"/>
          <w:szCs w:val="22"/>
          <w:highlight w:val="none"/>
          <w:u w:val="none"/>
          <w:lang w:val="en-US" w:eastAsia="zh-CN"/>
        </w:rPr>
      </w:pPr>
      <w:r>
        <w:rPr>
          <w:rFonts w:hint="default" w:ascii="宋体" w:hAnsi="宋体" w:cs="宋体"/>
          <w:sz w:val="22"/>
          <w:szCs w:val="22"/>
          <w:highlight w:val="none"/>
          <w:u w:val="none"/>
          <w:lang w:val="en-US" w:eastAsia="zh-CN"/>
        </w:rPr>
        <w:t>特此承诺！</w:t>
      </w:r>
    </w:p>
    <w:p w14:paraId="7E8B3F2F">
      <w:pPr>
        <w:pStyle w:val="16"/>
        <w:keepNext w:val="0"/>
        <w:keepLines w:val="0"/>
        <w:pageBreakBefore w:val="0"/>
        <w:widowControl w:val="0"/>
        <w:tabs>
          <w:tab w:val="left" w:pos="840"/>
          <w:tab w:val="clear" w:pos="-116"/>
          <w:tab w:val="clear" w:pos="420"/>
        </w:tabs>
        <w:kinsoku/>
        <w:wordWrap/>
        <w:overflowPunct/>
        <w:topLinePunct w:val="0"/>
        <w:autoSpaceDE/>
        <w:autoSpaceDN/>
        <w:bidi w:val="0"/>
        <w:adjustRightInd/>
        <w:spacing w:line="240" w:lineRule="auto"/>
        <w:textAlignment w:val="auto"/>
        <w:rPr>
          <w:rFonts w:hint="default"/>
          <w:color w:val="auto"/>
          <w:sz w:val="22"/>
          <w:szCs w:val="22"/>
          <w:highlight w:val="none"/>
          <w:lang w:val="en-US" w:eastAsia="zh-CN"/>
        </w:rPr>
      </w:pPr>
      <w:r>
        <w:rPr>
          <w:rFonts w:hint="default"/>
          <w:color w:val="auto"/>
          <w:sz w:val="22"/>
          <w:szCs w:val="22"/>
          <w:highlight w:val="none"/>
          <w:lang w:val="en-US" w:eastAsia="zh-CN"/>
        </w:rPr>
        <w:t>【以下无正文】</w:t>
      </w:r>
    </w:p>
    <w:p w14:paraId="727F365D">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sz w:val="22"/>
          <w:szCs w:val="22"/>
          <w:highlight w:val="none"/>
          <w:u w:val="none"/>
          <w:lang w:val="en-US" w:eastAsia="zh-CN"/>
        </w:rPr>
      </w:pPr>
    </w:p>
    <w:p w14:paraId="0DD83EC8">
      <w:pPr>
        <w:pStyle w:val="16"/>
        <w:keepNext w:val="0"/>
        <w:keepLines w:val="0"/>
        <w:pageBreakBefore w:val="0"/>
        <w:widowControl w:val="0"/>
        <w:tabs>
          <w:tab w:val="left" w:pos="840"/>
          <w:tab w:val="clear" w:pos="-116"/>
          <w:tab w:val="clear" w:pos="420"/>
        </w:tabs>
        <w:kinsoku/>
        <w:wordWrap/>
        <w:overflowPunct/>
        <w:topLinePunct w:val="0"/>
        <w:autoSpaceDE/>
        <w:autoSpaceDN/>
        <w:bidi w:val="0"/>
        <w:adjustRightInd/>
        <w:spacing w:line="240" w:lineRule="auto"/>
        <w:textAlignment w:val="auto"/>
        <w:rPr>
          <w:rFonts w:hint="default"/>
          <w:sz w:val="18"/>
          <w:szCs w:val="20"/>
          <w:highlight w:val="none"/>
          <w:lang w:val="en-US" w:eastAsia="zh-CN"/>
        </w:rPr>
      </w:pPr>
    </w:p>
    <w:p w14:paraId="47E206DB">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sz w:val="22"/>
          <w:szCs w:val="22"/>
          <w:highlight w:val="none"/>
          <w:u w:val="none"/>
          <w:lang w:val="en-US" w:eastAsia="zh-CN"/>
        </w:rPr>
      </w:pPr>
      <w:r>
        <w:rPr>
          <w:rFonts w:hint="default" w:ascii="宋体" w:hAnsi="宋体" w:cs="宋体"/>
          <w:sz w:val="22"/>
          <w:szCs w:val="22"/>
          <w:highlight w:val="none"/>
          <w:u w:val="none"/>
          <w:lang w:val="en-US" w:eastAsia="zh-CN"/>
        </w:rPr>
        <w:t>附件：连带清偿责任人身份证正反面复印件</w:t>
      </w:r>
    </w:p>
    <w:p w14:paraId="3BAC584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s="宋体"/>
          <w:sz w:val="22"/>
          <w:szCs w:val="22"/>
          <w:highlight w:val="none"/>
          <w:u w:val="none"/>
          <w:lang w:val="en-US" w:eastAsia="zh-CN"/>
        </w:rPr>
      </w:pPr>
    </w:p>
    <w:p w14:paraId="55364E0F">
      <w:pPr>
        <w:keepNext w:val="0"/>
        <w:keepLines w:val="0"/>
        <w:pageBreakBefore w:val="0"/>
        <w:widowControl w:val="0"/>
        <w:kinsoku/>
        <w:wordWrap/>
        <w:overflowPunct/>
        <w:topLinePunct w:val="0"/>
        <w:autoSpaceDE/>
        <w:autoSpaceDN/>
        <w:bidi w:val="0"/>
        <w:adjustRightInd/>
        <w:snapToGrid/>
        <w:spacing w:line="240" w:lineRule="auto"/>
        <w:ind w:firstLine="4840" w:firstLineChars="2200"/>
        <w:jc w:val="both"/>
        <w:textAlignment w:val="auto"/>
        <w:rPr>
          <w:rFonts w:hint="default" w:ascii="宋体" w:hAnsi="宋体" w:cs="宋体"/>
          <w:sz w:val="22"/>
          <w:szCs w:val="22"/>
          <w:highlight w:val="none"/>
          <w:u w:val="none"/>
          <w:lang w:val="en-US" w:eastAsia="zh-CN"/>
        </w:rPr>
      </w:pPr>
      <w:r>
        <w:rPr>
          <w:rFonts w:hint="default" w:ascii="宋体" w:hAnsi="宋体" w:cs="宋体"/>
          <w:sz w:val="22"/>
          <w:szCs w:val="22"/>
          <w:highlight w:val="none"/>
          <w:u w:val="none"/>
          <w:lang w:val="en-US" w:eastAsia="zh-CN"/>
        </w:rPr>
        <w:t>承诺单位（盖章）：×××公司</w:t>
      </w:r>
    </w:p>
    <w:p w14:paraId="30B14F8A">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sz w:val="22"/>
          <w:szCs w:val="22"/>
          <w:highlight w:val="none"/>
          <w:u w:val="none"/>
          <w:lang w:val="en-US" w:eastAsia="zh-CN"/>
        </w:rPr>
      </w:pPr>
      <w:r>
        <w:rPr>
          <w:rFonts w:hint="default" w:ascii="宋体" w:hAnsi="宋体" w:cs="宋体"/>
          <w:sz w:val="22"/>
          <w:szCs w:val="22"/>
          <w:highlight w:val="none"/>
          <w:u w:val="none"/>
          <w:lang w:val="en-US" w:eastAsia="zh-CN"/>
        </w:rPr>
        <w:t xml:space="preserve">        </w:t>
      </w:r>
      <w:r>
        <w:rPr>
          <w:rFonts w:hint="eastAsia" w:ascii="宋体" w:hAnsi="宋体" w:cs="宋体"/>
          <w:sz w:val="22"/>
          <w:szCs w:val="22"/>
          <w:highlight w:val="none"/>
          <w:u w:val="none"/>
          <w:lang w:val="en-US" w:eastAsia="zh-CN"/>
        </w:rPr>
        <w:t xml:space="preserve">                 </w:t>
      </w:r>
      <w:r>
        <w:rPr>
          <w:rFonts w:hint="default" w:ascii="宋体" w:hAnsi="宋体" w:cs="宋体"/>
          <w:sz w:val="22"/>
          <w:szCs w:val="22"/>
          <w:highlight w:val="none"/>
          <w:u w:val="none"/>
          <w:lang w:val="en-US" w:eastAsia="zh-CN"/>
        </w:rPr>
        <w:t xml:space="preserve"> </w:t>
      </w:r>
      <w:r>
        <w:rPr>
          <w:rFonts w:hint="eastAsia" w:ascii="宋体" w:hAnsi="宋体" w:cs="宋体"/>
          <w:sz w:val="22"/>
          <w:szCs w:val="22"/>
          <w:highlight w:val="none"/>
          <w:u w:val="none"/>
          <w:lang w:val="en-US" w:eastAsia="zh-CN"/>
        </w:rPr>
        <w:t xml:space="preserve">              </w:t>
      </w:r>
      <w:r>
        <w:rPr>
          <w:rFonts w:hint="default" w:ascii="宋体" w:hAnsi="宋体" w:cs="宋体"/>
          <w:sz w:val="22"/>
          <w:szCs w:val="22"/>
          <w:highlight w:val="none"/>
          <w:u w:val="none"/>
          <w:lang w:val="en-US" w:eastAsia="zh-CN"/>
        </w:rPr>
        <w:t>连带清偿责任人</w:t>
      </w:r>
      <w:r>
        <w:rPr>
          <w:rFonts w:hint="eastAsia" w:ascii="宋体" w:hAnsi="宋体" w:cs="宋体"/>
          <w:sz w:val="22"/>
          <w:szCs w:val="22"/>
          <w:highlight w:val="none"/>
          <w:u w:val="none"/>
          <w:lang w:val="en-US" w:eastAsia="zh-CN"/>
        </w:rPr>
        <w:t>（签名）</w:t>
      </w:r>
      <w:r>
        <w:rPr>
          <w:rFonts w:hint="default" w:ascii="宋体" w:hAnsi="宋体" w:cs="宋体"/>
          <w:sz w:val="22"/>
          <w:szCs w:val="22"/>
          <w:highlight w:val="none"/>
          <w:u w:val="none"/>
          <w:lang w:val="en-US" w:eastAsia="zh-CN"/>
        </w:rPr>
        <w:t>：</w:t>
      </w:r>
    </w:p>
    <w:p w14:paraId="50815353">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191F25"/>
          <w:spacing w:val="-2"/>
          <w:sz w:val="21"/>
          <w:szCs w:val="21"/>
          <w:highlight w:val="none"/>
          <w:lang w:val="en-US" w:eastAsia="zh-CN"/>
        </w:rPr>
      </w:pPr>
      <w:r>
        <w:rPr>
          <w:rFonts w:hint="default" w:ascii="宋体" w:hAnsi="宋体" w:cs="宋体"/>
          <w:sz w:val="22"/>
          <w:szCs w:val="22"/>
          <w:highlight w:val="none"/>
          <w:u w:val="none"/>
          <w:lang w:val="en-US" w:eastAsia="zh-CN"/>
        </w:rPr>
        <w:t xml:space="preserve">                          日   期：××年××月××日</w:t>
      </w:r>
    </w:p>
    <w:p w14:paraId="32E8E1B4">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4A93C3EC">
      <w:pPr>
        <w:keepNext w:val="0"/>
        <w:keepLines w:val="0"/>
        <w:pageBreakBefore w:val="0"/>
        <w:shd w:val="clear" w:color="auto" w:fill="auto"/>
        <w:overflowPunct/>
        <w:topLinePunct w:val="0"/>
        <w:bidi w:val="0"/>
        <w:snapToGrid w:val="0"/>
        <w:spacing w:line="360" w:lineRule="auto"/>
        <w:ind w:firstLineChars="0"/>
        <w:jc w:val="both"/>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403020B0">
      <w:pPr>
        <w:keepNext w:val="0"/>
        <w:keepLines w:val="0"/>
        <w:pageBreakBefore w:val="0"/>
        <w:shd w:val="clear" w:color="auto" w:fill="auto"/>
        <w:overflowPunct/>
        <w:topLinePunct w:val="0"/>
        <w:bidi w:val="0"/>
        <w:snapToGrid w:val="0"/>
        <w:spacing w:line="360" w:lineRule="auto"/>
        <w:jc w:val="right"/>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604" w:name="_Toc23399"/>
      <w:bookmarkStart w:id="605" w:name="_Toc3509"/>
      <w:bookmarkStart w:id="606" w:name="_Toc20082"/>
      <w:bookmarkStart w:id="607" w:name="_Toc26007"/>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580"/>
      <w:bookmarkEnd w:id="581"/>
      <w:bookmarkEnd w:id="593"/>
      <w:bookmarkEnd w:id="594"/>
      <w:bookmarkEnd w:id="595"/>
      <w:bookmarkEnd w:id="596"/>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十</w:t>
      </w:r>
      <w:bookmarkEnd w:id="604"/>
      <w:bookmarkEnd w:id="605"/>
      <w:bookmarkEnd w:id="606"/>
      <w:bookmarkEnd w:id="607"/>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二</w:t>
      </w:r>
    </w:p>
    <w:p w14:paraId="22319494">
      <w:pPr>
        <w:ind w:firstLineChars="0"/>
        <w:jc w:val="center"/>
        <w:rPr>
          <w:rFonts w:hint="eastAsia" w:ascii="仿宋" w:hAnsi="仿宋" w:eastAsia="仿宋" w:cs="仿宋"/>
          <w:b/>
          <w:bCs w:val="0"/>
          <w:color w:val="000000" w:themeColor="text1"/>
          <w:sz w:val="28"/>
          <w:szCs w:val="28"/>
          <w:highlight w:val="none"/>
          <w:shd w:val="clear" w:color="auto" w:fill="auto"/>
          <w:lang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出 险 声 明 函</w:t>
      </w:r>
      <w:r>
        <w:rPr>
          <w:rFonts w:hint="eastAsia" w:ascii="仿宋_GB2312" w:hAnsi="仿宋_GB2312" w:eastAsia="仿宋_GB2312" w:cs="仿宋_GB2312"/>
          <w:b/>
          <w:bCs w:val="0"/>
          <w:color w:val="000000" w:themeColor="text1"/>
          <w:sz w:val="28"/>
          <w:szCs w:val="28"/>
          <w:highlight w:val="none"/>
          <w:shd w:val="clear" w:color="auto" w:fill="auto"/>
          <w:lang w:val="en-US" w:eastAsia="zh-CN"/>
          <w14:textFill>
            <w14:solidFill>
              <w14:schemeClr w14:val="tx1"/>
            </w14:solidFill>
          </w14:textFill>
        </w:rPr>
        <w:t xml:space="preserve"> </w:t>
      </w:r>
      <w:r>
        <w:rPr>
          <w:rFonts w:hint="eastAsia" w:ascii="仿宋" w:hAnsi="仿宋" w:eastAsia="仿宋" w:cs="仿宋"/>
          <w:b/>
          <w:bCs w:val="0"/>
          <w:color w:val="000000" w:themeColor="text1"/>
          <w:sz w:val="28"/>
          <w:szCs w:val="28"/>
          <w:highlight w:val="none"/>
          <w:shd w:val="clear" w:color="auto" w:fill="auto"/>
          <w:lang w:val="en-US" w:eastAsia="zh-CN"/>
          <w14:textFill>
            <w14:solidFill>
              <w14:schemeClr w14:val="tx1"/>
            </w14:solidFill>
          </w14:textFill>
        </w:rPr>
        <w:t xml:space="preserve">         </w:t>
      </w:r>
    </w:p>
    <w:p w14:paraId="510B9A0E">
      <w:pPr>
        <w:keepNext w:val="0"/>
        <w:keepLines w:val="0"/>
        <w:pageBreakBefore w:val="0"/>
        <w:widowControl w:val="0"/>
        <w:kinsoku/>
        <w:wordWrap/>
        <w:overflowPunct/>
        <w:topLinePunct w:val="0"/>
        <w:autoSpaceDE/>
        <w:autoSpaceDN/>
        <w:bidi w:val="0"/>
        <w:adjustRightInd/>
        <w:snapToGrid w:val="0"/>
        <w:ind w:firstLineChars="0"/>
        <w:textAlignment w:val="auto"/>
        <w:rPr>
          <w:rFonts w:hint="eastAsia" w:ascii="仿宋" w:hAnsi="仿宋" w:eastAsia="仿宋" w:cs="仿宋"/>
          <w:b/>
          <w:bCs/>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shd w:val="clear" w:color="auto" w:fill="auto"/>
          <w:lang w:val="en-US" w:eastAsia="zh-CN"/>
          <w14:textFill>
            <w14:solidFill>
              <w14:schemeClr w14:val="tx1"/>
            </w14:solidFill>
          </w14:textFill>
        </w:rPr>
        <w:t>致：东莞市中泰建安工程有限公司（以下简称“贵司”）</w:t>
      </w:r>
    </w:p>
    <w:p w14:paraId="089097D1">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贵我双方于</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日签订了</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none"/>
          <w:shd w:val="clear" w:color="auto" w:fill="auto"/>
          <w:lang w:val="en-US" w:eastAsia="zh-CN"/>
          <w14:textFill>
            <w14:solidFill>
              <w14:schemeClr w14:val="tx1"/>
            </w14:solidFill>
          </w14:textFill>
        </w:rPr>
        <w:t>项目（以下简称“本项目”）</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工程施工合同</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（合同编号</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），现</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（声明单位）    </w:t>
      </w:r>
      <w:r>
        <w:rPr>
          <w:rFonts w:hint="eastAsia" w:ascii="仿宋" w:hAnsi="仿宋" w:eastAsia="仿宋" w:cs="仿宋"/>
          <w:color w:val="000000" w:themeColor="text1"/>
          <w:sz w:val="24"/>
          <w:szCs w:val="24"/>
          <w:highlight w:val="none"/>
          <w:u w:val="none"/>
          <w:shd w:val="clear" w:color="auto" w:fill="auto"/>
          <w:lang w:val="en-US" w:eastAsia="zh-CN"/>
          <w14:textFill>
            <w14:solidFill>
              <w14:schemeClr w14:val="tx1"/>
            </w14:solidFill>
          </w14:textFill>
        </w:rPr>
        <w:t>（以下简称“我司”）</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员工在本项目施工时发生了安全事故，我司特作如下声明：</w:t>
      </w:r>
    </w:p>
    <w:p w14:paraId="7411130F">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b w:val="0"/>
          <w:bCs w:val="0"/>
          <w:color w:val="000000" w:themeColor="text1"/>
          <w:sz w:val="24"/>
          <w:szCs w:val="24"/>
          <w:highlight w:val="none"/>
          <w:shd w:val="clear" w:color="auto" w:fill="auto"/>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1.我司</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员工</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姓名</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eastAsia="zh-CN"/>
          <w14:textFill>
            <w14:solidFill>
              <w14:schemeClr w14:val="tx1"/>
            </w14:solidFill>
          </w14:textFill>
        </w:rPr>
        <w:t>（</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身份证号码</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在</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本</w:t>
      </w:r>
      <w:r>
        <w:rPr>
          <w:rFonts w:hint="eastAsia" w:ascii="仿宋" w:hAnsi="仿宋" w:eastAsia="仿宋" w:cs="仿宋"/>
          <w:b w:val="0"/>
          <w:bCs w:val="0"/>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b/>
          <w:bCs/>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项目</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从事</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工作，于</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日</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分左右，</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发生了</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（具体事故经过描述）</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w:t>
      </w:r>
    </w:p>
    <w:p w14:paraId="025A6D40">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2.我司员工</w:t>
      </w:r>
      <w:r>
        <w:rPr>
          <w:rFonts w:hint="eastAsia" w:ascii="仿宋" w:hAnsi="仿宋" w:eastAsia="仿宋" w:cs="仿宋"/>
          <w:b w:val="0"/>
          <w:bCs w:val="0"/>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与贵司之间不存在劳动合同关系，即使贵司为配合我司办理</w:t>
      </w:r>
      <w:r>
        <w:rPr>
          <w:rFonts w:hint="eastAsia" w:ascii="仿宋" w:hAnsi="仿宋" w:eastAsia="仿宋" w:cs="仿宋"/>
          <w:b w:val="0"/>
          <w:bCs w:val="0"/>
          <w:i w:val="0"/>
          <w:iCs w:val="0"/>
          <w:color w:val="000000" w:themeColor="text1"/>
          <w:sz w:val="24"/>
          <w:szCs w:val="24"/>
          <w:highlight w:val="none"/>
          <w:u w:val="none"/>
          <w:shd w:val="clear" w:color="auto" w:fill="auto"/>
          <w:lang w:eastAsia="zh-CN"/>
          <w14:textFill>
            <w14:solidFill>
              <w14:schemeClr w14:val="tx1"/>
            </w14:solidFill>
          </w14:textFill>
        </w:rPr>
        <w:t>“</w:t>
      </w:r>
      <w:r>
        <w:rPr>
          <w:rFonts w:hint="eastAsia" w:ascii="仿宋" w:hAnsi="仿宋" w:eastAsia="仿宋" w:cs="仿宋"/>
          <w:b w:val="0"/>
          <w:bCs w:val="0"/>
          <w:i w:val="0"/>
          <w:iCs w:val="0"/>
          <w:color w:val="000000" w:themeColor="text1"/>
          <w:sz w:val="24"/>
          <w:szCs w:val="24"/>
          <w:highlight w:val="none"/>
          <w:u w:val="none"/>
          <w:shd w:val="clear" w:color="auto" w:fill="auto"/>
          <w14:textFill>
            <w14:solidFill>
              <w14:schemeClr w14:val="tx1"/>
            </w14:solidFill>
          </w14:textFill>
        </w:rPr>
        <w:t>建筑工程社会保险--工伤保险</w:t>
      </w:r>
      <w:r>
        <w:rPr>
          <w:rFonts w:hint="eastAsia" w:ascii="仿宋" w:hAnsi="仿宋" w:eastAsia="仿宋" w:cs="仿宋"/>
          <w:b w:val="0"/>
          <w:bCs w:val="0"/>
          <w:i w:val="0"/>
          <w:iCs w:val="0"/>
          <w:color w:val="000000" w:themeColor="text1"/>
          <w:sz w:val="24"/>
          <w:szCs w:val="24"/>
          <w:highlight w:val="none"/>
          <w:u w:val="none"/>
          <w:shd w:val="clear" w:color="auto" w:fill="auto"/>
          <w:lang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的赔付以及社保机构要求出具关于我司员工</w:t>
      </w:r>
      <w:r>
        <w:rPr>
          <w:rFonts w:hint="eastAsia" w:ascii="仿宋" w:hAnsi="仿宋" w:eastAsia="仿宋" w:cs="仿宋"/>
          <w:b w:val="0"/>
          <w:bCs w:val="0"/>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的《解除劳动关系协议》《劳动合同》等文件，也不意味着贵司与我</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司员工</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建立了劳动关系，我司仍按劳动合同承担该员工雇用期间应承担的用人责任。</w:t>
      </w:r>
    </w:p>
    <w:p w14:paraId="33A4B4CF">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themeColor="text1"/>
          <w:sz w:val="24"/>
          <w:szCs w:val="24"/>
          <w:highlight w:val="none"/>
          <w:shd w:val="clear" w:color="auto" w:fill="auto"/>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3.我司</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恳请</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贵司</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按国家政策</w:t>
      </w:r>
      <w:r>
        <w:rPr>
          <w:rFonts w:hint="eastAsia" w:ascii="仿宋" w:hAnsi="仿宋" w:eastAsia="仿宋" w:cs="仿宋"/>
          <w:color w:val="000000" w:themeColor="text1"/>
          <w:sz w:val="24"/>
          <w:szCs w:val="24"/>
          <w:highlight w:val="none"/>
          <w:shd w:val="clear" w:color="auto" w:fill="auto"/>
          <w:lang w:eastAsia="zh-CN"/>
          <w14:textFill>
            <w14:solidFill>
              <w14:schemeClr w14:val="tx1"/>
            </w14:solidFill>
          </w14:textFill>
        </w:rPr>
        <w:t>为</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我司员工</w:t>
      </w:r>
      <w:r>
        <w:rPr>
          <w:rFonts w:hint="eastAsia" w:ascii="仿宋" w:hAnsi="仿宋" w:eastAsia="仿宋" w:cs="仿宋"/>
          <w:b w:val="0"/>
          <w:bCs w:val="0"/>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在本项目</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申报工伤，无论</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此次</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能否认定工伤，在此</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我司郑重声明</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此次事件</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若能认定</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为</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工伤，在取得国家社保医疗保险赔偿部分后，</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我司</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不再以任何形式、任何理由向</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贵司</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主张超社保赔付的医疗费用、一次性就业补助金等其他任何经济补偿</w:t>
      </w:r>
      <w:r>
        <w:rPr>
          <w:rFonts w:hint="eastAsia" w:ascii="仿宋" w:hAnsi="仿宋" w:eastAsia="仿宋" w:cs="仿宋"/>
          <w:color w:val="000000" w:themeColor="text1"/>
          <w:sz w:val="24"/>
          <w:szCs w:val="24"/>
          <w:highlight w:val="none"/>
          <w:shd w:val="clear" w:color="auto" w:fill="auto"/>
          <w:lang w:eastAsia="zh-CN"/>
          <w14:textFill>
            <w14:solidFill>
              <w14:schemeClr w14:val="tx1"/>
            </w14:solidFill>
          </w14:textFill>
        </w:rPr>
        <w:t>，并保证约束</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我司员工</w:t>
      </w:r>
      <w:r>
        <w:rPr>
          <w:rFonts w:hint="eastAsia" w:ascii="仿宋" w:hAnsi="仿宋" w:eastAsia="仿宋" w:cs="仿宋"/>
          <w:b w:val="0"/>
          <w:bCs w:val="0"/>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不向</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贵司</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主张上述经济补偿</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无论</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社保部门</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是否</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认定</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为</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工伤，由此事件引起的一切费用及责任</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均</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由</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我司</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自行</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承担和</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解决。</w:t>
      </w:r>
    </w:p>
    <w:p w14:paraId="7AC1DB5A">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4.若我司员工</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以贵司作为用人单位，要求贵司承担用人单位义务（如社保、公积金、工资等）、用人单位责任（经济补偿金、一次性就业补助金等）而向社保机构投诉、提起争议仲裁或诉讼，根据相关机构的要求或生效裁决需贵司支付费用的，本次工伤/亡事故处理全过程产生的所有费用由我司自行承担，对贵司造成的损失由我司全部赔偿，且我司自愿向贵司支付金额等于本次工伤/亡事故所耗费用1.5倍的违约金。</w:t>
      </w:r>
    </w:p>
    <w:p w14:paraId="349B559A">
      <w:pPr>
        <w:keepNext w:val="0"/>
        <w:keepLines w:val="0"/>
        <w:pageBreakBefore w:val="0"/>
        <w:widowControl w:val="0"/>
        <w:numPr>
          <w:ilvl w:val="0"/>
          <w:numId w:val="0"/>
        </w:numPr>
        <w:kinsoku/>
        <w:wordWrap/>
        <w:overflowPunct/>
        <w:topLinePunct w:val="0"/>
        <w:autoSpaceDE/>
        <w:autoSpaceDN/>
        <w:bidi w:val="0"/>
        <w:adjustRightInd/>
        <w:snapToGrid w:val="0"/>
        <w:spacing w:before="0" w:line="240" w:lineRule="auto"/>
        <w:ind w:left="0" w:leftChars="0" w:right="0" w:rightChars="0" w:firstLine="480" w:firstLineChars="200"/>
        <w:jc w:val="left"/>
        <w:textAlignment w:val="auto"/>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5、</w:t>
      </w: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特别约定：</w:t>
      </w:r>
    </w:p>
    <w:p w14:paraId="7C91EC73">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*******公司法定代表人</w:t>
      </w:r>
      <w:r>
        <w:rPr>
          <w:rFonts w:hint="eastAsia" w:ascii="仿宋" w:hAnsi="仿宋" w:eastAsia="仿宋" w:cs="仿宋"/>
          <w:color w:val="000000" w:themeColor="text1"/>
          <w:spacing w:val="0"/>
          <w:sz w:val="24"/>
          <w:szCs w:val="24"/>
          <w:highlight w:val="none"/>
          <w:u w:val="none"/>
          <w:shd w:val="clear" w:color="auto" w:fill="auto"/>
          <w:lang w:val="en-US" w:eastAsia="zh-CN"/>
          <w14:textFill>
            <w14:solidFill>
              <w14:schemeClr w14:val="tx1"/>
            </w14:solidFill>
          </w14:textFill>
        </w:rPr>
        <w:t xml:space="preserve"> **** </w:t>
      </w: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（身份证号：</w:t>
      </w:r>
      <w:r>
        <w:rPr>
          <w:rFonts w:hint="eastAsia" w:ascii="仿宋" w:hAnsi="仿宋" w:eastAsia="仿宋" w:cs="仿宋"/>
          <w:color w:val="000000" w:themeColor="text1"/>
          <w:spacing w:val="0"/>
          <w:sz w:val="24"/>
          <w:szCs w:val="24"/>
          <w:highlight w:val="none"/>
          <w:u w:val="non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none"/>
          <w:shd w:val="clear" w:color="auto" w:fill="auto"/>
          <w:lang w:val="en-US" w:eastAsia="zh-CN"/>
          <w14:textFill>
            <w14:solidFill>
              <w14:schemeClr w14:val="tx1"/>
            </w14:solidFill>
          </w14:textFill>
        </w:rPr>
        <w:t>******</w:t>
      </w:r>
      <w:r>
        <w:rPr>
          <w:rFonts w:hint="eastAsia" w:ascii="仿宋" w:hAnsi="仿宋" w:eastAsia="仿宋" w:cs="仿宋"/>
          <w:color w:val="000000" w:themeColor="text1"/>
          <w:spacing w:val="0"/>
          <w:sz w:val="24"/>
          <w:szCs w:val="24"/>
          <w:highlight w:val="none"/>
          <w:u w:val="non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）、实际控制人</w:t>
      </w:r>
      <w:r>
        <w:rPr>
          <w:rFonts w:hint="eastAsia" w:ascii="仿宋" w:hAnsi="仿宋" w:eastAsia="仿宋" w:cs="仿宋"/>
          <w:color w:val="000000" w:themeColor="text1"/>
          <w:spacing w:val="0"/>
          <w:sz w:val="24"/>
          <w:szCs w:val="24"/>
          <w:highlight w:val="none"/>
          <w:u w:val="non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（身份证号：</w:t>
      </w:r>
      <w:r>
        <w:rPr>
          <w:rFonts w:hint="eastAsia" w:ascii="仿宋" w:hAnsi="仿宋" w:eastAsia="仿宋" w:cs="仿宋"/>
          <w:color w:val="000000" w:themeColor="text1"/>
          <w:spacing w:val="0"/>
          <w:sz w:val="24"/>
          <w:szCs w:val="24"/>
          <w:highlight w:val="none"/>
          <w:u w:val="non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none"/>
          <w:shd w:val="clear" w:color="auto" w:fill="auto"/>
          <w:lang w:val="en-US" w:eastAsia="zh-CN"/>
          <w14:textFill>
            <w14:solidFill>
              <w14:schemeClr w14:val="tx1"/>
            </w14:solidFill>
          </w14:textFill>
        </w:rPr>
        <w:t>******</w:t>
      </w:r>
      <w:r>
        <w:rPr>
          <w:rFonts w:hint="eastAsia" w:ascii="仿宋" w:hAnsi="仿宋" w:eastAsia="仿宋" w:cs="仿宋"/>
          <w:color w:val="000000" w:themeColor="text1"/>
          <w:spacing w:val="0"/>
          <w:sz w:val="24"/>
          <w:szCs w:val="24"/>
          <w:highlight w:val="none"/>
          <w:u w:val="non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）就本《</w:t>
      </w:r>
      <w:r>
        <w:rPr>
          <w:rFonts w:hint="eastAsia" w:ascii="仿宋" w:hAnsi="仿宋" w:eastAsia="仿宋" w:cs="仿宋"/>
          <w:b w:val="0"/>
          <w:bCs w:val="0"/>
          <w:color w:val="000000" w:themeColor="text1"/>
          <w:spacing w:val="0"/>
          <w:sz w:val="24"/>
          <w:szCs w:val="24"/>
          <w:highlight w:val="none"/>
          <w:shd w:val="clear" w:color="auto" w:fill="auto"/>
          <w:lang w:val="en-US" w:eastAsia="zh-CN"/>
          <w14:textFill>
            <w14:solidFill>
              <w14:schemeClr w14:val="tx1"/>
            </w14:solidFill>
          </w14:textFill>
        </w:rPr>
        <w:t>出险声明函</w:t>
      </w: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》列明之全部公司责任后果，同意无条件向贵司承担连带清偿责任，并同意承担贵司为实现债权而产生的诉讼费、财产保全费、保全担保费、证据保全公证费、律师代理费、差旅费等费用</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w:t>
      </w:r>
    </w:p>
    <w:p w14:paraId="42C580D4">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特此声明！</w:t>
      </w:r>
    </w:p>
    <w:p w14:paraId="1128732A">
      <w:pPr>
        <w:keepNext w:val="0"/>
        <w:keepLines w:val="0"/>
        <w:pageBreakBefore w:val="0"/>
        <w:widowControl w:val="0"/>
        <w:numPr>
          <w:ilvl w:val="0"/>
          <w:numId w:val="0"/>
        </w:numPr>
        <w:kinsoku/>
        <w:wordWrap/>
        <w:overflowPunct/>
        <w:topLinePunct w:val="0"/>
        <w:autoSpaceDE/>
        <w:autoSpaceDN/>
        <w:bidi w:val="0"/>
        <w:adjustRightInd/>
        <w:snapToGrid w:val="0"/>
        <w:ind w:firstLine="420" w:firstLineChars="200"/>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default" w:ascii="宋体" w:hAnsi="宋体" w:cs="宋体"/>
          <w:color w:val="auto"/>
          <w:sz w:val="21"/>
          <w:szCs w:val="21"/>
          <w:highlight w:val="none"/>
          <w:u w:val="none"/>
          <w:lang w:val="en-US" w:eastAsia="zh-CN"/>
        </w:rPr>
        <w:t>附件：</w:t>
      </w:r>
      <w:r>
        <w:rPr>
          <w:rFonts w:hint="eastAsia" w:ascii="宋体" w:hAnsi="宋体" w:cs="宋体"/>
          <w:color w:val="auto"/>
          <w:sz w:val="21"/>
          <w:szCs w:val="21"/>
          <w:highlight w:val="none"/>
          <w:u w:val="none"/>
          <w:lang w:val="en-US" w:eastAsia="zh-CN"/>
        </w:rPr>
        <w:t>连带清偿责任</w:t>
      </w:r>
      <w:r>
        <w:rPr>
          <w:rFonts w:hint="default" w:ascii="宋体" w:hAnsi="宋体" w:cs="宋体"/>
          <w:color w:val="auto"/>
          <w:sz w:val="21"/>
          <w:szCs w:val="21"/>
          <w:highlight w:val="none"/>
          <w:u w:val="none"/>
          <w:lang w:val="en-US" w:eastAsia="zh-CN"/>
        </w:rPr>
        <w:t>人身份证正反面复印件</w:t>
      </w:r>
    </w:p>
    <w:p w14:paraId="3B419CA9">
      <w:pPr>
        <w:keepNext w:val="0"/>
        <w:keepLines w:val="0"/>
        <w:pageBreakBefore w:val="0"/>
        <w:widowControl w:val="0"/>
        <w:kinsoku/>
        <w:wordWrap/>
        <w:overflowPunct/>
        <w:topLinePunct w:val="0"/>
        <w:autoSpaceDE/>
        <w:autoSpaceDN/>
        <w:bidi w:val="0"/>
        <w:adjustRightInd/>
        <w:snapToGrid w:val="0"/>
        <w:spacing w:line="288" w:lineRule="auto"/>
        <w:ind w:firstLine="480" w:firstLineChars="200"/>
        <w:jc w:val="center"/>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 xml:space="preserve">                              声明单位：（全称并盖公章） </w:t>
      </w:r>
    </w:p>
    <w:p w14:paraId="715C88C0">
      <w:pPr>
        <w:keepNext w:val="0"/>
        <w:keepLines w:val="0"/>
        <w:pageBreakBefore w:val="0"/>
        <w:widowControl w:val="0"/>
        <w:kinsoku/>
        <w:wordWrap/>
        <w:overflowPunct/>
        <w:topLinePunct w:val="0"/>
        <w:autoSpaceDE/>
        <w:autoSpaceDN/>
        <w:bidi w:val="0"/>
        <w:adjustRightInd/>
        <w:snapToGrid w:val="0"/>
        <w:spacing w:line="288" w:lineRule="auto"/>
        <w:ind w:firstLine="5280" w:firstLineChars="2200"/>
        <w:jc w:val="both"/>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法人代表或授权代表签章：</w:t>
      </w:r>
    </w:p>
    <w:p w14:paraId="39C4FD14">
      <w:pPr>
        <w:keepNext w:val="0"/>
        <w:keepLines w:val="0"/>
        <w:pageBreakBefore w:val="0"/>
        <w:widowControl w:val="0"/>
        <w:kinsoku/>
        <w:wordWrap/>
        <w:overflowPunct/>
        <w:topLinePunct w:val="0"/>
        <w:autoSpaceDE/>
        <w:autoSpaceDN/>
        <w:bidi w:val="0"/>
        <w:adjustRightInd/>
        <w:snapToGrid w:val="0"/>
        <w:spacing w:line="288" w:lineRule="auto"/>
        <w:ind w:firstLine="5280" w:firstLineChars="2200"/>
        <w:jc w:val="both"/>
        <w:textAlignment w:val="auto"/>
        <w:rPr>
          <w:rFonts w:hint="default"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连带清偿责任人（签名）：</w:t>
      </w:r>
    </w:p>
    <w:p w14:paraId="6E71EFE5">
      <w:pPr>
        <w:keepNext w:val="0"/>
        <w:keepLines w:val="0"/>
        <w:pageBreakBefore w:val="0"/>
        <w:widowControl w:val="0"/>
        <w:kinsoku/>
        <w:wordWrap/>
        <w:overflowPunct/>
        <w:topLinePunct w:val="0"/>
        <w:autoSpaceDE/>
        <w:autoSpaceDN/>
        <w:bidi w:val="0"/>
        <w:adjustRightInd/>
        <w:snapToGrid w:val="0"/>
        <w:spacing w:line="288" w:lineRule="auto"/>
        <w:ind w:firstLine="5280" w:firstLineChars="2200"/>
        <w:jc w:val="both"/>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 xml:space="preserve">电    话：                                                                                     </w:t>
      </w:r>
    </w:p>
    <w:p w14:paraId="4D7264F3">
      <w:pPr>
        <w:keepNext w:val="0"/>
        <w:keepLines w:val="0"/>
        <w:pageBreakBefore w:val="0"/>
        <w:widowControl w:val="0"/>
        <w:shd w:val="clear" w:color="auto" w:fill="auto"/>
        <w:kinsoku/>
        <w:wordWrap/>
        <w:overflowPunct/>
        <w:topLinePunct w:val="0"/>
        <w:autoSpaceDE/>
        <w:autoSpaceDN/>
        <w:bidi w:val="0"/>
        <w:adjustRightInd/>
        <w:snapToGrid w:val="0"/>
        <w:spacing w:line="288" w:lineRule="auto"/>
        <w:ind w:firstLineChars="0"/>
        <w:jc w:val="center"/>
        <w:textAlignment w:val="auto"/>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 xml:space="preserve">                               日    期：     年  月  日</w:t>
      </w: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 xml:space="preserve">  </w:t>
      </w:r>
    </w:p>
    <w:p w14:paraId="75BA23EF">
      <w:pPr>
        <w:spacing w:line="360" w:lineRule="auto"/>
        <w:jc w:val="right"/>
        <w:rPr>
          <w:rFonts w:hint="eastAsia" w:ascii="宋体" w:hAnsi="宋体"/>
          <w:b/>
          <w:bCs/>
          <w:color w:val="auto"/>
          <w:sz w:val="36"/>
          <w:szCs w:val="36"/>
          <w:highlight w:val="none"/>
          <w:lang w:val="en-US" w:eastAsia="zh-CN"/>
        </w:rPr>
      </w:pPr>
    </w:p>
    <w:p w14:paraId="1F37570C">
      <w:pPr>
        <w:spacing w:line="360" w:lineRule="auto"/>
        <w:jc w:val="right"/>
        <w:rPr>
          <w:rFonts w:hint="eastAsia" w:ascii="宋体" w:hAnsi="宋体"/>
          <w:b/>
          <w:bCs/>
          <w:color w:val="auto"/>
          <w:sz w:val="36"/>
          <w:szCs w:val="36"/>
          <w:highlight w:val="none"/>
          <w:lang w:val="en-US" w:eastAsia="zh-CN"/>
        </w:rPr>
      </w:pPr>
    </w:p>
    <w:p w14:paraId="63C5269B">
      <w:pPr>
        <w:spacing w:line="360" w:lineRule="auto"/>
        <w:jc w:val="right"/>
        <w:rPr>
          <w:rFonts w:hint="eastAsia" w:ascii="宋体" w:hAnsi="宋体"/>
          <w:b/>
          <w:bCs/>
          <w:color w:val="auto"/>
          <w:sz w:val="36"/>
          <w:szCs w:val="36"/>
          <w:highlight w:val="none"/>
          <w:lang w:val="en-US" w:eastAsia="zh-CN"/>
        </w:rPr>
      </w:pPr>
    </w:p>
    <w:p w14:paraId="034A6D47">
      <w:pPr>
        <w:keepNext w:val="0"/>
        <w:keepLines w:val="0"/>
        <w:pageBreakBefore w:val="0"/>
        <w:widowControl w:val="0"/>
        <w:kinsoku/>
        <w:wordWrap/>
        <w:overflowPunct/>
        <w:topLinePunct w:val="0"/>
        <w:autoSpaceDE/>
        <w:autoSpaceDN/>
        <w:bidi w:val="0"/>
        <w:adjustRightInd/>
        <w:snapToGrid w:val="0"/>
        <w:spacing w:line="360" w:lineRule="auto"/>
        <w:ind w:right="62" w:rightChars="22" w:firstLine="719" w:firstLineChars="179"/>
        <w:jc w:val="right"/>
        <w:textAlignment w:val="auto"/>
        <w:outlineLvl w:val="9"/>
        <w:rPr>
          <w:rFonts w:hint="eastAsia" w:ascii="仿宋" w:hAnsi="仿宋" w:eastAsia="仿宋" w:cs="仿宋"/>
          <w:b/>
          <w:bCs/>
          <w:color w:val="auto"/>
          <w:sz w:val="40"/>
          <w:szCs w:val="36"/>
          <w:highlight w:val="none"/>
          <w:lang w:val="en-US" w:eastAsia="zh-CN"/>
        </w:rPr>
      </w:pPr>
    </w:p>
    <w:p w14:paraId="2F7AC9B4">
      <w:pPr>
        <w:keepNext w:val="0"/>
        <w:keepLines w:val="0"/>
        <w:pageBreakBefore w:val="0"/>
        <w:shd w:val="clear" w:color="auto" w:fill="auto"/>
        <w:overflowPunct/>
        <w:topLinePunct w:val="0"/>
        <w:bidi w:val="0"/>
        <w:snapToGrid w:val="0"/>
        <w:spacing w:line="360" w:lineRule="auto"/>
        <w:jc w:val="right"/>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608" w:name="_Toc10307"/>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附件十</w:t>
      </w:r>
      <w:bookmarkEnd w:id="266"/>
      <w:bookmarkEnd w:id="267"/>
      <w:bookmarkEnd w:id="268"/>
      <w:bookmarkEnd w:id="269"/>
      <w:bookmarkEnd w:id="608"/>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三</w:t>
      </w:r>
    </w:p>
    <w:p w14:paraId="25774BA6">
      <w:pPr>
        <w:keepNext w:val="0"/>
        <w:keepLines w:val="0"/>
        <w:pageBreakBefore w:val="0"/>
        <w:widowControl w:val="0"/>
        <w:kinsoku/>
        <w:wordWrap/>
        <w:overflowPunct/>
        <w:topLinePunct w:val="0"/>
        <w:autoSpaceDE/>
        <w:autoSpaceDN/>
        <w:bidi w:val="0"/>
        <w:adjustRightInd/>
        <w:snapToGrid w:val="0"/>
        <w:spacing w:line="360" w:lineRule="auto"/>
        <w:ind w:right="62" w:rightChars="22" w:firstLine="719" w:firstLineChars="179"/>
        <w:jc w:val="center"/>
        <w:textAlignment w:val="auto"/>
        <w:rPr>
          <w:rFonts w:hint="eastAsia" w:ascii="仿宋" w:hAnsi="仿宋" w:eastAsia="仿宋" w:cs="仿宋"/>
          <w:b/>
          <w:bCs/>
          <w:color w:val="auto"/>
          <w:sz w:val="40"/>
          <w:szCs w:val="36"/>
          <w:highlight w:val="none"/>
          <w:lang w:val="en-US" w:eastAsia="zh-CN"/>
        </w:rPr>
      </w:pPr>
    </w:p>
    <w:p w14:paraId="64D21A3E">
      <w:pPr>
        <w:keepNext w:val="0"/>
        <w:keepLines w:val="0"/>
        <w:pageBreakBefore w:val="0"/>
        <w:widowControl w:val="0"/>
        <w:kinsoku/>
        <w:wordWrap/>
        <w:overflowPunct/>
        <w:topLinePunct w:val="0"/>
        <w:autoSpaceDE/>
        <w:autoSpaceDN/>
        <w:bidi w:val="0"/>
        <w:adjustRightInd/>
        <w:snapToGrid w:val="0"/>
        <w:spacing w:line="360" w:lineRule="auto"/>
        <w:ind w:right="62" w:rightChars="22" w:firstLine="719" w:firstLineChars="179"/>
        <w:jc w:val="center"/>
        <w:textAlignment w:val="auto"/>
        <w:rPr>
          <w:rFonts w:hint="eastAsia" w:ascii="仿宋" w:hAnsi="仿宋" w:eastAsia="仿宋" w:cs="仿宋"/>
          <w:b/>
          <w:bCs/>
          <w:color w:val="auto"/>
          <w:sz w:val="40"/>
          <w:szCs w:val="36"/>
          <w:highlight w:val="none"/>
          <w:lang w:val="en-US" w:eastAsia="zh-CN"/>
        </w:rPr>
      </w:pPr>
    </w:p>
    <w:p w14:paraId="17678B5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t>甲方项目章样式</w:t>
      </w:r>
    </w:p>
    <w:p w14:paraId="199A2465">
      <w:pPr>
        <w:keepNext w:val="0"/>
        <w:keepLines w:val="0"/>
        <w:pageBreakBefore w:val="0"/>
        <w:widowControl w:val="0"/>
        <w:kinsoku/>
        <w:wordWrap/>
        <w:overflowPunct/>
        <w:topLinePunct w:val="0"/>
        <w:autoSpaceDE/>
        <w:autoSpaceDN/>
        <w:bidi w:val="0"/>
        <w:adjustRightInd/>
        <w:snapToGrid w:val="0"/>
        <w:spacing w:line="360" w:lineRule="auto"/>
        <w:ind w:right="62" w:rightChars="22" w:firstLine="719" w:firstLineChars="179"/>
        <w:jc w:val="center"/>
        <w:textAlignment w:val="auto"/>
        <w:outlineLvl w:val="0"/>
        <w:rPr>
          <w:rFonts w:hint="eastAsia" w:ascii="宋体" w:hAnsi="宋体"/>
          <w:b/>
          <w:bCs/>
          <w:color w:val="auto"/>
          <w:sz w:val="32"/>
          <w:szCs w:val="32"/>
          <w:highlight w:val="none"/>
          <w:lang w:val="en-US" w:eastAsia="zh-CN"/>
        </w:rPr>
      </w:pPr>
      <w:r>
        <w:rPr>
          <w:rFonts w:hint="eastAsia" w:ascii="仿宋" w:hAnsi="仿宋" w:eastAsia="仿宋" w:cs="仿宋"/>
          <w:b/>
          <w:bCs w:val="0"/>
          <w:color w:val="auto"/>
          <w:sz w:val="40"/>
          <w:szCs w:val="40"/>
          <w:highlight w:val="none"/>
          <w:shd w:val="clear" w:color="auto" w:fill="auto"/>
          <w:lang w:val="en-US" w:eastAsia="zh-CN"/>
        </w:rPr>
        <w:drawing>
          <wp:inline distT="0" distB="0" distL="114300" distR="114300">
            <wp:extent cx="3090545" cy="2395220"/>
            <wp:effectExtent l="0" t="0" r="14605" b="5080"/>
            <wp:docPr id="2" name="图片 2" descr="e4bde7909474f57d42b6f14350460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4bde7909474f57d42b6f143504604e"/>
                    <pic:cNvPicPr>
                      <a:picLocks noChangeAspect="1"/>
                    </pic:cNvPicPr>
                  </pic:nvPicPr>
                  <pic:blipFill>
                    <a:blip r:embed="rId12"/>
                    <a:stretch>
                      <a:fillRect/>
                    </a:stretch>
                  </pic:blipFill>
                  <pic:spPr>
                    <a:xfrm>
                      <a:off x="0" y="0"/>
                      <a:ext cx="3090545" cy="2395220"/>
                    </a:xfrm>
                    <a:prstGeom prst="rect">
                      <a:avLst/>
                    </a:prstGeom>
                  </pic:spPr>
                </pic:pic>
              </a:graphicData>
            </a:graphic>
          </wp:inline>
        </w:drawing>
      </w:r>
    </w:p>
    <w:p w14:paraId="5F9940AD">
      <w:pPr>
        <w:spacing w:line="360" w:lineRule="auto"/>
        <w:jc w:val="right"/>
        <w:rPr>
          <w:rFonts w:hint="eastAsia" w:ascii="宋体" w:hAnsi="宋体"/>
          <w:b/>
          <w:bCs/>
          <w:color w:val="auto"/>
          <w:sz w:val="32"/>
          <w:szCs w:val="32"/>
          <w:highlight w:val="none"/>
          <w:lang w:val="en-US" w:eastAsia="zh-CN"/>
        </w:rPr>
      </w:pPr>
    </w:p>
    <w:p w14:paraId="7D090147">
      <w:pPr>
        <w:spacing w:line="360" w:lineRule="auto"/>
        <w:jc w:val="right"/>
        <w:rPr>
          <w:rFonts w:hint="eastAsia" w:ascii="宋体" w:hAnsi="宋体"/>
          <w:b/>
          <w:bCs/>
          <w:color w:val="auto"/>
          <w:sz w:val="32"/>
          <w:szCs w:val="32"/>
          <w:highlight w:val="none"/>
          <w:lang w:val="en-US" w:eastAsia="zh-CN"/>
        </w:rPr>
      </w:pPr>
    </w:p>
    <w:p w14:paraId="1D063F37">
      <w:pPr>
        <w:spacing w:line="360" w:lineRule="auto"/>
        <w:jc w:val="both"/>
        <w:rPr>
          <w:rFonts w:hint="eastAsia" w:ascii="宋体" w:hAnsi="宋体"/>
          <w:b/>
          <w:bCs/>
          <w:color w:val="auto"/>
          <w:sz w:val="32"/>
          <w:szCs w:val="32"/>
          <w:highlight w:val="none"/>
          <w:lang w:val="en-US" w:eastAsia="zh-CN"/>
        </w:rPr>
      </w:pPr>
    </w:p>
    <w:p w14:paraId="0D676B11">
      <w:pPr>
        <w:spacing w:line="360" w:lineRule="auto"/>
        <w:jc w:val="right"/>
        <w:rPr>
          <w:rFonts w:hint="eastAsia" w:ascii="宋体" w:hAnsi="宋体"/>
          <w:b/>
          <w:bCs/>
          <w:color w:val="auto"/>
          <w:sz w:val="32"/>
          <w:szCs w:val="32"/>
          <w:highlight w:val="none"/>
          <w:lang w:val="en-US" w:eastAsia="zh-CN"/>
        </w:rPr>
      </w:pPr>
    </w:p>
    <w:p w14:paraId="591D5BFE">
      <w:pPr>
        <w:spacing w:line="360" w:lineRule="auto"/>
        <w:jc w:val="right"/>
        <w:rPr>
          <w:rFonts w:hint="eastAsia" w:ascii="宋体" w:hAnsi="宋体"/>
          <w:b/>
          <w:bCs/>
          <w:color w:val="auto"/>
          <w:sz w:val="32"/>
          <w:szCs w:val="32"/>
          <w:highlight w:val="none"/>
          <w:lang w:val="en-US" w:eastAsia="zh-CN"/>
        </w:rPr>
      </w:pPr>
    </w:p>
    <w:p w14:paraId="69F253D1">
      <w:pPr>
        <w:keepNext w:val="0"/>
        <w:keepLines w:val="0"/>
        <w:pageBreakBefore w:val="0"/>
        <w:kinsoku/>
        <w:wordWrap/>
        <w:overflowPunct/>
        <w:topLinePunct w:val="0"/>
        <w:autoSpaceDE/>
        <w:autoSpaceDN/>
        <w:bidi w:val="0"/>
        <w:adjustRightInd/>
        <w:snapToGrid/>
        <w:spacing w:line="240" w:lineRule="atLeast"/>
        <w:jc w:val="both"/>
        <w:textAlignment w:val="auto"/>
        <w:rPr>
          <w:rFonts w:hint="default" w:ascii="宋体" w:hAnsi="宋体" w:eastAsia="宋体" w:cs="宋体"/>
          <w:color w:val="auto"/>
          <w:sz w:val="24"/>
          <w:szCs w:val="24"/>
          <w:highlight w:val="none"/>
          <w:lang w:val="en-US" w:eastAsia="zh-CN"/>
        </w:rPr>
      </w:pPr>
    </w:p>
    <w:p w14:paraId="5C783E18">
      <w:pPr>
        <w:pStyle w:val="16"/>
        <w:rPr>
          <w:rFonts w:hint="default" w:ascii="宋体" w:hAnsi="宋体" w:eastAsia="宋体" w:cs="宋体"/>
          <w:color w:val="auto"/>
          <w:sz w:val="24"/>
          <w:szCs w:val="24"/>
          <w:highlight w:val="none"/>
          <w:lang w:val="en-US" w:eastAsia="zh-CN"/>
        </w:rPr>
      </w:pPr>
    </w:p>
    <w:p w14:paraId="37FA5E01">
      <w:pPr>
        <w:pStyle w:val="16"/>
        <w:rPr>
          <w:rFonts w:hint="default" w:ascii="宋体" w:hAnsi="宋体" w:eastAsia="宋体" w:cs="宋体"/>
          <w:color w:val="auto"/>
          <w:sz w:val="24"/>
          <w:szCs w:val="24"/>
          <w:highlight w:val="none"/>
          <w:lang w:val="en-US" w:eastAsia="zh-CN"/>
        </w:rPr>
      </w:pPr>
    </w:p>
    <w:p w14:paraId="0C9DDFB7">
      <w:pPr>
        <w:pStyle w:val="16"/>
        <w:rPr>
          <w:rFonts w:hint="default" w:ascii="宋体" w:hAnsi="宋体" w:eastAsia="宋体" w:cs="宋体"/>
          <w:color w:val="auto"/>
          <w:sz w:val="24"/>
          <w:szCs w:val="24"/>
          <w:highlight w:val="none"/>
          <w:lang w:val="en-US" w:eastAsia="zh-CN"/>
        </w:rPr>
      </w:pPr>
    </w:p>
    <w:p w14:paraId="165C3EBF">
      <w:pPr>
        <w:pStyle w:val="16"/>
        <w:rPr>
          <w:rFonts w:hint="default" w:ascii="宋体" w:hAnsi="宋体" w:eastAsia="宋体" w:cs="宋体"/>
          <w:color w:val="auto"/>
          <w:sz w:val="24"/>
          <w:szCs w:val="24"/>
          <w:highlight w:val="none"/>
          <w:lang w:val="en-US" w:eastAsia="zh-CN"/>
        </w:rPr>
      </w:pPr>
    </w:p>
    <w:sectPr>
      <w:footerReference r:id="rId8" w:type="default"/>
      <w:pgSz w:w="11906" w:h="16838"/>
      <w:pgMar w:top="1134" w:right="1417" w:bottom="1134" w:left="1417" w:header="964" w:footer="567" w:gutter="0"/>
      <w:pgBorders>
        <w:top w:val="none" w:sz="0" w:space="0"/>
        <w:left w:val="none" w:sz="0" w:space="0"/>
        <w:bottom w:val="none" w:sz="0" w:space="0"/>
        <w:right w:val="none" w:sz="0" w:space="0"/>
      </w:pgBorders>
      <w:pgNumType w:fmt="decimal"/>
      <w:cols w:space="720" w:num="1"/>
      <w:docGrid w:type="lines" w:linePitch="29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DDA61">
    <w:pPr>
      <w:pStyle w:val="11"/>
      <w:jc w:val="both"/>
      <w:rPr>
        <w:rFonts w:hint="default"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FAD16">
    <w:pPr>
      <w:pStyle w:val="11"/>
      <w:tabs>
        <w:tab w:val="clear" w:pos="4153"/>
      </w:tabs>
      <w:jc w:val="center"/>
    </w:pPr>
  </w:p>
  <w:p w14:paraId="10865B56">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BCE7A">
    <w:pPr>
      <w:pStyle w:val="11"/>
      <w:tabs>
        <w:tab w:val="clear" w:pos="4153"/>
      </w:tabs>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E24CD2">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3E24CD2">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p w14:paraId="0C29346C">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23C33">
    <w:pPr>
      <w:pStyle w:val="11"/>
      <w:tabs>
        <w:tab w:val="clear" w:pos="4153"/>
      </w:tabs>
      <w:jc w:val="center"/>
    </w:pPr>
  </w:p>
  <w:p w14:paraId="6D4262EB">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30740">
    <w:pPr>
      <w:pStyle w:val="11"/>
    </w:pPr>
  </w:p>
  <w:p w14:paraId="341B6F0D">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73072">
    <w:pPr>
      <w:pStyle w:val="12"/>
      <w:pBdr>
        <w:top w:val="none" w:color="auto" w:sz="0" w:space="0"/>
        <w:left w:val="none" w:color="auto" w:sz="0" w:space="0"/>
        <w:bottom w:val="none" w:color="auto" w:sz="0" w:space="1"/>
        <w:right w:val="none" w:color="auto" w:sz="0" w:space="0"/>
        <w:between w:val="none" w:color="auto" w:sz="0" w:space="0"/>
      </w:pBdr>
      <w:ind w:left="7440" w:hanging="5580" w:hangingChars="3100"/>
      <w:rPr>
        <w:rFonts w:hint="default"/>
        <w:lang w:val="en-US"/>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8D7EDD"/>
    <w:multiLevelType w:val="singleLevel"/>
    <w:tmpl w:val="EF8D7EDD"/>
    <w:lvl w:ilvl="0" w:tentative="0">
      <w:start w:val="1"/>
      <w:numFmt w:val="chineseCounting"/>
      <w:suff w:val="nothing"/>
      <w:lvlText w:val="%1、"/>
      <w:lvlJc w:val="left"/>
      <w:rPr>
        <w:rFonts w:hint="eastAsia"/>
      </w:rPr>
    </w:lvl>
  </w:abstractNum>
  <w:abstractNum w:abstractNumId="1">
    <w:nsid w:val="0EC079B0"/>
    <w:multiLevelType w:val="singleLevel"/>
    <w:tmpl w:val="0EC079B0"/>
    <w:lvl w:ilvl="0" w:tentative="0">
      <w:start w:val="1"/>
      <w:numFmt w:val="decimal"/>
      <w:suff w:val="nothing"/>
      <w:lvlText w:val="%1、"/>
      <w:lvlJc w:val="left"/>
    </w:lvl>
  </w:abstractNum>
  <w:abstractNum w:abstractNumId="2">
    <w:nsid w:val="43EFD582"/>
    <w:multiLevelType w:val="singleLevel"/>
    <w:tmpl w:val="43EFD582"/>
    <w:lvl w:ilvl="0" w:tentative="0">
      <w:start w:val="3"/>
      <w:numFmt w:val="chineseCounting"/>
      <w:suff w:val="nothing"/>
      <w:lvlText w:val="第%1章、"/>
      <w:lvlJc w:val="left"/>
      <w:rPr>
        <w:rFonts w:hint="eastAsia"/>
      </w:rPr>
    </w:lvl>
  </w:abstractNum>
  <w:abstractNum w:abstractNumId="3">
    <w:nsid w:val="5F2AA49B"/>
    <w:multiLevelType w:val="singleLevel"/>
    <w:tmpl w:val="5F2AA49B"/>
    <w:lvl w:ilvl="0" w:tentative="0">
      <w:start w:val="4"/>
      <w:numFmt w:val="chineseCounting"/>
      <w:suff w:val="nothing"/>
      <w:lvlText w:val="第%1章、"/>
      <w:lvlJc w:val="left"/>
      <w:rPr>
        <w:rFonts w:hint="eastAsia"/>
      </w:rPr>
    </w:lvl>
  </w:abstractNum>
  <w:abstractNum w:abstractNumId="4">
    <w:nsid w:val="763669C7"/>
    <w:multiLevelType w:val="singleLevel"/>
    <w:tmpl w:val="763669C7"/>
    <w:lvl w:ilvl="0" w:tentative="0">
      <w:start w:val="1"/>
      <w:numFmt w:val="decimal"/>
      <w:suff w:val="nothing"/>
      <w:lvlText w:val="%1、"/>
      <w:lvlJc w:val="left"/>
    </w:lvl>
  </w:abstractNum>
  <w:abstractNum w:abstractNumId="5">
    <w:nsid w:val="7A4A40FD"/>
    <w:multiLevelType w:val="singleLevel"/>
    <w:tmpl w:val="7A4A40FD"/>
    <w:lvl w:ilvl="0" w:tentative="0">
      <w:start w:val="9"/>
      <w:numFmt w:val="chineseCounting"/>
      <w:suff w:val="nothing"/>
      <w:lvlText w:val="第%1章、"/>
      <w:lvlJc w:val="left"/>
      <w:rPr>
        <w:rFonts w:hint="eastAsia"/>
      </w:rPr>
    </w:lvl>
  </w:abstractNum>
  <w:num w:numId="1">
    <w:abstractNumId w:val="3"/>
  </w:num>
  <w:num w:numId="2">
    <w:abstractNumId w:val="2"/>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251"/>
  <w:drawingGridVerticalSpacing w:val="200"/>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3NTFiODhkYmZlNzk3ZjM0OThiZWE0NTIwOGJkZGMifQ=="/>
  </w:docVars>
  <w:rsids>
    <w:rsidRoot w:val="00025001"/>
    <w:rsid w:val="00025001"/>
    <w:rsid w:val="000A5AFF"/>
    <w:rsid w:val="001209F2"/>
    <w:rsid w:val="00286026"/>
    <w:rsid w:val="002A735F"/>
    <w:rsid w:val="003475AB"/>
    <w:rsid w:val="00434A2E"/>
    <w:rsid w:val="005A7776"/>
    <w:rsid w:val="007B32E9"/>
    <w:rsid w:val="007D7711"/>
    <w:rsid w:val="008E46A7"/>
    <w:rsid w:val="0095706D"/>
    <w:rsid w:val="00A831AD"/>
    <w:rsid w:val="00A922CD"/>
    <w:rsid w:val="00AE1BF4"/>
    <w:rsid w:val="00B43E7D"/>
    <w:rsid w:val="00B52C35"/>
    <w:rsid w:val="00BD49C7"/>
    <w:rsid w:val="00BD613C"/>
    <w:rsid w:val="00BE1096"/>
    <w:rsid w:val="00C251A9"/>
    <w:rsid w:val="00C470E6"/>
    <w:rsid w:val="00D20D14"/>
    <w:rsid w:val="00DB32B3"/>
    <w:rsid w:val="00EC5141"/>
    <w:rsid w:val="00F136BC"/>
    <w:rsid w:val="00F211EF"/>
    <w:rsid w:val="00FA5508"/>
    <w:rsid w:val="010C7EB2"/>
    <w:rsid w:val="012E56C8"/>
    <w:rsid w:val="014C6B51"/>
    <w:rsid w:val="01A278D2"/>
    <w:rsid w:val="01B5477F"/>
    <w:rsid w:val="01BE3459"/>
    <w:rsid w:val="01FF3E3C"/>
    <w:rsid w:val="02CD0E37"/>
    <w:rsid w:val="03015FF9"/>
    <w:rsid w:val="0351744F"/>
    <w:rsid w:val="03CD4413"/>
    <w:rsid w:val="03DF1016"/>
    <w:rsid w:val="03F22DF6"/>
    <w:rsid w:val="04147D3C"/>
    <w:rsid w:val="043A1ADB"/>
    <w:rsid w:val="04A14D04"/>
    <w:rsid w:val="04FD07F4"/>
    <w:rsid w:val="053743BB"/>
    <w:rsid w:val="05382BA4"/>
    <w:rsid w:val="057F66D3"/>
    <w:rsid w:val="0598312B"/>
    <w:rsid w:val="05A0746B"/>
    <w:rsid w:val="06141C07"/>
    <w:rsid w:val="06331B04"/>
    <w:rsid w:val="06DF204A"/>
    <w:rsid w:val="07311FDA"/>
    <w:rsid w:val="079923C4"/>
    <w:rsid w:val="07FA40B0"/>
    <w:rsid w:val="0875481A"/>
    <w:rsid w:val="087813B8"/>
    <w:rsid w:val="08F90B8D"/>
    <w:rsid w:val="09505DD9"/>
    <w:rsid w:val="09546002"/>
    <w:rsid w:val="097923A2"/>
    <w:rsid w:val="09B96D64"/>
    <w:rsid w:val="09FC5631"/>
    <w:rsid w:val="0A9D041D"/>
    <w:rsid w:val="0AC27EC0"/>
    <w:rsid w:val="0AC52159"/>
    <w:rsid w:val="0ACF2E2D"/>
    <w:rsid w:val="0B1B7535"/>
    <w:rsid w:val="0B6947A3"/>
    <w:rsid w:val="0BD275B3"/>
    <w:rsid w:val="0C0D4DBB"/>
    <w:rsid w:val="0C8F1839"/>
    <w:rsid w:val="0CA84E57"/>
    <w:rsid w:val="0CEC4139"/>
    <w:rsid w:val="0D72469C"/>
    <w:rsid w:val="0D9B0737"/>
    <w:rsid w:val="0DE11A56"/>
    <w:rsid w:val="0E103CB0"/>
    <w:rsid w:val="0E7262FB"/>
    <w:rsid w:val="0EA82780"/>
    <w:rsid w:val="0ED86C4D"/>
    <w:rsid w:val="0F137D29"/>
    <w:rsid w:val="0F21613C"/>
    <w:rsid w:val="0F942EE7"/>
    <w:rsid w:val="0F94489A"/>
    <w:rsid w:val="0FB758CE"/>
    <w:rsid w:val="0FC5251C"/>
    <w:rsid w:val="0FDF2A53"/>
    <w:rsid w:val="10285680"/>
    <w:rsid w:val="107F0451"/>
    <w:rsid w:val="10AE5E6E"/>
    <w:rsid w:val="10ED7A07"/>
    <w:rsid w:val="110235F3"/>
    <w:rsid w:val="11366CA5"/>
    <w:rsid w:val="11DC67F2"/>
    <w:rsid w:val="11E834D9"/>
    <w:rsid w:val="11EB0069"/>
    <w:rsid w:val="12160490"/>
    <w:rsid w:val="121A01BD"/>
    <w:rsid w:val="121A30A8"/>
    <w:rsid w:val="12D004D8"/>
    <w:rsid w:val="12E7518D"/>
    <w:rsid w:val="137022C1"/>
    <w:rsid w:val="13743CE5"/>
    <w:rsid w:val="141111CF"/>
    <w:rsid w:val="14E214A6"/>
    <w:rsid w:val="14EC748E"/>
    <w:rsid w:val="15B61DBE"/>
    <w:rsid w:val="16C93AC8"/>
    <w:rsid w:val="16F2155A"/>
    <w:rsid w:val="1778386B"/>
    <w:rsid w:val="177B6D4C"/>
    <w:rsid w:val="17843F81"/>
    <w:rsid w:val="17FB5D09"/>
    <w:rsid w:val="182058E9"/>
    <w:rsid w:val="183578DA"/>
    <w:rsid w:val="18916E32"/>
    <w:rsid w:val="18AC642C"/>
    <w:rsid w:val="18BB1432"/>
    <w:rsid w:val="18F51424"/>
    <w:rsid w:val="192577D6"/>
    <w:rsid w:val="19454C98"/>
    <w:rsid w:val="19652123"/>
    <w:rsid w:val="19A37420"/>
    <w:rsid w:val="19DB3856"/>
    <w:rsid w:val="19DF6B20"/>
    <w:rsid w:val="1A0B0EF4"/>
    <w:rsid w:val="1A3A7062"/>
    <w:rsid w:val="1A6F7A54"/>
    <w:rsid w:val="1A833C60"/>
    <w:rsid w:val="1AC15A62"/>
    <w:rsid w:val="1AD07A33"/>
    <w:rsid w:val="1AE01026"/>
    <w:rsid w:val="1B185449"/>
    <w:rsid w:val="1B7C71F8"/>
    <w:rsid w:val="1B871442"/>
    <w:rsid w:val="1B9A43DE"/>
    <w:rsid w:val="1B9D05A6"/>
    <w:rsid w:val="1C043682"/>
    <w:rsid w:val="1CA4563B"/>
    <w:rsid w:val="1CB46CA3"/>
    <w:rsid w:val="1CEF581C"/>
    <w:rsid w:val="1D1A76AB"/>
    <w:rsid w:val="1D3F7112"/>
    <w:rsid w:val="1D47493B"/>
    <w:rsid w:val="1D916C2F"/>
    <w:rsid w:val="1DA4247A"/>
    <w:rsid w:val="1DCA1A83"/>
    <w:rsid w:val="1DD1573E"/>
    <w:rsid w:val="1DD35103"/>
    <w:rsid w:val="1E2373FB"/>
    <w:rsid w:val="1E7E3C6A"/>
    <w:rsid w:val="1E860D9F"/>
    <w:rsid w:val="1E9D505C"/>
    <w:rsid w:val="1EA20BC4"/>
    <w:rsid w:val="1EBB6C6C"/>
    <w:rsid w:val="1EEC32CA"/>
    <w:rsid w:val="1F1B355A"/>
    <w:rsid w:val="1F2C1BFD"/>
    <w:rsid w:val="1FFB0AC9"/>
    <w:rsid w:val="202D76F6"/>
    <w:rsid w:val="20817DA0"/>
    <w:rsid w:val="20A80C98"/>
    <w:rsid w:val="20C06D5C"/>
    <w:rsid w:val="20F30E22"/>
    <w:rsid w:val="21555B19"/>
    <w:rsid w:val="219818BA"/>
    <w:rsid w:val="22796BFD"/>
    <w:rsid w:val="22A769EC"/>
    <w:rsid w:val="23362D65"/>
    <w:rsid w:val="233B564C"/>
    <w:rsid w:val="2352650A"/>
    <w:rsid w:val="23BC5F31"/>
    <w:rsid w:val="23C14D25"/>
    <w:rsid w:val="23C53511"/>
    <w:rsid w:val="25293063"/>
    <w:rsid w:val="2583298F"/>
    <w:rsid w:val="25E74D7D"/>
    <w:rsid w:val="25F413E1"/>
    <w:rsid w:val="26192BF6"/>
    <w:rsid w:val="261C27DB"/>
    <w:rsid w:val="2679171D"/>
    <w:rsid w:val="26995774"/>
    <w:rsid w:val="275F746C"/>
    <w:rsid w:val="28CE7583"/>
    <w:rsid w:val="28DB430E"/>
    <w:rsid w:val="28E45A35"/>
    <w:rsid w:val="28E54C61"/>
    <w:rsid w:val="294E6EF9"/>
    <w:rsid w:val="29DF4157"/>
    <w:rsid w:val="29EA1A1B"/>
    <w:rsid w:val="29F56D7D"/>
    <w:rsid w:val="2A293195"/>
    <w:rsid w:val="2A500FBC"/>
    <w:rsid w:val="2A522B7B"/>
    <w:rsid w:val="2A592940"/>
    <w:rsid w:val="2ADE4D5C"/>
    <w:rsid w:val="2ADF6D09"/>
    <w:rsid w:val="2AFB3BD4"/>
    <w:rsid w:val="2B4A270E"/>
    <w:rsid w:val="2B720248"/>
    <w:rsid w:val="2B897FFB"/>
    <w:rsid w:val="2B8B7415"/>
    <w:rsid w:val="2B9920E3"/>
    <w:rsid w:val="2C203CD4"/>
    <w:rsid w:val="2C547D2A"/>
    <w:rsid w:val="2C694A8A"/>
    <w:rsid w:val="2C925505"/>
    <w:rsid w:val="2D136E35"/>
    <w:rsid w:val="2DBC057A"/>
    <w:rsid w:val="2DC7548F"/>
    <w:rsid w:val="2F032F00"/>
    <w:rsid w:val="2F355456"/>
    <w:rsid w:val="2F4259AF"/>
    <w:rsid w:val="2F8D55A0"/>
    <w:rsid w:val="2FAA0D63"/>
    <w:rsid w:val="300B6706"/>
    <w:rsid w:val="30463DFD"/>
    <w:rsid w:val="30BF58FF"/>
    <w:rsid w:val="310B75DF"/>
    <w:rsid w:val="31162B39"/>
    <w:rsid w:val="31214DEB"/>
    <w:rsid w:val="31B62CE2"/>
    <w:rsid w:val="31CD49E7"/>
    <w:rsid w:val="31D66ED8"/>
    <w:rsid w:val="326D6BB5"/>
    <w:rsid w:val="32A5605C"/>
    <w:rsid w:val="3324097C"/>
    <w:rsid w:val="332478C9"/>
    <w:rsid w:val="3327360B"/>
    <w:rsid w:val="33B77665"/>
    <w:rsid w:val="33FE725E"/>
    <w:rsid w:val="348A4CBF"/>
    <w:rsid w:val="34C825A4"/>
    <w:rsid w:val="353C0C04"/>
    <w:rsid w:val="353E1A6B"/>
    <w:rsid w:val="35545C35"/>
    <w:rsid w:val="355611D5"/>
    <w:rsid w:val="3586192A"/>
    <w:rsid w:val="35D66304"/>
    <w:rsid w:val="361A0413"/>
    <w:rsid w:val="368B12D5"/>
    <w:rsid w:val="368C63CE"/>
    <w:rsid w:val="369E3C3F"/>
    <w:rsid w:val="370A20E7"/>
    <w:rsid w:val="37786936"/>
    <w:rsid w:val="3814157F"/>
    <w:rsid w:val="3882469C"/>
    <w:rsid w:val="38DA238F"/>
    <w:rsid w:val="38FC1BB3"/>
    <w:rsid w:val="39041A03"/>
    <w:rsid w:val="398131E5"/>
    <w:rsid w:val="399807B0"/>
    <w:rsid w:val="3A0948D8"/>
    <w:rsid w:val="3A2739C9"/>
    <w:rsid w:val="3A452773"/>
    <w:rsid w:val="3A52627F"/>
    <w:rsid w:val="3A727ACC"/>
    <w:rsid w:val="3AF928F0"/>
    <w:rsid w:val="3B5D08E5"/>
    <w:rsid w:val="3B656424"/>
    <w:rsid w:val="3B7051B6"/>
    <w:rsid w:val="3B864DE0"/>
    <w:rsid w:val="3B9623FB"/>
    <w:rsid w:val="3BEC625F"/>
    <w:rsid w:val="3C0722D8"/>
    <w:rsid w:val="3C1E5AFE"/>
    <w:rsid w:val="3C57338C"/>
    <w:rsid w:val="3C8D68E8"/>
    <w:rsid w:val="3CD3634D"/>
    <w:rsid w:val="3CD51823"/>
    <w:rsid w:val="3D084D0F"/>
    <w:rsid w:val="3D9A6290"/>
    <w:rsid w:val="3DAB4FDE"/>
    <w:rsid w:val="3DBE14EA"/>
    <w:rsid w:val="3DE85332"/>
    <w:rsid w:val="3E4B556A"/>
    <w:rsid w:val="3E93234F"/>
    <w:rsid w:val="3EA6303D"/>
    <w:rsid w:val="3EBB3CDD"/>
    <w:rsid w:val="3EF7710B"/>
    <w:rsid w:val="3F4D56A6"/>
    <w:rsid w:val="40046347"/>
    <w:rsid w:val="40895C4E"/>
    <w:rsid w:val="408D62A1"/>
    <w:rsid w:val="412E4E35"/>
    <w:rsid w:val="41781369"/>
    <w:rsid w:val="41B9635C"/>
    <w:rsid w:val="41CF417E"/>
    <w:rsid w:val="422D1FC9"/>
    <w:rsid w:val="4273078A"/>
    <w:rsid w:val="428D3A06"/>
    <w:rsid w:val="43025CBC"/>
    <w:rsid w:val="4334230D"/>
    <w:rsid w:val="43354D8C"/>
    <w:rsid w:val="43FF00D6"/>
    <w:rsid w:val="4404045E"/>
    <w:rsid w:val="44381A89"/>
    <w:rsid w:val="447501C4"/>
    <w:rsid w:val="44912FA7"/>
    <w:rsid w:val="44E81017"/>
    <w:rsid w:val="44F029D1"/>
    <w:rsid w:val="44F40CBA"/>
    <w:rsid w:val="44FE3A61"/>
    <w:rsid w:val="45071A4E"/>
    <w:rsid w:val="45956B5E"/>
    <w:rsid w:val="45A51153"/>
    <w:rsid w:val="45B81709"/>
    <w:rsid w:val="463769BF"/>
    <w:rsid w:val="46B66477"/>
    <w:rsid w:val="46DF1C58"/>
    <w:rsid w:val="474B4782"/>
    <w:rsid w:val="47DB5B06"/>
    <w:rsid w:val="485B46B5"/>
    <w:rsid w:val="48BF48B3"/>
    <w:rsid w:val="49BE170B"/>
    <w:rsid w:val="49CB3A7D"/>
    <w:rsid w:val="4A0866F4"/>
    <w:rsid w:val="4A447517"/>
    <w:rsid w:val="4AB1083D"/>
    <w:rsid w:val="4AD6659C"/>
    <w:rsid w:val="4AFD10CF"/>
    <w:rsid w:val="4B2117E7"/>
    <w:rsid w:val="4B3F3D79"/>
    <w:rsid w:val="4B6A76C6"/>
    <w:rsid w:val="4C26699F"/>
    <w:rsid w:val="4C875737"/>
    <w:rsid w:val="4C8C1685"/>
    <w:rsid w:val="4CCA75A3"/>
    <w:rsid w:val="4E2D421F"/>
    <w:rsid w:val="4E433CEC"/>
    <w:rsid w:val="4E982EAA"/>
    <w:rsid w:val="4EB15812"/>
    <w:rsid w:val="4EC46B58"/>
    <w:rsid w:val="4EC820CD"/>
    <w:rsid w:val="4ED57144"/>
    <w:rsid w:val="4ED8228F"/>
    <w:rsid w:val="4EE053D9"/>
    <w:rsid w:val="4F0C722E"/>
    <w:rsid w:val="4F125FD2"/>
    <w:rsid w:val="4F5167AE"/>
    <w:rsid w:val="4FF27E90"/>
    <w:rsid w:val="500D5F35"/>
    <w:rsid w:val="501613E3"/>
    <w:rsid w:val="50AB4931"/>
    <w:rsid w:val="50AE3BE8"/>
    <w:rsid w:val="50B84F2E"/>
    <w:rsid w:val="50FA3867"/>
    <w:rsid w:val="50FD1E93"/>
    <w:rsid w:val="510533E6"/>
    <w:rsid w:val="51B16810"/>
    <w:rsid w:val="51C90A99"/>
    <w:rsid w:val="521C5E2F"/>
    <w:rsid w:val="525449C3"/>
    <w:rsid w:val="52A122C0"/>
    <w:rsid w:val="52BE7665"/>
    <w:rsid w:val="532006E4"/>
    <w:rsid w:val="53410BB6"/>
    <w:rsid w:val="53D83690"/>
    <w:rsid w:val="53DC77A0"/>
    <w:rsid w:val="540C5299"/>
    <w:rsid w:val="54270AD4"/>
    <w:rsid w:val="5476084D"/>
    <w:rsid w:val="54E219D3"/>
    <w:rsid w:val="5538530A"/>
    <w:rsid w:val="55D607A0"/>
    <w:rsid w:val="56095241"/>
    <w:rsid w:val="565D0A91"/>
    <w:rsid w:val="565D57D6"/>
    <w:rsid w:val="567B1494"/>
    <w:rsid w:val="56F65547"/>
    <w:rsid w:val="57BA117B"/>
    <w:rsid w:val="57C427F9"/>
    <w:rsid w:val="58022858"/>
    <w:rsid w:val="58A80170"/>
    <w:rsid w:val="58AE4ED2"/>
    <w:rsid w:val="58F95A13"/>
    <w:rsid w:val="59056513"/>
    <w:rsid w:val="591A2206"/>
    <w:rsid w:val="59270BD0"/>
    <w:rsid w:val="592F008A"/>
    <w:rsid w:val="59382CC8"/>
    <w:rsid w:val="598002BB"/>
    <w:rsid w:val="59885F30"/>
    <w:rsid w:val="59FC4BAE"/>
    <w:rsid w:val="5A0332E8"/>
    <w:rsid w:val="5A0F476F"/>
    <w:rsid w:val="5A7804B1"/>
    <w:rsid w:val="5A7B2EFD"/>
    <w:rsid w:val="5A991E41"/>
    <w:rsid w:val="5B2C4BE8"/>
    <w:rsid w:val="5B8660CB"/>
    <w:rsid w:val="5BDF48AB"/>
    <w:rsid w:val="5BF45FB7"/>
    <w:rsid w:val="5CAE3B9E"/>
    <w:rsid w:val="5D107B49"/>
    <w:rsid w:val="5D1259D0"/>
    <w:rsid w:val="5D26343A"/>
    <w:rsid w:val="5D8B5462"/>
    <w:rsid w:val="5D9A343C"/>
    <w:rsid w:val="5E884692"/>
    <w:rsid w:val="5FA808CF"/>
    <w:rsid w:val="5FDA0F17"/>
    <w:rsid w:val="60586A5F"/>
    <w:rsid w:val="609F0CD0"/>
    <w:rsid w:val="60E874EF"/>
    <w:rsid w:val="6190314E"/>
    <w:rsid w:val="61C34B56"/>
    <w:rsid w:val="62872A91"/>
    <w:rsid w:val="63F40F8B"/>
    <w:rsid w:val="64252FBD"/>
    <w:rsid w:val="65360A6D"/>
    <w:rsid w:val="65457769"/>
    <w:rsid w:val="65567220"/>
    <w:rsid w:val="65705D29"/>
    <w:rsid w:val="65AC17CB"/>
    <w:rsid w:val="65D242C5"/>
    <w:rsid w:val="65F3145D"/>
    <w:rsid w:val="66E43979"/>
    <w:rsid w:val="66E47647"/>
    <w:rsid w:val="678278F4"/>
    <w:rsid w:val="678C54D7"/>
    <w:rsid w:val="67A26ECE"/>
    <w:rsid w:val="67A6798B"/>
    <w:rsid w:val="67BB39B7"/>
    <w:rsid w:val="67C6126F"/>
    <w:rsid w:val="67FF2CF3"/>
    <w:rsid w:val="68190523"/>
    <w:rsid w:val="68A75F5D"/>
    <w:rsid w:val="6A9B2DC0"/>
    <w:rsid w:val="6AA15C08"/>
    <w:rsid w:val="6B146AB5"/>
    <w:rsid w:val="6B2111D2"/>
    <w:rsid w:val="6B3B3270"/>
    <w:rsid w:val="6B965C1C"/>
    <w:rsid w:val="6BF670AD"/>
    <w:rsid w:val="6C3927BD"/>
    <w:rsid w:val="6C7A7414"/>
    <w:rsid w:val="6C9F6CD6"/>
    <w:rsid w:val="6CB6267C"/>
    <w:rsid w:val="6CD35796"/>
    <w:rsid w:val="6D1807A7"/>
    <w:rsid w:val="6D19750C"/>
    <w:rsid w:val="6D1B3755"/>
    <w:rsid w:val="6D2B6338"/>
    <w:rsid w:val="6D2C5DA0"/>
    <w:rsid w:val="6D8C1B38"/>
    <w:rsid w:val="6D8D2B4F"/>
    <w:rsid w:val="6D9F55EE"/>
    <w:rsid w:val="6DB30807"/>
    <w:rsid w:val="6E361585"/>
    <w:rsid w:val="6E8B1BFD"/>
    <w:rsid w:val="6EE41555"/>
    <w:rsid w:val="6F0529EB"/>
    <w:rsid w:val="6F2117AA"/>
    <w:rsid w:val="6F35349E"/>
    <w:rsid w:val="6FA94FEE"/>
    <w:rsid w:val="6FAE1191"/>
    <w:rsid w:val="6FB10FA9"/>
    <w:rsid w:val="701078D1"/>
    <w:rsid w:val="7012146B"/>
    <w:rsid w:val="704532D1"/>
    <w:rsid w:val="70612227"/>
    <w:rsid w:val="707F70C6"/>
    <w:rsid w:val="70B70425"/>
    <w:rsid w:val="71067D66"/>
    <w:rsid w:val="712607ED"/>
    <w:rsid w:val="718864E0"/>
    <w:rsid w:val="72084E9A"/>
    <w:rsid w:val="72337927"/>
    <w:rsid w:val="725128B4"/>
    <w:rsid w:val="7293150A"/>
    <w:rsid w:val="72C37897"/>
    <w:rsid w:val="731B4759"/>
    <w:rsid w:val="734C3727"/>
    <w:rsid w:val="73683E42"/>
    <w:rsid w:val="737A27F6"/>
    <w:rsid w:val="738B2EBD"/>
    <w:rsid w:val="73BD7E7B"/>
    <w:rsid w:val="73BE1E84"/>
    <w:rsid w:val="74095699"/>
    <w:rsid w:val="74824F12"/>
    <w:rsid w:val="74DD2114"/>
    <w:rsid w:val="74F108C5"/>
    <w:rsid w:val="755F4C1E"/>
    <w:rsid w:val="75965811"/>
    <w:rsid w:val="75AB44BA"/>
    <w:rsid w:val="763D2CF2"/>
    <w:rsid w:val="7661275A"/>
    <w:rsid w:val="76796AE1"/>
    <w:rsid w:val="769B0B51"/>
    <w:rsid w:val="770E4D00"/>
    <w:rsid w:val="774805F3"/>
    <w:rsid w:val="77C550E7"/>
    <w:rsid w:val="789D4886"/>
    <w:rsid w:val="79136A7D"/>
    <w:rsid w:val="797931C4"/>
    <w:rsid w:val="798C0D4C"/>
    <w:rsid w:val="7996460E"/>
    <w:rsid w:val="79B76B9D"/>
    <w:rsid w:val="79C83FBF"/>
    <w:rsid w:val="79D561FF"/>
    <w:rsid w:val="79DA154C"/>
    <w:rsid w:val="7A1F1CBC"/>
    <w:rsid w:val="7AC1208A"/>
    <w:rsid w:val="7AC9486D"/>
    <w:rsid w:val="7B0501C8"/>
    <w:rsid w:val="7B694488"/>
    <w:rsid w:val="7BC929DE"/>
    <w:rsid w:val="7BC96D6C"/>
    <w:rsid w:val="7C0D3335"/>
    <w:rsid w:val="7C342FC9"/>
    <w:rsid w:val="7C7E3334"/>
    <w:rsid w:val="7C8A42CD"/>
    <w:rsid w:val="7D893333"/>
    <w:rsid w:val="7DB3561E"/>
    <w:rsid w:val="7DD3016E"/>
    <w:rsid w:val="7EB7216A"/>
    <w:rsid w:val="7EC7253A"/>
    <w:rsid w:val="7ED517DC"/>
    <w:rsid w:val="7EFD6CF6"/>
    <w:rsid w:val="7F0D3AEF"/>
    <w:rsid w:val="7F374BF8"/>
    <w:rsid w:val="7F7654E2"/>
    <w:rsid w:val="7F7B6319"/>
    <w:rsid w:val="7FB97250"/>
    <w:rsid w:val="7FD4205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723" w:name="Default Paragraph Font"/>
    <w:lsdException w:qFormat="1" w:unhideWhenUsed="0" w:uiPriority="1624" w:semiHidden="0" w:name="Body Text"/>
    <w:lsdException w:qFormat="1" w:unhideWhenUsed="0" w:uiPriority="1624"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1624"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4"/>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9">
    <w:name w:val="Default Paragraph Font"/>
    <w:semiHidden/>
    <w:qFormat/>
    <w:uiPriority w:val="1723"/>
  </w:style>
  <w:style w:type="table" w:default="1" w:styleId="1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624"/>
    <w:pPr>
      <w:spacing w:line="360" w:lineRule="auto"/>
      <w:ind w:right="72"/>
    </w:pPr>
    <w:rPr>
      <w:sz w:val="24"/>
      <w:szCs w:val="24"/>
    </w:rPr>
  </w:style>
  <w:style w:type="paragraph" w:styleId="5">
    <w:name w:val="annotation text"/>
    <w:basedOn w:val="1"/>
    <w:qFormat/>
    <w:uiPriority w:val="0"/>
    <w:pPr>
      <w:jc w:val="left"/>
    </w:pPr>
  </w:style>
  <w:style w:type="paragraph" w:styleId="6">
    <w:name w:val="Body Text Indent"/>
    <w:basedOn w:val="1"/>
    <w:qFormat/>
    <w:uiPriority w:val="1624"/>
    <w:pPr>
      <w:ind w:firstLine="525"/>
      <w:jc w:val="left"/>
    </w:pPr>
    <w:rPr>
      <w:rFonts w:ascii="宋体"/>
      <w:sz w:val="28"/>
    </w:rPr>
  </w:style>
  <w:style w:type="paragraph" w:styleId="7">
    <w:name w:val="Plain Text"/>
    <w:basedOn w:val="1"/>
    <w:qFormat/>
    <w:uiPriority w:val="0"/>
    <w:pPr>
      <w:spacing w:line="240" w:lineRule="auto"/>
      <w:ind w:firstLine="0" w:firstLineChars="0"/>
    </w:pPr>
    <w:rPr>
      <w:rFonts w:ascii="宋体" w:hAnsi="Courier New" w:eastAsia="宋体" w:cs="Courier New"/>
      <w:sz w:val="21"/>
      <w:szCs w:val="21"/>
    </w:rPr>
  </w:style>
  <w:style w:type="paragraph" w:styleId="8">
    <w:name w:val="Date"/>
    <w:basedOn w:val="1"/>
    <w:next w:val="1"/>
    <w:qFormat/>
    <w:uiPriority w:val="0"/>
    <w:rPr>
      <w:sz w:val="28"/>
    </w:rPr>
  </w:style>
  <w:style w:type="paragraph" w:styleId="9">
    <w:name w:val="Body Text Indent 2"/>
    <w:basedOn w:val="1"/>
    <w:qFormat/>
    <w:uiPriority w:val="1624"/>
    <w:pPr>
      <w:spacing w:line="360" w:lineRule="auto"/>
      <w:ind w:left="500" w:leftChars="182" w:firstLine="23"/>
    </w:pPr>
    <w:rPr>
      <w:rFonts w:ascii="幼圆" w:eastAsia="幼圆"/>
      <w:sz w:val="24"/>
    </w:rPr>
  </w:style>
  <w:style w:type="paragraph" w:styleId="10">
    <w:name w:val="Balloon Text"/>
    <w:basedOn w:val="1"/>
    <w:link w:val="22"/>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2"/>
    <w:basedOn w:val="6"/>
    <w:qFormat/>
    <w:uiPriority w:val="0"/>
    <w:pPr>
      <w:tabs>
        <w:tab w:val="left" w:pos="-116"/>
        <w:tab w:val="left" w:pos="420"/>
      </w:tabs>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basedOn w:val="19"/>
    <w:qFormat/>
    <w:uiPriority w:val="0"/>
    <w:rPr>
      <w:color w:val="000000"/>
      <w:u w:val="single"/>
    </w:rPr>
  </w:style>
  <w:style w:type="character" w:customStyle="1" w:styleId="22">
    <w:name w:val="批注框文本 Char"/>
    <w:basedOn w:val="19"/>
    <w:link w:val="10"/>
    <w:qFormat/>
    <w:uiPriority w:val="0"/>
    <w:rPr>
      <w:kern w:val="2"/>
      <w:sz w:val="18"/>
      <w:szCs w:val="18"/>
    </w:rPr>
  </w:style>
  <w:style w:type="character" w:customStyle="1" w:styleId="23">
    <w:name w:val="绿色动力 大标题"/>
    <w:basedOn w:val="19"/>
    <w:qFormat/>
    <w:uiPriority w:val="0"/>
    <w:rPr>
      <w:rFonts w:hint="default" w:ascii="Calibri" w:hAnsi="Calibri" w:eastAsia="仿宋_GB2312"/>
      <w:b/>
      <w:sz w:val="30"/>
    </w:rPr>
  </w:style>
  <w:style w:type="character" w:customStyle="1" w:styleId="24">
    <w:name w:val="绿色动力 二级标题"/>
    <w:basedOn w:val="19"/>
    <w:qFormat/>
    <w:uiPriority w:val="0"/>
    <w:rPr>
      <w:rFonts w:hint="default" w:ascii="Calibri" w:hAnsi="Calibri" w:eastAsia="仿宋_GB2312"/>
      <w:b/>
      <w:sz w:val="24"/>
    </w:rPr>
  </w:style>
  <w:style w:type="paragraph" w:customStyle="1" w:styleId="25">
    <w:name w:val="WPSOffice手动目录 1"/>
    <w:qFormat/>
    <w:uiPriority w:val="0"/>
    <w:rPr>
      <w:rFonts w:ascii="Times New Roman" w:hAnsi="Times New Roman" w:eastAsia="宋体" w:cs="Times New Roman"/>
      <w:lang w:val="en-US" w:eastAsia="zh-CN" w:bidi="ar-SA"/>
    </w:rPr>
  </w:style>
  <w:style w:type="paragraph" w:customStyle="1" w:styleId="26">
    <w:name w:val="WPSOffice手动目录 2"/>
    <w:qFormat/>
    <w:uiPriority w:val="0"/>
    <w:pPr>
      <w:ind w:leftChars="200"/>
    </w:pPr>
    <w:rPr>
      <w:rFonts w:ascii="Times New Roman" w:hAnsi="Times New Roman" w:eastAsia="宋体" w:cs="Times New Roman"/>
      <w:lang w:val="en-US" w:eastAsia="zh-CN" w:bidi="ar-SA"/>
    </w:rPr>
  </w:style>
  <w:style w:type="character" w:customStyle="1" w:styleId="27">
    <w:name w:val="font31"/>
    <w:basedOn w:val="19"/>
    <w:qFormat/>
    <w:uiPriority w:val="0"/>
    <w:rPr>
      <w:rFonts w:hint="eastAsia" w:ascii="宋体" w:hAnsi="宋体" w:eastAsia="宋体" w:cs="宋体"/>
      <w:color w:val="000000"/>
      <w:sz w:val="20"/>
      <w:szCs w:val="20"/>
      <w:u w:val="none"/>
    </w:rPr>
  </w:style>
  <w:style w:type="character" w:customStyle="1" w:styleId="28">
    <w:name w:val="font21"/>
    <w:qFormat/>
    <w:uiPriority w:val="0"/>
    <w:rPr>
      <w:rFonts w:hint="eastAsia" w:ascii="宋体" w:hAnsi="宋体" w:eastAsia="宋体" w:cs="宋体"/>
      <w:color w:val="000000"/>
      <w:sz w:val="20"/>
      <w:szCs w:val="20"/>
      <w:u w:val="none"/>
    </w:rPr>
  </w:style>
  <w:style w:type="character" w:customStyle="1" w:styleId="29">
    <w:name w:val="font51"/>
    <w:basedOn w:val="19"/>
    <w:qFormat/>
    <w:uiPriority w:val="0"/>
    <w:rPr>
      <w:rFonts w:hint="eastAsia" w:ascii="宋体" w:hAnsi="宋体" w:eastAsia="宋体" w:cs="宋体"/>
      <w:color w:val="000000"/>
      <w:sz w:val="20"/>
      <w:szCs w:val="20"/>
      <w:u w:val="single"/>
    </w:rPr>
  </w:style>
  <w:style w:type="table" w:customStyle="1" w:styleId="3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cob</Company>
  <Pages>59</Pages>
  <Words>30268</Words>
  <Characters>31942</Characters>
  <Lines>22</Lines>
  <Paragraphs>6</Paragraphs>
  <TotalTime>3</TotalTime>
  <ScaleCrop>false</ScaleCrop>
  <LinksUpToDate>false</LinksUpToDate>
  <CharactersWithSpaces>33135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2003-08-19T13:21:00Z</dcterms:created>
  <dc:creator>梁春宁</dc:creator>
  <cp:lastModifiedBy>招采中心2</cp:lastModifiedBy>
  <cp:lastPrinted>2024-11-14T08:11:00Z</cp:lastPrinted>
  <dcterms:modified xsi:type="dcterms:W3CDTF">2025-10-18T05:58:46Z</dcterms:modified>
  <dc:title>甲供材料结算管理办法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376AAB3DEF5A423BB7BE03003F3EF027_13</vt:lpwstr>
  </property>
  <property fmtid="{D5CDD505-2E9C-101B-9397-08002B2CF9AE}" pid="4" name="KSOTemplateDocerSaveRecord">
    <vt:lpwstr>eyJoZGlkIjoiZTZlZWQxYjNiOGQwOWQ3ZDcwYzI4ZTE0M2ZhZmIzYTgiLCJ1c2VySWQiOiIzMjYyOTIwOTcifQ==</vt:lpwstr>
  </property>
</Properties>
</file>