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B8AB">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p>
    <w:p w14:paraId="1B19B61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16172887">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5F422C0E">
      <w:pPr>
        <w:ind w:firstLine="6746" w:firstLineChars="2100"/>
        <w:jc w:val="center"/>
        <w:rPr>
          <w:rFonts w:hint="default" w:ascii="仿宋" w:hAnsi="仿宋" w:eastAsia="仿宋" w:cs="仿宋"/>
          <w:b/>
          <w:bCs/>
          <w:color w:val="FF0000"/>
          <w:sz w:val="32"/>
          <w:szCs w:val="32"/>
          <w:highlight w:val="yellow"/>
          <w:lang w:val="en-US" w:eastAsia="zh-CN"/>
        </w:rPr>
      </w:pPr>
    </w:p>
    <w:p w14:paraId="4C9F580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pPr>
      <w:r>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t>南京现代表面处理科技产业中心项目</w:t>
      </w:r>
    </w:p>
    <w:p w14:paraId="0CDEC48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pPr>
      <w:r>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t>B地块工程临时用箱变安装工程</w:t>
      </w:r>
    </w:p>
    <w:p w14:paraId="679FD8E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p>
    <w:p w14:paraId="0B0E6AD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施</w:t>
      </w:r>
    </w:p>
    <w:p w14:paraId="7E9F88B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工</w:t>
      </w:r>
    </w:p>
    <w:p w14:paraId="4E15411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合</w:t>
      </w:r>
    </w:p>
    <w:p w14:paraId="4160325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同</w:t>
      </w:r>
    </w:p>
    <w:p w14:paraId="413C25D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p w14:paraId="4799B852">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66822B4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727092C4">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合同编号： </w:t>
      </w:r>
    </w:p>
    <w:p w14:paraId="4377C77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发包</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方）：东莞市中泰建安工程有限公司</w:t>
      </w:r>
    </w:p>
    <w:p w14:paraId="4153811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乙方（承包方）：</w:t>
      </w:r>
    </w:p>
    <w:p w14:paraId="07EE6063">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签订日期：202  年</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日</w:t>
      </w:r>
    </w:p>
    <w:p w14:paraId="6CA3F04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bCs/>
          <w:color w:val="000000" w:themeColor="text1"/>
          <w:kern w:val="2"/>
          <w:sz w:val="32"/>
          <w:szCs w:val="32"/>
          <w:highlight w:val="none"/>
          <w:u w:val="none"/>
          <w:lang w:val="en-US" w:eastAsia="zh-CN" w:bidi="ar-SA"/>
          <w14:textFill>
            <w14:solidFill>
              <w14:schemeClr w14:val="tx1"/>
            </w14:solidFill>
          </w14:textFill>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签订地点：广东东莞南城。</w:t>
      </w:r>
    </w:p>
    <w:sdt>
      <w:sdtP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id w:val="147469943"/>
        <w15:color w:val="DBDBDB"/>
        <w:docPartObj>
          <w:docPartGallery w:val="Table of Contents"/>
          <w:docPartUnique/>
        </w:docPartObj>
      </w:sdtPr>
      <w:sdtEndPr>
        <w:rPr>
          <w:rFonts w:hint="eastAsia" w:ascii="仿宋" w:hAnsi="仿宋" w:eastAsia="仿宋" w:cs="仿宋"/>
          <w:b w:val="0"/>
          <w:bCs/>
          <w:i w:val="0"/>
          <w:iCs w:val="0"/>
          <w:color w:val="auto"/>
          <w:kern w:val="0"/>
          <w:sz w:val="24"/>
          <w:szCs w:val="24"/>
          <w:highlight w:val="none"/>
          <w:lang w:val="en-US" w:eastAsia="zh-CN" w:bidi="ar-SA"/>
        </w:rPr>
      </w:sdtEndPr>
      <w:sdtContent>
        <w:p w14:paraId="5E0963F7">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pPr>
        </w:p>
        <w:p w14:paraId="19CE67DC">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691A1AD6">
          <w:pPr>
            <w:spacing w:before="0" w:beforeLines="0" w:after="0" w:afterLines="0" w:line="240" w:lineRule="auto"/>
            <w:ind w:left="-619" w:leftChars="-295" w:right="-735" w:rightChars="-350" w:firstLine="0" w:firstLineChars="0"/>
            <w:jc w:val="center"/>
            <w:rPr>
              <w:rFonts w:hint="eastAsia" w:ascii="宋体" w:hAnsi="宋体" w:eastAsia="宋体" w:cs="宋体"/>
              <w:b/>
              <w:bCs/>
              <w:i w:val="0"/>
              <w:iCs w:val="0"/>
              <w:color w:val="000000" w:themeColor="text1"/>
              <w:sz w:val="44"/>
              <w:szCs w:val="44"/>
              <w:highlight w:val="none"/>
              <w14:textFill>
                <w14:solidFill>
                  <w14:schemeClr w14:val="tx1"/>
                </w14:solidFill>
              </w14:textFill>
            </w:rPr>
          </w:pPr>
          <w:r>
            <w:rPr>
              <w:rFonts w:hint="eastAsia" w:ascii="宋体" w:hAnsi="宋体" w:eastAsia="宋体" w:cs="宋体"/>
              <w:b/>
              <w:bCs/>
              <w:i w:val="0"/>
              <w:iCs w:val="0"/>
              <w:color w:val="000000" w:themeColor="text1"/>
              <w:sz w:val="44"/>
              <w:szCs w:val="44"/>
              <w:highlight w:val="none"/>
              <w14:textFill>
                <w14:solidFill>
                  <w14:schemeClr w14:val="tx1"/>
                </w14:solidFill>
              </w14:textFill>
            </w:rPr>
            <w:t>目录</w:t>
          </w:r>
        </w:p>
        <w:p w14:paraId="7DAB2FA7">
          <w:pPr>
            <w:pStyle w:val="2"/>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49FF4557">
          <w:pPr>
            <w:pStyle w:val="12"/>
            <w:tabs>
              <w:tab w:val="right" w:leader="dot" w:pos="8504"/>
            </w:tabs>
            <w:rPr>
              <w:rFonts w:hint="eastAsia" w:ascii="仿宋" w:hAnsi="仿宋" w:eastAsia="仿宋" w:cs="仿宋"/>
              <w:sz w:val="28"/>
              <w:szCs w:val="28"/>
            </w:rPr>
          </w:pPr>
          <w:r>
            <w:rPr>
              <w:rFonts w:hint="eastAsia" w:ascii="仿宋" w:hAnsi="仿宋" w:eastAsia="仿宋" w:cs="仿宋"/>
              <w:b w:val="0"/>
              <w:bCs/>
              <w:i w:val="0"/>
              <w:iCs w:val="0"/>
              <w:color w:val="auto"/>
              <w:kern w:val="0"/>
              <w:sz w:val="28"/>
              <w:szCs w:val="28"/>
              <w:highlight w:val="none"/>
            </w:rPr>
            <w:fldChar w:fldCharType="begin"/>
          </w:r>
          <w:r>
            <w:rPr>
              <w:rFonts w:hint="eastAsia" w:ascii="仿宋" w:hAnsi="仿宋" w:eastAsia="仿宋" w:cs="仿宋"/>
              <w:b w:val="0"/>
              <w:bCs/>
              <w:i w:val="0"/>
              <w:iCs w:val="0"/>
              <w:color w:val="auto"/>
              <w:kern w:val="0"/>
              <w:sz w:val="28"/>
              <w:szCs w:val="28"/>
              <w:highlight w:val="none"/>
            </w:rPr>
            <w:instrText xml:space="preserve">TOC \o "1-1" \h \u </w:instrText>
          </w:r>
          <w:r>
            <w:rPr>
              <w:rFonts w:hint="eastAsia" w:ascii="仿宋" w:hAnsi="仿宋" w:eastAsia="仿宋" w:cs="仿宋"/>
              <w:b w:val="0"/>
              <w:bCs/>
              <w:i w:val="0"/>
              <w:iCs w:val="0"/>
              <w:color w:val="auto"/>
              <w:kern w:val="0"/>
              <w:sz w:val="28"/>
              <w:szCs w:val="28"/>
              <w:highlight w:val="none"/>
            </w:rPr>
            <w:fldChar w:fldCharType="separate"/>
          </w: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_Toc7587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color="auto" w:fill="auto"/>
              <w:lang w:val="en-US" w:eastAsia="zh-CN"/>
            </w:rPr>
            <w:t>第一章</w:t>
          </w:r>
          <w:r>
            <w:rPr>
              <w:rFonts w:hint="eastAsia" w:ascii="仿宋" w:hAnsi="仿宋" w:eastAsia="仿宋" w:cs="仿宋"/>
              <w:bCs/>
              <w:i w:val="0"/>
              <w:iCs w:val="0"/>
              <w:sz w:val="28"/>
              <w:szCs w:val="28"/>
              <w:highlight w:val="none"/>
              <w:shd w:val="clear" w:color="auto" w:fill="auto"/>
            </w:rPr>
            <w:t>、</w:t>
          </w:r>
          <w:r>
            <w:rPr>
              <w:rFonts w:hint="eastAsia" w:ascii="仿宋" w:hAnsi="仿宋" w:eastAsia="仿宋" w:cs="仿宋"/>
              <w:bCs/>
              <w:i w:val="0"/>
              <w:iCs w:val="0"/>
              <w:sz w:val="28"/>
              <w:szCs w:val="28"/>
              <w:highlight w:val="none"/>
              <w:shd w:val="clear" w:color="auto" w:fill="auto"/>
              <w:lang w:val="en-US" w:eastAsia="zh-CN"/>
            </w:rPr>
            <w:t xml:space="preserve"> </w:t>
          </w:r>
          <w:r>
            <w:rPr>
              <w:rFonts w:hint="eastAsia" w:ascii="仿宋" w:hAnsi="仿宋" w:eastAsia="仿宋" w:cs="仿宋"/>
              <w:bCs/>
              <w:i w:val="0"/>
              <w:iCs w:val="0"/>
              <w:sz w:val="28"/>
              <w:szCs w:val="28"/>
              <w:highlight w:val="none"/>
              <w:shd w:val="clear" w:color="auto" w:fill="auto"/>
            </w:rPr>
            <w:t>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_Toc7587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19366CD">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_Toc29814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第二章、 </w:t>
          </w:r>
          <w:r>
            <w:rPr>
              <w:rFonts w:hint="eastAsia" w:ascii="仿宋" w:hAnsi="仿宋" w:eastAsia="仿宋" w:cs="仿宋"/>
              <w:bCs/>
              <w:i w:val="0"/>
              <w:iCs w:val="0"/>
              <w:sz w:val="28"/>
              <w:szCs w:val="28"/>
              <w:highlight w:val="none"/>
              <w:shd w:val="clear" w:color="auto" w:fill="auto"/>
              <w:lang w:val="en-US" w:eastAsia="zh-CN"/>
            </w:rPr>
            <w:t>承包方式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_Toc29814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1FCD1AD">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_Toc16119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第三章、 </w:t>
          </w:r>
          <w:r>
            <w:rPr>
              <w:rFonts w:hint="eastAsia" w:ascii="仿宋" w:hAnsi="仿宋" w:eastAsia="仿宋" w:cs="仿宋"/>
              <w:bCs/>
              <w:i w:val="0"/>
              <w:iCs w:val="0"/>
              <w:sz w:val="28"/>
              <w:szCs w:val="28"/>
              <w:highlight w:val="none"/>
              <w:shd w:val="clear" w:color="auto" w:fill="auto"/>
              <w:lang w:val="en-US" w:eastAsia="zh-CN"/>
            </w:rPr>
            <w:t>乙方承包范围及主要工程内容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_Toc16119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FD21CF6">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_Toc1783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第四章、 </w:t>
          </w:r>
          <w:r>
            <w:rPr>
              <w:rFonts w:hint="eastAsia" w:ascii="仿宋" w:hAnsi="仿宋" w:eastAsia="仿宋" w:cs="仿宋"/>
              <w:bCs/>
              <w:i w:val="0"/>
              <w:iCs w:val="0"/>
              <w:sz w:val="28"/>
              <w:szCs w:val="28"/>
              <w:highlight w:val="none"/>
              <w:shd w:val="clear" w:color="auto" w:fill="auto"/>
              <w:lang w:val="en-US" w:eastAsia="zh-CN"/>
            </w:rPr>
            <w:t>工期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_Toc1783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2453826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_Toc15139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第五章、 </w:t>
          </w:r>
          <w:r>
            <w:rPr>
              <w:rFonts w:hint="eastAsia" w:ascii="仿宋" w:hAnsi="仿宋" w:eastAsia="仿宋" w:cs="仿宋"/>
              <w:bCs/>
              <w:i w:val="0"/>
              <w:iCs w:val="0"/>
              <w:sz w:val="28"/>
              <w:szCs w:val="28"/>
              <w:highlight w:val="none"/>
              <w:shd w:val="clear" w:color="auto" w:fill="auto"/>
              <w:lang w:val="en-US" w:eastAsia="zh-CN"/>
            </w:rPr>
            <w:t>工程质量标准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_Toc15139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D0AE43">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_Toc12807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第六章、 </w:t>
          </w:r>
          <w:r>
            <w:rPr>
              <w:rFonts w:hint="eastAsia" w:ascii="仿宋" w:hAnsi="仿宋" w:eastAsia="仿宋" w:cs="仿宋"/>
              <w:bCs/>
              <w:i w:val="0"/>
              <w:iCs w:val="0"/>
              <w:sz w:val="28"/>
              <w:szCs w:val="28"/>
              <w:highlight w:val="none"/>
              <w:shd w:val="clear" w:color="auto" w:fill="auto"/>
              <w:lang w:val="en-US" w:eastAsia="zh-CN"/>
            </w:rPr>
            <w:t>合同价款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_Toc12807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B85C07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_Toc11091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第七章、 </w:t>
          </w:r>
          <w:r>
            <w:rPr>
              <w:rFonts w:hint="eastAsia" w:ascii="仿宋" w:hAnsi="仿宋" w:eastAsia="仿宋" w:cs="仿宋"/>
              <w:bCs/>
              <w:i w:val="0"/>
              <w:iCs w:val="0"/>
              <w:sz w:val="28"/>
              <w:szCs w:val="28"/>
              <w:highlight w:val="none"/>
              <w:shd w:val="clear" w:color="auto" w:fill="auto"/>
              <w:lang w:val="en-US" w:eastAsia="zh-CN"/>
            </w:rPr>
            <w:t>计量计价方式及结算方式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_Toc11091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59B7252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_Toc7416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第八章、 </w:t>
          </w:r>
          <w:r>
            <w:rPr>
              <w:rFonts w:hint="eastAsia" w:ascii="仿宋" w:hAnsi="仿宋" w:eastAsia="仿宋" w:cs="仿宋"/>
              <w:bCs/>
              <w:i w:val="0"/>
              <w:iCs w:val="0"/>
              <w:sz w:val="28"/>
              <w:szCs w:val="28"/>
              <w:highlight w:val="none"/>
              <w:shd w:val="clear" w:color="auto" w:fill="auto"/>
              <w:lang w:val="en-US" w:eastAsia="zh-CN"/>
            </w:rPr>
            <w:t>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_Toc7416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5A2E1ED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_Toc2330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第九章、 </w:t>
          </w:r>
          <w:r>
            <w:rPr>
              <w:rFonts w:hint="eastAsia" w:ascii="仿宋" w:hAnsi="仿宋" w:eastAsia="仿宋" w:cs="仿宋"/>
              <w:bCs/>
              <w:i w:val="0"/>
              <w:iCs w:val="0"/>
              <w:sz w:val="28"/>
              <w:szCs w:val="28"/>
              <w:highlight w:val="none"/>
              <w:shd w:val="clear" w:color="auto" w:fill="auto"/>
              <w:lang w:val="en-US" w:eastAsia="zh-CN"/>
            </w:rPr>
            <w:t>双方责任和权利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8212C0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_Toc13428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第十章、 </w:t>
          </w:r>
          <w:r>
            <w:rPr>
              <w:rFonts w:hint="eastAsia" w:ascii="仿宋" w:hAnsi="仿宋" w:eastAsia="仿宋" w:cs="仿宋"/>
              <w:bCs/>
              <w:i w:val="0"/>
              <w:iCs w:val="0"/>
              <w:sz w:val="28"/>
              <w:szCs w:val="28"/>
              <w:highlight w:val="none"/>
              <w:shd w:val="clear" w:color="auto" w:fill="auto"/>
              <w:lang w:val="en-US" w:eastAsia="zh-CN"/>
            </w:rPr>
            <w:t>安全生产、文明施工要求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_Toc13428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BCAE5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_Toc2646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第十一章、 </w:t>
          </w:r>
          <w:r>
            <w:rPr>
              <w:rFonts w:hint="eastAsia" w:ascii="仿宋" w:hAnsi="仿宋" w:eastAsia="仿宋" w:cs="仿宋"/>
              <w:bCs/>
              <w:i w:val="0"/>
              <w:iCs w:val="0"/>
              <w:sz w:val="28"/>
              <w:szCs w:val="28"/>
              <w:highlight w:val="none"/>
              <w:shd w:val="clear" w:color="auto" w:fill="auto"/>
              <w:lang w:val="en-US" w:eastAsia="zh-CN"/>
            </w:rPr>
            <w:t>甲供材料设备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_Toc2646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73AB8A">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_Toc19282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第十二章、 </w:t>
          </w:r>
          <w:r>
            <w:rPr>
              <w:rFonts w:hint="eastAsia" w:ascii="仿宋" w:hAnsi="仿宋" w:eastAsia="仿宋" w:cs="仿宋"/>
              <w:bCs/>
              <w:i w:val="0"/>
              <w:iCs w:val="0"/>
              <w:sz w:val="28"/>
              <w:szCs w:val="28"/>
              <w:highlight w:val="none"/>
              <w:shd w:val="clear" w:color="auto" w:fill="auto"/>
              <w:lang w:val="en-US" w:eastAsia="zh-CN"/>
            </w:rPr>
            <w:t>验收及运行维护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_Toc19282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01A3E5E">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_Toc8492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第十三章、 </w:t>
          </w:r>
          <w:r>
            <w:rPr>
              <w:rFonts w:hint="eastAsia" w:ascii="仿宋" w:hAnsi="仿宋" w:eastAsia="仿宋" w:cs="仿宋"/>
              <w:bCs/>
              <w:i w:val="0"/>
              <w:iCs w:val="0"/>
              <w:sz w:val="28"/>
              <w:szCs w:val="28"/>
              <w:highlight w:val="none"/>
              <w:shd w:val="clear" w:color="auto" w:fill="auto"/>
              <w:lang w:val="en-US" w:eastAsia="zh-CN"/>
            </w:rPr>
            <w:t>保险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_Toc8492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68DC557">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_Toc29472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第十四章、 </w:t>
          </w:r>
          <w:r>
            <w:rPr>
              <w:rFonts w:hint="eastAsia" w:ascii="仿宋" w:hAnsi="仿宋" w:eastAsia="仿宋" w:cs="仿宋"/>
              <w:bCs/>
              <w:i w:val="0"/>
              <w:iCs w:val="0"/>
              <w:sz w:val="28"/>
              <w:szCs w:val="28"/>
              <w:highlight w:val="none"/>
              <w:shd w:val="clear" w:color="auto" w:fill="auto"/>
              <w:lang w:val="en-US" w:eastAsia="zh-CN"/>
            </w:rPr>
            <w:t>奖罚条款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_Toc29472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2B0F6524">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_Toc26857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第十五章、 </w:t>
          </w:r>
          <w:r>
            <w:rPr>
              <w:rFonts w:hint="eastAsia" w:ascii="仿宋" w:hAnsi="仿宋" w:eastAsia="仿宋" w:cs="仿宋"/>
              <w:bCs/>
              <w:i w:val="0"/>
              <w:iCs w:val="0"/>
              <w:sz w:val="28"/>
              <w:szCs w:val="28"/>
              <w:highlight w:val="none"/>
              <w:shd w:val="clear" w:color="auto" w:fill="auto"/>
              <w:lang w:val="en-US" w:eastAsia="zh-CN"/>
            </w:rPr>
            <w:t>违约条款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_Toc26857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A85364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_Toc21009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第十六章、 </w:t>
          </w:r>
          <w:r>
            <w:rPr>
              <w:rFonts w:hint="eastAsia" w:ascii="仿宋" w:hAnsi="仿宋" w:eastAsia="仿宋" w:cs="仿宋"/>
              <w:bCs/>
              <w:i w:val="0"/>
              <w:iCs w:val="0"/>
              <w:sz w:val="28"/>
              <w:szCs w:val="28"/>
              <w:highlight w:val="none"/>
              <w:shd w:val="clear" w:color="auto" w:fill="auto"/>
              <w:lang w:val="en-US" w:eastAsia="zh-CN"/>
            </w:rPr>
            <w:t>廉洁条款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_Toc21009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6783799F">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_Toc20161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第十七章、 </w:t>
          </w:r>
          <w:r>
            <w:rPr>
              <w:rFonts w:hint="eastAsia" w:ascii="仿宋" w:hAnsi="仿宋" w:eastAsia="仿宋" w:cs="仿宋"/>
              <w:bCs/>
              <w:i w:val="0"/>
              <w:iCs w:val="0"/>
              <w:sz w:val="28"/>
              <w:szCs w:val="28"/>
              <w:highlight w:val="none"/>
              <w:shd w:val="clear" w:color="auto" w:fill="auto"/>
              <w:lang w:val="en-US" w:eastAsia="zh-CN"/>
            </w:rPr>
            <w:t>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_Toc20161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9D544D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highlight w:val="none"/>
            </w:rPr>
          </w:pPr>
          <w:r>
            <w:rPr>
              <w:rFonts w:hint="eastAsia" w:ascii="仿宋" w:hAnsi="仿宋" w:eastAsia="仿宋" w:cs="仿宋"/>
              <w:bCs/>
              <w:i w:val="0"/>
              <w:iCs w:val="0"/>
              <w:color w:val="auto"/>
              <w:kern w:val="0"/>
              <w:sz w:val="28"/>
              <w:szCs w:val="28"/>
              <w:highlight w:val="none"/>
            </w:rPr>
            <w:fldChar w:fldCharType="end"/>
          </w:r>
        </w:p>
      </w:sdtContent>
    </w:sdt>
    <w:p w14:paraId="1E2B0648">
      <w:pPr>
        <w:tabs>
          <w:tab w:val="left" w:pos="6272"/>
        </w:tabs>
        <w:ind w:left="-197" w:leftChars="-94" w:right="-578" w:rightChars="-275" w:firstLine="312" w:firstLineChars="149"/>
        <w:rPr>
          <w:rFonts w:hint="eastAsia" w:ascii="仿宋" w:hAnsi="仿宋" w:eastAsia="仿宋" w:cs="仿宋"/>
          <w:b w:val="0"/>
          <w:bCs/>
          <w:i w:val="0"/>
          <w:iCs w:val="0"/>
          <w:color w:val="auto"/>
          <w:kern w:val="0"/>
          <w:sz w:val="21"/>
          <w:szCs w:val="21"/>
          <w:highlight w:val="none"/>
        </w:rPr>
        <w:sectPr>
          <w:footerReference r:id="rId5" w:type="default"/>
          <w:pgSz w:w="11906" w:h="16838"/>
          <w:pgMar w:top="1440" w:right="1080" w:bottom="1440" w:left="150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2743AD2B">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w:t>
      </w:r>
      <w:r>
        <w:rPr>
          <w:rFonts w:hint="eastAsia" w:ascii="仿宋" w:hAnsi="仿宋" w:eastAsia="仿宋" w:cs="仿宋"/>
          <w:i w:val="0"/>
          <w:iCs w:val="0"/>
          <w:color w:val="auto"/>
          <w:kern w:val="0"/>
          <w:sz w:val="28"/>
          <w:szCs w:val="28"/>
          <w:highlight w:val="none"/>
          <w:shd w:val="clear" w:color="auto" w:fill="auto"/>
          <w:lang w:val="en-US" w:eastAsia="zh-CN"/>
        </w:rPr>
        <w:t>本</w:t>
      </w:r>
      <w:r>
        <w:rPr>
          <w:rFonts w:hint="eastAsia" w:ascii="仿宋" w:hAnsi="仿宋" w:eastAsia="仿宋" w:cs="仿宋"/>
          <w:i w:val="0"/>
          <w:iCs w:val="0"/>
          <w:color w:val="auto"/>
          <w:kern w:val="0"/>
          <w:sz w:val="28"/>
          <w:szCs w:val="28"/>
          <w:highlight w:val="none"/>
          <w:shd w:val="clear" w:color="auto" w:fill="auto"/>
        </w:rPr>
        <w:t>项目所在地</w:t>
      </w:r>
      <w:r>
        <w:rPr>
          <w:rFonts w:hint="eastAsia" w:ascii="仿宋" w:hAnsi="仿宋" w:eastAsia="仿宋" w:cs="仿宋"/>
          <w:i w:val="0"/>
          <w:iCs w:val="0"/>
          <w:color w:val="auto"/>
          <w:kern w:val="0"/>
          <w:sz w:val="28"/>
          <w:szCs w:val="28"/>
          <w:highlight w:val="none"/>
          <w:shd w:val="clear" w:color="auto" w:fill="auto"/>
          <w:lang w:val="en-US" w:eastAsia="zh-CN"/>
        </w:rPr>
        <w:t>政府</w:t>
      </w:r>
      <w:r>
        <w:rPr>
          <w:rFonts w:hint="eastAsia" w:ascii="仿宋" w:hAnsi="仿宋" w:eastAsia="仿宋" w:cs="仿宋"/>
          <w:i w:val="0"/>
          <w:iCs w:val="0"/>
          <w:color w:val="auto"/>
          <w:kern w:val="0"/>
          <w:sz w:val="28"/>
          <w:szCs w:val="28"/>
          <w:highlight w:val="none"/>
          <w:shd w:val="clear" w:color="auto" w:fill="auto"/>
        </w:rPr>
        <w:t>主管部门</w:t>
      </w:r>
      <w:r>
        <w:rPr>
          <w:rFonts w:hint="eastAsia" w:ascii="仿宋" w:hAnsi="仿宋" w:eastAsia="仿宋" w:cs="仿宋"/>
          <w:i w:val="0"/>
          <w:iCs w:val="0"/>
          <w:color w:val="auto"/>
          <w:kern w:val="0"/>
          <w:sz w:val="28"/>
          <w:szCs w:val="28"/>
          <w:highlight w:val="none"/>
          <w:shd w:val="clear" w:color="auto" w:fill="auto"/>
          <w:lang w:val="en-US" w:eastAsia="zh-CN"/>
        </w:rPr>
        <w:t>各项</w:t>
      </w:r>
      <w:r>
        <w:rPr>
          <w:rFonts w:hint="eastAsia" w:ascii="仿宋" w:hAnsi="仿宋" w:eastAsia="仿宋" w:cs="仿宋"/>
          <w:i w:val="0"/>
          <w:iCs w:val="0"/>
          <w:color w:val="auto"/>
          <w:kern w:val="0"/>
          <w:sz w:val="28"/>
          <w:szCs w:val="28"/>
          <w:highlight w:val="none"/>
          <w:shd w:val="clear" w:color="auto" w:fill="auto"/>
        </w:rPr>
        <w:t>资质</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资格</w:t>
      </w:r>
      <w:r>
        <w:rPr>
          <w:rFonts w:hint="eastAsia" w:ascii="仿宋" w:hAnsi="仿宋" w:eastAsia="仿宋" w:cs="仿宋"/>
          <w:i w:val="0"/>
          <w:iCs w:val="0"/>
          <w:color w:val="auto"/>
          <w:kern w:val="0"/>
          <w:sz w:val="28"/>
          <w:szCs w:val="28"/>
          <w:highlight w:val="none"/>
          <w:shd w:val="clear" w:color="auto" w:fill="auto"/>
        </w:rPr>
        <w:t>要求的</w:t>
      </w:r>
      <w:r>
        <w:rPr>
          <w:rFonts w:hint="eastAsia" w:ascii="仿宋" w:hAnsi="仿宋" w:eastAsia="仿宋" w:cs="仿宋"/>
          <w:i w:val="0"/>
          <w:iCs w:val="0"/>
          <w:color w:val="auto"/>
          <w:kern w:val="0"/>
          <w:sz w:val="28"/>
          <w:szCs w:val="28"/>
          <w:highlight w:val="none"/>
          <w:shd w:val="clear" w:color="auto" w:fill="auto"/>
          <w:lang w:val="en-US" w:eastAsia="zh-CN"/>
        </w:rPr>
        <w:t>前提</w:t>
      </w:r>
      <w:r>
        <w:rPr>
          <w:rFonts w:hint="eastAsia" w:ascii="仿宋" w:hAnsi="仿宋" w:eastAsia="仿宋" w:cs="仿宋"/>
          <w:i w:val="0"/>
          <w:iCs w:val="0"/>
          <w:color w:val="auto"/>
          <w:kern w:val="0"/>
          <w:sz w:val="28"/>
          <w:szCs w:val="28"/>
          <w:highlight w:val="none"/>
          <w:shd w:val="clear" w:color="auto" w:fill="auto"/>
        </w:rPr>
        <w:t>下</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b/>
          <w:bCs/>
          <w:i w:val="0"/>
          <w:iCs w:val="0"/>
          <w:color w:val="auto"/>
          <w:sz w:val="28"/>
          <w:szCs w:val="28"/>
          <w:highlight w:val="none"/>
          <w:u w:val="single"/>
          <w:shd w:val="clear" w:color="auto" w:fill="auto"/>
          <w:lang w:val="en-US" w:eastAsia="zh-CN"/>
        </w:rPr>
        <w:t>南京现代表面处理科技产业中心项目B地块工程临时用箱变安装工程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5ED6AD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jc w:val="both"/>
        <w:textAlignment w:val="auto"/>
        <w:outlineLvl w:val="0"/>
        <w:rPr>
          <w:rFonts w:hint="eastAsia" w:ascii="仿宋" w:hAnsi="仿宋" w:eastAsia="仿宋" w:cs="仿宋"/>
          <w:b/>
          <w:bCs/>
          <w:i w:val="0"/>
          <w:iCs w:val="0"/>
          <w:color w:val="auto"/>
          <w:sz w:val="28"/>
          <w:szCs w:val="28"/>
          <w:highlight w:val="none"/>
          <w:shd w:val="clear" w:color="auto" w:fill="auto"/>
        </w:rPr>
      </w:pPr>
      <w:bookmarkStart w:id="0" w:name="_Toc1208"/>
      <w:bookmarkStart w:id="1" w:name="_Toc7587"/>
      <w:bookmarkStart w:id="2" w:name="_Toc2533"/>
      <w:bookmarkStart w:id="3" w:name="_Toc26146"/>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0"/>
      <w:bookmarkEnd w:id="1"/>
      <w:bookmarkEnd w:id="2"/>
      <w:bookmarkEnd w:id="3"/>
    </w:p>
    <w:p w14:paraId="5F334D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bookmarkStart w:id="4" w:name="_Toc15434"/>
      <w:bookmarkStart w:id="5" w:name="_Toc9670"/>
      <w:bookmarkStart w:id="6" w:name="_Toc27213"/>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南京现代表面处理科技产业中心项目B地块工程</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6FB8E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江苏省南京市六合区雄州街道瓜埠中心社区居委会支四路以西、滨河路以北。</w:t>
      </w:r>
    </w:p>
    <w:p w14:paraId="753754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1.3本工程的甲供材料：无。</w:t>
      </w:r>
    </w:p>
    <w:p w14:paraId="349796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生活食宿由乙方承担，相关费用已含于合同总价里，甲方无需为此支付任何费用。</w:t>
      </w:r>
    </w:p>
    <w:p w14:paraId="3B7EB73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7" w:name="_Toc29814"/>
      <w:r>
        <w:rPr>
          <w:rFonts w:hint="eastAsia" w:ascii="仿宋" w:hAnsi="仿宋" w:eastAsia="仿宋" w:cs="仿宋"/>
          <w:b/>
          <w:bCs/>
          <w:i w:val="0"/>
          <w:iCs w:val="0"/>
          <w:color w:val="auto"/>
          <w:sz w:val="28"/>
          <w:szCs w:val="28"/>
          <w:highlight w:val="none"/>
          <w:shd w:val="clear" w:color="auto" w:fill="auto"/>
          <w:lang w:val="en-US" w:eastAsia="zh-CN"/>
        </w:rPr>
        <w:t>承包方式</w:t>
      </w:r>
      <w:bookmarkEnd w:id="4"/>
      <w:bookmarkEnd w:id="7"/>
    </w:p>
    <w:p w14:paraId="1137F7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bookmarkStart w:id="8" w:name="_Toc8585"/>
      <w:bookmarkStart w:id="9" w:name="_Toc14685"/>
      <w:bookmarkStart w:id="10" w:name="_Toc31503"/>
      <w:r>
        <w:rPr>
          <w:rFonts w:hint="eastAsia" w:ascii="仿宋" w:hAnsi="仿宋" w:eastAsia="仿宋" w:cs="仿宋"/>
          <w:i w:val="0"/>
          <w:iCs w:val="0"/>
          <w:color w:val="auto"/>
          <w:sz w:val="28"/>
          <w:szCs w:val="28"/>
          <w:highlight w:val="none"/>
          <w:u w:val="none"/>
          <w:shd w:val="clear" w:color="auto" w:fill="auto"/>
          <w:lang w:val="en-US" w:eastAsia="zh-CN"/>
        </w:rPr>
        <w:t>2.1乙方对</w:t>
      </w:r>
      <w:bookmarkEnd w:id="8"/>
      <w:bookmarkEnd w:id="9"/>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包机械设备（含进退场费、材料设备装卸搬运及保管等），</w:t>
      </w:r>
      <w:r>
        <w:rPr>
          <w:rFonts w:hint="eastAsia" w:ascii="仿宋" w:hAnsi="仿宋" w:eastAsia="仿宋" w:cs="仿宋"/>
          <w:b/>
          <w:bCs/>
          <w:color w:val="auto"/>
          <w:sz w:val="28"/>
          <w:szCs w:val="28"/>
          <w:highlight w:val="none"/>
          <w:lang w:val="en-US" w:eastAsia="zh-CN"/>
        </w:rPr>
        <w:t>包设计，包办理本工程涉及的各项手续（包括但不限于供电企业），</w:t>
      </w:r>
      <w:r>
        <w:rPr>
          <w:rFonts w:hint="eastAsia" w:ascii="仿宋" w:hAnsi="仿宋" w:eastAsia="仿宋" w:cs="仿宋"/>
          <w:color w:val="auto"/>
          <w:sz w:val="28"/>
          <w:szCs w:val="28"/>
          <w:highlight w:val="none"/>
          <w:lang w:val="en-US" w:eastAsia="zh-CN"/>
        </w:rPr>
        <w:t>包各类材料设备检验检测，包工程检验检测合格，包安全文明施工，包住宿，</w:t>
      </w:r>
      <w:r>
        <w:rPr>
          <w:rFonts w:hint="eastAsia" w:ascii="仿宋" w:hAnsi="仿宋" w:eastAsia="仿宋" w:cs="仿宋"/>
          <w:b/>
          <w:bCs/>
          <w:color w:val="auto"/>
          <w:sz w:val="28"/>
          <w:szCs w:val="28"/>
          <w:highlight w:val="none"/>
          <w:lang w:val="en-US" w:eastAsia="zh-CN"/>
        </w:rPr>
        <w:t>包安装，包调试，包送电，</w:t>
      </w:r>
      <w:r>
        <w:rPr>
          <w:rFonts w:hint="eastAsia" w:ascii="仿宋" w:hAnsi="仿宋" w:eastAsia="仿宋" w:cs="仿宋"/>
          <w:color w:val="auto"/>
          <w:sz w:val="28"/>
          <w:szCs w:val="28"/>
          <w:highlight w:val="none"/>
          <w:lang w:val="en-US" w:eastAsia="zh-CN"/>
        </w:rPr>
        <w:t>包成品保护，包工期，包质量，包资料（包竣工图绘制、各种形式的资料编写、收集、归档，并满足竣工验收要求及甲方与建设单位结算要求），包措施，包利润，包管理费，包税金，包乙方原因导致返工所需的人工、材料及机械费，包风险，包保险，包场地清理，包验收合格，包维护，包各种因素引起的物价上涨的风险及其他所有风险，包各类规费及各种税费等本工程涉及的全部内容及费用</w:t>
      </w:r>
      <w:r>
        <w:rPr>
          <w:rFonts w:hint="eastAsia" w:ascii="仿宋" w:hAnsi="仿宋" w:eastAsia="仿宋" w:cs="仿宋"/>
          <w:i w:val="0"/>
          <w:iCs w:val="0"/>
          <w:color w:val="auto"/>
          <w:sz w:val="28"/>
          <w:szCs w:val="28"/>
          <w:highlight w:val="none"/>
          <w:u w:val="none"/>
          <w:shd w:val="clear" w:color="auto" w:fill="auto"/>
          <w:lang w:val="en-US" w:eastAsia="zh-CN"/>
        </w:rPr>
        <w:t>。</w:t>
      </w:r>
    </w:p>
    <w:p w14:paraId="38BCE7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1" w:name="_Toc16119"/>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5"/>
      <w:bookmarkEnd w:id="6"/>
      <w:bookmarkEnd w:id="10"/>
      <w:bookmarkEnd w:id="11"/>
    </w:p>
    <w:p w14:paraId="183554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3.1乙方承包范围及内容包括：</w:t>
      </w:r>
      <w:r>
        <w:rPr>
          <w:rFonts w:hint="eastAsia" w:ascii="仿宋" w:hAnsi="仿宋" w:eastAsia="仿宋" w:cs="仿宋"/>
          <w:b/>
          <w:bCs/>
          <w:i w:val="0"/>
          <w:iCs w:val="0"/>
          <w:color w:val="auto"/>
          <w:sz w:val="28"/>
          <w:szCs w:val="28"/>
          <w:highlight w:val="none"/>
          <w:lang w:val="en-US" w:eastAsia="zh-CN"/>
        </w:rPr>
        <w:t>本</w:t>
      </w:r>
      <w:r>
        <w:rPr>
          <w:rFonts w:hint="eastAsia" w:ascii="仿宋" w:hAnsi="仿宋" w:eastAsia="仿宋" w:cs="仿宋"/>
          <w:b/>
          <w:bCs/>
          <w:i w:val="0"/>
          <w:iCs w:val="0"/>
          <w:color w:val="auto"/>
          <w:kern w:val="0"/>
          <w:sz w:val="28"/>
          <w:szCs w:val="28"/>
          <w:highlight w:val="none"/>
          <w:shd w:val="clear" w:color="auto" w:fill="auto"/>
          <w:lang w:val="en-US" w:eastAsia="zh-CN"/>
        </w:rPr>
        <w:t>项目</w:t>
      </w:r>
      <w:r>
        <w:rPr>
          <w:rFonts w:hint="eastAsia" w:ascii="仿宋" w:hAnsi="仿宋" w:eastAsia="仿宋" w:cs="仿宋"/>
          <w:b/>
          <w:bCs/>
          <w:i w:val="0"/>
          <w:iCs w:val="0"/>
          <w:color w:val="auto"/>
          <w:sz w:val="28"/>
          <w:szCs w:val="28"/>
          <w:highlight w:val="none"/>
          <w:u w:val="none"/>
          <w:lang w:val="en-US" w:eastAsia="zh-CN"/>
        </w:rPr>
        <w:t>涉及的800KVA箱变安装及附属工程（箱变租赁+箱变基础+电缆井+土建+电缆+设计+安装、调试、送电+使用期运行维护+使用期满后拆除并恢复原状），从约定电线杆至临时箱变(门卫东侧30m外)间距约75m，电缆长度约100m等的施工，拆除后电缆、箱变归乙方所有，箱变租赁期从本合同签约之日起至2027年3月31日（具体以甲方要求为准）；按供电企业的高压供电方案答复单接驳高压电要求施工，箱变位置按示意图确定的供电企业在建电缆井位置边（详见附件）；</w:t>
      </w:r>
      <w:r>
        <w:rPr>
          <w:rFonts w:hint="eastAsia" w:ascii="仿宋" w:hAnsi="仿宋" w:eastAsia="仿宋" w:cs="仿宋"/>
          <w:b w:val="0"/>
          <w:bCs w:val="0"/>
          <w:i w:val="0"/>
          <w:iCs w:val="0"/>
          <w:color w:val="auto"/>
          <w:sz w:val="28"/>
          <w:szCs w:val="28"/>
          <w:highlight w:val="none"/>
          <w:u w:val="none"/>
          <w:lang w:val="en-US" w:eastAsia="zh-CN"/>
        </w:rPr>
        <w:t>按甲方确定的设计图纸、规范及甲方要求的施工范围施工</w:t>
      </w:r>
      <w:r>
        <w:rPr>
          <w:rFonts w:hint="eastAsia" w:ascii="仿宋" w:hAnsi="仿宋" w:eastAsia="仿宋" w:cs="仿宋"/>
          <w:b w:val="0"/>
          <w:bCs w:val="0"/>
          <w:i w:val="0"/>
          <w:iCs w:val="0"/>
          <w:color w:val="auto"/>
          <w:sz w:val="28"/>
          <w:szCs w:val="28"/>
          <w:highlight w:val="none"/>
          <w:u w:val="none"/>
          <w:shd w:val="clear" w:color="auto" w:fill="auto"/>
        </w:rPr>
        <w:t>，过程中产生的全部人</w:t>
      </w:r>
      <w:r>
        <w:rPr>
          <w:rFonts w:hint="eastAsia" w:ascii="仿宋" w:hAnsi="仿宋" w:eastAsia="仿宋" w:cs="仿宋"/>
          <w:b w:val="0"/>
          <w:bCs w:val="0"/>
          <w:i w:val="0"/>
          <w:iCs w:val="0"/>
          <w:color w:val="auto"/>
          <w:sz w:val="28"/>
          <w:szCs w:val="28"/>
          <w:highlight w:val="none"/>
          <w:u w:val="none"/>
          <w:shd w:val="clear" w:color="auto" w:fill="auto"/>
          <w:lang w:val="en-US" w:eastAsia="zh-CN"/>
        </w:rPr>
        <w:t>员</w:t>
      </w:r>
      <w:r>
        <w:rPr>
          <w:rFonts w:hint="eastAsia" w:ascii="仿宋" w:hAnsi="仿宋" w:eastAsia="仿宋" w:cs="仿宋"/>
          <w:b w:val="0"/>
          <w:bCs w:val="0"/>
          <w:i w:val="0"/>
          <w:iCs w:val="0"/>
          <w:color w:val="auto"/>
          <w:sz w:val="28"/>
          <w:szCs w:val="28"/>
          <w:highlight w:val="none"/>
          <w:u w:val="none"/>
          <w:shd w:val="clear" w:color="auto" w:fill="auto"/>
        </w:rPr>
        <w:t>报酬、材料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、机具、施工管理等由乙方解决</w:t>
      </w:r>
      <w:r>
        <w:rPr>
          <w:rFonts w:hint="eastAsia" w:ascii="仿宋" w:hAnsi="仿宋" w:eastAsia="仿宋" w:cs="仿宋"/>
          <w:i w:val="0"/>
          <w:iCs w:val="0"/>
          <w:color w:val="auto"/>
          <w:sz w:val="28"/>
          <w:szCs w:val="28"/>
          <w:highlight w:val="none"/>
          <w:u w:val="none"/>
          <w:lang w:val="en-US" w:eastAsia="zh-CN"/>
        </w:rPr>
        <w:t>。</w:t>
      </w:r>
      <w:bookmarkStart w:id="12" w:name="_Toc27175"/>
      <w:r>
        <w:rPr>
          <w:rFonts w:hint="eastAsia" w:ascii="仿宋" w:hAnsi="仿宋" w:eastAsia="仿宋" w:cs="仿宋"/>
          <w:i w:val="0"/>
          <w:iCs w:val="0"/>
          <w:color w:val="auto"/>
          <w:sz w:val="28"/>
          <w:szCs w:val="28"/>
          <w:highlight w:val="none"/>
          <w:u w:val="none"/>
          <w:lang w:val="en-US" w:eastAsia="zh-CN"/>
        </w:rPr>
        <w:t>本</w:t>
      </w:r>
      <w:r>
        <w:rPr>
          <w:rFonts w:hint="eastAsia" w:ascii="仿宋" w:hAnsi="仿宋" w:eastAsia="仿宋" w:cs="仿宋"/>
          <w:i w:val="0"/>
          <w:iCs w:val="0"/>
          <w:color w:val="auto"/>
          <w:sz w:val="28"/>
          <w:szCs w:val="28"/>
          <w:highlight w:val="none"/>
          <w:lang w:val="en-US" w:eastAsia="zh-CN"/>
        </w:rPr>
        <w:t>工程需用的挖机、炮机、压路机、推土机、铲车、货车等施工机械设备也由乙方负责，费用已含于合同总价中，不另行单列计费。</w:t>
      </w:r>
    </w:p>
    <w:p w14:paraId="0A92DB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3.2甲方提供的，经甲方权限流程审批的</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交楼标准、图纸会审、施工方案及施工组织设计等文件所含内容也由乙方施工，</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r>
        <w:rPr>
          <w:rFonts w:hint="eastAsia" w:ascii="仿宋" w:hAnsi="仿宋" w:eastAsia="仿宋" w:cs="仿宋"/>
          <w:b w:val="0"/>
          <w:bCs w:val="0"/>
          <w:i w:val="0"/>
          <w:iCs w:val="0"/>
          <w:color w:val="auto"/>
          <w:sz w:val="28"/>
          <w:szCs w:val="28"/>
          <w:highlight w:val="none"/>
          <w:shd w:val="clear" w:color="auto" w:fill="auto"/>
          <w:lang w:eastAsia="zh-CN"/>
        </w:rPr>
        <w:t>上述文件互有矛盾的，以甲方最终书面确认为准，但乙方不得因此而调增价格。</w:t>
      </w:r>
    </w:p>
    <w:p w14:paraId="17AD95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乙方自行控制好施工管理，自行组织对施工的有关质量、安全、进度、成本等现场组织管理工作，按甲方项目部确定的施工方案进行施工。乙方施工进度或质量等管理不能满足甲方要求时，甲方可随时减少乙方的承包范围和工程量并聘请第三方代乙方施工，额外产生的所有费用和损失由乙方承担。</w:t>
      </w:r>
    </w:p>
    <w:p w14:paraId="6D3D8D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3.4乙方对甲方本工程质量按合同约定承担责任，对本工程安全生产、文明施工、工期进度和甲供材料限额使用等相关事项承担全部责任。</w:t>
      </w:r>
    </w:p>
    <w:p w14:paraId="523748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3.5甲方有权调整乙方的承包范围及内容，乙方不得以任何理由拒绝，否则甲方有权不付款并单方解除合同。</w:t>
      </w:r>
    </w:p>
    <w:p w14:paraId="6BB2F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3.6乙方自备机具的维修及养护由乙方自行负责；乙方自备/采购的材料、设备或小型机具必须符合设计规范及本项目施工总承包合同的要求。</w:t>
      </w:r>
    </w:p>
    <w:p w14:paraId="1EEBB4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3.7乙方已充分了解甲方提供工作面的基层情况，结算时不会因本工程基层清理而要求甲方增补费用。</w:t>
      </w:r>
      <w:r>
        <w:rPr>
          <w:rFonts w:hint="eastAsia" w:ascii="仿宋" w:hAnsi="仿宋" w:eastAsia="仿宋" w:cs="仿宋"/>
          <w:b w:val="0"/>
          <w:bCs w:val="0"/>
          <w:i w:val="0"/>
          <w:iCs w:val="0"/>
          <w:color w:val="auto"/>
          <w:sz w:val="28"/>
          <w:szCs w:val="28"/>
          <w:highlight w:val="none"/>
          <w:shd w:val="clear" w:color="auto" w:fill="auto"/>
        </w:rPr>
        <w:t>乙方施工前，须对甲方（或其他施工单位）交付</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r>
        <w:rPr>
          <w:rFonts w:hint="eastAsia" w:ascii="仿宋" w:hAnsi="仿宋" w:eastAsia="仿宋" w:cs="仿宋"/>
          <w:i w:val="0"/>
          <w:iCs w:val="0"/>
          <w:color w:val="auto"/>
          <w:sz w:val="28"/>
          <w:szCs w:val="28"/>
          <w:highlight w:val="none"/>
          <w:lang w:val="en-US" w:eastAsia="zh-CN"/>
        </w:rPr>
        <w:t>。</w:t>
      </w:r>
    </w:p>
    <w:p w14:paraId="2225DF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w:t>
      </w:r>
      <w:r>
        <w:rPr>
          <w:rFonts w:hint="eastAsia" w:ascii="仿宋" w:hAnsi="仿宋" w:eastAsia="仿宋" w:cs="仿宋"/>
          <w:i w:val="0"/>
          <w:iCs w:val="0"/>
          <w:color w:val="auto"/>
          <w:sz w:val="28"/>
          <w:szCs w:val="28"/>
          <w:highlight w:val="none"/>
          <w:shd w:val="clear" w:color="auto" w:fill="auto"/>
          <w:lang w:val="en-US" w:eastAsia="zh-CN"/>
        </w:rPr>
        <w:t>相</w:t>
      </w:r>
      <w:r>
        <w:rPr>
          <w:rFonts w:hint="eastAsia" w:ascii="仿宋" w:hAnsi="仿宋" w:eastAsia="仿宋" w:cs="仿宋"/>
          <w:i w:val="0"/>
          <w:iCs w:val="0"/>
          <w:color w:val="auto"/>
          <w:sz w:val="28"/>
          <w:szCs w:val="28"/>
          <w:highlight w:val="none"/>
          <w:shd w:val="clear" w:color="auto" w:fill="auto"/>
        </w:rPr>
        <w:t>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具体施工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14:paraId="58D15C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3.9乙方负责的内容还包括但不限于：</w:t>
      </w:r>
    </w:p>
    <w:p w14:paraId="4CDF62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3.9.1严格执行甲方发布的质量通病细则。</w:t>
      </w:r>
    </w:p>
    <w:p w14:paraId="0D7409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3.9.2本工程图纸漏项、错项、无重大工程量变化的调整内容，图纸及清单未列明但属于本工程合理施工范围或完成本工程所需进行的施工内容。</w:t>
      </w:r>
    </w:p>
    <w:p w14:paraId="26520D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3.9.3本工程具体做法以甲方与建设单位书面确认的交楼标准及施工图纸为准。</w:t>
      </w:r>
    </w:p>
    <w:p w14:paraId="7A0BBC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3.9.4完成上述内容所需费用均包含在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合同总价内，不属于增加工程，除非双方额外签证，否则结算时合同总价不因此调整。</w:t>
      </w:r>
    </w:p>
    <w:p w14:paraId="2FA174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3.10乙方承担的风险：本工程施工过程中如出现赶工、交叉作业、停工及工人工资、材料费、机具费上涨等风险，相关费用增减已在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合同总价中一次性考虑，乙方不得就上述原因要求甲方增补费用及另行计价。</w:t>
      </w:r>
    </w:p>
    <w:p w14:paraId="38EAE7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3.11乙方负责购买其在本项目工作的所有人员的社会保险、工伤保险、人身意外伤害保险，费用已包含在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w:t>
      </w:r>
    </w:p>
    <w:p w14:paraId="20CB8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3.12本项目设计变更引起的增加工程，无论工程量大小及施工难度系数高低，如甲方要求乙方施工，乙方须按甲方要求施工，相关费用按本合同约定办理。</w:t>
      </w:r>
    </w:p>
    <w:p w14:paraId="32AAC9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3.13施工现场内，本工程所需材料、机具的运输不另计费。材料进、出场时，乙方派工人上、下车，上下车费用包含在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合同总价内（甲供材料的卸车由乙方负责且费用已包含在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合同总价中，不另行单列计费）。</w:t>
      </w:r>
    </w:p>
    <w:p w14:paraId="0C4372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乙方施工过程中，负责本工程工作面上所用材料、机具、垃圾的清理，做到工完场清，并自行负责所有建筑垃圾、生活垃圾的处置。如乙方未能自行处置，则必须于每道工序验收前把工作面有关的建筑垃圾、生活垃圾等清理到甲方指定位置，由甲方统一就该部分垃圾处理费（含外运及机械台班费等）按责、按量进行分摊后，由乙方及相关分包单位承担并以书面形式确认，在结算时由甲方从合同款中扣除。乙方提交的结算书须包含甲方项目部按照垃圾产生的责任单位进行数量和全部费用的分摊表，该表须甲方施工员、项目副经理、项目经理签认，否则甲方有权不结算且不违约。</w:t>
      </w:r>
    </w:p>
    <w:p w14:paraId="082618E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3.15</w:t>
      </w:r>
      <w:r>
        <w:rPr>
          <w:rFonts w:hint="eastAsia" w:ascii="仿宋" w:hAnsi="仿宋" w:eastAsia="仿宋" w:cs="仿宋"/>
          <w:color w:val="auto"/>
          <w:sz w:val="28"/>
          <w:szCs w:val="28"/>
          <w:highlight w:val="none"/>
          <w:lang w:val="en-US" w:eastAsia="zh-CN"/>
        </w:rPr>
        <w:t>因乙方原因导致甲方被政府行政部门等单位处罚、导致本项目或本工程停工的，其全部责任和损失均由乙方承担。</w:t>
      </w:r>
    </w:p>
    <w:p w14:paraId="665E99B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3.16 </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相关费用已包含在合同总价中，不另行单列计费</w:t>
      </w:r>
      <w:r>
        <w:rPr>
          <w:rFonts w:hint="eastAsia" w:ascii="仿宋" w:hAnsi="仿宋" w:eastAsia="仿宋" w:cs="仿宋"/>
          <w:i w:val="0"/>
          <w:iCs w:val="0"/>
          <w:color w:val="auto"/>
          <w:sz w:val="28"/>
          <w:szCs w:val="28"/>
          <w:highlight w:val="none"/>
          <w:shd w:val="clear" w:color="auto" w:fill="auto"/>
        </w:rPr>
        <w:t>。</w:t>
      </w:r>
    </w:p>
    <w:p w14:paraId="3B3EEDA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3.17</w:t>
      </w:r>
      <w:r>
        <w:rPr>
          <w:rFonts w:hint="default" w:ascii="仿宋" w:hAnsi="仿宋" w:eastAsia="仿宋" w:cs="仿宋"/>
          <w:b w:val="0"/>
          <w:bCs w:val="0"/>
          <w:color w:val="auto"/>
          <w:sz w:val="28"/>
          <w:szCs w:val="28"/>
          <w:highlight w:val="none"/>
          <w:lang w:val="en-US" w:eastAsia="zh-CN"/>
        </w:rPr>
        <w:t>乙方</w:t>
      </w:r>
      <w:r>
        <w:rPr>
          <w:rFonts w:hint="eastAsia" w:ascii="仿宋" w:hAnsi="仿宋" w:eastAsia="仿宋" w:cs="仿宋"/>
          <w:b w:val="0"/>
          <w:bCs w:val="0"/>
          <w:color w:val="auto"/>
          <w:sz w:val="28"/>
          <w:szCs w:val="28"/>
          <w:highlight w:val="none"/>
          <w:lang w:val="en-US" w:eastAsia="zh-CN"/>
        </w:rPr>
        <w:t>负责</w:t>
      </w:r>
      <w:r>
        <w:rPr>
          <w:rFonts w:hint="default" w:ascii="仿宋" w:hAnsi="仿宋" w:eastAsia="仿宋" w:cs="仿宋"/>
          <w:b w:val="0"/>
          <w:bCs w:val="0"/>
          <w:color w:val="auto"/>
          <w:sz w:val="28"/>
          <w:szCs w:val="28"/>
          <w:highlight w:val="none"/>
          <w:lang w:val="en-US" w:eastAsia="zh-CN"/>
        </w:rPr>
        <w:t>协调、处理本工程涉及的各类关系（包括但不限于政府部门</w:t>
      </w:r>
      <w:r>
        <w:rPr>
          <w:rFonts w:hint="default" w:ascii="仿宋" w:hAnsi="仿宋" w:eastAsia="仿宋" w:cs="仿宋"/>
          <w:i w:val="0"/>
          <w:iCs w:val="0"/>
          <w:color w:val="auto"/>
          <w:sz w:val="28"/>
          <w:szCs w:val="28"/>
          <w:highlight w:val="none"/>
          <w:lang w:val="en-US" w:eastAsia="zh-CN"/>
        </w:rPr>
        <w:t>、周边居民</w:t>
      </w:r>
      <w:r>
        <w:rPr>
          <w:rFonts w:hint="eastAsia" w:ascii="仿宋" w:hAnsi="仿宋" w:eastAsia="仿宋" w:cs="仿宋"/>
          <w:i w:val="0"/>
          <w:iCs w:val="0"/>
          <w:color w:val="auto"/>
          <w:sz w:val="28"/>
          <w:szCs w:val="28"/>
          <w:highlight w:val="none"/>
          <w:lang w:val="en-US" w:eastAsia="zh-CN"/>
        </w:rPr>
        <w:t>、供电企业、供气单位、供水单位、通讯设施单位</w:t>
      </w:r>
      <w:r>
        <w:rPr>
          <w:rFonts w:hint="default" w:ascii="仿宋" w:hAnsi="仿宋" w:eastAsia="仿宋" w:cs="仿宋"/>
          <w:i w:val="0"/>
          <w:iCs w:val="0"/>
          <w:color w:val="auto"/>
          <w:sz w:val="28"/>
          <w:szCs w:val="28"/>
          <w:highlight w:val="none"/>
          <w:lang w:val="en-US" w:eastAsia="zh-CN"/>
        </w:rPr>
        <w:t>等关系），确保进退场及施工过程中合法、合规、不扰民，相关费用已包含在合同</w:t>
      </w:r>
      <w:r>
        <w:rPr>
          <w:rFonts w:hint="eastAsia" w:ascii="仿宋" w:hAnsi="仿宋" w:eastAsia="仿宋" w:cs="仿宋"/>
          <w:i w:val="0"/>
          <w:iCs w:val="0"/>
          <w:color w:val="auto"/>
          <w:sz w:val="28"/>
          <w:szCs w:val="28"/>
          <w:highlight w:val="none"/>
          <w:lang w:val="en-US" w:eastAsia="zh-CN"/>
        </w:rPr>
        <w:t>总</w:t>
      </w:r>
      <w:r>
        <w:rPr>
          <w:rFonts w:hint="default" w:ascii="仿宋" w:hAnsi="仿宋" w:eastAsia="仿宋" w:cs="仿宋"/>
          <w:i w:val="0"/>
          <w:iCs w:val="0"/>
          <w:color w:val="auto"/>
          <w:sz w:val="28"/>
          <w:szCs w:val="28"/>
          <w:highlight w:val="none"/>
          <w:lang w:val="en-US" w:eastAsia="zh-CN"/>
        </w:rPr>
        <w:t>价内，不另行计取</w:t>
      </w:r>
      <w:r>
        <w:rPr>
          <w:rFonts w:hint="eastAsia" w:ascii="仿宋" w:hAnsi="仿宋" w:eastAsia="仿宋" w:cs="仿宋"/>
          <w:i w:val="0"/>
          <w:iCs w:val="0"/>
          <w:color w:val="auto"/>
          <w:sz w:val="28"/>
          <w:szCs w:val="28"/>
          <w:highlight w:val="none"/>
          <w:lang w:val="en-US" w:eastAsia="zh-CN"/>
        </w:rPr>
        <w:t>。</w:t>
      </w:r>
    </w:p>
    <w:p w14:paraId="317639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default"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3.18乙方施工时须注意平行于本项目电缆走向的燃气管道、水电、通讯设施保护，确保施工安全及甲方用电时的安全、合法，</w:t>
      </w:r>
      <w:r>
        <w:rPr>
          <w:rFonts w:hint="eastAsia" w:ascii="仿宋" w:hAnsi="仿宋" w:eastAsia="仿宋" w:cs="仿宋"/>
          <w:b/>
          <w:bCs/>
          <w:color w:val="auto"/>
          <w:sz w:val="28"/>
          <w:szCs w:val="28"/>
          <w:highlight w:val="none"/>
          <w:lang w:val="en-US" w:eastAsia="zh-CN"/>
        </w:rPr>
        <w:t>否则发生任何安全事故的全部责任和损失均由乙方承担</w:t>
      </w:r>
      <w:r>
        <w:rPr>
          <w:rFonts w:hint="eastAsia" w:ascii="仿宋" w:hAnsi="仿宋" w:eastAsia="仿宋" w:cs="仿宋"/>
          <w:b/>
          <w:bCs/>
          <w:i w:val="0"/>
          <w:iCs w:val="0"/>
          <w:color w:val="auto"/>
          <w:sz w:val="28"/>
          <w:szCs w:val="28"/>
          <w:highlight w:val="none"/>
          <w:lang w:val="en-US" w:eastAsia="zh-CN"/>
        </w:rPr>
        <w:t>。</w:t>
      </w:r>
    </w:p>
    <w:p w14:paraId="76132D0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3" w:name="_Toc1783"/>
      <w:r>
        <w:rPr>
          <w:rFonts w:hint="eastAsia" w:ascii="仿宋" w:hAnsi="仿宋" w:eastAsia="仿宋" w:cs="仿宋"/>
          <w:b/>
          <w:bCs/>
          <w:i w:val="0"/>
          <w:iCs w:val="0"/>
          <w:color w:val="auto"/>
          <w:sz w:val="28"/>
          <w:szCs w:val="28"/>
          <w:highlight w:val="none"/>
          <w:shd w:val="clear" w:color="auto" w:fill="auto"/>
          <w:lang w:val="en-US" w:eastAsia="zh-CN"/>
        </w:rPr>
        <w:t>工期</w:t>
      </w:r>
      <w:bookmarkEnd w:id="12"/>
      <w:bookmarkEnd w:id="13"/>
    </w:p>
    <w:p w14:paraId="40A10DF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u w:val="none"/>
          <w:lang w:val="en-US" w:eastAsia="zh-CN"/>
        </w:rPr>
        <w:t xml:space="preserve"> 合同工期：</w:t>
      </w:r>
    </w:p>
    <w:p w14:paraId="367E0B7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4.1.1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bookmarkStart w:id="273" w:name="_GoBack"/>
      <w:bookmarkEnd w:id="273"/>
    </w:p>
    <w:tbl>
      <w:tblPr>
        <w:tblStyle w:val="15"/>
        <w:tblW w:w="49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2814"/>
        <w:gridCol w:w="1497"/>
        <w:gridCol w:w="2149"/>
        <w:gridCol w:w="2089"/>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48"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531"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814"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w:t>
            </w:r>
          </w:p>
        </w:tc>
        <w:tc>
          <w:tcPr>
            <w:tcW w:w="1169"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136"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计划完工、通电日期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48"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480" w:firstLineChars="200"/>
              <w:jc w:val="both"/>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531"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left"/>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南京现代表面处理科技产业中心项目B地块工程临时用箱变安装工程</w:t>
            </w:r>
          </w:p>
        </w:tc>
        <w:tc>
          <w:tcPr>
            <w:tcW w:w="814"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 xml:space="preserve"> 25个日历天</w:t>
            </w:r>
          </w:p>
        </w:tc>
        <w:tc>
          <w:tcPr>
            <w:tcW w:w="1169"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 7月25 日</w:t>
            </w:r>
          </w:p>
        </w:tc>
        <w:tc>
          <w:tcPr>
            <w:tcW w:w="1136"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 8月18日</w:t>
            </w:r>
          </w:p>
        </w:tc>
      </w:tr>
    </w:tbl>
    <w:p w14:paraId="240E1BF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4.1.2临时用箱变拆除时间：以甲方书面通知为准。</w:t>
      </w:r>
    </w:p>
    <w:p w14:paraId="74EC907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sz w:val="28"/>
          <w:szCs w:val="28"/>
          <w:highlight w:val="none"/>
          <w:lang w:val="en-US" w:eastAsia="zh-CN"/>
        </w:rPr>
        <w:t>4.2 甲方发出开工令起24小时内，乙方的项目现场负责人及主要工作人员须进驻施工现场开展工作，具体工作安排以甲方要求为准。乙方应根据工程实际需要，随时增加人员和机械设备，确保满足本工程要求</w:t>
      </w:r>
      <w:r>
        <w:rPr>
          <w:rFonts w:hint="eastAsia" w:ascii="仿宋" w:hAnsi="仿宋" w:eastAsia="仿宋" w:cs="仿宋"/>
          <w:i w:val="0"/>
          <w:iCs w:val="0"/>
          <w:color w:val="auto"/>
          <w:sz w:val="28"/>
          <w:szCs w:val="28"/>
          <w:highlight w:val="none"/>
          <w:u w:val="none"/>
          <w:lang w:val="en-US" w:eastAsia="zh-CN"/>
        </w:rPr>
        <w:t>。</w:t>
      </w:r>
    </w:p>
    <w:p w14:paraId="203916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4.3 本合同工期开工日期为暂定时间，实际开工、竣工时间以甲方书面通知（开工令</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格式详见附件</w:t>
      </w:r>
      <w:r>
        <w:rPr>
          <w:rFonts w:hint="eastAsia" w:ascii="仿宋" w:hAnsi="仿宋" w:eastAsia="仿宋" w:cs="仿宋"/>
          <w:i w:val="0"/>
          <w:iCs w:val="0"/>
          <w:color w:val="auto"/>
          <w:sz w:val="28"/>
          <w:szCs w:val="28"/>
          <w:highlight w:val="none"/>
          <w:shd w:val="clear" w:color="auto" w:fill="auto"/>
          <w:lang w:val="en-US" w:eastAsia="zh-CN"/>
        </w:rPr>
        <w:t>）为准，甲方书面通知形式包括不限于微信、短信、</w:t>
      </w:r>
      <w:r>
        <w:rPr>
          <w:rFonts w:hint="eastAsia" w:ascii="仿宋" w:hAnsi="仿宋" w:eastAsia="仿宋" w:cs="仿宋"/>
          <w:i w:val="0"/>
          <w:iCs w:val="0"/>
          <w:color w:val="auto"/>
          <w:sz w:val="28"/>
          <w:szCs w:val="28"/>
          <w:highlight w:val="none"/>
          <w:shd w:val="clear" w:color="auto" w:fill="auto"/>
          <w:lang w:val="en-US" w:eastAsia="zh-CN"/>
        </w:rPr>
        <w:tab/>
      </w:r>
      <w:r>
        <w:rPr>
          <w:rFonts w:hint="eastAsia" w:ascii="仿宋" w:hAnsi="仿宋" w:eastAsia="仿宋" w:cs="仿宋"/>
          <w:i w:val="0"/>
          <w:iCs w:val="0"/>
          <w:color w:val="auto"/>
          <w:sz w:val="28"/>
          <w:szCs w:val="28"/>
          <w:highlight w:val="none"/>
          <w:shd w:val="clear" w:color="auto" w:fill="auto"/>
          <w:lang w:val="en-US" w:eastAsia="zh-CN"/>
        </w:rPr>
        <w:t>传真、电子邮件、纸质文件等。乙方无条件按甲方要求调整开工、竣工时间。同时，乙方自行调整其人员、材料物资、资金的安排，随时配合甲方开工、竣工并按本合同约定价款执行。因甲方变更工期导致乙方损失的已经包含在</w:t>
      </w: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合同单价</w:t>
      </w: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lang w:val="en-US" w:eastAsia="zh-CN"/>
        </w:rPr>
        <w:t>总价</w:t>
      </w:r>
      <w:r>
        <w:rPr>
          <w:rFonts w:hint="eastAsia" w:ascii="仿宋" w:hAnsi="仿宋" w:eastAsia="仿宋" w:cs="仿宋"/>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14:paraId="113261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4.4乙方提交的开工资料须满足甲方要求，且乙方收到甲方项目经理签发并加盖甲方项目章（样式详见附件）的开工令后，按开工令要求进场。</w:t>
      </w:r>
    </w:p>
    <w:p w14:paraId="0A060E5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4.5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50BAC65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4.</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严格遵照甲方制订的施工进度计划</w:t>
      </w:r>
      <w:r>
        <w:rPr>
          <w:rFonts w:hint="eastAsia" w:ascii="仿宋" w:hAnsi="仿宋" w:eastAsia="仿宋" w:cs="仿宋"/>
          <w:b w:val="0"/>
          <w:bCs w:val="0"/>
          <w:i w:val="0"/>
          <w:iCs w:val="0"/>
          <w:color w:val="auto"/>
          <w:sz w:val="28"/>
          <w:szCs w:val="28"/>
          <w:highlight w:val="none"/>
          <w:shd w:val="clear" w:color="auto" w:fill="auto"/>
          <w:lang w:val="en-US" w:eastAsia="zh-CN"/>
        </w:rPr>
        <w:t>实施并完成相关工作</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接受</w:t>
      </w:r>
      <w:r>
        <w:rPr>
          <w:rFonts w:hint="eastAsia" w:ascii="仿宋" w:hAnsi="仿宋" w:eastAsia="仿宋" w:cs="仿宋"/>
          <w:b w:val="0"/>
          <w:bCs w:val="0"/>
          <w:i w:val="0"/>
          <w:iCs w:val="0"/>
          <w:color w:val="auto"/>
          <w:sz w:val="28"/>
          <w:szCs w:val="28"/>
          <w:highlight w:val="none"/>
          <w:shd w:val="clear" w:color="auto" w:fill="auto"/>
        </w:rPr>
        <w:t>甲方项目部施工任务</w:t>
      </w:r>
      <w:r>
        <w:rPr>
          <w:rFonts w:hint="eastAsia" w:ascii="仿宋" w:hAnsi="仿宋" w:eastAsia="仿宋" w:cs="仿宋"/>
          <w:b w:val="0"/>
          <w:bCs w:val="0"/>
          <w:i w:val="0"/>
          <w:iCs w:val="0"/>
          <w:color w:val="auto"/>
          <w:sz w:val="28"/>
          <w:szCs w:val="28"/>
          <w:highlight w:val="none"/>
          <w:shd w:val="clear" w:color="auto" w:fill="auto"/>
          <w:lang w:val="en-US" w:eastAsia="zh-CN"/>
        </w:rPr>
        <w:t>安排，否则甲方可按合同对乙方收取违约金。</w:t>
      </w:r>
    </w:p>
    <w:p w14:paraId="61CACC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4.7</w:t>
      </w:r>
      <w:r>
        <w:rPr>
          <w:rFonts w:hint="eastAsia" w:ascii="仿宋" w:hAnsi="仿宋" w:eastAsia="仿宋" w:cs="仿宋"/>
          <w:b w:val="0"/>
          <w:bCs w:val="0"/>
          <w:i w:val="0"/>
          <w:iCs w:val="0"/>
          <w:color w:val="auto"/>
          <w:sz w:val="28"/>
          <w:szCs w:val="28"/>
          <w:highlight w:val="none"/>
          <w:shd w:val="clear" w:color="auto" w:fill="auto"/>
        </w:rPr>
        <w:t>乙方已充分考虑天气</w:t>
      </w:r>
      <w:r>
        <w:rPr>
          <w:rFonts w:hint="eastAsia" w:ascii="仿宋" w:hAnsi="仿宋" w:eastAsia="仿宋" w:cs="仿宋"/>
          <w:b w:val="0"/>
          <w:bCs w:val="0"/>
          <w:i w:val="0"/>
          <w:iCs w:val="0"/>
          <w:color w:val="auto"/>
          <w:sz w:val="28"/>
          <w:szCs w:val="28"/>
          <w:highlight w:val="none"/>
          <w:shd w:val="clear" w:color="auto" w:fill="auto"/>
          <w:lang w:val="en-US" w:eastAsia="zh-CN"/>
        </w:rPr>
        <w:t>及各种因素、除不可抗力（如：地震、海啸、瘟疫、骚乱、戒严、暴动、战争等法定情形外）其他原因</w:t>
      </w:r>
      <w:r>
        <w:rPr>
          <w:rFonts w:hint="eastAsia" w:ascii="仿宋" w:hAnsi="仿宋" w:eastAsia="仿宋" w:cs="仿宋"/>
          <w:b w:val="0"/>
          <w:bCs w:val="0"/>
          <w:i w:val="0"/>
          <w:iCs w:val="0"/>
          <w:color w:val="auto"/>
          <w:sz w:val="28"/>
          <w:szCs w:val="28"/>
          <w:highlight w:val="none"/>
          <w:shd w:val="clear" w:color="auto" w:fill="auto"/>
        </w:rPr>
        <w:t>可能对工期</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影响，</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eastAsia" w:ascii="仿宋" w:hAnsi="仿宋" w:eastAsia="仿宋" w:cs="仿宋"/>
          <w:b w:val="0"/>
          <w:bCs w:val="0"/>
          <w:i w:val="0"/>
          <w:iCs w:val="0"/>
          <w:color w:val="auto"/>
          <w:sz w:val="28"/>
          <w:szCs w:val="28"/>
          <w:highlight w:val="none"/>
          <w:shd w:val="clear" w:color="auto" w:fill="auto"/>
        </w:rPr>
        <w:t>不</w:t>
      </w:r>
      <w:r>
        <w:rPr>
          <w:rFonts w:hint="eastAsia" w:ascii="仿宋" w:hAnsi="仿宋" w:eastAsia="仿宋" w:cs="仿宋"/>
          <w:b w:val="0"/>
          <w:bCs w:val="0"/>
          <w:i w:val="0"/>
          <w:iCs w:val="0"/>
          <w:color w:val="auto"/>
          <w:sz w:val="28"/>
          <w:szCs w:val="28"/>
          <w:highlight w:val="none"/>
          <w:shd w:val="clear" w:color="auto" w:fill="auto"/>
          <w:lang w:val="en-US" w:eastAsia="zh-CN"/>
        </w:rPr>
        <w:t>因</w:t>
      </w:r>
      <w:r>
        <w:rPr>
          <w:rFonts w:hint="eastAsia" w:ascii="仿宋" w:hAnsi="仿宋" w:eastAsia="仿宋" w:cs="仿宋"/>
          <w:b w:val="0"/>
          <w:bCs w:val="0"/>
          <w:i w:val="0"/>
          <w:iCs w:val="0"/>
          <w:color w:val="auto"/>
          <w:sz w:val="28"/>
          <w:szCs w:val="28"/>
          <w:highlight w:val="none"/>
          <w:shd w:val="clear" w:color="auto" w:fill="auto"/>
        </w:rPr>
        <w:t>任何</w:t>
      </w:r>
      <w:r>
        <w:rPr>
          <w:rFonts w:hint="eastAsia" w:ascii="仿宋" w:hAnsi="仿宋" w:eastAsia="仿宋" w:cs="仿宋"/>
          <w:b w:val="0"/>
          <w:bCs w:val="0"/>
          <w:i w:val="0"/>
          <w:iCs w:val="0"/>
          <w:color w:val="auto"/>
          <w:sz w:val="28"/>
          <w:szCs w:val="28"/>
          <w:highlight w:val="none"/>
          <w:shd w:val="clear" w:color="auto" w:fill="auto"/>
          <w:lang w:val="en-US" w:eastAsia="zh-CN"/>
        </w:rPr>
        <w:t>原因</w:t>
      </w:r>
      <w:r>
        <w:rPr>
          <w:rFonts w:hint="eastAsia" w:ascii="仿宋" w:hAnsi="仿宋" w:eastAsia="仿宋" w:cs="仿宋"/>
          <w:b w:val="0"/>
          <w:bCs w:val="0"/>
          <w:i w:val="0"/>
          <w:iCs w:val="0"/>
          <w:color w:val="auto"/>
          <w:sz w:val="28"/>
          <w:szCs w:val="28"/>
          <w:highlight w:val="none"/>
          <w:shd w:val="clear" w:color="auto" w:fill="auto"/>
        </w:rPr>
        <w:t>要求延长工期。</w:t>
      </w:r>
    </w:p>
    <w:p w14:paraId="6D2304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4.</w:t>
      </w:r>
      <w:r>
        <w:rPr>
          <w:rFonts w:hint="eastAsia" w:ascii="仿宋" w:hAnsi="仿宋" w:eastAsia="仿宋" w:cs="仿宋"/>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乙方必须满足甲方工期要求，配备本工程熟练技术工人需满足现场进度要求（以满足甲方的进度要求为准），随时增加或减少乙方人员以满足本工程施工要求。</w:t>
      </w:r>
    </w:p>
    <w:p w14:paraId="6AACC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4.9乙方确定在本合同签订前，已勘察本项目现场场地，对本工程特性全部清楚，因甲方原因导致施工计划调整的，乙方积极配合。</w:t>
      </w:r>
    </w:p>
    <w:p w14:paraId="119769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4.10</w:t>
      </w:r>
      <w:r>
        <w:rPr>
          <w:rFonts w:hint="eastAsia" w:ascii="仿宋" w:hAnsi="仿宋" w:eastAsia="仿宋" w:cs="仿宋"/>
          <w:i w:val="0"/>
          <w:iCs w:val="0"/>
          <w:color w:val="auto"/>
          <w:sz w:val="28"/>
          <w:szCs w:val="28"/>
          <w:highlight w:val="none"/>
          <w:shd w:val="clear" w:color="auto" w:fill="auto"/>
        </w:rPr>
        <w:t>乙方认为甲方或其他单位未配合提供</w:t>
      </w:r>
      <w:r>
        <w:rPr>
          <w:rFonts w:hint="eastAsia" w:ascii="仿宋" w:hAnsi="仿宋" w:eastAsia="仿宋" w:cs="仿宋"/>
          <w:i w:val="0"/>
          <w:iCs w:val="0"/>
          <w:color w:val="auto"/>
          <w:sz w:val="28"/>
          <w:szCs w:val="28"/>
          <w:highlight w:val="none"/>
          <w:shd w:val="clear" w:color="auto" w:fill="auto"/>
          <w:lang w:val="en-US" w:eastAsia="zh-CN"/>
        </w:rPr>
        <w:t>所需</w:t>
      </w:r>
      <w:r>
        <w:rPr>
          <w:rFonts w:hint="eastAsia" w:ascii="仿宋" w:hAnsi="仿宋" w:eastAsia="仿宋" w:cs="仿宋"/>
          <w:i w:val="0"/>
          <w:iCs w:val="0"/>
          <w:color w:val="auto"/>
          <w:sz w:val="28"/>
          <w:szCs w:val="28"/>
          <w:highlight w:val="none"/>
          <w:shd w:val="clear" w:color="auto" w:fill="auto"/>
        </w:rPr>
        <w:t>工作面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机具及材料而影响施工进度</w:t>
      </w:r>
      <w:r>
        <w:rPr>
          <w:rFonts w:hint="eastAsia" w:ascii="仿宋" w:hAnsi="仿宋" w:eastAsia="仿宋" w:cs="仿宋"/>
          <w:i w:val="0"/>
          <w:iCs w:val="0"/>
          <w:color w:val="auto"/>
          <w:sz w:val="28"/>
          <w:szCs w:val="28"/>
          <w:highlight w:val="none"/>
          <w:shd w:val="clear" w:color="auto" w:fill="auto"/>
          <w:lang w:val="en-US" w:eastAsia="zh-CN"/>
        </w:rPr>
        <w:t>时</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书面</w:t>
      </w:r>
      <w:r>
        <w:rPr>
          <w:rFonts w:hint="eastAsia" w:ascii="仿宋" w:hAnsi="仿宋" w:eastAsia="仿宋" w:cs="仿宋"/>
          <w:i w:val="0"/>
          <w:iCs w:val="0"/>
          <w:color w:val="auto"/>
          <w:sz w:val="28"/>
          <w:szCs w:val="28"/>
          <w:highlight w:val="none"/>
          <w:shd w:val="clear" w:color="auto" w:fill="auto"/>
          <w:lang w:val="en-US" w:eastAsia="zh-CN"/>
        </w:rPr>
        <w:t>报</w:t>
      </w:r>
      <w:r>
        <w:rPr>
          <w:rFonts w:hint="eastAsia" w:ascii="仿宋" w:hAnsi="仿宋" w:eastAsia="仿宋" w:cs="仿宋"/>
          <w:i w:val="0"/>
          <w:iCs w:val="0"/>
          <w:color w:val="auto"/>
          <w:sz w:val="28"/>
          <w:szCs w:val="28"/>
          <w:highlight w:val="none"/>
          <w:shd w:val="clear" w:color="auto" w:fill="auto"/>
        </w:rPr>
        <w:t>告甲方并</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要求办理相关事宜</w:t>
      </w:r>
      <w:r>
        <w:rPr>
          <w:rFonts w:hint="eastAsia" w:ascii="仿宋" w:hAnsi="仿宋" w:eastAsia="仿宋" w:cs="仿宋"/>
          <w:i w:val="0"/>
          <w:iCs w:val="0"/>
          <w:color w:val="auto"/>
          <w:sz w:val="28"/>
          <w:szCs w:val="28"/>
          <w:highlight w:val="none"/>
          <w:shd w:val="clear" w:color="auto" w:fill="auto"/>
        </w:rPr>
        <w:t>，否则视为不影响乙方施工，乙方不得</w:t>
      </w:r>
      <w:r>
        <w:rPr>
          <w:rFonts w:hint="eastAsia" w:ascii="仿宋" w:hAnsi="仿宋" w:eastAsia="仿宋" w:cs="仿宋"/>
          <w:i w:val="0"/>
          <w:iCs w:val="0"/>
          <w:color w:val="auto"/>
          <w:sz w:val="28"/>
          <w:szCs w:val="28"/>
          <w:highlight w:val="none"/>
          <w:shd w:val="clear" w:color="auto" w:fill="auto"/>
          <w:lang w:val="en-US" w:eastAsia="zh-CN"/>
        </w:rPr>
        <w:t>因此</w:t>
      </w:r>
      <w:r>
        <w:rPr>
          <w:rFonts w:hint="eastAsia" w:ascii="仿宋" w:hAnsi="仿宋" w:eastAsia="仿宋" w:cs="仿宋"/>
          <w:i w:val="0"/>
          <w:iCs w:val="0"/>
          <w:color w:val="auto"/>
          <w:sz w:val="28"/>
          <w:szCs w:val="28"/>
          <w:highlight w:val="none"/>
          <w:shd w:val="clear" w:color="auto" w:fill="auto"/>
        </w:rPr>
        <w:t>要求延</w:t>
      </w:r>
      <w:r>
        <w:rPr>
          <w:rFonts w:hint="eastAsia" w:ascii="仿宋" w:hAnsi="仿宋" w:eastAsia="仿宋" w:cs="仿宋"/>
          <w:i w:val="0"/>
          <w:iCs w:val="0"/>
          <w:color w:val="auto"/>
          <w:sz w:val="28"/>
          <w:szCs w:val="28"/>
          <w:highlight w:val="none"/>
          <w:shd w:val="clear" w:color="auto" w:fill="auto"/>
          <w:lang w:val="en-US" w:eastAsia="zh-CN"/>
        </w:rPr>
        <w:t>长</w:t>
      </w:r>
      <w:r>
        <w:rPr>
          <w:rFonts w:hint="eastAsia" w:ascii="仿宋" w:hAnsi="仿宋" w:eastAsia="仿宋" w:cs="仿宋"/>
          <w:i w:val="0"/>
          <w:iCs w:val="0"/>
          <w:color w:val="auto"/>
          <w:sz w:val="28"/>
          <w:szCs w:val="28"/>
          <w:highlight w:val="none"/>
          <w:shd w:val="clear" w:color="auto" w:fill="auto"/>
        </w:rPr>
        <w:t>工期。</w:t>
      </w:r>
    </w:p>
    <w:p w14:paraId="44E47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4.11 本项目竣工验收移交甲方后、使用期结束前，如甲方在本项目内有新增工程且要求乙方进行报价或施工时，乙方须予配合。</w:t>
      </w:r>
    </w:p>
    <w:p w14:paraId="007AFCB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u w:val="none"/>
          <w:lang w:val="en-US" w:eastAsia="zh-CN"/>
        </w:rPr>
      </w:pPr>
      <w:bookmarkStart w:id="14" w:name="_Toc9090"/>
      <w:bookmarkStart w:id="15" w:name="_Toc19252"/>
      <w:bookmarkStart w:id="16" w:name="_Toc2060"/>
      <w:r>
        <w:rPr>
          <w:rFonts w:hint="eastAsia" w:ascii="仿宋" w:hAnsi="仿宋" w:eastAsia="仿宋" w:cs="仿宋"/>
          <w:i w:val="0"/>
          <w:iCs w:val="0"/>
          <w:color w:val="auto"/>
          <w:sz w:val="28"/>
          <w:szCs w:val="28"/>
          <w:highlight w:val="none"/>
          <w:u w:val="none"/>
          <w:shd w:val="clear" w:color="auto" w:fill="auto"/>
          <w:lang w:val="en-US" w:eastAsia="zh-CN"/>
        </w:rPr>
        <w:t>4.12</w:t>
      </w:r>
      <w:r>
        <w:rPr>
          <w:rFonts w:hint="eastAsia" w:ascii="仿宋" w:hAnsi="仿宋" w:eastAsia="仿宋" w:cs="仿宋"/>
          <w:b w:val="0"/>
          <w:bCs w:val="0"/>
          <w:i w:val="0"/>
          <w:iCs w:val="0"/>
          <w:color w:val="auto"/>
          <w:sz w:val="28"/>
          <w:szCs w:val="28"/>
          <w:highlight w:val="none"/>
          <w:u w:val="none"/>
          <w:lang w:val="en-US" w:eastAsia="zh-CN"/>
        </w:rPr>
        <w:t>乙方须严格遵照甲方制订的施工进度计划开展具体施工工作，每周必须到甲方项目部在《施工任务表》上签认施工任务并保证完成，否则主动承担违约金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055B1FD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7" w:name="_Toc15139"/>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4"/>
      <w:bookmarkEnd w:id="17"/>
    </w:p>
    <w:p w14:paraId="68ADEC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1质量标准：</w:t>
      </w:r>
      <w:r>
        <w:rPr>
          <w:rFonts w:hint="eastAsia" w:ascii="仿宋" w:hAnsi="仿宋" w:eastAsia="仿宋" w:cs="仿宋"/>
          <w:i w:val="0"/>
          <w:iCs w:val="0"/>
          <w:color w:val="auto"/>
          <w:sz w:val="28"/>
          <w:szCs w:val="28"/>
          <w:highlight w:val="none"/>
          <w:shd w:val="clear" w:color="auto" w:fill="auto"/>
          <w:lang w:val="en-US" w:eastAsia="zh-CN"/>
        </w:rPr>
        <w:t>本工程须</w:t>
      </w:r>
      <w:r>
        <w:rPr>
          <w:rFonts w:hint="eastAsia" w:ascii="仿宋" w:hAnsi="仿宋" w:eastAsia="仿宋" w:cs="仿宋"/>
          <w:i w:val="0"/>
          <w:iCs w:val="0"/>
          <w:color w:val="auto"/>
          <w:sz w:val="28"/>
          <w:szCs w:val="28"/>
          <w:highlight w:val="none"/>
          <w:shd w:val="clear" w:color="auto" w:fill="auto"/>
        </w:rPr>
        <w:t>达到国家</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行业</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rPr>
        <w:t>优良</w:t>
      </w:r>
      <w:r>
        <w:rPr>
          <w:rFonts w:hint="eastAsia" w:ascii="仿宋" w:hAnsi="仿宋" w:eastAsia="仿宋" w:cs="仿宋"/>
          <w:i w:val="0"/>
          <w:iCs w:val="0"/>
          <w:color w:val="auto"/>
          <w:sz w:val="28"/>
          <w:szCs w:val="28"/>
          <w:highlight w:val="none"/>
          <w:shd w:val="clear" w:color="auto" w:fill="auto"/>
        </w:rPr>
        <w:t>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786DBF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甲方（或监理、</w:t>
      </w:r>
      <w:r>
        <w:rPr>
          <w:rFonts w:hint="eastAsia" w:ascii="仿宋" w:hAnsi="仿宋" w:eastAsia="仿宋" w:cs="仿宋"/>
          <w:b w:val="0"/>
          <w:bCs w:val="0"/>
          <w:i w:val="0"/>
          <w:iCs w:val="0"/>
          <w:color w:val="auto"/>
          <w:sz w:val="28"/>
          <w:szCs w:val="28"/>
          <w:highlight w:val="none"/>
          <w:shd w:val="clear" w:color="auto" w:fill="auto"/>
          <w:lang w:val="en-US" w:eastAsia="zh-CN"/>
        </w:rPr>
        <w:t>建设单位、政府部门、供电部门）</w:t>
      </w:r>
      <w:r>
        <w:rPr>
          <w:rFonts w:hint="eastAsia" w:ascii="仿宋" w:hAnsi="仿宋" w:eastAsia="仿宋" w:cs="仿宋"/>
          <w:b w:val="0"/>
          <w:bCs w:val="0"/>
          <w:i w:val="0"/>
          <w:iCs w:val="0"/>
          <w:color w:val="auto"/>
          <w:sz w:val="28"/>
          <w:szCs w:val="28"/>
          <w:highlight w:val="none"/>
          <w:shd w:val="clear" w:color="auto" w:fill="auto"/>
        </w:rPr>
        <w:t>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本工程或本项目</w:t>
      </w:r>
      <w:r>
        <w:rPr>
          <w:rFonts w:hint="eastAsia" w:ascii="仿宋" w:hAnsi="仿宋" w:eastAsia="仿宋" w:cs="仿宋"/>
          <w:b w:val="0"/>
          <w:bCs w:val="0"/>
          <w:i w:val="0"/>
          <w:iCs w:val="0"/>
          <w:color w:val="auto"/>
          <w:sz w:val="28"/>
          <w:szCs w:val="28"/>
          <w:highlight w:val="none"/>
          <w:shd w:val="clear" w:color="auto" w:fill="auto"/>
        </w:rPr>
        <w:t>时，</w:t>
      </w:r>
      <w:r>
        <w:rPr>
          <w:rFonts w:hint="eastAsia" w:ascii="仿宋" w:hAnsi="仿宋" w:eastAsia="仿宋" w:cs="仿宋"/>
          <w:b w:val="0"/>
          <w:bCs w:val="0"/>
          <w:i w:val="0"/>
          <w:iCs w:val="0"/>
          <w:color w:val="auto"/>
          <w:sz w:val="28"/>
          <w:szCs w:val="28"/>
          <w:highlight w:val="none"/>
          <w:shd w:val="clear" w:color="auto" w:fill="auto"/>
          <w:lang w:val="en-US" w:eastAsia="zh-CN"/>
        </w:rPr>
        <w:t>乙方须</w:t>
      </w:r>
      <w:r>
        <w:rPr>
          <w:rFonts w:hint="eastAsia" w:ascii="仿宋" w:hAnsi="仿宋" w:eastAsia="仿宋" w:cs="仿宋"/>
          <w:b w:val="0"/>
          <w:bCs w:val="0"/>
          <w:i w:val="0"/>
          <w:iCs w:val="0"/>
          <w:color w:val="auto"/>
          <w:sz w:val="28"/>
          <w:szCs w:val="28"/>
          <w:highlight w:val="none"/>
          <w:shd w:val="clear" w:color="auto" w:fill="auto"/>
        </w:rPr>
        <w:t>安排管理人员配合检查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否则每次向甲方承担违约金人民币壹万元。</w:t>
      </w:r>
      <w:r>
        <w:rPr>
          <w:rFonts w:hint="eastAsia" w:ascii="仿宋" w:hAnsi="仿宋" w:eastAsia="仿宋" w:cs="仿宋"/>
          <w:b w:val="0"/>
          <w:bCs w:val="0"/>
          <w:i w:val="0"/>
          <w:iCs w:val="0"/>
          <w:color w:val="auto"/>
          <w:sz w:val="28"/>
          <w:szCs w:val="28"/>
          <w:highlight w:val="none"/>
          <w:shd w:val="clear" w:color="auto" w:fill="auto"/>
        </w:rPr>
        <w:t>乙方施工过程中必须进行质量检查，</w:t>
      </w:r>
      <w:r>
        <w:rPr>
          <w:rFonts w:hint="eastAsia" w:ascii="仿宋" w:hAnsi="仿宋" w:eastAsia="仿宋" w:cs="仿宋"/>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并按甲方要求做好标记及书面资料，严格执行三级检查制度。乙方须坚决落实甲方、政府部门提出的整改要求，凡未按要求落实整改的，甲方有权对乙方收取违约金贰仟至伍万元/次，整改二次以上的</w:t>
      </w:r>
      <w:r>
        <w:rPr>
          <w:rFonts w:hint="eastAsia" w:ascii="仿宋" w:hAnsi="仿宋" w:eastAsia="仿宋" w:cs="仿宋"/>
          <w:b w:val="0"/>
          <w:bCs w:val="0"/>
          <w:i w:val="0"/>
          <w:iCs w:val="0"/>
          <w:color w:val="auto"/>
          <w:sz w:val="28"/>
          <w:szCs w:val="28"/>
          <w:highlight w:val="none"/>
          <w:shd w:val="clear" w:color="auto" w:fill="auto"/>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对本工程</w:t>
      </w:r>
      <w:r>
        <w:rPr>
          <w:rFonts w:hint="eastAsia" w:ascii="仿宋" w:hAnsi="仿宋" w:eastAsia="仿宋" w:cs="仿宋"/>
          <w:b w:val="0"/>
          <w:bCs w:val="0"/>
          <w:i w:val="0"/>
          <w:iCs w:val="0"/>
          <w:color w:val="auto"/>
          <w:sz w:val="28"/>
          <w:szCs w:val="28"/>
          <w:highlight w:val="none"/>
          <w:shd w:val="clear" w:color="auto" w:fill="auto"/>
        </w:rPr>
        <w:t>按</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shd w:val="clear" w:color="auto" w:fill="auto"/>
        </w:rPr>
        <w:t>合同</w:t>
      </w:r>
      <w:r>
        <w:rPr>
          <w:rFonts w:hint="eastAsia" w:ascii="仿宋" w:hAnsi="仿宋" w:eastAsia="仿宋" w:cs="仿宋"/>
          <w:i w:val="0"/>
          <w:iCs w:val="0"/>
          <w:color w:val="auto"/>
          <w:sz w:val="28"/>
          <w:szCs w:val="28"/>
          <w:highlight w:val="none"/>
          <w:shd w:val="clear" w:color="auto" w:fill="auto"/>
          <w:lang w:val="en-US" w:eastAsia="zh-CN"/>
        </w:rPr>
        <w:t>总</w:t>
      </w:r>
      <w:r>
        <w:rPr>
          <w:rFonts w:hint="eastAsia" w:ascii="仿宋" w:hAnsi="仿宋" w:eastAsia="仿宋" w:cs="仿宋"/>
          <w:i w:val="0"/>
          <w:iCs w:val="0"/>
          <w:color w:val="auto"/>
          <w:sz w:val="28"/>
          <w:szCs w:val="28"/>
          <w:highlight w:val="none"/>
          <w:shd w:val="clear" w:color="auto" w:fill="auto"/>
        </w:rPr>
        <w:t>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shd w:val="clear" w:color="auto" w:fill="auto"/>
        </w:rPr>
        <w:t>合同单价</w:t>
      </w:r>
      <w:r>
        <w:rPr>
          <w:rFonts w:hint="eastAsia" w:ascii="仿宋" w:hAnsi="仿宋" w:eastAsia="仿宋" w:cs="仿宋"/>
          <w:i w:val="0"/>
          <w:iCs w:val="0"/>
          <w:color w:val="auto"/>
          <w:sz w:val="28"/>
          <w:szCs w:val="28"/>
          <w:highlight w:val="none"/>
          <w:u w:val="none"/>
          <w:shd w:val="clear" w:color="auto" w:fill="auto"/>
          <w:lang w:val="en-US" w:eastAsia="zh-CN"/>
        </w:rPr>
        <w:t>下浮5%进行结算</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 xml:space="preserve">                     </w:t>
      </w:r>
    </w:p>
    <w:p w14:paraId="2E029A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3质量要点</w:t>
      </w:r>
    </w:p>
    <w:p w14:paraId="29CCEA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bookmarkStart w:id="18" w:name="_Toc11160"/>
      <w:bookmarkStart w:id="19" w:name="_Toc807"/>
      <w:r>
        <w:rPr>
          <w:rFonts w:hint="eastAsia" w:ascii="仿宋" w:hAnsi="仿宋" w:eastAsia="仿宋" w:cs="仿宋"/>
          <w:i w:val="0"/>
          <w:iCs w:val="0"/>
          <w:color w:val="auto"/>
          <w:sz w:val="28"/>
          <w:szCs w:val="28"/>
          <w:highlight w:val="none"/>
          <w:shd w:val="clear" w:color="auto" w:fill="auto"/>
          <w:lang w:val="en-US" w:eastAsia="zh-CN"/>
        </w:rPr>
        <w:t>5.3.1乙供材料必须符合设计要求，有材料出厂合格证、质量检验报告和现场抽样复验报告。</w:t>
      </w:r>
    </w:p>
    <w:p w14:paraId="0E18B3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5.3.2 各施工部位细部做法必须符合设计和规范要求。</w:t>
      </w:r>
      <w:bookmarkEnd w:id="18"/>
      <w:bookmarkEnd w:id="19"/>
      <w:bookmarkStart w:id="20" w:name="_Toc14842"/>
    </w:p>
    <w:p w14:paraId="4EB464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5.4乙供材料收货验收流程及标准</w:t>
      </w:r>
    </w:p>
    <w:p w14:paraId="013A5F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5.4.1乙方签订本合同后2日内须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C44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乙方在选择运输材料、设备的机具、车辆时，须提前向甲方项目部安全员报备，选择适合的路线准时抵达，避免现场车辆拥堵，运输车辆总重不得超过现场道路限载，并服从甲方指挥，装卸时注意施工安全。</w:t>
      </w:r>
    </w:p>
    <w:p w14:paraId="1A1784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施工周转材料和小型机具，进场前应报甲方项目部进行检查，做好特殊标记，并由备案人员进行清点后方可使用，无特殊标记的周转材料不得进场，私自进场的不得外运。</w:t>
      </w:r>
    </w:p>
    <w:p w14:paraId="54C8F6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5.4.2甲方施工员在乙供材料、设备进场时对品牌、规格、型号、质量等进行抽检并拍照留存。</w:t>
      </w:r>
    </w:p>
    <w:p w14:paraId="5DC76C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color w:val="auto"/>
          <w:highlight w:val="none"/>
          <w:lang w:val="en-US" w:eastAsia="zh-CN"/>
        </w:rPr>
      </w:pPr>
      <w:r>
        <w:rPr>
          <w:rFonts w:hint="eastAsia" w:ascii="仿宋" w:hAnsi="仿宋" w:eastAsia="仿宋" w:cs="仿宋"/>
          <w:color w:val="auto"/>
          <w:sz w:val="28"/>
          <w:szCs w:val="28"/>
          <w:highlight w:val="none"/>
          <w:u w:val="none"/>
          <w:lang w:val="en-US" w:eastAsia="zh-CN"/>
        </w:rPr>
        <w:t>5.4.3</w:t>
      </w:r>
      <w:r>
        <w:rPr>
          <w:rFonts w:hint="eastAsia" w:ascii="仿宋" w:hAnsi="仿宋" w:eastAsia="仿宋" w:cs="仿宋"/>
          <w:color w:val="auto"/>
          <w:sz w:val="28"/>
          <w:szCs w:val="28"/>
          <w:highlight w:val="none"/>
          <w:u w:val="none"/>
        </w:rPr>
        <w:t>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14:paraId="1FFAA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14:paraId="6A2197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5.4.5乙方使用于本工程的所有材料及机械设备必须符合现行国家及项目当地的相关规定，同时按甲方《分包单位材料管理制度》执行。</w:t>
      </w:r>
    </w:p>
    <w:p w14:paraId="7EEDF5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5.4.6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57D548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1" w:name="_Toc12807"/>
      <w:r>
        <w:rPr>
          <w:rFonts w:hint="eastAsia" w:ascii="仿宋" w:hAnsi="仿宋" w:eastAsia="仿宋" w:cs="仿宋"/>
          <w:b/>
          <w:bCs/>
          <w:i w:val="0"/>
          <w:iCs w:val="0"/>
          <w:color w:val="auto"/>
          <w:sz w:val="28"/>
          <w:szCs w:val="28"/>
          <w:highlight w:val="none"/>
          <w:shd w:val="clear" w:color="auto" w:fill="auto"/>
          <w:lang w:val="en-US" w:eastAsia="zh-CN"/>
        </w:rPr>
        <w:t>合同价款</w:t>
      </w:r>
      <w:bookmarkEnd w:id="15"/>
      <w:bookmarkEnd w:id="16"/>
      <w:bookmarkEnd w:id="20"/>
      <w:bookmarkEnd w:id="21"/>
    </w:p>
    <w:p w14:paraId="1FC18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w:t>
      </w:r>
      <w:r>
        <w:rPr>
          <w:rFonts w:hint="eastAsia" w:ascii="仿宋" w:hAnsi="仿宋" w:eastAsia="仿宋" w:cs="仿宋"/>
          <w:i w:val="0"/>
          <w:iCs w:val="0"/>
          <w:color w:val="auto"/>
          <w:sz w:val="28"/>
          <w:szCs w:val="28"/>
          <w:highlight w:val="none"/>
          <w:lang w:val="en-US" w:eastAsia="zh-CN"/>
        </w:rPr>
        <w:t>本</w:t>
      </w:r>
      <w:r>
        <w:rPr>
          <w:rFonts w:hint="eastAsia" w:ascii="仿宋" w:hAnsi="仿宋" w:eastAsia="仿宋" w:cs="仿宋"/>
          <w:i w:val="0"/>
          <w:iCs w:val="0"/>
          <w:color w:val="auto"/>
          <w:sz w:val="28"/>
          <w:szCs w:val="28"/>
          <w:highlight w:val="none"/>
        </w:rPr>
        <w:t>合同第</w:t>
      </w:r>
      <w:r>
        <w:rPr>
          <w:rFonts w:hint="eastAsia" w:ascii="仿宋" w:hAnsi="仿宋" w:eastAsia="仿宋" w:cs="仿宋"/>
          <w:i w:val="0"/>
          <w:iCs w:val="0"/>
          <w:color w:val="auto"/>
          <w:sz w:val="28"/>
          <w:szCs w:val="28"/>
          <w:highlight w:val="none"/>
          <w:lang w:val="en-US" w:eastAsia="zh-CN"/>
        </w:rPr>
        <w:t>三</w:t>
      </w:r>
      <w:r>
        <w:rPr>
          <w:rFonts w:hint="eastAsia" w:ascii="仿宋" w:hAnsi="仿宋" w:eastAsia="仿宋" w:cs="仿宋"/>
          <w:i w:val="0"/>
          <w:iCs w:val="0"/>
          <w:color w:val="auto"/>
          <w:sz w:val="28"/>
          <w:szCs w:val="28"/>
          <w:highlight w:val="none"/>
          <w:lang w:eastAsia="zh-CN"/>
        </w:rPr>
        <w:t>章</w:t>
      </w:r>
      <w:r>
        <w:rPr>
          <w:rFonts w:hint="eastAsia" w:ascii="仿宋" w:hAnsi="仿宋" w:eastAsia="仿宋" w:cs="仿宋"/>
          <w:i w:val="0"/>
          <w:iCs w:val="0"/>
          <w:color w:val="auto"/>
          <w:sz w:val="28"/>
          <w:szCs w:val="28"/>
          <w:highlight w:val="none"/>
          <w:lang w:val="en-US" w:eastAsia="zh-CN"/>
        </w:rPr>
        <w:t>承包</w:t>
      </w:r>
      <w:r>
        <w:rPr>
          <w:rFonts w:hint="eastAsia" w:ascii="仿宋" w:hAnsi="仿宋" w:eastAsia="仿宋" w:cs="仿宋"/>
          <w:i w:val="0"/>
          <w:iCs w:val="0"/>
          <w:color w:val="auto"/>
          <w:sz w:val="28"/>
          <w:szCs w:val="28"/>
          <w:highlight w:val="none"/>
        </w:rPr>
        <w:t>范围内所有工作</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实现第四章工期要求及承担合同义务、责任、风险</w:t>
      </w:r>
      <w:r>
        <w:rPr>
          <w:rFonts w:hint="eastAsia" w:ascii="仿宋" w:hAnsi="仿宋" w:eastAsia="仿宋" w:cs="仿宋"/>
          <w:b w:val="0"/>
          <w:bCs w:val="0"/>
          <w:i w:val="0"/>
          <w:iCs w:val="0"/>
          <w:color w:val="auto"/>
          <w:sz w:val="28"/>
          <w:szCs w:val="28"/>
          <w:highlight w:val="none"/>
        </w:rPr>
        <w:t>的费用</w:t>
      </w:r>
      <w:r>
        <w:rPr>
          <w:rFonts w:hint="eastAsia" w:ascii="仿宋" w:hAnsi="仿宋" w:eastAsia="仿宋" w:cs="仿宋"/>
          <w:b w:val="0"/>
          <w:bCs w:val="0"/>
          <w:i w:val="0"/>
          <w:iCs w:val="0"/>
          <w:color w:val="auto"/>
          <w:sz w:val="28"/>
          <w:szCs w:val="28"/>
          <w:highlight w:val="none"/>
          <w:lang w:val="en-US" w:eastAsia="zh-CN"/>
        </w:rPr>
        <w:t>已</w:t>
      </w:r>
      <w:r>
        <w:rPr>
          <w:rFonts w:hint="eastAsia" w:ascii="仿宋" w:hAnsi="仿宋" w:eastAsia="仿宋" w:cs="仿宋"/>
          <w:b w:val="0"/>
          <w:bCs w:val="0"/>
          <w:i w:val="0"/>
          <w:iCs w:val="0"/>
          <w:color w:val="auto"/>
          <w:sz w:val="28"/>
          <w:szCs w:val="28"/>
          <w:highlight w:val="none"/>
        </w:rPr>
        <w:t>包括在下列</w:t>
      </w:r>
      <w:r>
        <w:rPr>
          <w:rFonts w:hint="eastAsia" w:ascii="仿宋" w:hAnsi="仿宋" w:eastAsia="仿宋" w:cs="仿宋"/>
          <w:i w:val="0"/>
          <w:iCs w:val="0"/>
          <w:color w:val="auto"/>
          <w:sz w:val="28"/>
          <w:szCs w:val="28"/>
          <w:highlight w:val="none"/>
        </w:rPr>
        <w:t>合同价</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以打</w:t>
      </w: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lang w:val="en-US" w:eastAsia="zh-CN"/>
        </w:rPr>
        <w:t>为准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中。</w:t>
      </w:r>
    </w:p>
    <w:p w14:paraId="74FEF9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color w:val="auto"/>
          <w:sz w:val="28"/>
          <w:szCs w:val="28"/>
          <w:highlight w:val="none"/>
        </w:rPr>
        <w:t>本合同为固定总价合同，合同总价为人民币</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元整</w:t>
      </w:r>
      <w:r>
        <w:rPr>
          <w:rFonts w:hint="eastAsia" w:ascii="仿宋" w:hAnsi="仿宋" w:eastAsia="仿宋" w:cs="仿宋"/>
          <w:b/>
          <w:bCs/>
          <w:color w:val="auto"/>
          <w:sz w:val="28"/>
          <w:szCs w:val="28"/>
          <w:highlight w:val="none"/>
        </w:rPr>
        <w:t>，此价含税，乙方开具税率</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的增值税</w:t>
      </w:r>
      <w:r>
        <w:rPr>
          <w:rFonts w:hint="eastAsia" w:ascii="仿宋" w:hAnsi="仿宋" w:eastAsia="仿宋" w:cs="仿宋"/>
          <w:b/>
          <w:bCs/>
          <w:color w:val="auto"/>
          <w:sz w:val="28"/>
          <w:szCs w:val="28"/>
          <w:highlight w:val="none"/>
          <w:lang w:val="en-US" w:eastAsia="zh-CN"/>
        </w:rPr>
        <w:t>，即不含税价为人民币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，增值税款为人民币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税率按国家政策执行，如税率调整，合同总价随之调整。合同总价包含乙方完成合同附件所述内容的费用，除合同另有约定外，不作调整</w:t>
      </w:r>
      <w:r>
        <w:rPr>
          <w:rFonts w:hint="eastAsia" w:ascii="仿宋" w:hAnsi="仿宋" w:eastAsia="仿宋" w:cs="仿宋"/>
          <w:b/>
          <w:bCs/>
          <w:i w:val="0"/>
          <w:iCs w:val="0"/>
          <w:color w:val="auto"/>
          <w:sz w:val="28"/>
          <w:szCs w:val="28"/>
          <w:highlight w:val="none"/>
          <w:lang w:val="en-US" w:eastAsia="zh-CN"/>
        </w:rPr>
        <w:t>。合同总价对应的合同单价适用于本项目用地红线范围内的本工程全部工作内容，已有价格的子目双方无需另行确定单价，均按已确定的合同价格执行。</w:t>
      </w:r>
    </w:p>
    <w:p w14:paraId="43B91A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本合同为固定单价合同，工程量按实结算。合同单价（详见附件）为全费用固定综合单价，乙方开具税率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单价随之调整）。合同单价包含乙方完成本合同及本合同附件所述内容的全部费用，除合同另有约定外，不作任何调整。合同单价适用于本项目用地红线范围内的本工程全部工作内容，已有价格的子目双方无需另行确定单价，均按已确定的合同价格执行。本合同暂定含税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w:t>
      </w:r>
      <w:r>
        <w:rPr>
          <w:rFonts w:hint="eastAsia" w:ascii="仿宋" w:hAnsi="仿宋" w:eastAsia="仿宋" w:cs="仿宋"/>
          <w:b w:val="0"/>
          <w:bCs w:val="0"/>
          <w:i w:val="0"/>
          <w:iCs w:val="0"/>
          <w:color w:val="auto"/>
          <w:sz w:val="28"/>
          <w:szCs w:val="28"/>
          <w:highlight w:val="none"/>
          <w:shd w:val="clear" w:color="auto" w:fill="auto"/>
          <w:lang w:val="en-US" w:eastAsia="zh-CN"/>
        </w:rPr>
        <w:t>，此价仅供参考，不作结算用途</w:t>
      </w:r>
      <w:r>
        <w:rPr>
          <w:rFonts w:hint="eastAsia" w:ascii="仿宋" w:hAnsi="仿宋" w:eastAsia="仿宋" w:cs="仿宋"/>
          <w:b w:val="0"/>
          <w:bCs w:val="0"/>
          <w:i w:val="0"/>
          <w:iCs w:val="0"/>
          <w:color w:val="auto"/>
          <w:sz w:val="28"/>
          <w:szCs w:val="28"/>
          <w:highlight w:val="none"/>
          <w:lang w:val="en-US" w:eastAsia="zh-CN"/>
        </w:rPr>
        <w:t xml:space="preserve">。 </w:t>
      </w:r>
    </w:p>
    <w:p w14:paraId="687F97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i w:val="0"/>
          <w:iCs w:val="0"/>
          <w:color w:val="auto"/>
          <w:sz w:val="28"/>
          <w:szCs w:val="28"/>
          <w:highlight w:val="none"/>
          <w:shd w:val="clear" w:color="auto" w:fill="auto"/>
          <w:lang w:val="en-US" w:eastAsia="zh-CN"/>
        </w:rPr>
        <w:t>乙方完成下述工作及应对下述情况、风险的费用</w:t>
      </w:r>
      <w:r>
        <w:rPr>
          <w:rFonts w:hint="eastAsia" w:ascii="仿宋" w:hAnsi="仿宋" w:eastAsia="仿宋" w:cs="仿宋"/>
          <w:b w:val="0"/>
          <w:bCs w:val="0"/>
          <w:i w:val="0"/>
          <w:iCs w:val="0"/>
          <w:color w:val="auto"/>
          <w:sz w:val="28"/>
          <w:szCs w:val="28"/>
          <w:highlight w:val="none"/>
          <w:shd w:val="clear" w:color="auto" w:fill="auto"/>
          <w:lang w:val="en-US" w:eastAsia="zh-CN"/>
        </w:rPr>
        <w:t>已包含在合同总价中，甲方无需另行付费给乙方：</w:t>
      </w:r>
    </w:p>
    <w:p w14:paraId="4B0CCB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（1）对相关施工机械及总分配电箱、电缆线进行维护、保养。甲方只负责将配电箱接至施工区域附近，乙方自行接至工作面开关箱，电线、电缆由乙方负责。</w:t>
      </w:r>
    </w:p>
    <w:p w14:paraId="30ACC1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配备本工程所需电工、焊工，</w:t>
      </w:r>
      <w:r>
        <w:rPr>
          <w:rFonts w:hint="eastAsia" w:ascii="仿宋" w:hAnsi="仿宋" w:eastAsia="仿宋" w:cs="仿宋"/>
          <w:b w:val="0"/>
          <w:bCs w:val="0"/>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须持证上岗</w:t>
      </w:r>
      <w:r>
        <w:rPr>
          <w:rFonts w:hint="eastAsia" w:ascii="仿宋" w:hAnsi="仿宋" w:eastAsia="仿宋" w:cs="仿宋"/>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rPr>
        <w:t>甲方电工</w:t>
      </w:r>
      <w:r>
        <w:rPr>
          <w:rFonts w:hint="eastAsia" w:ascii="仿宋" w:hAnsi="仿宋" w:eastAsia="仿宋" w:cs="仿宋"/>
          <w:b w:val="0"/>
          <w:bCs w:val="0"/>
          <w:i w:val="0"/>
          <w:iCs w:val="0"/>
          <w:color w:val="auto"/>
          <w:sz w:val="28"/>
          <w:szCs w:val="28"/>
          <w:highlight w:val="none"/>
          <w:shd w:val="clear" w:color="auto" w:fill="auto"/>
          <w:lang w:val="en-US" w:eastAsia="zh-CN"/>
        </w:rPr>
        <w:t>仅对乙方电工进行</w:t>
      </w:r>
      <w:r>
        <w:rPr>
          <w:rFonts w:hint="eastAsia" w:ascii="仿宋" w:hAnsi="仿宋" w:eastAsia="仿宋" w:cs="仿宋"/>
          <w:b w:val="0"/>
          <w:bCs w:val="0"/>
          <w:i w:val="0"/>
          <w:iCs w:val="0"/>
          <w:color w:val="auto"/>
          <w:sz w:val="28"/>
          <w:szCs w:val="28"/>
          <w:highlight w:val="none"/>
          <w:shd w:val="clear" w:color="auto" w:fill="auto"/>
        </w:rPr>
        <w:t>监督、检查、管理、指导</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4D4FC9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确保本工程</w:t>
      </w:r>
      <w:r>
        <w:rPr>
          <w:rFonts w:hint="eastAsia" w:ascii="仿宋" w:hAnsi="仿宋" w:eastAsia="仿宋" w:cs="仿宋"/>
          <w:b w:val="0"/>
          <w:bCs w:val="0"/>
          <w:i w:val="0"/>
          <w:iCs w:val="0"/>
          <w:color w:val="auto"/>
          <w:sz w:val="28"/>
          <w:szCs w:val="28"/>
          <w:highlight w:val="none"/>
          <w:shd w:val="clear" w:color="auto" w:fill="auto"/>
        </w:rPr>
        <w:t>满足</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rPr>
        <w:t>所在地建设安全管理标准化施工</w:t>
      </w:r>
      <w:r>
        <w:rPr>
          <w:rFonts w:hint="eastAsia" w:ascii="仿宋" w:hAnsi="仿宋" w:eastAsia="仿宋" w:cs="仿宋"/>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 w:hAnsi="仿宋" w:eastAsia="仿宋" w:cs="仿宋"/>
          <w:b w:val="0"/>
          <w:bCs w:val="0"/>
          <w:i w:val="0"/>
          <w:iCs w:val="0"/>
          <w:color w:val="auto"/>
          <w:sz w:val="28"/>
          <w:szCs w:val="28"/>
          <w:highlight w:val="none"/>
          <w:shd w:val="clear" w:color="auto" w:fill="auto"/>
        </w:rPr>
        <w:t>。</w:t>
      </w:r>
    </w:p>
    <w:p w14:paraId="4A5542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春节、元旦、五一、十一、周末等法定节假日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休息日</w:t>
      </w:r>
      <w:r>
        <w:rPr>
          <w:rFonts w:hint="eastAsia" w:ascii="仿宋" w:hAnsi="仿宋" w:eastAsia="仿宋" w:cs="仿宋"/>
          <w:i w:val="0"/>
          <w:iCs w:val="0"/>
          <w:color w:val="auto"/>
          <w:sz w:val="28"/>
          <w:szCs w:val="28"/>
          <w:highlight w:val="none"/>
          <w:shd w:val="clear" w:color="auto" w:fill="auto"/>
        </w:rPr>
        <w:t>及技术要求或进度计划要求</w:t>
      </w:r>
      <w:r>
        <w:rPr>
          <w:rFonts w:hint="eastAsia" w:ascii="仿宋" w:hAnsi="仿宋" w:eastAsia="仿宋" w:cs="仿宋"/>
          <w:b w:val="0"/>
          <w:bCs w:val="0"/>
          <w:i w:val="0"/>
          <w:iCs w:val="0"/>
          <w:color w:val="auto"/>
          <w:sz w:val="28"/>
          <w:szCs w:val="28"/>
          <w:highlight w:val="none"/>
          <w:shd w:val="clear" w:color="auto" w:fill="auto"/>
          <w:lang w:val="en-US" w:eastAsia="zh-CN"/>
        </w:rPr>
        <w:t>进行</w:t>
      </w:r>
      <w:r>
        <w:rPr>
          <w:rFonts w:hint="eastAsia" w:ascii="仿宋" w:hAnsi="仿宋" w:eastAsia="仿宋" w:cs="仿宋"/>
          <w:b w:val="0"/>
          <w:bCs w:val="0"/>
          <w:i w:val="0"/>
          <w:iCs w:val="0"/>
          <w:color w:val="auto"/>
          <w:sz w:val="28"/>
          <w:szCs w:val="28"/>
          <w:highlight w:val="none"/>
          <w:shd w:val="clear" w:color="auto" w:fill="auto"/>
        </w:rPr>
        <w:t>赶工、加班。</w:t>
      </w:r>
    </w:p>
    <w:p w14:paraId="3CD0C3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参与甲供材料（如有）申报采购、验收和收货，其数量作为乙方使用材料损耗率指标的核算依据。</w:t>
      </w:r>
    </w:p>
    <w:p w14:paraId="466908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施工过程出现赶工、交叉作业、停工及工人工资、材料费、机具费上涨等</w:t>
      </w:r>
      <w:r>
        <w:rPr>
          <w:rFonts w:hint="eastAsia" w:ascii="仿宋" w:hAnsi="仿宋" w:eastAsia="仿宋" w:cs="仿宋"/>
          <w:b w:val="0"/>
          <w:bCs w:val="0"/>
          <w:i w:val="0"/>
          <w:iCs w:val="0"/>
          <w:color w:val="auto"/>
          <w:sz w:val="28"/>
          <w:szCs w:val="28"/>
          <w:highlight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shd w:val="clear" w:color="auto" w:fill="auto"/>
        </w:rPr>
        <w:t>增</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不因此</w:t>
      </w:r>
      <w:r>
        <w:rPr>
          <w:rFonts w:hint="eastAsia" w:ascii="仿宋" w:hAnsi="仿宋" w:eastAsia="仿宋" w:cs="仿宋"/>
          <w:b w:val="0"/>
          <w:bCs w:val="0"/>
          <w:i w:val="0"/>
          <w:iCs w:val="0"/>
          <w:color w:val="auto"/>
          <w:sz w:val="28"/>
          <w:szCs w:val="28"/>
          <w:highlight w:val="none"/>
          <w:shd w:val="clear" w:color="auto" w:fill="auto"/>
        </w:rPr>
        <w:t>要求甲方对合同价</w:t>
      </w:r>
      <w:r>
        <w:rPr>
          <w:rFonts w:hint="eastAsia" w:ascii="仿宋" w:hAnsi="仿宋" w:eastAsia="仿宋" w:cs="仿宋"/>
          <w:b w:val="0"/>
          <w:bCs w:val="0"/>
          <w:i w:val="0"/>
          <w:iCs w:val="0"/>
          <w:color w:val="auto"/>
          <w:sz w:val="28"/>
          <w:szCs w:val="28"/>
          <w:highlight w:val="none"/>
          <w:shd w:val="clear" w:color="auto" w:fill="auto"/>
          <w:lang w:val="en-US" w:eastAsia="zh-CN"/>
        </w:rPr>
        <w:t>格</w:t>
      </w:r>
      <w:r>
        <w:rPr>
          <w:rFonts w:hint="eastAsia" w:ascii="仿宋" w:hAnsi="仿宋" w:eastAsia="仿宋" w:cs="仿宋"/>
          <w:b w:val="0"/>
          <w:bCs w:val="0"/>
          <w:i w:val="0"/>
          <w:iCs w:val="0"/>
          <w:color w:val="auto"/>
          <w:sz w:val="28"/>
          <w:szCs w:val="28"/>
          <w:highlight w:val="none"/>
          <w:shd w:val="clear" w:color="auto" w:fill="auto"/>
        </w:rPr>
        <w:t>进行调整和另行</w:t>
      </w:r>
      <w:r>
        <w:rPr>
          <w:rFonts w:hint="eastAsia" w:ascii="仿宋" w:hAnsi="仿宋" w:eastAsia="仿宋" w:cs="仿宋"/>
          <w:b w:val="0"/>
          <w:bCs w:val="0"/>
          <w:i w:val="0"/>
          <w:iCs w:val="0"/>
          <w:color w:val="auto"/>
          <w:sz w:val="28"/>
          <w:szCs w:val="28"/>
          <w:highlight w:val="none"/>
          <w:shd w:val="clear" w:color="auto" w:fill="auto"/>
          <w:lang w:val="en-US" w:eastAsia="zh-CN"/>
        </w:rPr>
        <w:t>增补</w:t>
      </w:r>
      <w:r>
        <w:rPr>
          <w:rFonts w:hint="eastAsia" w:ascii="仿宋" w:hAnsi="仿宋" w:eastAsia="仿宋" w:cs="仿宋"/>
          <w:b w:val="0"/>
          <w:bCs w:val="0"/>
          <w:i w:val="0"/>
          <w:iCs w:val="0"/>
          <w:color w:val="auto"/>
          <w:sz w:val="28"/>
          <w:szCs w:val="28"/>
          <w:highlight w:val="none"/>
          <w:shd w:val="clear" w:color="auto" w:fill="auto"/>
        </w:rPr>
        <w:t>费用。</w:t>
      </w:r>
    </w:p>
    <w:p w14:paraId="693F28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6.2本章第6.1</w:t>
      </w:r>
      <w:r>
        <w:rPr>
          <w:rFonts w:hint="eastAsia" w:ascii="仿宋" w:hAnsi="仿宋" w:eastAsia="仿宋" w:cs="仿宋"/>
          <w:b w:val="0"/>
          <w:bCs w:val="0"/>
          <w:i w:val="0"/>
          <w:iCs w:val="0"/>
          <w:color w:val="auto"/>
          <w:sz w:val="28"/>
          <w:szCs w:val="28"/>
          <w:highlight w:val="none"/>
          <w:lang w:val="en-US" w:eastAsia="zh-CN"/>
        </w:rPr>
        <w:t>条所述价格已考虑疫情等流行疾病影响，乙方不以疫情等疾病防控为由要求甲方对该价格、合同结算办法及工期等合同条款进行调整，疾病防疫措施的一切费用已包含在合同总价内，不另计费。</w:t>
      </w:r>
      <w:bookmarkStart w:id="22" w:name="_Toc32757"/>
      <w:bookmarkStart w:id="23" w:name="_Toc5821"/>
      <w:bookmarkStart w:id="24" w:name="_Toc9761"/>
    </w:p>
    <w:p w14:paraId="5CD032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22"/>
    <w:bookmarkEnd w:id="23"/>
    <w:bookmarkEnd w:id="24"/>
    <w:p w14:paraId="40E280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bookmarkStart w:id="25" w:name="_Toc27562"/>
      <w:r>
        <w:rPr>
          <w:rFonts w:hint="eastAsia" w:ascii="仿宋" w:hAnsi="仿宋" w:eastAsia="仿宋" w:cs="仿宋"/>
          <w:i w:val="0"/>
          <w:iCs w:val="0"/>
          <w:color w:val="auto"/>
          <w:sz w:val="28"/>
          <w:szCs w:val="28"/>
          <w:highlight w:val="none"/>
          <w:lang w:val="en-US" w:eastAsia="zh-CN"/>
        </w:rPr>
        <w:t>6.4</w:t>
      </w:r>
      <w:r>
        <w:rPr>
          <w:rFonts w:hint="eastAsia" w:ascii="仿宋" w:hAnsi="仿宋" w:eastAsia="仿宋" w:cs="仿宋"/>
          <w:color w:val="auto"/>
          <w:sz w:val="28"/>
          <w:highlight w:val="none"/>
          <w:u w:val="none"/>
          <w:lang w:val="en-US" w:eastAsia="zh-CN"/>
        </w:rPr>
        <w:t>乙方在合同履约过程中，报送甲方项目部签名的台班记录单、送货单、对账单等单据中，表述的各种违背本合同约定的文字内容均无效，乙方承诺均按本合同执行。</w:t>
      </w:r>
    </w:p>
    <w:p w14:paraId="7E79F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80E99F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6" w:name="_Toc11091"/>
      <w:r>
        <w:rPr>
          <w:rFonts w:hint="eastAsia" w:ascii="仿宋" w:hAnsi="仿宋" w:eastAsia="仿宋" w:cs="仿宋"/>
          <w:b/>
          <w:bCs/>
          <w:i w:val="0"/>
          <w:iCs w:val="0"/>
          <w:color w:val="auto"/>
          <w:sz w:val="28"/>
          <w:szCs w:val="28"/>
          <w:highlight w:val="none"/>
          <w:shd w:val="clear" w:color="auto" w:fill="auto"/>
          <w:lang w:val="en-US" w:eastAsia="zh-CN"/>
        </w:rPr>
        <w:t>计量计价方式及结算方式（各组团按甲方要求分别独立结算）</w:t>
      </w:r>
      <w:bookmarkEnd w:id="25"/>
      <w:bookmarkEnd w:id="26"/>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6C0728F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7" w:name="_Toc26012"/>
      <w:bookmarkStart w:id="28" w:name="_Toc317"/>
      <w:bookmarkStart w:id="29" w:name="_Toc16700"/>
      <w:r>
        <w:rPr>
          <w:rFonts w:hint="eastAsia" w:ascii="仿宋" w:hAnsi="仿宋" w:eastAsia="仿宋" w:cs="仿宋"/>
          <w:b w:val="0"/>
          <w:bCs w:val="0"/>
          <w:i w:val="0"/>
          <w:iCs w:val="0"/>
          <w:color w:val="auto"/>
          <w:sz w:val="28"/>
          <w:szCs w:val="28"/>
          <w:highlight w:val="none"/>
          <w:lang w:val="en-US" w:eastAsia="zh-CN"/>
        </w:rPr>
        <w:t>7.1</w:t>
      </w:r>
      <w:r>
        <w:rPr>
          <w:rFonts w:hint="eastAsia" w:ascii="仿宋" w:hAnsi="仿宋" w:eastAsia="仿宋" w:cs="仿宋"/>
          <w:color w:val="auto"/>
          <w:sz w:val="28"/>
          <w:szCs w:val="32"/>
          <w:highlight w:val="none"/>
          <w:shd w:val="clear" w:color="auto" w:fill="auto"/>
          <w:lang w:val="en-US" w:eastAsia="zh-CN"/>
        </w:rPr>
        <w:t>工程量有竣工图纸部分，按竣工图计算，无图纸部分以甲方与建设单位签字确认的签证单工程量或按照甲方《分包单位签证管理制度》和《临时设施管理制度》等签证相关要求（如本合同7.5条等）执行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14:paraId="455591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14:paraId="3AA910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固定单价合同结算方式：结算总价=完成并达到合同标准的实际工程量×合同单价-合同约定扣除费用。</w:t>
      </w:r>
    </w:p>
    <w:p w14:paraId="769D26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7.2工程量计算原则：</w:t>
      </w:r>
    </w:p>
    <w:p w14:paraId="1E7877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b w:val="0"/>
          <w:bCs w:val="0"/>
          <w:i w:val="0"/>
          <w:iCs w:val="0"/>
          <w:strike w:val="0"/>
          <w:dstrike w:val="0"/>
          <w:color w:val="auto"/>
          <w:sz w:val="28"/>
          <w:szCs w:val="28"/>
          <w:highlight w:val="none"/>
          <w:lang w:val="en-US" w:eastAsia="zh-CN"/>
        </w:rPr>
        <w:t>7.2.1固定总价合同:合同范围内、合同无约定或合同范围外的签证、变更工程计量方式按7.3~7.5条规则执行。</w:t>
      </w:r>
    </w:p>
    <w:p w14:paraId="570573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b w:val="0"/>
          <w:bCs w:val="0"/>
          <w:i w:val="0"/>
          <w:iCs w:val="0"/>
          <w:strike w:val="0"/>
          <w:dstrike w:val="0"/>
          <w:color w:val="auto"/>
          <w:sz w:val="28"/>
          <w:szCs w:val="28"/>
          <w:highlight w:val="none"/>
          <w:lang w:val="en-US" w:eastAsia="zh-CN"/>
        </w:rPr>
        <w:t>7.2.2固定单价合同：合同范围内、合同无约定或合同范围外的签证、变更工程计量方式按7.3~7.5条规则执行。</w:t>
      </w:r>
    </w:p>
    <w:p w14:paraId="330A381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7.3</w:t>
      </w:r>
      <w:r>
        <w:rPr>
          <w:rFonts w:hint="eastAsia" w:ascii="仿宋" w:hAnsi="仿宋" w:eastAsia="仿宋" w:cs="仿宋"/>
          <w:b w:val="0"/>
          <w:bCs w:val="0"/>
          <w:i w:val="0"/>
          <w:iCs w:val="0"/>
          <w:color w:val="auto"/>
          <w:sz w:val="28"/>
          <w:szCs w:val="28"/>
          <w:highlight w:val="none"/>
          <w:lang w:val="en-US" w:eastAsia="zh-CN"/>
        </w:rPr>
        <w:t>工程量计量规则</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p>
    <w:p w14:paraId="34D143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7.4计量依据</w:t>
      </w:r>
    </w:p>
    <w:p w14:paraId="0198BE1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7.4.1甲方招标报价版施工图纸或甲方签认下发的施工图；</w:t>
      </w:r>
    </w:p>
    <w:p w14:paraId="336BC2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7.4.2设计变更、甲方与建设单位签认的交楼标准、联系单及签证单；</w:t>
      </w:r>
    </w:p>
    <w:p w14:paraId="60FEE1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7.4.3甲方、建设单位、监理签认的竣工图；</w:t>
      </w:r>
    </w:p>
    <w:p w14:paraId="2B16D0A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7.4.4图纸会审纪要；</w:t>
      </w:r>
    </w:p>
    <w:p w14:paraId="25E7C6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7.4.5质监站要求而图纸中没有且建设单位同意施工的内容。</w:t>
      </w:r>
    </w:p>
    <w:p w14:paraId="27A8E05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7.5签证工程管理制度</w:t>
      </w:r>
    </w:p>
    <w:p w14:paraId="60EE1E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7.5.1签证必须包括的内容资料及要求（格式详见合同附件）   </w:t>
      </w:r>
    </w:p>
    <w:p w14:paraId="339CDA0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7.5.1.1签证单签发时间及编号；</w:t>
      </w:r>
    </w:p>
    <w:p w14:paraId="065A31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7.5.1.2签证事实发生的原因、工作内容、完成的工程量；</w:t>
      </w:r>
    </w:p>
    <w:p w14:paraId="5D3A708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7.5.1.3签证单（含附件：①草签单，②通知单/联系单/设计变更文件，③影像资料）由乙方按甲方规定的格式填写。</w:t>
      </w:r>
    </w:p>
    <w:p w14:paraId="67D2736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7.5.1.4执行签证事实的依据：例如建设单位签发的建设单位通知单、联系函、设计变更等文件。</w:t>
      </w:r>
    </w:p>
    <w:p w14:paraId="24BD45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7.5.1.5对于无法按图计算的工程内容或者比较重要的签证，须附现场彩色相片，特别是临时增补工程，比如：园林苗木的更换、基础换填、零星工程、隐蔽</w:t>
      </w:r>
      <w:r>
        <w:rPr>
          <w:rFonts w:hint="eastAsia" w:ascii="仿宋" w:hAnsi="仿宋" w:eastAsia="仿宋" w:cs="仿宋"/>
          <w:color w:val="auto"/>
          <w:sz w:val="28"/>
          <w:szCs w:val="28"/>
          <w:highlight w:val="none"/>
          <w:lang w:val="en-US" w:eastAsia="zh-CN"/>
        </w:rPr>
        <w:t>工程、水电迁移、拆改过程等。</w:t>
      </w:r>
    </w:p>
    <w:p w14:paraId="53DF3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B20828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产生实际成本的，必须清楚记录具体部位和实际用工记录。</w:t>
      </w:r>
    </w:p>
    <w:p w14:paraId="7F4C15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4571A82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7.5.1.9对同一签证内容，如“甲方与乙方签证的量、价”和“建设单位与甲方签证的量、价”不一致，以两者中的最小量、价对乙方进行结算。</w:t>
      </w:r>
    </w:p>
    <w:p w14:paraId="70566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7.5.1.10甲方与建设单位办理了签证单，而该签证单内容甲方又分给了多家施工单位完成的，则乙方须提供甲乙双方确认的《签证单分包说明》作为乙方结算依据方可结算。</w:t>
      </w:r>
    </w:p>
    <w:p w14:paraId="6427C1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7.5.1.11甲方与建设单位未办理签证单，但属于绿色文明施工范围内或因其它原因（如临时设施等）使得甲方确需与乙方办理签证的情况，则乙方须提供甲方签认的《分包签证确认单》方可作为结算依据。</w:t>
      </w:r>
    </w:p>
    <w:p w14:paraId="4088B8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7.5.2乙方申报签证程序</w:t>
      </w:r>
    </w:p>
    <w:p w14:paraId="534581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7.5.2.1乙方须在工程</w:t>
      </w:r>
      <w:r>
        <w:rPr>
          <w:rFonts w:hint="eastAsia" w:ascii="仿宋" w:hAnsi="仿宋" w:eastAsia="仿宋" w:cs="仿宋"/>
          <w:color w:val="auto"/>
          <w:sz w:val="28"/>
          <w:szCs w:val="28"/>
          <w:highlight w:val="none"/>
          <w:lang w:val="en-US" w:eastAsia="zh-CN"/>
        </w:rPr>
        <w:t>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7FE179C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7.5.2.2草签单由甲方的施工员、成本管理员、副经理共同现场收方、见证完成并签名，乙方则由合同约定的现场执行人签认。</w:t>
      </w:r>
    </w:p>
    <w:p w14:paraId="45B5CD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w:t>
      </w:r>
      <w:r>
        <w:rPr>
          <w:rFonts w:hint="eastAsia" w:ascii="仿宋" w:hAnsi="仿宋" w:eastAsia="仿宋" w:cs="仿宋"/>
          <w:b w:val="0"/>
          <w:bCs w:val="0"/>
          <w:i w:val="0"/>
          <w:iCs w:val="0"/>
          <w:color w:val="auto"/>
          <w:sz w:val="28"/>
          <w:szCs w:val="28"/>
          <w:highlight w:val="none"/>
          <w:lang w:val="en-US" w:eastAsia="zh-CN"/>
        </w:rPr>
        <w:t>前、施工中、施工后的照片、签证预算书作为乙方向甲方办理“分包签证确认单”的必备附件。</w:t>
      </w:r>
    </w:p>
    <w:p w14:paraId="1B9426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7.5.3零星工时计价及相关规定</w:t>
      </w:r>
    </w:p>
    <w:p w14:paraId="7ED3F3C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7.5.3.1零星用工以分包签证确认单的方式结算，工程量以该签证单确认工程量计算。</w:t>
      </w:r>
    </w:p>
    <w:p w14:paraId="2B4616F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7.5.3.2甲方范围内的零星用工单价：按</w:t>
      </w:r>
      <w:r>
        <w:rPr>
          <w:rFonts w:hint="eastAsia" w:ascii="仿宋" w:hAnsi="仿宋" w:eastAsia="仿宋" w:cs="仿宋"/>
          <w:b w:val="0"/>
          <w:bCs w:val="0"/>
          <w:i w:val="0"/>
          <w:iCs w:val="0"/>
          <w:color w:val="auto"/>
          <w:sz w:val="28"/>
          <w:szCs w:val="28"/>
          <w:highlight w:val="none"/>
          <w:u w:val="single"/>
          <w:lang w:val="en-US" w:eastAsia="zh-CN"/>
        </w:rPr>
        <w:t>230</w:t>
      </w:r>
      <w:r>
        <w:rPr>
          <w:rFonts w:hint="eastAsia" w:ascii="仿宋" w:hAnsi="仿宋" w:eastAsia="仿宋" w:cs="仿宋"/>
          <w:b w:val="0"/>
          <w:bCs w:val="0"/>
          <w:i w:val="0"/>
          <w:iCs w:val="0"/>
          <w:color w:val="auto"/>
          <w:sz w:val="28"/>
          <w:szCs w:val="28"/>
          <w:highlight w:val="none"/>
          <w:lang w:val="en-US" w:eastAsia="zh-CN"/>
        </w:rPr>
        <w:t>元/工日（含税）计取。</w:t>
      </w:r>
    </w:p>
    <w:p w14:paraId="5D2EFC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7.5.3.3零星时工填写签证单时，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CC32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7.5.3.4零星时工签证要求及申报程序按照签证工程管理制度条款执行。</w:t>
      </w:r>
    </w:p>
    <w:p w14:paraId="055D18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7.6计价依据</w:t>
      </w:r>
    </w:p>
    <w:p w14:paraId="093B03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7.6.1合同范围内的工程，按合同单价执行</w:t>
      </w:r>
      <w:r>
        <w:rPr>
          <w:rFonts w:hint="eastAsia" w:ascii="仿宋" w:hAnsi="仿宋" w:eastAsia="仿宋" w:cs="仿宋"/>
          <w:b/>
          <w:bCs/>
          <w:i w:val="0"/>
          <w:iCs w:val="0"/>
          <w:color w:val="auto"/>
          <w:sz w:val="28"/>
          <w:szCs w:val="28"/>
          <w:highlight w:val="none"/>
          <w:lang w:val="en-US" w:eastAsia="zh-CN"/>
        </w:rPr>
        <w:t>；</w:t>
      </w:r>
    </w:p>
    <w:p w14:paraId="7B7F78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7.6.2合同范围外的签证变更价款的调整方法：</w:t>
      </w:r>
    </w:p>
    <w:p w14:paraId="108BAA9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7.6.2.1合同中已有适用于变更工程的价格，按合同已有的价格执行；</w:t>
      </w:r>
    </w:p>
    <w:p w14:paraId="1051DA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7.6.2.2合同中只有类似于变更工程的价格，可在合理范围内参照类似价格执行；</w:t>
      </w:r>
    </w:p>
    <w:p w14:paraId="5CD37B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7.6.2.3合同中没有适用或类似于变更工程的价格时，按下述第7.7条规则执行。</w:t>
      </w:r>
    </w:p>
    <w:p w14:paraId="73EDE51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7.7计价规则</w:t>
      </w:r>
    </w:p>
    <w:p w14:paraId="2797D63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7.7.1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p>
    <w:p w14:paraId="3249B9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进行认质认价。报价文件须提供相关证明文件（含材料的厂家、品牌、型号、规格等），经甲方确认综合单价后作为独立费计入总价（计取税金），甲乙双方认质认价的材料不参与任何取费及上下浮。</w:t>
      </w:r>
    </w:p>
    <w:p w14:paraId="4523930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7.7.3计价中除仅计取人工费、材料费、机具费作为直接工程费外，其余按系数计取的各类取费均不计取，另外其他所有措施费均不单独计取费用，定额生成的水费、电费不计取。</w:t>
      </w:r>
    </w:p>
    <w:p w14:paraId="3E7731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7.7.4税率：按国家建设行政主管部门及国家税务部门的最新规定执行。</w:t>
      </w:r>
    </w:p>
    <w:p w14:paraId="16822F1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7.7.5按上述计费方式得出价款后（甲方直接确认的综合单价不参与上下浮的除外）：包工不包料工程按以上计价方式（仅计取人工费和乙方提供的辅材和机械费）下浮</w:t>
      </w:r>
      <w:r>
        <w:rPr>
          <w:rFonts w:hint="eastAsia" w:ascii="仿宋" w:hAnsi="仿宋" w:eastAsia="仿宋" w:cs="仿宋"/>
          <w:b w:val="0"/>
          <w:bCs w:val="0"/>
          <w:i w:val="0"/>
          <w:iCs w:val="0"/>
          <w:color w:val="auto"/>
          <w:sz w:val="28"/>
          <w:szCs w:val="28"/>
          <w:highlight w:val="none"/>
          <w:u w:val="single"/>
          <w:lang w:val="en-US" w:eastAsia="zh-CN"/>
        </w:rPr>
        <w:t xml:space="preserve"> 15 %</w:t>
      </w:r>
      <w:r>
        <w:rPr>
          <w:rFonts w:hint="eastAsia" w:ascii="仿宋" w:hAnsi="仿宋" w:eastAsia="仿宋" w:cs="仿宋"/>
          <w:b w:val="0"/>
          <w:bCs w:val="0"/>
          <w:i w:val="0"/>
          <w:iCs w:val="0"/>
          <w:color w:val="auto"/>
          <w:sz w:val="28"/>
          <w:szCs w:val="28"/>
          <w:highlight w:val="none"/>
          <w:lang w:val="en-US" w:eastAsia="zh-CN"/>
        </w:rPr>
        <w:t>后计取税金；包工包部分材料（仅不含甲供材）的工程按以上计价方式下浮</w:t>
      </w:r>
      <w:r>
        <w:rPr>
          <w:rFonts w:hint="eastAsia" w:ascii="仿宋" w:hAnsi="仿宋" w:eastAsia="仿宋" w:cs="仿宋"/>
          <w:b w:val="0"/>
          <w:bCs w:val="0"/>
          <w:i w:val="0"/>
          <w:iCs w:val="0"/>
          <w:color w:val="auto"/>
          <w:sz w:val="28"/>
          <w:szCs w:val="28"/>
          <w:highlight w:val="none"/>
          <w:u w:val="single"/>
          <w:lang w:val="en-US" w:eastAsia="zh-CN"/>
        </w:rPr>
        <w:t xml:space="preserve"> 35 %</w:t>
      </w:r>
      <w:r>
        <w:rPr>
          <w:rFonts w:hint="eastAsia" w:ascii="仿宋" w:hAnsi="仿宋" w:eastAsia="仿宋" w:cs="仿宋"/>
          <w:b w:val="0"/>
          <w:bCs w:val="0"/>
          <w:i w:val="0"/>
          <w:iCs w:val="0"/>
          <w:color w:val="auto"/>
          <w:sz w:val="28"/>
          <w:szCs w:val="28"/>
          <w:highlight w:val="none"/>
          <w:lang w:val="en-US" w:eastAsia="zh-CN"/>
        </w:rPr>
        <w:t>后计取税金；包工包料的工程按以上计价方式下浮</w:t>
      </w:r>
      <w:r>
        <w:rPr>
          <w:rFonts w:hint="eastAsia" w:ascii="仿宋" w:hAnsi="仿宋" w:eastAsia="仿宋" w:cs="仿宋"/>
          <w:b w:val="0"/>
          <w:bCs w:val="0"/>
          <w:i w:val="0"/>
          <w:iCs w:val="0"/>
          <w:color w:val="auto"/>
          <w:sz w:val="28"/>
          <w:szCs w:val="28"/>
          <w:highlight w:val="none"/>
          <w:u w:val="single"/>
          <w:lang w:val="en-US" w:eastAsia="zh-CN"/>
        </w:rPr>
        <w:t xml:space="preserve"> 35 %</w:t>
      </w:r>
      <w:r>
        <w:rPr>
          <w:rFonts w:hint="eastAsia" w:ascii="仿宋" w:hAnsi="仿宋" w:eastAsia="仿宋" w:cs="仿宋"/>
          <w:b w:val="0"/>
          <w:bCs w:val="0"/>
          <w:i w:val="0"/>
          <w:iCs w:val="0"/>
          <w:color w:val="auto"/>
          <w:sz w:val="28"/>
          <w:szCs w:val="28"/>
          <w:highlight w:val="none"/>
          <w:lang w:val="en-US" w:eastAsia="zh-CN"/>
        </w:rPr>
        <w:t>后计取税金。（结算时，如乙方已请款部分开具的发票税率与合同约定不同时，须提供已请款金额及相应税率，且须甲方财务签字确认）</w:t>
      </w:r>
    </w:p>
    <w:p w14:paraId="4D3A8F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7.8甲方巡检发现存在质量问题或验收不合格的工程，工程量不予结算。</w:t>
      </w:r>
    </w:p>
    <w:p w14:paraId="3DD8D1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7.9因合同中已有施工方案的变化引起的工程价款变化，结算时不再调整（合同中未明确的施工方案除外）。</w:t>
      </w:r>
    </w:p>
    <w:p w14:paraId="1BEFCE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7.10乙方未完成自身工作的（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315319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717E835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5F6C5B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C3615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7.14乙方办理结算时必须按甲方要求对合同范围内每个组团或每个地块或每栋楼单独结算，否则甲方有权不予结算且不承担任何违约责任。</w:t>
      </w:r>
    </w:p>
    <w:p w14:paraId="3A5F6EA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7.15乙方办理工程进度款申请书、结算书时必须提供甲方主管施工员和项目经理签名的“工完场清交接单”（格式详见附件），否则甲方有权不予办理付款及结算。</w:t>
      </w:r>
    </w:p>
    <w:p w14:paraId="3EBF122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7.16乙方须实事求是申报工程结算资料，不得虚报工程结算。</w:t>
      </w:r>
    </w:p>
    <w:p w14:paraId="2312B4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7.17合同内未施工的清单分项、图纸内容，乙方在申报结算书中未扣减其相应费用而向甲方申报结算的，乙方按上述其未施工项目申报的结算金额的200%向甲方支付违约金，违约金可在乙方任一合同款额中扣除。</w:t>
      </w:r>
    </w:p>
    <w:p w14:paraId="3C362D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7.18工程结算书及相关结算</w:t>
      </w:r>
      <w:r>
        <w:rPr>
          <w:rFonts w:hint="eastAsia" w:ascii="仿宋" w:hAnsi="仿宋" w:eastAsia="仿宋" w:cs="仿宋"/>
          <w:color w:val="auto"/>
          <w:sz w:val="28"/>
          <w:szCs w:val="32"/>
          <w:highlight w:val="none"/>
          <w:shd w:val="clear" w:color="auto" w:fill="auto"/>
          <w:lang w:val="en-US" w:eastAsia="zh-CN"/>
        </w:rPr>
        <w:t>资</w:t>
      </w:r>
      <w:r>
        <w:rPr>
          <w:rFonts w:hint="eastAsia" w:ascii="仿宋" w:hAnsi="仿宋" w:eastAsia="仿宋" w:cs="仿宋"/>
          <w:b w:val="0"/>
          <w:bCs w:val="0"/>
          <w:i w:val="0"/>
          <w:iCs w:val="0"/>
          <w:color w:val="auto"/>
          <w:sz w:val="28"/>
          <w:szCs w:val="28"/>
          <w:highlight w:val="none"/>
          <w:lang w:val="en-US" w:eastAsia="zh-CN"/>
        </w:rPr>
        <w:t>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15C5DD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7.19本工程甲供材损耗率按本合同对应条款执行。</w:t>
      </w:r>
    </w:p>
    <w:p w14:paraId="7EC93FB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7.20乙方提交的结算资料须符合本合同其他条款的要求（如</w:t>
      </w:r>
      <w:r>
        <w:rPr>
          <w:rFonts w:hint="eastAsia" w:ascii="仿宋" w:hAnsi="仿宋" w:eastAsia="仿宋" w:cs="仿宋"/>
          <w:b w:val="0"/>
          <w:bCs w:val="0"/>
          <w:i w:val="0"/>
          <w:iCs w:val="0"/>
          <w:color w:val="auto"/>
          <w:sz w:val="28"/>
          <w:szCs w:val="28"/>
          <w:highlight w:val="none"/>
          <w:u w:val="none"/>
          <w:shd w:val="clear" w:color="auto" w:fill="auto"/>
          <w:lang w:val="en-US" w:eastAsia="zh-CN"/>
        </w:rPr>
        <w:t>附件《工程结算资料目录》的要求等</w:t>
      </w:r>
      <w:r>
        <w:rPr>
          <w:rFonts w:hint="eastAsia" w:ascii="仿宋" w:hAnsi="仿宋" w:eastAsia="仿宋" w:cs="仿宋"/>
          <w:b w:val="0"/>
          <w:bCs w:val="0"/>
          <w:i w:val="0"/>
          <w:iCs w:val="0"/>
          <w:color w:val="auto"/>
          <w:sz w:val="28"/>
          <w:szCs w:val="28"/>
          <w:highlight w:val="none"/>
          <w:lang w:val="en-US" w:eastAsia="zh-CN"/>
        </w:rPr>
        <w:t>），否则甲方有权不予办理结算且不违约。</w:t>
      </w:r>
    </w:p>
    <w:p w14:paraId="724C69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30" w:name="_Toc7416"/>
      <w:r>
        <w:rPr>
          <w:rFonts w:hint="eastAsia" w:ascii="仿宋" w:hAnsi="仿宋" w:eastAsia="仿宋" w:cs="仿宋"/>
          <w:b/>
          <w:bCs/>
          <w:i w:val="0"/>
          <w:iCs w:val="0"/>
          <w:color w:val="auto"/>
          <w:sz w:val="28"/>
          <w:szCs w:val="28"/>
          <w:highlight w:val="none"/>
          <w:shd w:val="clear" w:color="auto" w:fill="auto"/>
          <w:lang w:val="en-US" w:eastAsia="zh-CN"/>
        </w:rPr>
        <w:t>付款方式（每个组团独立付款、独立开发票）</w:t>
      </w:r>
      <w:bookmarkEnd w:id="27"/>
      <w:bookmarkEnd w:id="28"/>
      <w:bookmarkEnd w:id="29"/>
      <w:bookmarkEnd w:id="30"/>
    </w:p>
    <w:p w14:paraId="30579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8.1付款方式一</w:t>
      </w:r>
    </w:p>
    <w:p w14:paraId="66997EF1">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本工程完成安装</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经</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供电企业、</w:t>
      </w:r>
      <w:r>
        <w:rPr>
          <w:rFonts w:hint="eastAsia" w:ascii="仿宋" w:hAnsi="仿宋" w:eastAsia="仿宋" w:cs="仿宋"/>
          <w:color w:val="auto"/>
          <w:sz w:val="28"/>
          <w:szCs w:val="28"/>
          <w:highlight w:val="none"/>
        </w:rPr>
        <w:t>建设单位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监理</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、甲方等验收合格</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供电企业对本项目正式供电且</w:t>
      </w:r>
      <w:r>
        <w:rPr>
          <w:rFonts w:hint="eastAsia" w:ascii="仿宋" w:hAnsi="仿宋" w:eastAsia="仿宋" w:cs="仿宋"/>
          <w:b w:val="0"/>
          <w:bCs w:val="0"/>
          <w:i w:val="0"/>
          <w:iCs w:val="0"/>
          <w:color w:val="auto"/>
          <w:sz w:val="28"/>
          <w:szCs w:val="28"/>
          <w:highlight w:val="none"/>
          <w:lang w:val="en-US" w:eastAsia="zh-CN"/>
        </w:rPr>
        <w:t>甲方正常使用</w:t>
      </w:r>
      <w:r>
        <w:rPr>
          <w:rFonts w:hint="eastAsia" w:ascii="仿宋" w:hAnsi="仿宋" w:eastAsia="仿宋" w:cs="仿宋"/>
          <w:color w:val="auto"/>
          <w:sz w:val="28"/>
          <w:szCs w:val="28"/>
          <w:highlight w:val="none"/>
          <w:u w:val="none"/>
          <w:lang w:val="en-US" w:eastAsia="zh-CN"/>
        </w:rPr>
        <w:t>，</w:t>
      </w:r>
      <w:r>
        <w:rPr>
          <w:rFonts w:hint="default" w:ascii="仿宋" w:hAnsi="仿宋" w:eastAsia="仿宋" w:cs="仿宋"/>
          <w:color w:val="auto"/>
          <w:sz w:val="28"/>
          <w:szCs w:val="28"/>
          <w:highlight w:val="none"/>
          <w:u w:val="none"/>
          <w:lang w:eastAsia="zh-CN"/>
        </w:rPr>
        <w:t>乙方</w:t>
      </w:r>
      <w:r>
        <w:rPr>
          <w:rFonts w:hint="eastAsia" w:ascii="仿宋" w:hAnsi="仿宋" w:eastAsia="仿宋" w:cs="仿宋"/>
          <w:color w:val="auto"/>
          <w:sz w:val="28"/>
          <w:szCs w:val="28"/>
          <w:highlight w:val="none"/>
          <w:u w:val="none"/>
          <w:lang w:val="en-US" w:eastAsia="zh-CN"/>
        </w:rPr>
        <w:t>把</w:t>
      </w:r>
      <w:r>
        <w:rPr>
          <w:rFonts w:hint="default" w:ascii="仿宋" w:hAnsi="仿宋" w:eastAsia="仿宋" w:cs="仿宋"/>
          <w:color w:val="auto"/>
          <w:sz w:val="28"/>
          <w:szCs w:val="28"/>
          <w:highlight w:val="none"/>
          <w:u w:val="none"/>
          <w:lang w:eastAsia="zh-CN"/>
        </w:rPr>
        <w:t>所有</w:t>
      </w:r>
      <w:r>
        <w:rPr>
          <w:rFonts w:hint="eastAsia" w:ascii="仿宋" w:hAnsi="仿宋" w:eastAsia="仿宋" w:cs="仿宋"/>
          <w:color w:val="auto"/>
          <w:sz w:val="28"/>
          <w:szCs w:val="28"/>
          <w:highlight w:val="none"/>
          <w:u w:val="none"/>
          <w:lang w:val="en-US" w:eastAsia="zh-CN"/>
        </w:rPr>
        <w:t>政府主管部门文件、</w:t>
      </w:r>
      <w:r>
        <w:rPr>
          <w:rFonts w:hint="default" w:ascii="仿宋" w:hAnsi="仿宋" w:eastAsia="仿宋" w:cs="仿宋"/>
          <w:color w:val="auto"/>
          <w:sz w:val="28"/>
          <w:szCs w:val="28"/>
          <w:highlight w:val="none"/>
          <w:u w:val="none"/>
          <w:lang w:eastAsia="zh-CN"/>
        </w:rPr>
        <w:t>资料原件、复印件</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须</w:t>
      </w:r>
      <w:r>
        <w:rPr>
          <w:rFonts w:hint="default" w:ascii="仿宋" w:hAnsi="仿宋" w:eastAsia="仿宋" w:cs="仿宋"/>
          <w:color w:val="auto"/>
          <w:sz w:val="28"/>
          <w:szCs w:val="28"/>
          <w:highlight w:val="none"/>
          <w:u w:val="none"/>
          <w:lang w:eastAsia="zh-CN"/>
        </w:rPr>
        <w:t>列清单、目录</w:t>
      </w:r>
      <w:r>
        <w:rPr>
          <w:rFonts w:hint="eastAsia" w:ascii="仿宋" w:hAnsi="仿宋" w:eastAsia="仿宋" w:cs="仿宋"/>
          <w:color w:val="auto"/>
          <w:sz w:val="28"/>
          <w:szCs w:val="28"/>
          <w:highlight w:val="none"/>
          <w:u w:val="none"/>
          <w:lang w:eastAsia="zh-CN"/>
        </w:rPr>
        <w:t>）</w:t>
      </w:r>
      <w:r>
        <w:rPr>
          <w:rFonts w:hint="default" w:ascii="仿宋" w:hAnsi="仿宋" w:eastAsia="仿宋" w:cs="仿宋"/>
          <w:color w:val="auto"/>
          <w:sz w:val="28"/>
          <w:szCs w:val="28"/>
          <w:highlight w:val="none"/>
          <w:u w:val="none"/>
          <w:lang w:eastAsia="zh-CN"/>
        </w:rPr>
        <w:t>交</w:t>
      </w:r>
      <w:r>
        <w:rPr>
          <w:rFonts w:hint="eastAsia" w:ascii="仿宋" w:hAnsi="仿宋" w:eastAsia="仿宋" w:cs="仿宋"/>
          <w:color w:val="auto"/>
          <w:sz w:val="28"/>
          <w:szCs w:val="28"/>
          <w:highlight w:val="none"/>
          <w:u w:val="none"/>
          <w:lang w:val="en-US" w:eastAsia="zh-CN"/>
        </w:rPr>
        <w:t>齐给</w:t>
      </w:r>
      <w:r>
        <w:rPr>
          <w:rFonts w:hint="default" w:ascii="仿宋" w:hAnsi="仿宋" w:eastAsia="仿宋" w:cs="仿宋"/>
          <w:color w:val="auto"/>
          <w:sz w:val="28"/>
          <w:szCs w:val="28"/>
          <w:highlight w:val="none"/>
          <w:u w:val="none"/>
          <w:lang w:eastAsia="zh-CN"/>
        </w:rPr>
        <w:t>甲方，甲方</w:t>
      </w:r>
      <w:r>
        <w:rPr>
          <w:rFonts w:hint="eastAsia" w:ascii="仿宋" w:hAnsi="仿宋" w:eastAsia="仿宋" w:cs="仿宋"/>
          <w:color w:val="auto"/>
          <w:sz w:val="28"/>
          <w:szCs w:val="28"/>
          <w:highlight w:val="none"/>
          <w:u w:val="none"/>
          <w:lang w:val="en-US" w:eastAsia="zh-CN"/>
        </w:rPr>
        <w:t>支付合同总价的80%作为进度款（含甲方工人工资专用账户支付给乙方工人工资款额）</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p>
    <w:p w14:paraId="5ECE4F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8.1.2</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lang w:val="en-US" w:eastAsia="zh-CN"/>
        </w:rPr>
        <w:t>完成拆除并恢复原状，乙方人员、材料、机具全部完成退场，经政府主管部门（如需）、供电企业（如需）、建设单位、监理单位、甲方等验收合格后，</w:t>
      </w:r>
      <w:r>
        <w:rPr>
          <w:rFonts w:hint="eastAsia" w:ascii="仿宋" w:hAnsi="仿宋" w:eastAsia="仿宋" w:cs="仿宋"/>
          <w:b w:val="0"/>
          <w:bCs w:val="0"/>
          <w:i w:val="0"/>
          <w:iCs w:val="0"/>
          <w:color w:val="auto"/>
          <w:sz w:val="28"/>
          <w:szCs w:val="28"/>
          <w:highlight w:val="none"/>
        </w:rPr>
        <w:t>甲乙双方办理</w:t>
      </w:r>
      <w:r>
        <w:rPr>
          <w:rFonts w:hint="eastAsia" w:ascii="仿宋" w:hAnsi="仿宋" w:eastAsia="仿宋" w:cs="仿宋"/>
          <w:b w:val="0"/>
          <w:bCs w:val="0"/>
          <w:i w:val="0"/>
          <w:iCs w:val="0"/>
          <w:color w:val="auto"/>
          <w:sz w:val="28"/>
          <w:szCs w:val="28"/>
          <w:highlight w:val="none"/>
          <w:lang w:val="en-US" w:eastAsia="zh-CN"/>
        </w:rPr>
        <w:t>本</w:t>
      </w:r>
      <w:r>
        <w:rPr>
          <w:rFonts w:hint="eastAsia" w:ascii="仿宋" w:hAnsi="仿宋" w:eastAsia="仿宋" w:cs="仿宋"/>
          <w:b w:val="0"/>
          <w:bCs w:val="0"/>
          <w:i w:val="0"/>
          <w:iCs w:val="0"/>
          <w:color w:val="auto"/>
          <w:sz w:val="28"/>
          <w:szCs w:val="28"/>
          <w:highlight w:val="none"/>
        </w:rPr>
        <w:t>工程结算，双方就结算金额达成书面一致</w:t>
      </w:r>
      <w:r>
        <w:rPr>
          <w:rFonts w:hint="eastAsia" w:ascii="仿宋" w:hAnsi="仿宋" w:eastAsia="仿宋" w:cs="仿宋"/>
          <w:b w:val="0"/>
          <w:bCs w:val="0"/>
          <w:i w:val="0"/>
          <w:iCs w:val="0"/>
          <w:color w:val="auto"/>
          <w:sz w:val="28"/>
          <w:szCs w:val="28"/>
          <w:highlight w:val="none"/>
          <w:lang w:val="en-US" w:eastAsia="zh-CN"/>
        </w:rPr>
        <w:t>且乙方开具金额等于结算总价100%的发票给甲方</w:t>
      </w:r>
      <w:r>
        <w:rPr>
          <w:rFonts w:hint="eastAsia" w:ascii="仿宋" w:hAnsi="仿宋" w:eastAsia="仿宋" w:cs="仿宋"/>
          <w:b w:val="0"/>
          <w:bCs w:val="0"/>
          <w:i w:val="0"/>
          <w:iCs w:val="0"/>
          <w:color w:val="auto"/>
          <w:sz w:val="28"/>
          <w:szCs w:val="28"/>
          <w:highlight w:val="none"/>
        </w:rPr>
        <w:t>后，甲方付至结算总价的</w:t>
      </w:r>
      <w:r>
        <w:rPr>
          <w:rFonts w:hint="eastAsia" w:ascii="仿宋" w:hAnsi="仿宋" w:eastAsia="仿宋" w:cs="仿宋"/>
          <w:b w:val="0"/>
          <w:bCs w:val="0"/>
          <w:i w:val="0"/>
          <w:iCs w:val="0"/>
          <w:color w:val="auto"/>
          <w:sz w:val="28"/>
          <w:szCs w:val="28"/>
          <w:highlight w:val="none"/>
          <w:lang w:val="en-US" w:eastAsia="zh-CN"/>
        </w:rPr>
        <w:t>100</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kern w:val="2"/>
          <w:sz w:val="28"/>
          <w:szCs w:val="28"/>
          <w:highlight w:val="none"/>
          <w:lang w:val="en-US" w:eastAsia="zh-CN" w:bidi="ar-SA"/>
        </w:rPr>
        <w:t>。</w:t>
      </w:r>
    </w:p>
    <w:p w14:paraId="79C6D46C">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auto"/>
          <w:sz w:val="28"/>
          <w:szCs w:val="28"/>
          <w:highlight w:val="none"/>
          <w:u w:val="none"/>
          <w:lang w:val="en-US" w:eastAsia="zh-CN"/>
        </w:rPr>
        <w:t>乙方每月的工人工资款项从</w:t>
      </w:r>
      <w:r>
        <w:rPr>
          <w:rFonts w:hint="eastAsia" w:ascii="仿宋" w:hAnsi="仿宋" w:eastAsia="仿宋" w:cs="仿宋"/>
          <w:color w:val="auto"/>
          <w:sz w:val="28"/>
          <w:szCs w:val="28"/>
          <w:highlight w:val="none"/>
          <w:lang w:val="en-US" w:eastAsia="zh-CN"/>
        </w:rPr>
        <w:t>甲方工人工资专用账户直接发放至工人本人的银行帐户上，甲方每月代发的乙方工人工资总额从本工程进度款中相应扣除。</w:t>
      </w:r>
      <w:r>
        <w:rPr>
          <w:rFonts w:hint="default" w:ascii="仿宋" w:hAnsi="仿宋" w:eastAsia="仿宋" w:cs="仿宋"/>
          <w:color w:val="auto"/>
          <w:kern w:val="2"/>
          <w:sz w:val="28"/>
          <w:szCs w:val="28"/>
          <w:highlight w:val="none"/>
          <w:lang w:val="en-US" w:eastAsia="zh-CN" w:bidi="ar-SA"/>
        </w:rPr>
        <w:t>用于支付工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工资的银行账户所绑定的</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本人银行卡，</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或者其他人员不得以任何理由扣押或者变相扣押。</w:t>
      </w:r>
      <w:r>
        <w:rPr>
          <w:rFonts w:hint="eastAsia" w:ascii="仿宋" w:hAnsi="仿宋" w:eastAsia="仿宋" w:cs="仿宋"/>
          <w:color w:val="auto"/>
          <w:kern w:val="2"/>
          <w:sz w:val="28"/>
          <w:szCs w:val="28"/>
          <w:highlight w:val="none"/>
          <w:lang w:val="en-US" w:eastAsia="zh-CN" w:bidi="ar-SA"/>
        </w:rPr>
        <w:t>乙方申请进度款时须按甲方要求提交工人工资表等资料，</w:t>
      </w:r>
      <w:r>
        <w:rPr>
          <w:rFonts w:hint="eastAsia" w:ascii="仿宋" w:hAnsi="仿宋" w:eastAsia="仿宋" w:cs="仿宋"/>
          <w:color w:val="auto"/>
          <w:sz w:val="28"/>
          <w:szCs w:val="28"/>
          <w:highlight w:val="none"/>
          <w:lang w:val="en-US" w:eastAsia="zh-CN"/>
        </w:rPr>
        <w:t>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合同付款并视为乙方违约。乙方工人考勤打卡及实名要求按甲方《项目实名制及劳资管理制度》执行。</w:t>
      </w:r>
    </w:p>
    <w:p w14:paraId="08F0F5C5">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8.1.4若乙方当次申请的、达到付款条件的合同款金额不足以覆盖当次待付工人工资的，差额部分由乙方在提交工人工资表当日内支付至甲方公司账户，由甲方对乙方工人工资进行统一全额支付，若乙方未及时补足差额部分导致甲方垫付工人工资的，甲方有权追偿或在下一次合同款中直接扣除。若乙方当次申请的、达到付款条件的合同款金额支付当次待付工人工资后尚有余额，余额由甲方直接支付至乙方公司账户。</w:t>
      </w:r>
    </w:p>
    <w:p w14:paraId="407440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8.1付款方式二</w:t>
      </w:r>
    </w:p>
    <w:p w14:paraId="571038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840" w:firstLineChars="300"/>
        <w:textAlignment w:val="auto"/>
        <w:rPr>
          <w:rFonts w:hint="default"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p>
    <w:p w14:paraId="11F1F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bookmarkStart w:id="31" w:name="_Toc25291"/>
      <w:bookmarkStart w:id="32" w:name="_Toc31665"/>
      <w:bookmarkStart w:id="33" w:name="_Toc26423"/>
      <w:r>
        <w:rPr>
          <w:rFonts w:hint="eastAsia" w:ascii="仿宋" w:hAnsi="仿宋" w:eastAsia="仿宋" w:cs="仿宋"/>
          <w:color w:val="auto"/>
          <w:sz w:val="28"/>
          <w:szCs w:val="28"/>
          <w:highlight w:val="none"/>
          <w:lang w:val="en-US" w:eastAsia="zh-CN"/>
        </w:rPr>
        <w:t>8.2付款形式：优先使用网银、银行承兑汇票等，支票、电汇视情况而定。甲方选择其中任意一种支付形式给乙方合同款，均视为乙方收到该合同款。</w:t>
      </w:r>
    </w:p>
    <w:p w14:paraId="7AA061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乙方每次</w:t>
      </w:r>
      <w:r>
        <w:rPr>
          <w:rFonts w:hint="eastAsia" w:ascii="仿宋" w:hAnsi="仿宋" w:eastAsia="仿宋" w:cs="仿宋"/>
          <w:b w:val="0"/>
          <w:bCs w:val="0"/>
          <w:i w:val="0"/>
          <w:iCs w:val="0"/>
          <w:color w:val="auto"/>
          <w:sz w:val="28"/>
          <w:szCs w:val="28"/>
          <w:highlight w:val="none"/>
          <w:lang w:eastAsia="zh-CN"/>
        </w:rPr>
        <w:t>向甲方请款时</w:t>
      </w:r>
      <w:r>
        <w:rPr>
          <w:rFonts w:hint="eastAsia" w:ascii="仿宋" w:hAnsi="仿宋" w:eastAsia="仿宋" w:cs="仿宋"/>
          <w:b w:val="0"/>
          <w:bCs w:val="0"/>
          <w:i w:val="0"/>
          <w:iCs w:val="0"/>
          <w:color w:val="auto"/>
          <w:sz w:val="28"/>
          <w:szCs w:val="28"/>
          <w:highlight w:val="none"/>
        </w:rPr>
        <w:t>必须提供甲方认可</w:t>
      </w:r>
      <w:r>
        <w:rPr>
          <w:rFonts w:hint="eastAsia" w:ascii="仿宋" w:hAnsi="仿宋" w:eastAsia="仿宋" w:cs="仿宋"/>
          <w:b w:val="0"/>
          <w:bCs w:val="0"/>
          <w:i w:val="0"/>
          <w:iCs w:val="0"/>
          <w:color w:val="auto"/>
          <w:sz w:val="28"/>
          <w:szCs w:val="28"/>
          <w:highlight w:val="none"/>
          <w:lang w:val="en-US" w:eastAsia="zh-CN"/>
        </w:rPr>
        <w:t>且符合合同约定</w:t>
      </w:r>
      <w:r>
        <w:rPr>
          <w:rFonts w:hint="eastAsia" w:ascii="仿宋" w:hAnsi="仿宋" w:eastAsia="仿宋" w:cs="仿宋"/>
          <w:b w:val="0"/>
          <w:bCs w:val="0"/>
          <w:i w:val="0"/>
          <w:iCs w:val="0"/>
          <w:color w:val="auto"/>
          <w:sz w:val="28"/>
          <w:szCs w:val="28"/>
          <w:highlight w:val="none"/>
        </w:rPr>
        <w:t>的等额合法增值税专用发票（开票内容须与合同内容一致，</w:t>
      </w:r>
      <w:r>
        <w:rPr>
          <w:rFonts w:hint="eastAsia" w:ascii="仿宋" w:hAnsi="仿宋" w:eastAsia="仿宋" w:cs="仿宋"/>
          <w:b w:val="0"/>
          <w:bCs w:val="0"/>
          <w:i w:val="0"/>
          <w:iCs w:val="0"/>
          <w:color w:val="auto"/>
          <w:sz w:val="28"/>
          <w:szCs w:val="28"/>
          <w:highlight w:val="none"/>
          <w:lang w:val="en-US" w:eastAsia="zh-CN"/>
        </w:rPr>
        <w:t>按甲方要求</w:t>
      </w:r>
      <w:r>
        <w:rPr>
          <w:rFonts w:hint="eastAsia" w:ascii="仿宋" w:hAnsi="仿宋" w:eastAsia="仿宋" w:cs="仿宋"/>
          <w:b w:val="0"/>
          <w:bCs w:val="0"/>
          <w:i w:val="0"/>
          <w:iCs w:val="0"/>
          <w:color w:val="auto"/>
          <w:sz w:val="28"/>
          <w:szCs w:val="28"/>
          <w:highlight w:val="none"/>
        </w:rPr>
        <w:t>各</w:t>
      </w:r>
      <w:r>
        <w:rPr>
          <w:rFonts w:hint="eastAsia" w:ascii="仿宋" w:hAnsi="仿宋" w:eastAsia="仿宋" w:cs="仿宋"/>
          <w:b w:val="0"/>
          <w:bCs w:val="0"/>
          <w:i w:val="0"/>
          <w:iCs w:val="0"/>
          <w:color w:val="auto"/>
          <w:sz w:val="28"/>
          <w:szCs w:val="28"/>
          <w:highlight w:val="none"/>
          <w:lang w:val="en-US" w:eastAsia="zh-CN"/>
        </w:rPr>
        <w:t>地块</w:t>
      </w:r>
      <w:r>
        <w:rPr>
          <w:rFonts w:hint="eastAsia" w:ascii="仿宋" w:hAnsi="仿宋" w:eastAsia="仿宋" w:cs="仿宋"/>
          <w:b w:val="0"/>
          <w:bCs w:val="0"/>
          <w:i w:val="0"/>
          <w:iCs w:val="0"/>
          <w:color w:val="auto"/>
          <w:sz w:val="28"/>
          <w:szCs w:val="28"/>
          <w:highlight w:val="none"/>
        </w:rPr>
        <w:t>独立开具发票），否则甲方有权不付款</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甲方以实际收到乙方请款资料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包括但不限于本合同附件要求的资料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拒付合同款</w:t>
      </w:r>
      <w:r>
        <w:rPr>
          <w:rFonts w:hint="eastAsia" w:ascii="仿宋" w:hAnsi="仿宋" w:eastAsia="仿宋" w:cs="仿宋"/>
          <w:b w:val="0"/>
          <w:bCs w:val="0"/>
          <w:i w:val="0"/>
          <w:iCs w:val="0"/>
          <w:color w:val="auto"/>
          <w:sz w:val="28"/>
          <w:szCs w:val="28"/>
          <w:highlight w:val="none"/>
          <w:lang w:val="en-US" w:eastAsia="zh-CN"/>
        </w:rPr>
        <w:t>且不</w:t>
      </w:r>
      <w:r>
        <w:rPr>
          <w:rFonts w:hint="eastAsia" w:ascii="仿宋" w:hAnsi="仿宋" w:eastAsia="仿宋" w:cs="仿宋"/>
          <w:b w:val="0"/>
          <w:bCs w:val="0"/>
          <w:i w:val="0"/>
          <w:iCs w:val="0"/>
          <w:color w:val="auto"/>
          <w:sz w:val="28"/>
          <w:szCs w:val="28"/>
          <w:highlight w:val="none"/>
        </w:rPr>
        <w:t>违约</w:t>
      </w:r>
      <w:r>
        <w:rPr>
          <w:rFonts w:hint="eastAsia" w:ascii="仿宋" w:hAnsi="仿宋" w:eastAsia="仿宋" w:cs="仿宋"/>
          <w:color w:val="auto"/>
          <w:sz w:val="28"/>
          <w:szCs w:val="28"/>
          <w:highlight w:val="none"/>
        </w:rPr>
        <w:t>。</w:t>
      </w:r>
    </w:p>
    <w:p w14:paraId="22E731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乙方每次向甲方请款时，</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按甲方要求注明该次请款所含的每个</w:t>
      </w:r>
      <w:r>
        <w:rPr>
          <w:rFonts w:hint="eastAsia" w:ascii="仿宋" w:hAnsi="仿宋" w:eastAsia="仿宋" w:cs="仿宋"/>
          <w:color w:val="auto"/>
          <w:sz w:val="28"/>
          <w:szCs w:val="28"/>
          <w:highlight w:val="none"/>
          <w:lang w:val="en-US" w:eastAsia="zh-CN"/>
        </w:rPr>
        <w:t>组团、每个地块、每栋楼</w:t>
      </w:r>
      <w:r>
        <w:rPr>
          <w:rFonts w:hint="eastAsia" w:ascii="仿宋" w:hAnsi="仿宋" w:eastAsia="仿宋" w:cs="仿宋"/>
          <w:color w:val="auto"/>
          <w:sz w:val="28"/>
          <w:szCs w:val="28"/>
          <w:highlight w:val="none"/>
        </w:rPr>
        <w:t>具体金额，否则甲方有权不付款且不违约。</w:t>
      </w:r>
    </w:p>
    <w:p w14:paraId="71FA76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付款金额、结算金额产生争议，甲方有权暂缓付款</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不违约，甲方无需向乙方支付违约金或利息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直至双方达成一致意见后方可按甲方相应流程办理付款手续</w:t>
      </w:r>
      <w:r>
        <w:rPr>
          <w:rFonts w:hint="eastAsia" w:ascii="仿宋" w:hAnsi="仿宋" w:eastAsia="仿宋" w:cs="仿宋"/>
          <w:color w:val="auto"/>
          <w:sz w:val="28"/>
          <w:szCs w:val="28"/>
          <w:highlight w:val="none"/>
        </w:rPr>
        <w:t>。</w:t>
      </w:r>
    </w:p>
    <w:p w14:paraId="10C6C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1F861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8.7乙方必须按税法规定的四流合一执行合同，即合同流、货物流、发票流、资金流一致，否则视为乙方违约，且由乙方承担所有责任及损失，直至满足四流合一，甲方方才付款。</w:t>
      </w:r>
    </w:p>
    <w:p w14:paraId="136E60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乙方须在每次收款前向甲方支付所有赔偿及违约金，否则甲方从应付乙方的款项中直接扣除，所扣款项不足以支付违约金的，由乙方在甲方规定期限内另行付清给甲方。凡甲方收取的款项（包括但不限于：各类押金、保证金、违约金、罚款、垃圾处理费、水电费、租金、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BF89B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8.9乙方在本项目工作但未在本项目实名制登记备案、打卡的人员，甲方不计发该人员在工人工资专用账号的工资，由乙方自行解决，由此所导致的一切后果和全部责任均由乙方承担，同时甲方对乙方上述违约行为按1000元/人/次收取违约金。</w:t>
      </w:r>
    </w:p>
    <w:p w14:paraId="25C977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w:t>
      </w:r>
      <w:r>
        <w:rPr>
          <w:rFonts w:hint="eastAsia" w:ascii="仿宋" w:hAnsi="仿宋" w:eastAsia="仿宋" w:cs="仿宋"/>
          <w:bCs/>
          <w:i w:val="0"/>
          <w:iCs w:val="0"/>
          <w:color w:val="auto"/>
          <w:sz w:val="28"/>
          <w:szCs w:val="28"/>
          <w:highlight w:val="none"/>
        </w:rPr>
        <w:t>.</w:t>
      </w:r>
      <w:r>
        <w:rPr>
          <w:rFonts w:hint="eastAsia" w:ascii="仿宋" w:hAnsi="仿宋" w:eastAsia="仿宋" w:cs="仿宋"/>
          <w:bCs/>
          <w:i w:val="0"/>
          <w:iCs w:val="0"/>
          <w:color w:val="auto"/>
          <w:sz w:val="28"/>
          <w:szCs w:val="28"/>
          <w:highlight w:val="none"/>
          <w:lang w:val="en-US" w:eastAsia="zh-CN"/>
        </w:rPr>
        <w:t>10如乙方申报了乙方不在本项目工作人员的工人工资，属乙方违约，由此所导致的一切后果和全部责任均由乙方承担，同时甲方对乙方上述违约行为按1000元/人/次收取违约金。</w:t>
      </w:r>
    </w:p>
    <w:p w14:paraId="6B27CB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kern w:val="2"/>
          <w:sz w:val="28"/>
          <w:szCs w:val="28"/>
          <w:highlight w:val="none"/>
          <w:shd w:val="clear"/>
          <w:lang w:val="en-US" w:eastAsia="zh-CN" w:bidi="ar"/>
        </w:rPr>
      </w:pPr>
      <w:r>
        <w:rPr>
          <w:rFonts w:hint="eastAsia" w:ascii="仿宋" w:hAnsi="仿宋" w:eastAsia="仿宋" w:cs="仿宋"/>
          <w:bCs/>
          <w:i w:val="0"/>
          <w:iCs w:val="0"/>
          <w:color w:val="auto"/>
          <w:sz w:val="28"/>
          <w:szCs w:val="28"/>
          <w:highlight w:val="none"/>
          <w:lang w:val="en-US" w:eastAsia="zh-CN"/>
        </w:rPr>
        <w:t>8.11</w:t>
      </w:r>
      <w:r>
        <w:rPr>
          <w:rFonts w:hint="eastAsia" w:ascii="仿宋" w:hAnsi="仿宋" w:eastAsia="仿宋" w:cs="仿宋"/>
          <w:color w:val="auto"/>
          <w:kern w:val="2"/>
          <w:sz w:val="28"/>
          <w:szCs w:val="28"/>
          <w:highlight w:val="none"/>
          <w:shd w:val="clear"/>
          <w:lang w:val="en-US" w:eastAsia="zh-CN" w:bidi="ar"/>
        </w:rPr>
        <w:t>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748E2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8.12</w:t>
      </w:r>
      <w:r>
        <w:rPr>
          <w:rFonts w:hint="default" w:ascii="仿宋" w:hAnsi="仿宋" w:eastAsia="仿宋" w:cs="仿宋"/>
          <w:color w:val="auto"/>
          <w:sz w:val="28"/>
          <w:highlight w:val="none"/>
          <w:u w:val="none"/>
          <w:lang w:val="en-US" w:eastAsia="zh-CN"/>
        </w:rPr>
        <w:t>合同履约保证金为人民币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bCs/>
          <w:color w:val="auto"/>
          <w:sz w:val="28"/>
          <w:highlight w:val="none"/>
          <w:u w:val="single"/>
          <w:lang w:val="en-US" w:eastAsia="zh-CN"/>
        </w:rPr>
        <w:t xml:space="preserve">/ </w:t>
      </w:r>
      <w:r>
        <w:rPr>
          <w:rFonts w:hint="default" w:ascii="仿宋" w:hAnsi="仿宋" w:eastAsia="仿宋" w:cs="仿宋"/>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color w:val="auto"/>
          <w:sz w:val="28"/>
          <w:highlight w:val="none"/>
          <w:u w:val="none"/>
          <w:lang w:val="en-US" w:eastAsia="zh-CN"/>
        </w:rPr>
        <w:t>甲方支付第一笔合同款时，如乙方无违约行为，甲方同时无息原路退回剩余的履约保证金。</w:t>
      </w:r>
    </w:p>
    <w:p w14:paraId="36CEF50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4" w:name="_Toc233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双方责任和权利</w:t>
      </w:r>
      <w:bookmarkEnd w:id="31"/>
      <w:bookmarkEnd w:id="34"/>
    </w:p>
    <w:p w14:paraId="1A3B5E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p>
    <w:p w14:paraId="3CB3E02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1.1提供</w:t>
      </w:r>
      <w:r>
        <w:rPr>
          <w:rFonts w:hint="eastAsia" w:ascii="仿宋" w:hAnsi="仿宋" w:eastAsia="仿宋" w:cs="仿宋"/>
          <w:i w:val="0"/>
          <w:iCs w:val="0"/>
          <w:color w:val="auto"/>
          <w:sz w:val="28"/>
          <w:szCs w:val="28"/>
          <w:highlight w:val="none"/>
          <w:shd w:val="clear" w:color="auto" w:fill="auto"/>
          <w:lang w:val="en-US" w:eastAsia="zh-CN"/>
        </w:rPr>
        <w:t>乙方设计</w:t>
      </w:r>
      <w:r>
        <w:rPr>
          <w:rFonts w:hint="eastAsia" w:ascii="仿宋" w:hAnsi="仿宋" w:eastAsia="仿宋" w:cs="仿宋"/>
          <w:b/>
          <w:bCs/>
          <w:i w:val="0"/>
          <w:iCs w:val="0"/>
          <w:color w:val="auto"/>
          <w:sz w:val="28"/>
          <w:szCs w:val="28"/>
          <w:highlight w:val="none"/>
          <w:shd w:val="clear" w:color="auto" w:fill="auto"/>
          <w:lang w:val="en-US" w:eastAsia="zh-CN"/>
        </w:rPr>
        <w:t>且经供电企业审核通过</w:t>
      </w:r>
      <w:r>
        <w:rPr>
          <w:rFonts w:hint="eastAsia" w:ascii="仿宋" w:hAnsi="仿宋" w:eastAsia="仿宋" w:cs="仿宋"/>
          <w:i w:val="0"/>
          <w:iCs w:val="0"/>
          <w:color w:val="auto"/>
          <w:sz w:val="28"/>
          <w:szCs w:val="28"/>
          <w:highlight w:val="none"/>
          <w:shd w:val="clear" w:color="auto" w:fill="auto"/>
          <w:lang w:val="en-US" w:eastAsia="zh-CN"/>
        </w:rPr>
        <w:t>、甲方审定同意的</w:t>
      </w:r>
      <w:r>
        <w:rPr>
          <w:rFonts w:hint="eastAsia" w:ascii="仿宋" w:hAnsi="仿宋" w:eastAsia="仿宋" w:cs="仿宋"/>
          <w:i w:val="0"/>
          <w:iCs w:val="0"/>
          <w:color w:val="auto"/>
          <w:sz w:val="28"/>
          <w:szCs w:val="28"/>
          <w:highlight w:val="none"/>
          <w:shd w:val="clear" w:color="auto" w:fill="auto"/>
        </w:rPr>
        <w:t>施工</w:t>
      </w:r>
      <w:r>
        <w:rPr>
          <w:rFonts w:hint="eastAsia" w:ascii="仿宋" w:hAnsi="仿宋" w:eastAsia="仿宋" w:cs="仿宋"/>
          <w:i w:val="0"/>
          <w:iCs w:val="0"/>
          <w:color w:val="auto"/>
          <w:sz w:val="28"/>
          <w:szCs w:val="28"/>
          <w:highlight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lang w:val="en-US" w:eastAsia="zh-CN"/>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图纸会审记录、施工方案等</w:t>
      </w:r>
      <w:r>
        <w:rPr>
          <w:rFonts w:hint="eastAsia" w:ascii="仿宋" w:hAnsi="仿宋" w:eastAsia="仿宋" w:cs="仿宋"/>
          <w:i w:val="0"/>
          <w:iCs w:val="0"/>
          <w:color w:val="auto"/>
          <w:sz w:val="28"/>
          <w:szCs w:val="28"/>
          <w:highlight w:val="none"/>
          <w:shd w:val="clear" w:color="auto" w:fill="auto"/>
        </w:rPr>
        <w:t>）给乙方；对乙方进行</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技术交底及质量、安全、进度、文明施工、成本控制等管理</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556F1A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 w:hAnsi="仿宋" w:eastAsia="仿宋" w:cs="仿宋"/>
          <w:i w:val="0"/>
          <w:iCs w:val="0"/>
          <w:color w:val="auto"/>
          <w:sz w:val="28"/>
          <w:szCs w:val="28"/>
          <w:highlight w:val="none"/>
          <w:shd w:val="clear" w:color="auto" w:fill="auto"/>
          <w:lang w:val="en-US" w:eastAsia="zh-CN"/>
        </w:rPr>
        <w:t>约定</w:t>
      </w:r>
      <w:r>
        <w:rPr>
          <w:rFonts w:hint="eastAsia" w:ascii="仿宋" w:hAnsi="仿宋" w:eastAsia="仿宋" w:cs="仿宋"/>
          <w:i w:val="0"/>
          <w:iCs w:val="0"/>
          <w:color w:val="auto"/>
          <w:sz w:val="28"/>
          <w:szCs w:val="28"/>
          <w:highlight w:val="none"/>
          <w:shd w:val="clear" w:color="auto" w:fill="auto"/>
        </w:rPr>
        <w:t>及时</w:t>
      </w:r>
      <w:r>
        <w:rPr>
          <w:rFonts w:hint="eastAsia" w:ascii="仿宋" w:hAnsi="仿宋" w:eastAsia="仿宋" w:cs="仿宋"/>
          <w:i w:val="0"/>
          <w:iCs w:val="0"/>
          <w:color w:val="auto"/>
          <w:sz w:val="28"/>
          <w:szCs w:val="28"/>
          <w:highlight w:val="none"/>
          <w:shd w:val="clear" w:color="auto" w:fill="auto"/>
          <w:lang w:val="en-US" w:eastAsia="zh-CN"/>
        </w:rPr>
        <w:t>办理</w:t>
      </w:r>
      <w:r>
        <w:rPr>
          <w:rFonts w:hint="eastAsia" w:ascii="仿宋" w:hAnsi="仿宋" w:eastAsia="仿宋" w:cs="仿宋"/>
          <w:i w:val="0"/>
          <w:iCs w:val="0"/>
          <w:color w:val="auto"/>
          <w:sz w:val="28"/>
          <w:szCs w:val="28"/>
          <w:highlight w:val="none"/>
          <w:shd w:val="clear" w:color="auto" w:fill="auto"/>
        </w:rPr>
        <w:t>结算</w:t>
      </w:r>
      <w:r>
        <w:rPr>
          <w:rFonts w:hint="eastAsia" w:ascii="仿宋" w:hAnsi="仿宋" w:eastAsia="仿宋" w:cs="仿宋"/>
          <w:i w:val="0"/>
          <w:iCs w:val="0"/>
          <w:color w:val="auto"/>
          <w:sz w:val="28"/>
          <w:szCs w:val="28"/>
          <w:highlight w:val="none"/>
          <w:shd w:val="clear" w:color="auto" w:fill="auto"/>
          <w:lang w:val="en-US" w:eastAsia="zh-CN"/>
        </w:rPr>
        <w:t>和</w:t>
      </w:r>
      <w:r>
        <w:rPr>
          <w:rFonts w:hint="eastAsia" w:ascii="仿宋" w:hAnsi="仿宋" w:eastAsia="仿宋" w:cs="仿宋"/>
          <w:i w:val="0"/>
          <w:iCs w:val="0"/>
          <w:color w:val="auto"/>
          <w:sz w:val="28"/>
          <w:szCs w:val="28"/>
          <w:highlight w:val="none"/>
          <w:shd w:val="clear" w:color="auto" w:fill="auto"/>
        </w:rPr>
        <w:t>付</w:t>
      </w:r>
      <w:r>
        <w:rPr>
          <w:rFonts w:hint="eastAsia" w:ascii="仿宋" w:hAnsi="仿宋" w:eastAsia="仿宋" w:cs="仿宋"/>
          <w:i w:val="0"/>
          <w:iCs w:val="0"/>
          <w:color w:val="auto"/>
          <w:sz w:val="28"/>
          <w:szCs w:val="28"/>
          <w:highlight w:val="none"/>
          <w:shd w:val="clear" w:color="auto" w:fill="auto"/>
          <w:lang w:val="en-US" w:eastAsia="zh-CN"/>
        </w:rPr>
        <w:t>款</w:t>
      </w:r>
      <w:r>
        <w:rPr>
          <w:rFonts w:hint="eastAsia" w:ascii="仿宋" w:hAnsi="仿宋" w:eastAsia="仿宋" w:cs="仿宋"/>
          <w:i w:val="0"/>
          <w:iCs w:val="0"/>
          <w:color w:val="auto"/>
          <w:sz w:val="28"/>
          <w:szCs w:val="28"/>
          <w:highlight w:val="none"/>
          <w:shd w:val="clear" w:color="auto" w:fill="auto"/>
        </w:rPr>
        <w:t>。</w:t>
      </w:r>
    </w:p>
    <w:p w14:paraId="4DCFD76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1.3</w:t>
      </w:r>
      <w:r>
        <w:rPr>
          <w:rFonts w:hint="eastAsia" w:ascii="仿宋" w:hAnsi="仿宋" w:eastAsia="仿宋" w:cs="仿宋"/>
          <w:b w:val="0"/>
          <w:bCs w:val="0"/>
          <w:i w:val="0"/>
          <w:iCs w:val="0"/>
          <w:color w:val="auto"/>
          <w:sz w:val="28"/>
          <w:szCs w:val="28"/>
          <w:highlight w:val="none"/>
          <w:shd w:val="clear" w:color="auto" w:fill="auto"/>
          <w:lang w:val="en-US" w:eastAsia="zh-CN"/>
        </w:rPr>
        <w:t>若乙方原因导致其工人工资不能及时发放，工人发生停工或静坐、闹事等不良行为的，甲方有权按本合同相关条款（如第十五章等）向</w:t>
      </w:r>
      <w:r>
        <w:rPr>
          <w:rFonts w:hint="eastAsia" w:ascii="仿宋" w:hAnsi="仿宋" w:eastAsia="仿宋" w:cs="仿宋"/>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收取违约金</w:t>
      </w:r>
      <w:r>
        <w:rPr>
          <w:rFonts w:hint="eastAsia" w:ascii="仿宋" w:hAnsi="仿宋" w:eastAsia="仿宋" w:cs="仿宋"/>
          <w:i w:val="0"/>
          <w:iCs w:val="0"/>
          <w:color w:val="auto"/>
          <w:sz w:val="28"/>
          <w:szCs w:val="28"/>
          <w:highlight w:val="none"/>
          <w:shd w:val="clear" w:color="auto" w:fill="auto"/>
          <w:lang w:val="en-US" w:eastAsia="zh-CN"/>
        </w:rPr>
        <w:t>。</w:t>
      </w:r>
    </w:p>
    <w:p w14:paraId="0AA30B8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1.4</w:t>
      </w:r>
      <w:r>
        <w:rPr>
          <w:rFonts w:hint="eastAsia" w:ascii="仿宋" w:hAnsi="仿宋" w:eastAsia="仿宋" w:cs="仿宋"/>
          <w:color w:val="auto"/>
          <w:sz w:val="28"/>
          <w:szCs w:val="28"/>
          <w:highlight w:val="none"/>
          <w:lang w:val="en-US" w:eastAsia="zh-CN"/>
        </w:rPr>
        <w:t>工程若有变更，甲方必须以书面形式通知乙方，若因工程变更导致增加工程量，甲方应给予乙方合理的备料期（具体时间双方协商）并办理签证确认。</w:t>
      </w:r>
    </w:p>
    <w:p w14:paraId="35D7A8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bookmarkStart w:id="35" w:name="_Toc12475"/>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1.5为乙方</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员工办理人脸识别进场资料，</w:t>
      </w:r>
      <w:r>
        <w:rPr>
          <w:rFonts w:hint="eastAsia" w:ascii="仿宋" w:hAnsi="仿宋" w:eastAsia="仿宋" w:cs="仿宋"/>
          <w:i w:val="0"/>
          <w:iCs w:val="0"/>
          <w:color w:val="000000" w:themeColor="text1"/>
          <w:sz w:val="28"/>
          <w:szCs w:val="28"/>
          <w:highlight w:val="none"/>
          <w14:textFill>
            <w14:solidFill>
              <w14:schemeClr w14:val="tx1"/>
            </w14:solidFill>
          </w14:textFill>
        </w:rPr>
        <w:t>督促乙方及其工人遵章守纪、按章操作，强化现场安全防护工作。</w:t>
      </w:r>
    </w:p>
    <w:p w14:paraId="610759B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6</w:t>
      </w:r>
      <w:r>
        <w:rPr>
          <w:rFonts w:hint="eastAsia" w:ascii="仿宋" w:hAnsi="仿宋" w:eastAsia="仿宋" w:cs="仿宋"/>
          <w:i w:val="0"/>
          <w:iCs w:val="0"/>
          <w:color w:val="000000" w:themeColor="text1"/>
          <w:sz w:val="28"/>
          <w:szCs w:val="28"/>
          <w:highlight w:val="none"/>
          <w14:textFill>
            <w14:solidFill>
              <w14:schemeClr w14:val="tx1"/>
            </w14:solidFill>
          </w14:textFill>
        </w:rPr>
        <w:t>甲方有权根据</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总体情况安排</w:t>
      </w: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调整本工程</w:t>
      </w:r>
      <w:r>
        <w:rPr>
          <w:rFonts w:hint="eastAsia" w:ascii="仿宋" w:hAnsi="仿宋" w:eastAsia="仿宋" w:cs="仿宋"/>
          <w:i w:val="0"/>
          <w:iCs w:val="0"/>
          <w:color w:val="000000" w:themeColor="text1"/>
          <w:sz w:val="28"/>
          <w:szCs w:val="28"/>
          <w:highlight w:val="none"/>
          <w14:textFill>
            <w14:solidFill>
              <w14:schemeClr w14:val="tx1"/>
            </w14:solidFill>
          </w14:textFill>
        </w:rPr>
        <w:t>工期，规定乙方先做某部位后做某部位，何时增加工人何时减少工人，乙方必须服从调动及安排</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否则乙方每次向甲方承担违约金人民币十万元</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21A2807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7</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甲方有权对乙方在施工中出现的不符合设计图纸、违反施工规范和安全操作规程、材料浪费等违规行为强行制止，并要求乙方在规定时间内按要求整改，同时有权根据具体情况对乙方进行扣款处理。</w:t>
      </w:r>
    </w:p>
    <w:p w14:paraId="3C7D310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甲方有权对乙方及其人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进行技术考核</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14:textFill>
            <w14:solidFill>
              <w14:schemeClr w14:val="tx1"/>
            </w14:solidFill>
          </w14:textFill>
        </w:rPr>
        <w:t>考核不合格的人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不能上岗</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且乙方按甲方要求调换合格人员接替上岗</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0B85D99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auto"/>
          <w:sz w:val="28"/>
          <w:szCs w:val="28"/>
          <w:highlight w:val="none"/>
          <w:u w:val="none"/>
          <w:shd w:val="clear" w:color="auto" w:fill="auto"/>
          <w:lang w:val="en-US" w:eastAsia="zh-CN"/>
        </w:rPr>
        <w:t>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须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一年期贷款市场报价利率（LPR）的4倍为标准支付利息给甲方，其他相应违约责任按本合同相关约定执行。</w:t>
      </w:r>
    </w:p>
    <w:p w14:paraId="5D506A2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0</w:t>
      </w:r>
      <w:r>
        <w:rPr>
          <w:rFonts w:hint="eastAsia" w:ascii="仿宋" w:hAnsi="仿宋" w:eastAsia="仿宋" w:cs="仿宋"/>
          <w:b w:val="0"/>
          <w:bCs w:val="0"/>
          <w:i w:val="0"/>
          <w:iCs w:val="0"/>
          <w:color w:val="auto"/>
          <w:sz w:val="28"/>
          <w:szCs w:val="28"/>
          <w:highlight w:val="none"/>
        </w:rPr>
        <w:t>对乙方违反</w:t>
      </w:r>
      <w:r>
        <w:rPr>
          <w:rFonts w:hint="eastAsia" w:ascii="仿宋" w:hAnsi="仿宋" w:eastAsia="仿宋" w:cs="仿宋"/>
          <w:b w:val="0"/>
          <w:bCs w:val="0"/>
          <w:i w:val="0"/>
          <w:iCs w:val="0"/>
          <w:color w:val="auto"/>
          <w:sz w:val="28"/>
          <w:szCs w:val="28"/>
          <w:highlight w:val="none"/>
          <w:lang w:val="en-US" w:eastAsia="zh-CN"/>
        </w:rPr>
        <w:t>合同约定、行业标准、国家或地方政策</w:t>
      </w:r>
      <w:r>
        <w:rPr>
          <w:rFonts w:hint="eastAsia" w:ascii="仿宋" w:hAnsi="仿宋" w:eastAsia="仿宋" w:cs="仿宋"/>
          <w:b w:val="0"/>
          <w:bCs w:val="0"/>
          <w:i w:val="0"/>
          <w:iCs w:val="0"/>
          <w:color w:val="auto"/>
          <w:sz w:val="28"/>
          <w:szCs w:val="28"/>
          <w:highlight w:val="none"/>
        </w:rPr>
        <w:t>规范</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设计要求的行为</w:t>
      </w:r>
      <w:r>
        <w:rPr>
          <w:rFonts w:hint="eastAsia" w:ascii="仿宋" w:hAnsi="仿宋" w:eastAsia="仿宋" w:cs="仿宋"/>
          <w:b w:val="0"/>
          <w:bCs w:val="0"/>
          <w:i w:val="0"/>
          <w:iCs w:val="0"/>
          <w:color w:val="auto"/>
          <w:sz w:val="28"/>
          <w:szCs w:val="28"/>
          <w:highlight w:val="none"/>
        </w:rPr>
        <w:t>，甲方有权要求乙方整改，乙方拒不整改或整改二次后仍不能满足</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要求的，甲方有权单方解除本合同</w:t>
      </w:r>
      <w:r>
        <w:rPr>
          <w:rFonts w:hint="eastAsia" w:ascii="仿宋" w:hAnsi="仿宋" w:eastAsia="仿宋" w:cs="仿宋"/>
          <w:b w:val="0"/>
          <w:bCs w:val="0"/>
          <w:i w:val="0"/>
          <w:iCs w:val="0"/>
          <w:color w:val="auto"/>
          <w:sz w:val="28"/>
          <w:szCs w:val="28"/>
          <w:highlight w:val="none"/>
          <w:lang w:val="en-US" w:eastAsia="zh-CN"/>
        </w:rPr>
        <w:t>且不付款</w:t>
      </w:r>
      <w:r>
        <w:rPr>
          <w:rFonts w:hint="eastAsia" w:ascii="仿宋" w:hAnsi="仿宋" w:eastAsia="仿宋" w:cs="仿宋"/>
          <w:b w:val="0"/>
          <w:bCs w:val="0"/>
          <w:i w:val="0"/>
          <w:iCs w:val="0"/>
          <w:color w:val="auto"/>
          <w:sz w:val="28"/>
          <w:szCs w:val="28"/>
          <w:highlight w:val="none"/>
        </w:rPr>
        <w:t>，同时乙方赔偿甲方的损失（包括</w:t>
      </w:r>
      <w:r>
        <w:rPr>
          <w:rFonts w:hint="eastAsia" w:ascii="仿宋" w:hAnsi="仿宋" w:eastAsia="仿宋" w:cs="仿宋"/>
          <w:b w:val="0"/>
          <w:bCs w:val="0"/>
          <w:i w:val="0"/>
          <w:iCs w:val="0"/>
          <w:color w:val="auto"/>
          <w:sz w:val="28"/>
          <w:szCs w:val="28"/>
          <w:highlight w:val="none"/>
          <w:lang w:val="en-US" w:eastAsia="zh-CN"/>
        </w:rPr>
        <w:t>但</w:t>
      </w:r>
      <w:r>
        <w:rPr>
          <w:rFonts w:hint="eastAsia" w:ascii="仿宋" w:hAnsi="仿宋" w:eastAsia="仿宋" w:cs="仿宋"/>
          <w:b w:val="0"/>
          <w:bCs w:val="0"/>
          <w:i w:val="0"/>
          <w:iCs w:val="0"/>
          <w:color w:val="auto"/>
          <w:sz w:val="28"/>
          <w:szCs w:val="28"/>
          <w:highlight w:val="none"/>
        </w:rPr>
        <w:t>不限于</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因</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逾期完工而对</w:t>
      </w:r>
      <w:r>
        <w:rPr>
          <w:rFonts w:hint="eastAsia" w:ascii="仿宋" w:hAnsi="仿宋" w:eastAsia="仿宋" w:cs="仿宋"/>
          <w:b w:val="0"/>
          <w:bCs w:val="0"/>
          <w:i w:val="0"/>
          <w:iCs w:val="0"/>
          <w:color w:val="auto"/>
          <w:sz w:val="28"/>
          <w:szCs w:val="28"/>
          <w:highlight w:val="none"/>
          <w:lang w:val="en-US" w:eastAsia="zh-CN"/>
        </w:rPr>
        <w:t>建设单位</w:t>
      </w:r>
      <w:r>
        <w:rPr>
          <w:rFonts w:hint="eastAsia" w:ascii="仿宋" w:hAnsi="仿宋" w:eastAsia="仿宋" w:cs="仿宋"/>
          <w:b w:val="0"/>
          <w:bCs w:val="0"/>
          <w:i w:val="0"/>
          <w:iCs w:val="0"/>
          <w:color w:val="auto"/>
          <w:sz w:val="28"/>
          <w:szCs w:val="28"/>
          <w:highlight w:val="none"/>
        </w:rPr>
        <w:t>承担的违约责任、损失赔偿责任等）。</w:t>
      </w:r>
    </w:p>
    <w:p w14:paraId="7D83C58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5E23CD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shd w:val="clear" w:color="auto" w:fill="auto"/>
        </w:rPr>
        <w:t>甲方因参与本合同履行而发出、或与乙方达成合意所形成的一切相关文件，均须同时加盖甲方公章及经法定代表人（或授权代表人）签名，否则均不对甲方产生约束力，除非事后获得甲方另行追认。</w:t>
      </w:r>
    </w:p>
    <w:p w14:paraId="38F22EE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i w:val="0"/>
          <w:iCs w:val="0"/>
          <w:color w:val="auto"/>
          <w:sz w:val="28"/>
          <w:szCs w:val="28"/>
          <w:highlight w:val="none"/>
          <w:u w:val="none"/>
          <w:shd w:val="clear" w:color="auto" w:fill="auto"/>
          <w:lang w:val="en-US" w:eastAsia="zh-CN"/>
        </w:rPr>
        <w:t>对乙方不按合同约定的时间向甲方申报乙方工人工资资料等行为，甲方有权对乙方收取违约金，每逾期一天的违约金不少于伍佰元/人（按工人人数计）。</w:t>
      </w:r>
    </w:p>
    <w:p w14:paraId="43C9683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2、乙方责任和权利</w:t>
      </w:r>
    </w:p>
    <w:p w14:paraId="59640D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9.2.1按设计图纸和施工规范施工，保证施工成品质量满足合同要求。因乙方原因导致的质量事故，由乙方</w:t>
      </w:r>
      <w:r>
        <w:rPr>
          <w:rFonts w:hint="eastAsia" w:ascii="仿宋" w:hAnsi="仿宋" w:eastAsia="仿宋" w:cs="仿宋"/>
          <w:i w:val="0"/>
          <w:iCs w:val="0"/>
          <w:color w:val="auto"/>
          <w:sz w:val="28"/>
          <w:szCs w:val="28"/>
          <w:highlight w:val="none"/>
          <w:shd w:val="clear" w:color="auto" w:fill="auto"/>
          <w:lang w:val="en-US" w:eastAsia="zh-CN"/>
        </w:rPr>
        <w:t>赔偿甲方</w:t>
      </w:r>
      <w:r>
        <w:rPr>
          <w:rFonts w:hint="eastAsia" w:ascii="仿宋" w:hAnsi="仿宋" w:eastAsia="仿宋" w:cs="仿宋"/>
          <w:i w:val="0"/>
          <w:iCs w:val="0"/>
          <w:color w:val="auto"/>
          <w:sz w:val="28"/>
          <w:szCs w:val="28"/>
          <w:highlight w:val="none"/>
          <w:shd w:val="clear" w:color="auto" w:fill="auto"/>
          <w:lang w:eastAsia="zh-CN"/>
        </w:rPr>
        <w:t>损失。乙方未经甲方书面同意而脱离原定图纸擅自施工的，无论是否影响工程质量或工期，乙方除每次向甲方支付违约金人民币贰万元外，因此导致的一切后果</w:t>
      </w:r>
      <w:r>
        <w:rPr>
          <w:rFonts w:hint="eastAsia" w:ascii="仿宋" w:hAnsi="仿宋" w:eastAsia="仿宋" w:cs="仿宋"/>
          <w:i w:val="0"/>
          <w:iCs w:val="0"/>
          <w:color w:val="auto"/>
          <w:sz w:val="28"/>
          <w:szCs w:val="28"/>
          <w:highlight w:val="none"/>
          <w:shd w:val="clear" w:color="auto" w:fill="auto"/>
          <w:lang w:val="en-US" w:eastAsia="zh-CN"/>
        </w:rPr>
        <w:t>甲方有权追责到底</w:t>
      </w:r>
      <w:r>
        <w:rPr>
          <w:rFonts w:hint="eastAsia" w:ascii="仿宋" w:hAnsi="仿宋" w:eastAsia="仿宋" w:cs="仿宋"/>
          <w:i w:val="0"/>
          <w:iCs w:val="0"/>
          <w:color w:val="auto"/>
          <w:sz w:val="28"/>
          <w:szCs w:val="28"/>
          <w:highlight w:val="none"/>
          <w:shd w:val="clear" w:color="auto" w:fill="auto"/>
          <w:lang w:eastAsia="zh-CN"/>
        </w:rPr>
        <w:t>。</w:t>
      </w:r>
    </w:p>
    <w:p w14:paraId="66F502F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9.2.2</w:t>
      </w:r>
      <w:r>
        <w:rPr>
          <w:rFonts w:hint="eastAsia" w:ascii="仿宋" w:hAnsi="仿宋" w:eastAsia="仿宋" w:cs="仿宋"/>
          <w:b w:val="0"/>
          <w:bCs w:val="0"/>
          <w:i w:val="0"/>
          <w:iCs w:val="0"/>
          <w:color w:val="auto"/>
          <w:sz w:val="28"/>
          <w:szCs w:val="28"/>
          <w:highlight w:val="none"/>
          <w:lang w:val="en-US" w:eastAsia="zh-CN"/>
        </w:rPr>
        <w:t>乙方须遵守甲方管理制度，服从甲方管理</w:t>
      </w:r>
      <w:r>
        <w:rPr>
          <w:rFonts w:hint="eastAsia" w:ascii="仿宋" w:hAnsi="仿宋" w:eastAsia="仿宋" w:cs="仿宋"/>
          <w:i w:val="0"/>
          <w:iCs w:val="0"/>
          <w:color w:val="auto"/>
          <w:sz w:val="28"/>
          <w:szCs w:val="28"/>
          <w:highlight w:val="none"/>
          <w:shd w:val="clear" w:color="auto" w:fill="auto"/>
          <w:lang w:eastAsia="zh-CN"/>
        </w:rPr>
        <w:t>。</w:t>
      </w:r>
    </w:p>
    <w:p w14:paraId="4A362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9.2.3乙方负责本合同及图纸范围内的工作内容，须按时完成阶段性施工任务，保证符合甲方的工程工期要求，因乙方原因导致的工期延误及甲方因此遭受的损失均由乙方赔偿甲方。</w:t>
      </w:r>
    </w:p>
    <w:p w14:paraId="41FB4F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9.2.4在施工过程中乙方指定专人认真做好施工记录，工程竣工后须及时将资料整理完整，移交甲方资料员。</w:t>
      </w:r>
    </w:p>
    <w:p w14:paraId="0E786B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9.2.5乙方须保护好自身施工的材料、机械等设备，如有被偷盗、损坏等现象发生，由乙方自行负责。</w:t>
      </w:r>
    </w:p>
    <w:p w14:paraId="405488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2.6</w:t>
      </w:r>
      <w:r>
        <w:rPr>
          <w:rFonts w:hint="eastAsia" w:ascii="仿宋" w:hAnsi="仿宋" w:eastAsia="仿宋" w:cs="仿宋"/>
          <w:b w:val="0"/>
          <w:bCs w:val="0"/>
          <w:i w:val="0"/>
          <w:iCs w:val="0"/>
          <w:color w:val="auto"/>
          <w:sz w:val="28"/>
          <w:szCs w:val="28"/>
          <w:highlight w:val="none"/>
          <w:lang w:val="en-US" w:eastAsia="zh-CN"/>
        </w:rPr>
        <w:t>乙方须严格遵守《建设工程安全生产管理条例》及有关文件安全管理规定，组织安排工人施工， 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w:t>
      </w:r>
    </w:p>
    <w:p w14:paraId="1EF466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2.7</w:t>
      </w:r>
      <w:r>
        <w:rPr>
          <w:rFonts w:hint="eastAsia" w:ascii="仿宋" w:hAnsi="仿宋" w:eastAsia="仿宋" w:cs="仿宋"/>
          <w:i w:val="0"/>
          <w:iCs w:val="0"/>
          <w:color w:val="auto"/>
          <w:sz w:val="28"/>
          <w:szCs w:val="28"/>
          <w:highlight w:val="none"/>
          <w:lang w:val="en-US" w:eastAsia="zh-CN"/>
        </w:rPr>
        <w:t>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r>
        <w:rPr>
          <w:rFonts w:hint="eastAsia" w:ascii="仿宋" w:hAnsi="仿宋" w:eastAsia="仿宋" w:cs="仿宋"/>
          <w:b w:val="0"/>
          <w:bCs w:val="0"/>
          <w:i w:val="0"/>
          <w:iCs w:val="0"/>
          <w:color w:val="auto"/>
          <w:sz w:val="28"/>
          <w:szCs w:val="28"/>
          <w:highlight w:val="none"/>
        </w:rPr>
        <w:t>。</w:t>
      </w:r>
    </w:p>
    <w:p w14:paraId="55976E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9.2.8乙方进场开工之日三天前，</w:t>
      </w:r>
      <w:r>
        <w:rPr>
          <w:rFonts w:hint="eastAsia" w:ascii="仿宋" w:hAnsi="仿宋" w:eastAsia="仿宋" w:cs="仿宋"/>
          <w:i w:val="0"/>
          <w:iCs w:val="0"/>
          <w:color w:val="auto"/>
          <w:sz w:val="28"/>
          <w:szCs w:val="28"/>
          <w:highlight w:val="none"/>
          <w:u w:val="none"/>
          <w:shd w:val="clear" w:color="auto" w:fill="auto"/>
          <w:lang w:val="en-US" w:eastAsia="zh-CN"/>
        </w:rPr>
        <w:t>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7DDDE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9.2.9</w:t>
      </w:r>
      <w:r>
        <w:rPr>
          <w:rFonts w:hint="eastAsia" w:ascii="仿宋" w:hAnsi="仿宋" w:eastAsia="仿宋" w:cs="仿宋"/>
          <w:i w:val="0"/>
          <w:iCs w:val="0"/>
          <w:color w:val="auto"/>
          <w:sz w:val="28"/>
          <w:szCs w:val="28"/>
          <w:highlight w:val="none"/>
          <w:u w:val="none"/>
          <w:shd w:val="clear" w:color="auto" w:fill="auto"/>
          <w:lang w:val="en-US" w:eastAsia="zh-CN"/>
        </w:rPr>
        <w:t>乙方须如实主动申报及发放工人工资，甲方有权核对，如发现乙方弄虚作假，甲方暂停支付乙方所有款项。</w:t>
      </w:r>
    </w:p>
    <w:p w14:paraId="350941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9.2.10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14:paraId="334F90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9.2.11</w:t>
      </w:r>
      <w:r>
        <w:rPr>
          <w:rFonts w:hint="eastAsia" w:ascii="仿宋" w:hAnsi="仿宋" w:eastAsia="仿宋" w:cs="仿宋"/>
          <w:i w:val="0"/>
          <w:iCs w:val="0"/>
          <w:color w:val="auto"/>
          <w:kern w:val="0"/>
          <w:sz w:val="28"/>
          <w:szCs w:val="28"/>
          <w:highlight w:val="none"/>
          <w:u w:val="none"/>
          <w:lang w:val="en-US" w:eastAsia="zh-CN" w:bidi="ar"/>
        </w:rPr>
        <w:t>合同履行过程中，如乙方中途自行退场，甲方不支付任何款项，因此造成甲方的损失由乙方赔偿</w:t>
      </w:r>
      <w:r>
        <w:rPr>
          <w:rFonts w:hint="eastAsia" w:ascii="仿宋" w:hAnsi="仿宋" w:eastAsia="仿宋" w:cs="仿宋"/>
          <w:i w:val="0"/>
          <w:iCs w:val="0"/>
          <w:color w:val="auto"/>
          <w:sz w:val="28"/>
          <w:szCs w:val="28"/>
          <w:highlight w:val="none"/>
          <w:lang w:val="en-US" w:eastAsia="zh-CN"/>
        </w:rPr>
        <w:t>。</w:t>
      </w:r>
    </w:p>
    <w:p w14:paraId="6E37F30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2乙方须</w:t>
      </w:r>
      <w:r>
        <w:rPr>
          <w:rFonts w:hint="eastAsia" w:ascii="仿宋" w:hAnsi="仿宋" w:eastAsia="仿宋" w:cs="仿宋"/>
          <w:b w:val="0"/>
          <w:bCs w:val="0"/>
          <w:i w:val="0"/>
          <w:iCs w:val="0"/>
          <w:color w:val="auto"/>
          <w:sz w:val="28"/>
          <w:szCs w:val="28"/>
          <w:highlight w:val="none"/>
        </w:rPr>
        <w:t>合理使用</w:t>
      </w:r>
      <w:r>
        <w:rPr>
          <w:rFonts w:hint="eastAsia" w:ascii="仿宋" w:hAnsi="仿宋" w:eastAsia="仿宋" w:cs="仿宋"/>
          <w:b w:val="0"/>
          <w:bCs w:val="0"/>
          <w:i w:val="0"/>
          <w:iCs w:val="0"/>
          <w:color w:val="auto"/>
          <w:sz w:val="28"/>
          <w:szCs w:val="28"/>
          <w:highlight w:val="none"/>
          <w:lang w:val="en-US" w:eastAsia="zh-CN"/>
        </w:rPr>
        <w:t>甲供</w:t>
      </w:r>
      <w:r>
        <w:rPr>
          <w:rFonts w:hint="eastAsia" w:ascii="仿宋" w:hAnsi="仿宋" w:eastAsia="仿宋" w:cs="仿宋"/>
          <w:b w:val="0"/>
          <w:bCs w:val="0"/>
          <w:i w:val="0"/>
          <w:iCs w:val="0"/>
          <w:color w:val="auto"/>
          <w:sz w:val="28"/>
          <w:szCs w:val="28"/>
          <w:highlight w:val="none"/>
        </w:rPr>
        <w:t>材料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在保证质量</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工期</w:t>
      </w:r>
      <w:r>
        <w:rPr>
          <w:rFonts w:hint="eastAsia" w:ascii="仿宋" w:hAnsi="仿宋" w:eastAsia="仿宋" w:cs="仿宋"/>
          <w:b w:val="0"/>
          <w:bCs w:val="0"/>
          <w:i w:val="0"/>
          <w:iCs w:val="0"/>
          <w:color w:val="auto"/>
          <w:sz w:val="28"/>
          <w:szCs w:val="28"/>
          <w:highlight w:val="none"/>
        </w:rPr>
        <w:t>的情况下，按</w:t>
      </w:r>
      <w:r>
        <w:rPr>
          <w:rFonts w:hint="eastAsia" w:ascii="仿宋" w:hAnsi="仿宋" w:eastAsia="仿宋" w:cs="仿宋"/>
          <w:b w:val="0"/>
          <w:bCs w:val="0"/>
          <w:i w:val="0"/>
          <w:iCs w:val="0"/>
          <w:color w:val="auto"/>
          <w:sz w:val="28"/>
          <w:szCs w:val="28"/>
          <w:highlight w:val="none"/>
          <w:lang w:val="en-US" w:eastAsia="zh-CN"/>
        </w:rPr>
        <w:t>合同约定及相应规范</w:t>
      </w:r>
      <w:r>
        <w:rPr>
          <w:rFonts w:hint="eastAsia" w:ascii="仿宋" w:hAnsi="仿宋" w:eastAsia="仿宋" w:cs="仿宋"/>
          <w:b w:val="0"/>
          <w:bCs w:val="0"/>
          <w:i w:val="0"/>
          <w:iCs w:val="0"/>
          <w:color w:val="auto"/>
          <w:sz w:val="28"/>
          <w:szCs w:val="28"/>
          <w:highlight w:val="none"/>
        </w:rPr>
        <w:t>控制使用。</w:t>
      </w:r>
    </w:p>
    <w:p w14:paraId="7F46447F">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3乙方</w:t>
      </w:r>
      <w:r>
        <w:rPr>
          <w:rFonts w:hint="eastAsia" w:ascii="仿宋" w:hAnsi="仿宋" w:eastAsia="仿宋" w:cs="仿宋"/>
          <w:b w:val="0"/>
          <w:bCs w:val="0"/>
          <w:i w:val="0"/>
          <w:iCs w:val="0"/>
          <w:color w:val="auto"/>
          <w:sz w:val="28"/>
          <w:szCs w:val="28"/>
          <w:highlight w:val="none"/>
        </w:rPr>
        <w:t>施工中</w:t>
      </w:r>
      <w:r>
        <w:rPr>
          <w:rFonts w:hint="eastAsia" w:ascii="仿宋" w:hAnsi="仿宋" w:eastAsia="仿宋" w:cs="仿宋"/>
          <w:b w:val="0"/>
          <w:bCs w:val="0"/>
          <w:i w:val="0"/>
          <w:iCs w:val="0"/>
          <w:color w:val="auto"/>
          <w:sz w:val="28"/>
          <w:szCs w:val="28"/>
          <w:highlight w:val="none"/>
          <w:lang w:val="en-US" w:eastAsia="zh-CN"/>
        </w:rPr>
        <w:t>须</w:t>
      </w:r>
      <w:r>
        <w:rPr>
          <w:rFonts w:hint="eastAsia" w:ascii="仿宋" w:hAnsi="仿宋" w:eastAsia="仿宋" w:cs="仿宋"/>
          <w:b w:val="0"/>
          <w:bCs w:val="0"/>
          <w:i w:val="0"/>
          <w:iCs w:val="0"/>
          <w:color w:val="auto"/>
          <w:sz w:val="28"/>
          <w:szCs w:val="28"/>
          <w:highlight w:val="none"/>
        </w:rPr>
        <w:t>与其他劳务队积极配合</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保护所有成品。</w:t>
      </w:r>
    </w:p>
    <w:p w14:paraId="0F70FBA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9.2.14如乙方人员使用甲方提供的宿舍，住宿按7人/间配置，凡按乙方人员分配房间超过数量的，甲方将按1000元/间/月（税金另计）向乙方收取房租，乙方必须每月按实缴纳电费【线路损耗按装表计量实际量加10%损耗计（税金另计）】和空调使用费【按1.3元/间/天计（税金另计），未安装空调的此项不计】和房租给甲方。乙方每次向甲方请款时，甲方合同执行联系人可直接扣除乙方上月产生的房租、生活电费及空调使用费，并按扣除后的金额申请进度款。</w:t>
      </w:r>
    </w:p>
    <w:p w14:paraId="08BAD78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对违章指挥，乙方有权拒绝服从。</w:t>
      </w:r>
    </w:p>
    <w:p w14:paraId="5C981A7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077E5AE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kern w:val="0"/>
          <w:sz w:val="28"/>
          <w:szCs w:val="28"/>
          <w:highlight w:val="none"/>
        </w:rPr>
        <w:t>乙方每批进场材料必须经甲方现场管理人员（或施工员）确认是否符合</w:t>
      </w:r>
      <w:r>
        <w:rPr>
          <w:rFonts w:hint="eastAsia" w:ascii="仿宋" w:hAnsi="仿宋" w:eastAsia="仿宋" w:cs="仿宋"/>
          <w:b w:val="0"/>
          <w:bCs w:val="0"/>
          <w:i w:val="0"/>
          <w:iCs w:val="0"/>
          <w:color w:val="auto"/>
          <w:kern w:val="0"/>
          <w:sz w:val="28"/>
          <w:szCs w:val="28"/>
          <w:highlight w:val="none"/>
          <w:lang w:val="en-US" w:eastAsia="zh-CN"/>
        </w:rPr>
        <w:t>合同要求及</w:t>
      </w:r>
      <w:r>
        <w:rPr>
          <w:rFonts w:hint="eastAsia" w:ascii="仿宋" w:hAnsi="仿宋" w:eastAsia="仿宋" w:cs="仿宋"/>
          <w:b w:val="0"/>
          <w:bCs w:val="0"/>
          <w:i w:val="0"/>
          <w:iCs w:val="0"/>
          <w:color w:val="auto"/>
          <w:kern w:val="0"/>
          <w:sz w:val="28"/>
          <w:szCs w:val="28"/>
          <w:highlight w:val="none"/>
        </w:rPr>
        <w:t>工程所需，如不符合，一律不准进场</w:t>
      </w:r>
      <w:r>
        <w:rPr>
          <w:rFonts w:hint="eastAsia" w:ascii="仿宋" w:hAnsi="仿宋" w:eastAsia="仿宋" w:cs="仿宋"/>
          <w:b w:val="0"/>
          <w:bCs w:val="0"/>
          <w:i w:val="0"/>
          <w:iCs w:val="0"/>
          <w:color w:val="auto"/>
          <w:kern w:val="0"/>
          <w:sz w:val="28"/>
          <w:szCs w:val="28"/>
          <w:highlight w:val="none"/>
          <w:lang w:val="en-US" w:eastAsia="zh-CN"/>
        </w:rPr>
        <w:t>并按甲方要求更换且不得因此延长工期</w:t>
      </w:r>
      <w:r>
        <w:rPr>
          <w:rFonts w:hint="eastAsia" w:ascii="仿宋" w:hAnsi="仿宋" w:eastAsia="仿宋" w:cs="仿宋"/>
          <w:b w:val="0"/>
          <w:bCs w:val="0"/>
          <w:i w:val="0"/>
          <w:iCs w:val="0"/>
          <w:color w:val="auto"/>
          <w:kern w:val="0"/>
          <w:sz w:val="28"/>
          <w:szCs w:val="28"/>
          <w:highlight w:val="none"/>
        </w:rPr>
        <w:t>，</w:t>
      </w:r>
      <w:r>
        <w:rPr>
          <w:rFonts w:hint="eastAsia" w:ascii="仿宋" w:hAnsi="仿宋" w:eastAsia="仿宋" w:cs="仿宋"/>
          <w:b w:val="0"/>
          <w:bCs w:val="0"/>
          <w:i w:val="0"/>
          <w:iCs w:val="0"/>
          <w:color w:val="auto"/>
          <w:kern w:val="0"/>
          <w:sz w:val="28"/>
          <w:szCs w:val="28"/>
          <w:highlight w:val="none"/>
          <w:lang w:val="en-US" w:eastAsia="zh-CN"/>
        </w:rPr>
        <w:t>同时乙方每次向甲方承担违约金壹万元</w:t>
      </w:r>
      <w:r>
        <w:rPr>
          <w:rFonts w:hint="eastAsia" w:ascii="仿宋" w:hAnsi="仿宋" w:eastAsia="仿宋" w:cs="仿宋"/>
          <w:b w:val="0"/>
          <w:bCs w:val="0"/>
          <w:i w:val="0"/>
          <w:iCs w:val="0"/>
          <w:color w:val="auto"/>
          <w:kern w:val="0"/>
          <w:sz w:val="28"/>
          <w:szCs w:val="28"/>
          <w:highlight w:val="none"/>
        </w:rPr>
        <w:t xml:space="preserve">。 </w:t>
      </w:r>
    </w:p>
    <w:p w14:paraId="61B23EB6">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乙方确保本工程的工程质量和工程进度一次性满足合同要求，否则造成的一切损失由乙方承担</w:t>
      </w:r>
      <w:r>
        <w:rPr>
          <w:rFonts w:hint="eastAsia" w:ascii="仿宋" w:hAnsi="仿宋" w:eastAsia="仿宋" w:cs="仿宋"/>
          <w:b w:val="0"/>
          <w:bCs w:val="0"/>
          <w:i w:val="0"/>
          <w:iCs w:val="0"/>
          <w:color w:val="auto"/>
          <w:sz w:val="28"/>
          <w:szCs w:val="28"/>
          <w:highlight w:val="none"/>
          <w:lang w:val="en-US" w:eastAsia="zh-CN"/>
        </w:rPr>
        <w:t>且每次向甲方承担违约金</w:t>
      </w:r>
      <w:r>
        <w:rPr>
          <w:rFonts w:hint="eastAsia" w:ascii="仿宋" w:hAnsi="仿宋" w:eastAsia="仿宋" w:cs="仿宋"/>
          <w:b w:val="0"/>
          <w:bCs w:val="0"/>
          <w:i w:val="0"/>
          <w:iCs w:val="0"/>
          <w:color w:val="auto"/>
          <w:kern w:val="0"/>
          <w:sz w:val="28"/>
          <w:szCs w:val="28"/>
          <w:highlight w:val="none"/>
          <w:lang w:val="en-US" w:eastAsia="zh-CN"/>
        </w:rPr>
        <w:t>壹</w:t>
      </w:r>
      <w:r>
        <w:rPr>
          <w:rFonts w:hint="eastAsia" w:ascii="仿宋" w:hAnsi="仿宋" w:eastAsia="仿宋" w:cs="仿宋"/>
          <w:b w:val="0"/>
          <w:bCs w:val="0"/>
          <w:i w:val="0"/>
          <w:iCs w:val="0"/>
          <w:color w:val="auto"/>
          <w:sz w:val="28"/>
          <w:szCs w:val="28"/>
          <w:highlight w:val="none"/>
          <w:lang w:val="en-US" w:eastAsia="zh-CN"/>
        </w:rPr>
        <w:t>万元</w:t>
      </w:r>
      <w:r>
        <w:rPr>
          <w:rFonts w:hint="eastAsia" w:ascii="仿宋" w:hAnsi="仿宋" w:eastAsia="仿宋" w:cs="仿宋"/>
          <w:b w:val="0"/>
          <w:bCs w:val="0"/>
          <w:i w:val="0"/>
          <w:iCs w:val="0"/>
          <w:color w:val="auto"/>
          <w:sz w:val="28"/>
          <w:szCs w:val="28"/>
          <w:highlight w:val="none"/>
        </w:rPr>
        <w:t>。</w:t>
      </w:r>
    </w:p>
    <w:p w14:paraId="42C1A805">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19</w:t>
      </w:r>
      <w:r>
        <w:rPr>
          <w:rFonts w:hint="eastAsia" w:ascii="仿宋" w:hAnsi="仿宋" w:eastAsia="仿宋" w:cs="仿宋"/>
          <w:b w:val="0"/>
          <w:bCs w:val="0"/>
          <w:i w:val="0"/>
          <w:iCs w:val="0"/>
          <w:color w:val="auto"/>
          <w:sz w:val="28"/>
          <w:szCs w:val="28"/>
          <w:highlight w:val="none"/>
        </w:rPr>
        <w:t>乙方已充分了解工程现场实际情况，确定</w:t>
      </w:r>
      <w:r>
        <w:rPr>
          <w:rFonts w:hint="eastAsia" w:ascii="仿宋" w:hAnsi="仿宋" w:eastAsia="仿宋" w:cs="仿宋"/>
          <w:b w:val="0"/>
          <w:bCs w:val="0"/>
          <w:i w:val="0"/>
          <w:iCs w:val="0"/>
          <w:color w:val="auto"/>
          <w:sz w:val="28"/>
          <w:szCs w:val="28"/>
          <w:highlight w:val="none"/>
          <w:lang w:val="en-US" w:eastAsia="zh-CN"/>
        </w:rPr>
        <w:t>合同总价</w:t>
      </w:r>
      <w:r>
        <w:rPr>
          <w:rFonts w:hint="eastAsia" w:ascii="仿宋" w:hAnsi="仿宋" w:eastAsia="仿宋" w:cs="仿宋"/>
          <w:b w:val="0"/>
          <w:bCs w:val="0"/>
          <w:i w:val="0"/>
          <w:iCs w:val="0"/>
          <w:color w:val="auto"/>
          <w:sz w:val="28"/>
          <w:szCs w:val="28"/>
          <w:highlight w:val="none"/>
        </w:rPr>
        <w:t>已包含处理现场各种因素导致的多次进退场、怠工、误工等不能正常开工情形的费用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甲方无需另行计费给乙方。</w:t>
      </w:r>
    </w:p>
    <w:p w14:paraId="7E1A5D2C">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乙方人员进场时须提供本工程所在地三甲医院出具的体检健康证明，否则甲方有权将无证人员驱逐出施工现场，且乙方须向甲方缴纳违约金每人每次200元。</w:t>
      </w:r>
      <w:r>
        <w:rPr>
          <w:rFonts w:hint="eastAsia" w:ascii="仿宋" w:hAnsi="仿宋" w:eastAsia="仿宋" w:cs="仿宋"/>
          <w:b w:val="0"/>
          <w:bCs w:val="0"/>
          <w:i w:val="0"/>
          <w:iCs w:val="0"/>
          <w:color w:val="auto"/>
          <w:sz w:val="28"/>
          <w:szCs w:val="28"/>
          <w:highlight w:val="none"/>
          <w:lang w:val="en-US" w:eastAsia="zh-CN"/>
        </w:rPr>
        <w:t>无论</w:t>
      </w:r>
      <w:r>
        <w:rPr>
          <w:rFonts w:hint="eastAsia" w:ascii="仿宋" w:hAnsi="仿宋" w:eastAsia="仿宋" w:cs="仿宋"/>
          <w:b w:val="0"/>
          <w:bCs w:val="0"/>
          <w:i w:val="0"/>
          <w:iCs w:val="0"/>
          <w:color w:val="auto"/>
          <w:sz w:val="28"/>
          <w:szCs w:val="28"/>
          <w:highlight w:val="none"/>
        </w:rPr>
        <w:t>乙方</w:t>
      </w:r>
      <w:r>
        <w:rPr>
          <w:rFonts w:hint="eastAsia" w:ascii="仿宋" w:hAnsi="仿宋" w:eastAsia="仿宋" w:cs="仿宋"/>
          <w:b w:val="0"/>
          <w:bCs w:val="0"/>
          <w:i w:val="0"/>
          <w:iCs w:val="0"/>
          <w:color w:val="auto"/>
          <w:sz w:val="28"/>
          <w:szCs w:val="28"/>
          <w:highlight w:val="none"/>
          <w:lang w:val="en-US" w:eastAsia="zh-CN"/>
        </w:rPr>
        <w:t>是否</w:t>
      </w:r>
      <w:r>
        <w:rPr>
          <w:rFonts w:hint="eastAsia" w:ascii="仿宋" w:hAnsi="仿宋" w:eastAsia="仿宋" w:cs="仿宋"/>
          <w:b w:val="0"/>
          <w:bCs w:val="0"/>
          <w:i w:val="0"/>
          <w:iCs w:val="0"/>
          <w:color w:val="auto"/>
          <w:sz w:val="28"/>
          <w:szCs w:val="28"/>
          <w:highlight w:val="none"/>
        </w:rPr>
        <w:t>提供，</w:t>
      </w:r>
      <w:r>
        <w:rPr>
          <w:rFonts w:hint="eastAsia" w:ascii="仿宋" w:hAnsi="仿宋" w:eastAsia="仿宋" w:cs="仿宋"/>
          <w:b w:val="0"/>
          <w:bCs w:val="0"/>
          <w:i w:val="0"/>
          <w:iCs w:val="0"/>
          <w:color w:val="auto"/>
          <w:sz w:val="28"/>
          <w:szCs w:val="28"/>
          <w:highlight w:val="none"/>
          <w:lang w:val="en-US" w:eastAsia="zh-CN"/>
        </w:rPr>
        <w:t>均</w:t>
      </w:r>
      <w:r>
        <w:rPr>
          <w:rFonts w:hint="eastAsia" w:ascii="仿宋" w:hAnsi="仿宋" w:eastAsia="仿宋" w:cs="仿宋"/>
          <w:b w:val="0"/>
          <w:bCs w:val="0"/>
          <w:i w:val="0"/>
          <w:iCs w:val="0"/>
          <w:color w:val="auto"/>
          <w:sz w:val="28"/>
          <w:szCs w:val="28"/>
          <w:highlight w:val="none"/>
        </w:rPr>
        <w:t>须保证乙方人员身体健康，无妨碍从事工作的疾病和生理缺陷，符合进场及本工程工作要求。因乙方人员自身疾病或生理缺陷等原因导致的伤亡均由乙方承担全责，</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不追究甲方责任及</w:t>
      </w:r>
      <w:r>
        <w:rPr>
          <w:rFonts w:hint="eastAsia" w:ascii="仿宋" w:hAnsi="仿宋" w:eastAsia="仿宋" w:cs="仿宋"/>
          <w:b w:val="0"/>
          <w:bCs w:val="0"/>
          <w:i w:val="0"/>
          <w:iCs w:val="0"/>
          <w:color w:val="auto"/>
          <w:sz w:val="28"/>
          <w:szCs w:val="28"/>
          <w:highlight w:val="none"/>
          <w:lang w:val="en-US" w:eastAsia="zh-CN"/>
        </w:rPr>
        <w:t>不</w:t>
      </w:r>
      <w:r>
        <w:rPr>
          <w:rFonts w:hint="eastAsia" w:ascii="仿宋" w:hAnsi="仿宋" w:eastAsia="仿宋" w:cs="仿宋"/>
          <w:b w:val="0"/>
          <w:bCs w:val="0"/>
          <w:i w:val="0"/>
          <w:iCs w:val="0"/>
          <w:color w:val="auto"/>
          <w:sz w:val="28"/>
          <w:szCs w:val="28"/>
          <w:highlight w:val="none"/>
        </w:rPr>
        <w:t>要求甲方承担任何费用。</w:t>
      </w:r>
    </w:p>
    <w:p w14:paraId="798D3FE8">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21</w:t>
      </w:r>
      <w:r>
        <w:rPr>
          <w:rFonts w:hint="eastAsia" w:ascii="仿宋" w:hAnsi="仿宋" w:eastAsia="仿宋" w:cs="仿宋"/>
          <w:b w:val="0"/>
          <w:bCs w:val="0"/>
          <w:i w:val="0"/>
          <w:iCs w:val="0"/>
          <w:color w:val="auto"/>
          <w:sz w:val="28"/>
          <w:szCs w:val="28"/>
          <w:highlight w:val="none"/>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291FB45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9.2.22</w:t>
      </w:r>
      <w:r>
        <w:rPr>
          <w:rFonts w:hint="eastAsia" w:ascii="仿宋" w:hAnsi="仿宋" w:eastAsia="仿宋" w:cs="仿宋"/>
          <w:i w:val="0"/>
          <w:iCs w:val="0"/>
          <w:color w:val="auto"/>
          <w:sz w:val="28"/>
          <w:szCs w:val="28"/>
          <w:highlight w:val="none"/>
          <w:shd w:val="clear" w:color="auto" w:fill="auto"/>
          <w:lang w:val="en-US" w:eastAsia="zh-CN"/>
        </w:rPr>
        <w:t>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9ED868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9.2.23乙方原因导致的一切安全事故，属乙方责任，所有损失及费用由乙方承担。</w:t>
      </w:r>
    </w:p>
    <w:p w14:paraId="08257317">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9.2.24</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乙方人员在本合同履行期间所发生的所有安全事故，均由乙方承担所发生的全部费用及损失，对甲方造成损失的则由乙方赔偿甲方损失。</w:t>
      </w:r>
    </w:p>
    <w:p w14:paraId="17DDA969">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9.2.25乙方人员（包括乙方人员的家属、朋友等）在本项目地点发生的所有安全事故均与甲方无关，甲方不承担任何责任和费用，一切责任和费用由乙方承担。</w:t>
      </w:r>
    </w:p>
    <w:p w14:paraId="297D383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9.2.26</w:t>
      </w:r>
      <w:r>
        <w:rPr>
          <w:rFonts w:hint="eastAsia" w:ascii="仿宋" w:hAnsi="仿宋" w:eastAsia="仿宋" w:cs="仿宋"/>
          <w:b w:val="0"/>
          <w:bCs w:val="0"/>
          <w:i w:val="0"/>
          <w:iCs w:val="0"/>
          <w:color w:val="auto"/>
          <w:sz w:val="28"/>
          <w:szCs w:val="28"/>
          <w:highlight w:val="none"/>
          <w:u w:val="none"/>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7BB3128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9.2.27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01855C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9.2.28乙方组织施工人员进场时，须</w:t>
      </w:r>
      <w:r>
        <w:rPr>
          <w:rFonts w:hint="eastAsia" w:ascii="仿宋" w:hAnsi="仿宋" w:eastAsia="仿宋" w:cs="仿宋"/>
          <w:color w:val="auto"/>
          <w:sz w:val="27"/>
          <w:szCs w:val="27"/>
          <w:highlight w:val="none"/>
          <w:u w:val="none"/>
          <w:lang w:val="en-US" w:eastAsia="zh-CN"/>
        </w:rPr>
        <w:t>提供《技术工人素质承诺书》（</w:t>
      </w:r>
      <w:r>
        <w:rPr>
          <w:rFonts w:hint="eastAsia" w:ascii="仿宋" w:hAnsi="仿宋" w:eastAsia="仿宋" w:cs="仿宋"/>
          <w:color w:val="auto"/>
          <w:sz w:val="27"/>
          <w:szCs w:val="27"/>
          <w:highlight w:val="none"/>
          <w:lang w:val="en-US" w:eastAsia="zh-CN"/>
        </w:rPr>
        <w:t>格式</w:t>
      </w:r>
      <w:r>
        <w:rPr>
          <w:rFonts w:hint="eastAsia" w:ascii="仿宋" w:hAnsi="仿宋" w:eastAsia="仿宋" w:cs="仿宋"/>
          <w:color w:val="auto"/>
          <w:sz w:val="27"/>
          <w:szCs w:val="27"/>
          <w:highlight w:val="none"/>
          <w:u w:val="none"/>
          <w:lang w:val="en-US" w:eastAsia="zh-CN"/>
        </w:rPr>
        <w:t>详见</w:t>
      </w:r>
      <w:r>
        <w:rPr>
          <w:rFonts w:hint="eastAsia" w:ascii="仿宋" w:hAnsi="仿宋" w:eastAsia="仿宋" w:cs="仿宋"/>
          <w:color w:val="auto"/>
          <w:sz w:val="27"/>
          <w:szCs w:val="27"/>
          <w:highlight w:val="none"/>
          <w:lang w:val="en-US" w:eastAsia="zh-CN"/>
        </w:rPr>
        <w:t>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14:paraId="394D9F7B">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9.2.29乙方与第三人签订的劳动、租赁、买卖等一切合同，与甲方无关。乙方在施工期间发生的与第三方一切合同债务，由乙方负全责处理并承担责任。</w:t>
      </w:r>
    </w:p>
    <w:p w14:paraId="46A6C256">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color w:val="auto"/>
          <w:sz w:val="27"/>
          <w:szCs w:val="27"/>
          <w:highlight w:val="none"/>
          <w:lang w:val="en-US" w:eastAsia="zh-CN"/>
        </w:rPr>
        <w:t>9.2.30乙方与第三方发生的任何经济往来、债务纠纷均与甲方无关。乙方须保证所供应材料无权属上的瑕疵或无知识产权的争议，若因此对甲方造成损失，则由乙方负全责赔偿。</w:t>
      </w:r>
    </w:p>
    <w:p w14:paraId="290D285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6" w:name="_Toc13428"/>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安全生产、文明施工要求</w:t>
      </w:r>
      <w:bookmarkEnd w:id="35"/>
      <w:bookmarkEnd w:id="36"/>
    </w:p>
    <w:p w14:paraId="5216DDA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bookmarkStart w:id="37" w:name="_Toc8911"/>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10.1甲方应对乙方进场的施工人员进行安全教育。</w:t>
      </w:r>
    </w:p>
    <w:p w14:paraId="3AF1DD3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10.2甲方不得违反《建设工程安全生产管理条例》（有更新版本则按最新版本执行）的规定要求乙方违章施工。因甲方指挥失误导致的安全事故由甲方承担相应责任和费用。</w:t>
      </w:r>
    </w:p>
    <w:p w14:paraId="1CFF2D0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10.3</w:t>
      </w:r>
      <w:r>
        <w:rPr>
          <w:rFonts w:hint="eastAsia" w:ascii="仿宋" w:hAnsi="仿宋" w:eastAsia="仿宋" w:cs="仿宋"/>
          <w:i w:val="0"/>
          <w:iCs w:val="0"/>
          <w:color w:val="auto"/>
          <w:sz w:val="28"/>
          <w:szCs w:val="28"/>
          <w:highlight w:val="none"/>
          <w:shd w:val="clear" w:color="auto" w:fill="auto"/>
        </w:rPr>
        <w:t>乙方须严格遵守《建筑施工安全检查标准》（JGJ59-2011标准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有更新版本则按最新版本执行）</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《建设工程安全生产管理条例》（有更新版本则按最新版本执行）等地方政府相关法律法规文件及甲方针对本工程的安全生产、文明施工管理制度的规定，组织安排工人施工，消除安全隐患</w:t>
      </w:r>
      <w:r>
        <w:rPr>
          <w:rFonts w:hint="eastAsia" w:ascii="仿宋" w:hAnsi="仿宋" w:eastAsia="仿宋" w:cs="仿宋"/>
          <w:i w:val="0"/>
          <w:iCs w:val="0"/>
          <w:color w:val="auto"/>
          <w:sz w:val="28"/>
          <w:szCs w:val="28"/>
          <w:highlight w:val="none"/>
          <w:shd w:val="clear" w:color="auto" w:fill="auto"/>
          <w:lang w:eastAsia="zh-CN"/>
        </w:rPr>
        <w:t>。</w:t>
      </w:r>
    </w:p>
    <w:p w14:paraId="2127842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乙方施工过程中，上道工序完成与下道工序必须进行工作面交接并以书面形式确认，甲方及相关单位签字确认的“隐蔽验收表”作为工程进度款申请书及结算书的附件。</w:t>
      </w:r>
    </w:p>
    <w:p w14:paraId="46A4449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eastAsia="zh-CN"/>
        </w:rPr>
        <w:t>10.</w:t>
      </w: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4EABF46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lang w:eastAsia="zh-CN"/>
        </w:rPr>
      </w:pPr>
      <w:r>
        <w:rPr>
          <w:rFonts w:hint="eastAsia" w:ascii="仿宋" w:hAnsi="仿宋" w:eastAsia="仿宋" w:cs="仿宋"/>
          <w:color w:val="auto"/>
          <w:sz w:val="28"/>
          <w:szCs w:val="28"/>
          <w:highlight w:val="none"/>
          <w:lang w:val="en-US" w:eastAsia="zh-CN"/>
        </w:rPr>
        <w:t>乙方每天施工过程中须做到工完场清，乙方造成的垃圾由乙方负责清理外运至甲方指定地点，相关费用已含于合同价中，甲方无需另行计费给乙方。</w:t>
      </w:r>
    </w:p>
    <w:p w14:paraId="61047B2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8" w:name="_Toc2646"/>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甲供材料设备</w:t>
      </w:r>
      <w:bookmarkEnd w:id="37"/>
      <w:bookmarkEnd w:id="38"/>
    </w:p>
    <w:p w14:paraId="54463F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bookmarkStart w:id="39" w:name="_Toc24023"/>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1乙方在施工现场使用各种资源都必须按</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规定办理租用、借用、领用手续。</w:t>
      </w:r>
    </w:p>
    <w:p w14:paraId="18EE8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2乙方</w:t>
      </w:r>
      <w:r>
        <w:rPr>
          <w:rFonts w:hint="eastAsia" w:ascii="仿宋" w:hAnsi="仿宋" w:eastAsia="仿宋" w:cs="仿宋"/>
          <w:i w:val="0"/>
          <w:iCs w:val="0"/>
          <w:color w:val="auto"/>
          <w:sz w:val="28"/>
          <w:szCs w:val="28"/>
          <w:highlight w:val="none"/>
          <w:lang w:val="en-US" w:eastAsia="zh-CN"/>
        </w:rPr>
        <w:t>对</w:t>
      </w:r>
      <w:r>
        <w:rPr>
          <w:rFonts w:hint="eastAsia" w:ascii="仿宋" w:hAnsi="仿宋" w:eastAsia="仿宋" w:cs="仿宋"/>
          <w:i w:val="0"/>
          <w:iCs w:val="0"/>
          <w:color w:val="auto"/>
          <w:sz w:val="28"/>
          <w:szCs w:val="28"/>
          <w:highlight w:val="none"/>
        </w:rPr>
        <w:t>周转材料、建筑材料和施工机具</w:t>
      </w:r>
      <w:r>
        <w:rPr>
          <w:rFonts w:hint="eastAsia" w:ascii="仿宋" w:hAnsi="仿宋" w:eastAsia="仿宋" w:cs="仿宋"/>
          <w:i w:val="0"/>
          <w:iCs w:val="0"/>
          <w:color w:val="auto"/>
          <w:sz w:val="28"/>
          <w:szCs w:val="28"/>
          <w:highlight w:val="none"/>
          <w:lang w:val="en-US" w:eastAsia="zh-CN"/>
        </w:rPr>
        <w:t>应</w:t>
      </w:r>
      <w:r>
        <w:rPr>
          <w:rFonts w:hint="eastAsia" w:ascii="仿宋" w:hAnsi="仿宋" w:eastAsia="仿宋" w:cs="仿宋"/>
          <w:i w:val="0"/>
          <w:iCs w:val="0"/>
          <w:color w:val="auto"/>
          <w:sz w:val="28"/>
          <w:szCs w:val="28"/>
          <w:highlight w:val="none"/>
        </w:rPr>
        <w:t>做到限额合理使用、工完场清，对机具</w:t>
      </w:r>
      <w:r>
        <w:rPr>
          <w:rFonts w:hint="eastAsia" w:ascii="仿宋" w:hAnsi="仿宋" w:eastAsia="仿宋" w:cs="仿宋"/>
          <w:i w:val="0"/>
          <w:iCs w:val="0"/>
          <w:color w:val="auto"/>
          <w:sz w:val="28"/>
          <w:szCs w:val="28"/>
          <w:highlight w:val="none"/>
          <w:lang w:val="en-US" w:eastAsia="zh-CN"/>
        </w:rPr>
        <w:t>负责</w:t>
      </w:r>
      <w:r>
        <w:rPr>
          <w:rFonts w:hint="eastAsia" w:ascii="仿宋" w:hAnsi="仿宋" w:eastAsia="仿宋" w:cs="仿宋"/>
          <w:i w:val="0"/>
          <w:iCs w:val="0"/>
          <w:color w:val="auto"/>
          <w:sz w:val="28"/>
          <w:szCs w:val="28"/>
          <w:highlight w:val="none"/>
        </w:rPr>
        <w:t>正常保养维护。</w:t>
      </w:r>
    </w:p>
    <w:p w14:paraId="43C07F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3</w:t>
      </w:r>
      <w:r>
        <w:rPr>
          <w:rFonts w:hint="eastAsia" w:ascii="仿宋" w:hAnsi="仿宋" w:eastAsia="仿宋" w:cs="仿宋"/>
          <w:i w:val="0"/>
          <w:iCs w:val="0"/>
          <w:color w:val="auto"/>
          <w:sz w:val="28"/>
          <w:szCs w:val="28"/>
          <w:highlight w:val="none"/>
          <w:lang w:val="en-US" w:eastAsia="zh-CN"/>
        </w:rPr>
        <w:t>甲供材</w:t>
      </w:r>
      <w:r>
        <w:rPr>
          <w:rFonts w:hint="eastAsia" w:ascii="仿宋" w:hAnsi="仿宋" w:eastAsia="仿宋" w:cs="仿宋"/>
          <w:i w:val="0"/>
          <w:iCs w:val="0"/>
          <w:color w:val="auto"/>
          <w:sz w:val="28"/>
          <w:szCs w:val="28"/>
          <w:highlight w:val="none"/>
        </w:rPr>
        <w:t>损耗率：</w:t>
      </w:r>
    </w:p>
    <w:p w14:paraId="09C9A0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11.3.1乙方使用的甲供材料以甲方出入库单为准，乙方参加验收和签收与出库，甲供材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0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p>
    <w:p w14:paraId="45A388C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11.3.2甲供材损耗率计算公式：</w:t>
      </w:r>
      <w:r>
        <w:rPr>
          <w:rFonts w:hint="eastAsia" w:ascii="仿宋" w:hAnsi="仿宋" w:eastAsia="仿宋" w:cs="仿宋"/>
          <w:b w:val="0"/>
          <w:bCs w:val="0"/>
          <w:i w:val="0"/>
          <w:iCs w:val="0"/>
          <w:color w:val="auto"/>
          <w:sz w:val="28"/>
          <w:szCs w:val="28"/>
          <w:highlight w:val="none"/>
          <w:u w:val="none"/>
          <w:lang w:val="en-US" w:eastAsia="zh-CN"/>
        </w:rPr>
        <w:t>（实际使用量-竣工图计算量）/竣工图计算量。</w:t>
      </w:r>
    </w:p>
    <w:p w14:paraId="33D2CB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11.4乙方配合甲方制定本工程甲供材料需求计划，每批甲供材需求单须在领用之日十个工作日前报至甲方项目经理审批，经甲方项目经理审批后方可到甲方仓库领取，乙方每延迟申报一日，向甲方承担违约金伍佰元且不得要求延长工期。</w:t>
      </w:r>
    </w:p>
    <w:p w14:paraId="34645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11.5</w:t>
      </w:r>
      <w:r>
        <w:rPr>
          <w:rFonts w:hint="eastAsia" w:ascii="仿宋_GB2312" w:hAnsi="仿宋_GB2312" w:eastAsia="仿宋_GB2312" w:cs="仿宋_GB2312"/>
          <w:i w:val="0"/>
          <w:iCs w:val="0"/>
          <w:color w:val="auto"/>
          <w:sz w:val="28"/>
          <w:szCs w:val="28"/>
          <w:highlight w:val="none"/>
          <w:u w:val="none"/>
          <w:shd w:val="clear" w:color="auto" w:fill="auto"/>
        </w:rPr>
        <w:t>乙方指定其现场负责人办理甲供材领料手续，由该负责人填写甲方提供的“三联制领料单”（“三联制领料单”格式以甲方确定的为准），</w:t>
      </w:r>
      <w:r>
        <w:rPr>
          <w:rFonts w:hint="eastAsia" w:ascii="仿宋" w:hAnsi="仿宋" w:eastAsia="仿宋" w:cs="仿宋"/>
          <w:b w:val="0"/>
          <w:bCs w:val="0"/>
          <w:i w:val="0"/>
          <w:iCs w:val="0"/>
          <w:color w:val="auto"/>
          <w:sz w:val="28"/>
          <w:szCs w:val="28"/>
          <w:highlight w:val="none"/>
          <w:lang w:val="en-US" w:eastAsia="zh-CN"/>
        </w:rPr>
        <w:t>所有双方签订的出入库单均作为本工程</w:t>
      </w:r>
      <w:r>
        <w:rPr>
          <w:rFonts w:hint="eastAsia" w:ascii="仿宋" w:hAnsi="仿宋" w:eastAsia="仿宋" w:cs="仿宋"/>
          <w:b w:val="0"/>
          <w:bCs w:val="0"/>
          <w:i w:val="0"/>
          <w:iCs w:val="0"/>
          <w:color w:val="auto"/>
          <w:sz w:val="28"/>
          <w:szCs w:val="28"/>
          <w:highlight w:val="none"/>
        </w:rPr>
        <w:t>完工后</w:t>
      </w:r>
      <w:r>
        <w:rPr>
          <w:rFonts w:hint="eastAsia" w:ascii="仿宋" w:hAnsi="仿宋" w:eastAsia="仿宋" w:cs="仿宋"/>
          <w:b w:val="0"/>
          <w:bCs w:val="0"/>
          <w:i w:val="0"/>
          <w:iCs w:val="0"/>
          <w:color w:val="auto"/>
          <w:sz w:val="28"/>
          <w:szCs w:val="28"/>
          <w:highlight w:val="none"/>
          <w:lang w:val="en-US" w:eastAsia="zh-CN"/>
        </w:rPr>
        <w:t>乙方材料损耗计量和</w:t>
      </w:r>
      <w:r>
        <w:rPr>
          <w:rFonts w:hint="eastAsia" w:ascii="仿宋" w:hAnsi="仿宋" w:eastAsia="仿宋" w:cs="仿宋"/>
          <w:b w:val="0"/>
          <w:bCs w:val="0"/>
          <w:i w:val="0"/>
          <w:iCs w:val="0"/>
          <w:color w:val="auto"/>
          <w:sz w:val="28"/>
          <w:szCs w:val="28"/>
          <w:highlight w:val="none"/>
        </w:rPr>
        <w:t>结算依据</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领料工作按甲方材料验收签收流程及相关管理规定执行。</w:t>
      </w:r>
    </w:p>
    <w:p w14:paraId="106C40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11.6乙方在甲方领料，</w:t>
      </w:r>
      <w:r>
        <w:rPr>
          <w:rFonts w:hint="eastAsia" w:ascii="仿宋" w:hAnsi="仿宋" w:eastAsia="仿宋" w:cs="仿宋"/>
          <w:i w:val="0"/>
          <w:iCs w:val="0"/>
          <w:color w:val="auto"/>
          <w:sz w:val="28"/>
          <w:szCs w:val="28"/>
          <w:highlight w:val="none"/>
          <w:lang w:val="en-US" w:eastAsia="zh-CN"/>
        </w:rPr>
        <w:t>以甲方出入库单为准，乙方参加验收和签收与出库，</w:t>
      </w:r>
      <w:r>
        <w:rPr>
          <w:rFonts w:hint="eastAsia" w:ascii="仿宋" w:hAnsi="仿宋" w:eastAsia="仿宋" w:cs="仿宋"/>
          <w:b w:val="0"/>
          <w:bCs w:val="0"/>
          <w:i w:val="0"/>
          <w:iCs w:val="0"/>
          <w:color w:val="auto"/>
          <w:sz w:val="28"/>
          <w:szCs w:val="28"/>
          <w:highlight w:val="none"/>
          <w:lang w:val="en-US" w:eastAsia="zh-CN"/>
        </w:rPr>
        <w:t>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C21FB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11.7本工程竣工之日起10个日历天内，乙方前往甲方仓库办理机具退还手续，每延迟一日，向甲方支付违约金人民币伍佰元，且甲方有权不办理结算。</w:t>
      </w:r>
    </w:p>
    <w:p w14:paraId="3C39E3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11.8劳保用品配置标准具体实施及费用收取标准、办法：</w:t>
      </w:r>
    </w:p>
    <w:p w14:paraId="328AD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11.8.1本工程配置黄色的安全帽、荧光黄色的反光背心，款式按甲方颁布的《劳保用品配置标准及司旗款式》（V2022）制度执行。</w:t>
      </w:r>
    </w:p>
    <w:p w14:paraId="5BE637C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11.8.2甲方提供安全帽20元/顶、反光背心15元/件，按乙方实际领取数量的对应金额在结算时进行扣除</w:t>
      </w:r>
      <w:r>
        <w:rPr>
          <w:rFonts w:hint="eastAsia" w:ascii="仿宋" w:hAnsi="仿宋" w:eastAsia="仿宋" w:cs="仿宋"/>
          <w:i w:val="0"/>
          <w:iCs w:val="0"/>
          <w:color w:val="auto"/>
          <w:sz w:val="28"/>
          <w:szCs w:val="28"/>
          <w:highlight w:val="none"/>
          <w:shd w:val="clear" w:color="auto" w:fill="auto"/>
          <w:lang w:eastAsia="zh-CN"/>
        </w:rPr>
        <w:t>。</w:t>
      </w:r>
    </w:p>
    <w:p w14:paraId="0D1425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0" w:name="_Toc1928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验收及</w:t>
      </w:r>
      <w:bookmarkEnd w:id="39"/>
      <w:bookmarkEnd w:id="4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运行维护</w:t>
      </w:r>
    </w:p>
    <w:p w14:paraId="37D73F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12.</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BC9DB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任一内容全部完工，乙方自检符合质量要求后提请甲方及建设单位组织验收，经建设行政主管部门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包括供电企业</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rPr>
        <w:t>、监理、甲方及建设单位验收合格后，移交给建设单位使用之日为本工程内容完工之日。</w:t>
      </w:r>
    </w:p>
    <w:p w14:paraId="29BDBA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即完成拆除且恢复至开工前原状且符合甲方要求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，乙方自检符合质量要求后提请甲方及建设单位组织验收，经建设行政主管部门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供电企业（如需）、</w:t>
      </w:r>
      <w:r>
        <w:rPr>
          <w:rFonts w:hint="eastAsia" w:ascii="仿宋" w:hAnsi="仿宋" w:eastAsia="仿宋" w:cs="仿宋"/>
          <w:color w:val="auto"/>
          <w:sz w:val="28"/>
          <w:szCs w:val="28"/>
          <w:highlight w:val="none"/>
        </w:rPr>
        <w:t>监理、甲方及建设单位验收合格后，移交给</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之日为本工程完工之日。</w:t>
      </w:r>
    </w:p>
    <w:bookmarkEnd w:id="32"/>
    <w:bookmarkEnd w:id="33"/>
    <w:p w14:paraId="2A7BC36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lang w:eastAsia="zh-CN"/>
        </w:rPr>
      </w:pPr>
      <w:bookmarkStart w:id="41" w:name="_Toc7101"/>
      <w:bookmarkStart w:id="42" w:name="_Toc8898"/>
      <w:bookmarkStart w:id="43" w:name="_Toc18983"/>
      <w:r>
        <w:rPr>
          <w:rFonts w:hint="eastAsia" w:ascii="仿宋" w:hAnsi="仿宋" w:eastAsia="仿宋" w:cs="仿宋"/>
          <w:color w:val="auto"/>
          <w:sz w:val="28"/>
          <w:szCs w:val="28"/>
          <w:highlight w:val="none"/>
          <w:lang w:val="en-US" w:eastAsia="zh-CN"/>
        </w:rPr>
        <w:t>12.2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期内，乙方对出现的质量问题免费进行维修或更换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对本工程进行维护保养，使本工程正常运行，维保内容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、松动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等，均由乙方无偿</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维</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维</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保期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至本工程完工</w:t>
      </w:r>
      <w:r>
        <w:rPr>
          <w:rFonts w:hint="eastAsia" w:ascii="仿宋" w:hAnsi="仿宋" w:eastAsia="仿宋" w:cs="仿宋"/>
          <w:b/>
          <w:bCs/>
          <w:i w:val="0"/>
          <w:iCs w:val="0"/>
          <w:color w:val="auto"/>
          <w:sz w:val="28"/>
          <w:szCs w:val="28"/>
          <w:highlight w:val="none"/>
          <w:shd w:val="clear" w:color="auto" w:fill="auto"/>
          <w:lang w:val="en-US" w:eastAsia="zh-CN"/>
        </w:rPr>
        <w:t>之日止</w:t>
      </w:r>
      <w:r>
        <w:rPr>
          <w:rFonts w:hint="eastAsia" w:ascii="仿宋" w:hAnsi="仿宋" w:eastAsia="仿宋" w:cs="仿宋"/>
          <w:b/>
          <w:bCs/>
          <w:i w:val="0"/>
          <w:iCs w:val="0"/>
          <w:color w:val="auto"/>
          <w:sz w:val="28"/>
          <w:szCs w:val="28"/>
          <w:highlight w:val="none"/>
          <w:shd w:val="clear" w:color="auto" w:fill="auto"/>
          <w:lang w:eastAsia="zh-CN"/>
        </w:rPr>
        <w:t>。</w:t>
      </w:r>
    </w:p>
    <w:p w14:paraId="724FD1E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本工程使用</w:t>
      </w:r>
      <w:r>
        <w:rPr>
          <w:rFonts w:hint="eastAsia" w:ascii="仿宋" w:hAnsi="仿宋" w:eastAsia="仿宋" w:cs="仿宋"/>
          <w:color w:val="auto"/>
          <w:sz w:val="28"/>
          <w:szCs w:val="28"/>
          <w:highlight w:val="none"/>
        </w:rPr>
        <w:t>期内，如因乙方原因</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大风、暴雨等不可抗力</w:t>
      </w:r>
      <w:r>
        <w:rPr>
          <w:rFonts w:hint="eastAsia" w:ascii="仿宋" w:hAnsi="仿宋" w:eastAsia="仿宋" w:cs="仿宋"/>
          <w:color w:val="auto"/>
          <w:sz w:val="28"/>
          <w:szCs w:val="28"/>
          <w:highlight w:val="none"/>
        </w:rPr>
        <w:t>出现质量问题，乙方须在接到甲方</w:t>
      </w:r>
      <w:r>
        <w:rPr>
          <w:rFonts w:hint="eastAsia" w:ascii="仿宋" w:hAnsi="仿宋" w:eastAsia="仿宋" w:cs="仿宋"/>
          <w:color w:val="auto"/>
          <w:sz w:val="28"/>
          <w:szCs w:val="28"/>
          <w:highlight w:val="none"/>
          <w:lang w:eastAsia="zh-CN"/>
        </w:rPr>
        <w:t>或供电企业等相关主管部门（包括气象局发布的大风、暴雨等通知）</w:t>
      </w:r>
      <w:r>
        <w:rPr>
          <w:rFonts w:hint="eastAsia" w:ascii="仿宋" w:hAnsi="仿宋" w:eastAsia="仿宋" w:cs="仿宋"/>
          <w:color w:val="auto"/>
          <w:sz w:val="28"/>
          <w:szCs w:val="28"/>
          <w:highlight w:val="none"/>
        </w:rPr>
        <w:t>通知</w:t>
      </w:r>
      <w:r>
        <w:rPr>
          <w:rFonts w:hint="eastAsia" w:ascii="仿宋" w:hAnsi="仿宋" w:eastAsia="仿宋" w:cs="仿宋"/>
          <w:color w:val="auto"/>
          <w:sz w:val="28"/>
          <w:szCs w:val="28"/>
          <w:highlight w:val="none"/>
          <w:lang w:val="en-US" w:eastAsia="zh-CN"/>
        </w:rPr>
        <w:t>起24</w:t>
      </w:r>
      <w:r>
        <w:rPr>
          <w:rFonts w:hint="eastAsia" w:ascii="仿宋" w:hAnsi="仿宋" w:eastAsia="仿宋" w:cs="仿宋"/>
          <w:color w:val="auto"/>
          <w:sz w:val="28"/>
          <w:szCs w:val="28"/>
          <w:highlight w:val="none"/>
        </w:rPr>
        <w:t>小时内派人到达现场处理解决，否则甲方有权自行或委托第三方处理，乙方承担相关费用、责任并向甲方支付违约金一万元/次；如发生的问题或事故系乙方导致或属于乙方</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内容，甲方</w:t>
      </w:r>
      <w:r>
        <w:rPr>
          <w:rFonts w:hint="eastAsia" w:ascii="仿宋" w:hAnsi="仿宋" w:eastAsia="仿宋" w:cs="仿宋"/>
          <w:color w:val="auto"/>
          <w:sz w:val="28"/>
          <w:szCs w:val="28"/>
          <w:highlight w:val="none"/>
          <w:lang w:val="en-US" w:eastAsia="zh-CN"/>
        </w:rPr>
        <w:t>有权对</w:t>
      </w:r>
      <w:r>
        <w:rPr>
          <w:rFonts w:hint="eastAsia" w:ascii="仿宋" w:hAnsi="仿宋" w:eastAsia="仿宋" w:cs="仿宋"/>
          <w:color w:val="auto"/>
          <w:sz w:val="28"/>
          <w:szCs w:val="28"/>
          <w:highlight w:val="none"/>
        </w:rPr>
        <w:t>所耗费用从</w:t>
      </w:r>
      <w:r>
        <w:rPr>
          <w:rFonts w:hint="eastAsia" w:ascii="仿宋" w:hAnsi="仿宋" w:eastAsia="仿宋" w:cs="仿宋"/>
          <w:color w:val="auto"/>
          <w:sz w:val="28"/>
          <w:szCs w:val="28"/>
          <w:highlight w:val="none"/>
          <w:lang w:val="en-US" w:eastAsia="zh-CN"/>
        </w:rPr>
        <w:t>任意应付</w:t>
      </w:r>
      <w:r>
        <w:rPr>
          <w:rFonts w:hint="eastAsia" w:ascii="仿宋" w:hAnsi="仿宋" w:eastAsia="仿宋" w:cs="仿宋"/>
          <w:color w:val="auto"/>
          <w:sz w:val="28"/>
          <w:szCs w:val="28"/>
          <w:highlight w:val="none"/>
        </w:rPr>
        <w:t>乙方的</w:t>
      </w:r>
      <w:r>
        <w:rPr>
          <w:rFonts w:hint="eastAsia" w:ascii="仿宋" w:hAnsi="仿宋" w:eastAsia="仿宋" w:cs="仿宋"/>
          <w:color w:val="auto"/>
          <w:sz w:val="28"/>
          <w:szCs w:val="28"/>
          <w:highlight w:val="none"/>
          <w:lang w:val="en-US" w:eastAsia="zh-CN"/>
        </w:rPr>
        <w:t>合同款/进度款/结算款</w:t>
      </w:r>
      <w:r>
        <w:rPr>
          <w:rFonts w:hint="eastAsia" w:ascii="仿宋" w:hAnsi="仿宋" w:eastAsia="仿宋" w:cs="仿宋"/>
          <w:color w:val="auto"/>
          <w:sz w:val="28"/>
          <w:szCs w:val="28"/>
          <w:highlight w:val="none"/>
        </w:rPr>
        <w:t>中扣除，不足部分由乙方在甲方发出书面通知之日起10个日历天内支付</w:t>
      </w:r>
      <w:r>
        <w:rPr>
          <w:rFonts w:hint="eastAsia" w:ascii="仿宋" w:hAnsi="仿宋" w:eastAsia="仿宋" w:cs="仿宋"/>
          <w:color w:val="auto"/>
          <w:sz w:val="28"/>
          <w:szCs w:val="28"/>
          <w:highlight w:val="none"/>
          <w:lang w:val="en-US" w:eastAsia="zh-CN"/>
        </w:rPr>
        <w:t>给甲方</w:t>
      </w:r>
      <w:r>
        <w:rPr>
          <w:rFonts w:hint="eastAsia" w:ascii="仿宋" w:hAnsi="仿宋" w:eastAsia="仿宋" w:cs="仿宋"/>
          <w:color w:val="auto"/>
          <w:sz w:val="28"/>
          <w:szCs w:val="28"/>
          <w:highlight w:val="none"/>
        </w:rPr>
        <w:t>；如非</w:t>
      </w:r>
      <w:r>
        <w:rPr>
          <w:rFonts w:hint="eastAsia" w:ascii="仿宋" w:hAnsi="仿宋" w:eastAsia="仿宋" w:cs="仿宋"/>
          <w:color w:val="auto"/>
          <w:sz w:val="28"/>
          <w:szCs w:val="28"/>
          <w:highlight w:val="none"/>
          <w:lang w:eastAsia="zh-CN"/>
        </w:rPr>
        <w:t>本合同约定</w:t>
      </w:r>
      <w:r>
        <w:rPr>
          <w:rFonts w:hint="eastAsia" w:ascii="仿宋" w:hAnsi="仿宋" w:eastAsia="仿宋" w:cs="仿宋"/>
          <w:color w:val="auto"/>
          <w:sz w:val="28"/>
          <w:szCs w:val="28"/>
          <w:highlight w:val="none"/>
        </w:rPr>
        <w:t>原因所致，乙方仍应提供维服务，但费用经双方商定后由责任方承担。</w:t>
      </w:r>
    </w:p>
    <w:p w14:paraId="7A17B635">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4</w:t>
      </w:r>
      <w:r>
        <w:rPr>
          <w:rFonts w:hint="eastAsia" w:ascii="仿宋" w:hAnsi="仿宋" w:eastAsia="仿宋" w:cs="仿宋"/>
          <w:i w:val="0"/>
          <w:iCs w:val="0"/>
          <w:color w:val="auto"/>
          <w:sz w:val="28"/>
          <w:szCs w:val="28"/>
          <w:highlight w:val="none"/>
          <w:shd w:val="clear" w:color="auto" w:fill="auto"/>
          <w:lang w:val="en-US" w:eastAsia="zh-CN"/>
        </w:rPr>
        <w:t>本工程使用</w:t>
      </w:r>
      <w:r>
        <w:rPr>
          <w:rFonts w:hint="eastAsia" w:ascii="仿宋" w:hAnsi="仿宋" w:eastAsia="仿宋" w:cs="仿宋"/>
          <w:i w:val="0"/>
          <w:iCs w:val="0"/>
          <w:color w:val="auto"/>
          <w:sz w:val="28"/>
          <w:szCs w:val="28"/>
          <w:highlight w:val="none"/>
          <w:shd w:val="clear" w:color="auto" w:fill="auto"/>
        </w:rPr>
        <w:t>期内若发生乙方原因</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的质量问题，乙方须赔偿甲方因此造成的一切损失</w:t>
      </w:r>
      <w:r>
        <w:rPr>
          <w:rFonts w:hint="eastAsia" w:ascii="仿宋" w:hAnsi="仿宋" w:eastAsia="仿宋" w:cs="仿宋"/>
          <w:i w:val="0"/>
          <w:iCs w:val="0"/>
          <w:color w:val="auto"/>
          <w:sz w:val="28"/>
          <w:szCs w:val="28"/>
          <w:highlight w:val="none"/>
          <w:shd w:val="clear" w:color="auto" w:fill="auto"/>
          <w:lang w:eastAsia="zh-CN"/>
        </w:rPr>
        <w:t>。</w:t>
      </w:r>
    </w:p>
    <w:p w14:paraId="4D0F42B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.5</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本工程使用</w:t>
      </w:r>
      <w:r>
        <w:rPr>
          <w:rFonts w:hint="eastAsia" w:ascii="仿宋_GB2312" w:hAnsi="仿宋_GB2312" w:eastAsia="仿宋_GB2312" w:cs="仿宋_GB2312"/>
          <w:i w:val="0"/>
          <w:iCs w:val="0"/>
          <w:color w:val="auto"/>
          <w:sz w:val="28"/>
          <w:szCs w:val="28"/>
          <w:highlight w:val="none"/>
          <w:u w:val="none"/>
          <w:shd w:val="clear" w:color="auto" w:fill="auto"/>
        </w:rPr>
        <w:t>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19D14EBE">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12.6如本工程在使用期内后发现乙方原因导致的质量问题（如乙方施工瑕疵、错误、乙供材料设备不合格等），乙方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 </w:t>
      </w:r>
    </w:p>
    <w:p w14:paraId="4296F09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4" w:name="_Toc849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保险</w:t>
      </w:r>
      <w:bookmarkEnd w:id="41"/>
      <w:bookmarkEnd w:id="42"/>
      <w:bookmarkEnd w:id="43"/>
      <w:bookmarkEnd w:id="44"/>
    </w:p>
    <w:p w14:paraId="4EFCB6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rPr>
        <w:t>由于不可抗力</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自然灾害或意外事故等情形</w:t>
      </w:r>
      <w:r>
        <w:rPr>
          <w:rFonts w:hint="eastAsia" w:ascii="仿宋" w:hAnsi="仿宋" w:eastAsia="仿宋" w:cs="仿宋"/>
          <w:b w:val="0"/>
          <w:bCs w:val="0"/>
          <w:i w:val="0"/>
          <w:iCs w:val="0"/>
          <w:color w:val="auto"/>
          <w:sz w:val="28"/>
          <w:szCs w:val="28"/>
          <w:highlight w:val="none"/>
          <w:u w:val="none"/>
          <w:shd w:val="clear" w:color="auto" w:fill="auto"/>
        </w:rPr>
        <w:t>造成</w:t>
      </w:r>
      <w:r>
        <w:rPr>
          <w:rFonts w:hint="eastAsia" w:ascii="仿宋" w:hAnsi="仿宋" w:eastAsia="仿宋" w:cs="仿宋"/>
          <w:b w:val="0"/>
          <w:bCs w:val="0"/>
          <w:i w:val="0"/>
          <w:iCs w:val="0"/>
          <w:color w:val="auto"/>
          <w:sz w:val="28"/>
          <w:szCs w:val="28"/>
          <w:highlight w:val="none"/>
          <w:u w:val="none"/>
          <w:shd w:val="clear" w:color="auto" w:fill="auto"/>
          <w:lang w:val="en-US" w:eastAsia="zh-CN"/>
        </w:rPr>
        <w:t>在本项目的乙方人员</w:t>
      </w:r>
      <w:r>
        <w:rPr>
          <w:rFonts w:hint="eastAsia" w:ascii="仿宋" w:hAnsi="仿宋" w:eastAsia="仿宋" w:cs="仿宋"/>
          <w:b w:val="0"/>
          <w:bCs w:val="0"/>
          <w:i w:val="0"/>
          <w:iCs w:val="0"/>
          <w:color w:val="auto"/>
          <w:sz w:val="28"/>
          <w:szCs w:val="28"/>
          <w:highlight w:val="none"/>
          <w:u w:val="none"/>
          <w:shd w:val="clear" w:color="auto" w:fill="auto"/>
        </w:rPr>
        <w:t>出险时，甲方如已办理</w:t>
      </w:r>
      <w:r>
        <w:rPr>
          <w:rFonts w:hint="eastAsia" w:ascii="仿宋" w:hAnsi="仿宋" w:eastAsia="仿宋" w:cs="仿宋"/>
          <w:b w:val="0"/>
          <w:bCs w:val="0"/>
          <w:i w:val="0"/>
          <w:iCs w:val="0"/>
          <w:color w:val="auto"/>
          <w:sz w:val="28"/>
          <w:szCs w:val="28"/>
          <w:highlight w:val="none"/>
          <w:u w:val="none"/>
          <w:shd w:val="clear" w:color="auto" w:fill="auto"/>
          <w:lang w:eastAsia="zh-CN"/>
        </w:rPr>
        <w:t>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则须</w:t>
      </w:r>
      <w:r>
        <w:rPr>
          <w:rFonts w:hint="eastAsia" w:ascii="仿宋" w:hAnsi="仿宋" w:eastAsia="仿宋" w:cs="仿宋"/>
          <w:b w:val="0"/>
          <w:bCs w:val="0"/>
          <w:i w:val="0"/>
          <w:iCs w:val="0"/>
          <w:color w:val="auto"/>
          <w:sz w:val="28"/>
          <w:szCs w:val="28"/>
          <w:highlight w:val="none"/>
          <w:u w:val="none"/>
          <w:shd w:val="clear" w:color="auto" w:fill="auto"/>
        </w:rPr>
        <w:t>及时向甲方提交索赔资料</w:t>
      </w:r>
      <w:r>
        <w:rPr>
          <w:rFonts w:hint="eastAsia" w:ascii="仿宋" w:hAnsi="仿宋" w:eastAsia="仿宋" w:cs="仿宋"/>
          <w:b w:val="0"/>
          <w:bCs w:val="0"/>
          <w:i w:val="0"/>
          <w:iCs w:val="0"/>
          <w:color w:val="auto"/>
          <w:sz w:val="28"/>
          <w:szCs w:val="28"/>
          <w:highlight w:val="none"/>
          <w:u w:val="none"/>
          <w:shd w:val="clear" w:color="auto" w:fill="auto"/>
          <w:lang w:val="en-US" w:eastAsia="zh-CN"/>
        </w:rPr>
        <w:t>并签订《出险声明函》（格式详见附件）</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同时</w:t>
      </w:r>
      <w:r>
        <w:rPr>
          <w:rFonts w:hint="eastAsia" w:ascii="仿宋" w:hAnsi="仿宋" w:eastAsia="仿宋" w:cs="仿宋"/>
          <w:b w:val="0"/>
          <w:bCs w:val="0"/>
          <w:i w:val="0"/>
          <w:iCs w:val="0"/>
          <w:color w:val="auto"/>
          <w:sz w:val="28"/>
          <w:szCs w:val="28"/>
          <w:highlight w:val="none"/>
          <w:u w:val="none"/>
          <w:shd w:val="clear" w:color="auto" w:fill="auto"/>
        </w:rPr>
        <w:t>配合保险公司调查并无条件接受保险公司的</w:t>
      </w:r>
      <w:r>
        <w:rPr>
          <w:rFonts w:hint="eastAsia" w:ascii="仿宋" w:hAnsi="仿宋" w:eastAsia="仿宋" w:cs="仿宋"/>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 w:hAnsi="仿宋" w:eastAsia="仿宋" w:cs="仿宋"/>
          <w:b w:val="0"/>
          <w:bCs w:val="0"/>
          <w:i w:val="0"/>
          <w:iCs w:val="0"/>
          <w:color w:val="auto"/>
          <w:sz w:val="28"/>
          <w:szCs w:val="28"/>
          <w:highlight w:val="none"/>
          <w:shd w:val="clear" w:color="auto" w:fill="auto"/>
        </w:rPr>
        <w:t>如</w:t>
      </w:r>
      <w:r>
        <w:rPr>
          <w:rFonts w:hint="eastAsia" w:ascii="仿宋" w:hAnsi="仿宋" w:eastAsia="仿宋" w:cs="仿宋"/>
          <w:b w:val="0"/>
          <w:bCs w:val="0"/>
          <w:i w:val="0"/>
          <w:iCs w:val="0"/>
          <w:color w:val="auto"/>
          <w:sz w:val="28"/>
          <w:szCs w:val="28"/>
          <w:highlight w:val="none"/>
          <w:shd w:val="clear" w:color="auto" w:fill="auto"/>
          <w:lang w:val="en-US" w:eastAsia="zh-CN"/>
        </w:rPr>
        <w:t>本工程因乙方原因</w:t>
      </w:r>
      <w:r>
        <w:rPr>
          <w:rFonts w:hint="eastAsia" w:ascii="仿宋" w:hAnsi="仿宋" w:eastAsia="仿宋" w:cs="仿宋"/>
          <w:b w:val="0"/>
          <w:bCs w:val="0"/>
          <w:i w:val="0"/>
          <w:iCs w:val="0"/>
          <w:color w:val="auto"/>
          <w:sz w:val="28"/>
          <w:szCs w:val="28"/>
          <w:highlight w:val="none"/>
          <w:shd w:val="clear" w:color="auto" w:fill="auto"/>
        </w:rPr>
        <w:t>出现损失、损害或损坏</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乙方须立即修复、补救及更换或维修任何受破坏或损坏之</w:t>
      </w:r>
      <w:r>
        <w:rPr>
          <w:rFonts w:hint="eastAsia" w:ascii="仿宋" w:hAnsi="仿宋" w:eastAsia="仿宋" w:cs="仿宋"/>
          <w:b w:val="0"/>
          <w:bCs w:val="0"/>
          <w:i w:val="0"/>
          <w:iCs w:val="0"/>
          <w:color w:val="auto"/>
          <w:sz w:val="28"/>
          <w:szCs w:val="28"/>
          <w:highlight w:val="none"/>
          <w:shd w:val="clear" w:color="auto" w:fill="auto"/>
          <w:lang w:val="en-US" w:eastAsia="zh-CN"/>
        </w:rPr>
        <w:t>部位</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同时按甲方要求</w:t>
      </w:r>
      <w:r>
        <w:rPr>
          <w:rFonts w:hint="eastAsia" w:ascii="仿宋" w:hAnsi="仿宋" w:eastAsia="仿宋" w:cs="仿宋"/>
          <w:i w:val="0"/>
          <w:iCs w:val="0"/>
          <w:color w:val="auto"/>
          <w:sz w:val="28"/>
          <w:szCs w:val="28"/>
          <w:highlight w:val="none"/>
          <w:shd w:val="clear" w:color="auto" w:fill="auto"/>
        </w:rPr>
        <w:t>清理及弃置任何残骸</w:t>
      </w:r>
      <w:r>
        <w:rPr>
          <w:rFonts w:hint="eastAsia" w:ascii="仿宋" w:hAnsi="仿宋" w:eastAsia="仿宋" w:cs="仿宋"/>
          <w:i w:val="0"/>
          <w:iCs w:val="0"/>
          <w:color w:val="auto"/>
          <w:sz w:val="28"/>
          <w:szCs w:val="28"/>
          <w:highlight w:val="none"/>
          <w:shd w:val="clear" w:color="auto" w:fill="auto"/>
          <w:lang w:eastAsia="zh-CN"/>
        </w:rPr>
        <w:t>。</w:t>
      </w:r>
    </w:p>
    <w:p w14:paraId="3B3A65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bookmarkStart w:id="45" w:name="_Toc31086"/>
      <w:bookmarkStart w:id="46" w:name="_Toc12559"/>
      <w:bookmarkStart w:id="47" w:name="_Toc7926"/>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甲方未办理本项目“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i w:val="0"/>
          <w:iCs w:val="0"/>
          <w:color w:val="auto"/>
          <w:sz w:val="28"/>
          <w:szCs w:val="28"/>
          <w:highlight w:val="none"/>
          <w:shd w:val="clear" w:color="auto" w:fill="auto"/>
          <w:lang w:val="en-US" w:eastAsia="zh-CN"/>
        </w:rPr>
        <w:t>”时，乙方导致的工伤、工亡等全部安全事故和因病死亡情形，一切责任和费用全部由乙方承担，费用已经包含在合同总价中，甲方不承担任何责任和费用。</w:t>
      </w:r>
    </w:p>
    <w:p w14:paraId="78B885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13.3</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须为其属下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人员</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财产、现场各种施工设施、设备、材料</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购买</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保险，</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费用已含在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约定的合同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价</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格</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中</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无需甲方另行支付给乙方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各种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原因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导致乙方需要</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延长保险期所需增加的保险费由乙方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自行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承担</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其费用已包含在合同总价内，乙方人员或</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因乙方原因造成任何事故(包括第三方人员在内)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损失、赔偿、补偿等责任</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和费用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由乙方承担。</w:t>
      </w:r>
    </w:p>
    <w:p w14:paraId="718D0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甲乙双方在签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订</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各自的保险合同时，其第三方责任险应将对方互相视为第三方。</w:t>
      </w:r>
    </w:p>
    <w:p w14:paraId="430E15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乙方须对本工程涉及的乙方人员购买人身意外伤害险等保险，保额不低于死亡赔偿人民</w:t>
      </w:r>
      <w:r>
        <w:rPr>
          <w:rFonts w:hint="eastAsia" w:ascii="仿宋" w:hAnsi="仿宋" w:eastAsia="仿宋" w:cs="仿宋"/>
          <w:b w:val="0"/>
          <w:bCs w:val="0"/>
          <w:i w:val="0"/>
          <w:iCs w:val="0"/>
          <w:color w:val="auto"/>
          <w:sz w:val="28"/>
          <w:szCs w:val="28"/>
          <w:highlight w:val="none"/>
          <w:shd w:val="clear" w:color="auto" w:fill="auto"/>
          <w:lang w:val="en-US" w:eastAsia="zh-CN"/>
        </w:rPr>
        <w:t>币</w:t>
      </w:r>
      <w:r>
        <w:rPr>
          <w:rFonts w:hint="eastAsia" w:ascii="仿宋" w:hAnsi="仿宋" w:eastAsia="仿宋" w:cs="仿宋"/>
          <w:i w:val="0"/>
          <w:iCs w:val="0"/>
          <w:color w:val="auto"/>
          <w:sz w:val="28"/>
          <w:szCs w:val="28"/>
          <w:highlight w:val="none"/>
          <w:shd w:val="clear" w:color="auto" w:fill="auto"/>
          <w:lang w:val="en-US" w:eastAsia="zh-CN"/>
        </w:rPr>
        <w:t>150</w:t>
      </w:r>
      <w:r>
        <w:rPr>
          <w:rFonts w:hint="eastAsia" w:ascii="仿宋" w:hAnsi="仿宋" w:eastAsia="仿宋" w:cs="仿宋"/>
          <w:b w:val="0"/>
          <w:bCs w:val="0"/>
          <w:i w:val="0"/>
          <w:iCs w:val="0"/>
          <w:color w:val="auto"/>
          <w:sz w:val="28"/>
          <w:szCs w:val="28"/>
          <w:highlight w:val="none"/>
          <w:shd w:val="clear" w:color="auto" w:fill="auto"/>
          <w:lang w:val="en-US" w:eastAsia="zh-CN"/>
        </w:rPr>
        <w:t>万元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/人及伤害赔偿人民币15万元/人，相关费用已含于合同价中甲方无需另行支付给乙方。乙方须自保险合同生效之日起5个日历天内将保险合同复印件（加盖乙方公章）提交甲方项目部留存。</w:t>
      </w:r>
    </w:p>
    <w:p w14:paraId="2C8BFD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13.6无论甲乙任何一方有无按照本合同约定办理相关保险事宜，乙方人员或因乙方原因导致在本项目范围内发生的伤亡事故，均由乙方承担责任和费用。</w:t>
      </w:r>
    </w:p>
    <w:p w14:paraId="705384D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8" w:name="_Toc2947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奖罚条款</w:t>
      </w:r>
      <w:bookmarkEnd w:id="45"/>
      <w:bookmarkEnd w:id="46"/>
      <w:bookmarkEnd w:id="47"/>
      <w:bookmarkEnd w:id="48"/>
    </w:p>
    <w:p w14:paraId="20DAA4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lang w:eastAsia="zh-CN"/>
        </w:rPr>
      </w:pPr>
      <w:bookmarkStart w:id="49" w:name="_Toc6486"/>
      <w:bookmarkStart w:id="50" w:name="_Toc27044"/>
      <w:bookmarkStart w:id="51" w:name="_Toc28593"/>
      <w:r>
        <w:rPr>
          <w:rFonts w:hint="eastAsia" w:ascii="仿宋" w:hAnsi="仿宋" w:eastAsia="仿宋" w:cs="仿宋"/>
          <w:b/>
          <w:bCs/>
          <w:i w:val="0"/>
          <w:iCs w:val="0"/>
          <w:color w:val="auto"/>
          <w:sz w:val="28"/>
          <w:szCs w:val="28"/>
          <w:highlight w:val="none"/>
          <w:shd w:val="clear" w:color="auto" w:fill="auto"/>
          <w:lang w:eastAsia="zh-CN"/>
        </w:rPr>
        <w:t>1</w:t>
      </w:r>
      <w:r>
        <w:rPr>
          <w:rFonts w:hint="eastAsia" w:ascii="仿宋" w:hAnsi="仿宋" w:eastAsia="仿宋" w:cs="仿宋"/>
          <w:b/>
          <w:bCs/>
          <w:i w:val="0"/>
          <w:iCs w:val="0"/>
          <w:color w:val="auto"/>
          <w:sz w:val="28"/>
          <w:szCs w:val="28"/>
          <w:highlight w:val="none"/>
          <w:shd w:val="clear" w:color="auto" w:fill="auto"/>
          <w:lang w:val="en-US" w:eastAsia="zh-CN"/>
        </w:rPr>
        <w:t>4</w:t>
      </w:r>
      <w:r>
        <w:rPr>
          <w:rFonts w:hint="eastAsia" w:ascii="仿宋" w:hAnsi="仿宋" w:eastAsia="仿宋" w:cs="仿宋"/>
          <w:b/>
          <w:bCs/>
          <w:i w:val="0"/>
          <w:iCs w:val="0"/>
          <w:color w:val="auto"/>
          <w:sz w:val="28"/>
          <w:szCs w:val="28"/>
          <w:highlight w:val="none"/>
          <w:shd w:val="clear" w:color="auto" w:fill="auto"/>
          <w:lang w:eastAsia="zh-CN"/>
        </w:rPr>
        <w:t>.1奖励</w:t>
      </w:r>
    </w:p>
    <w:p w14:paraId="4847C5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1.1如乙方施工的产品质量优质，施工进度快，安全生产、文明施工达标，作业队</w:t>
      </w:r>
      <w:r>
        <w:rPr>
          <w:rFonts w:hint="eastAsia" w:ascii="仿宋" w:hAnsi="仿宋" w:eastAsia="仿宋" w:cs="仿宋"/>
          <w:i w:val="0"/>
          <w:iCs w:val="0"/>
          <w:color w:val="auto"/>
          <w:sz w:val="28"/>
          <w:szCs w:val="28"/>
          <w:highlight w:val="none"/>
          <w:shd w:val="clear" w:color="auto" w:fill="auto"/>
          <w:lang w:val="en-US" w:eastAsia="zh-CN"/>
        </w:rPr>
        <w:t>伍</w:t>
      </w:r>
      <w:r>
        <w:rPr>
          <w:rFonts w:hint="eastAsia" w:ascii="仿宋" w:hAnsi="仿宋" w:eastAsia="仿宋" w:cs="仿宋"/>
          <w:i w:val="0"/>
          <w:iCs w:val="0"/>
          <w:color w:val="auto"/>
          <w:sz w:val="28"/>
          <w:szCs w:val="28"/>
          <w:highlight w:val="none"/>
          <w:shd w:val="clear" w:color="auto" w:fill="auto"/>
        </w:rPr>
        <w:t>整体形象受各方好评</w:t>
      </w:r>
      <w:r>
        <w:rPr>
          <w:rFonts w:hint="eastAsia" w:ascii="仿宋" w:hAnsi="仿宋" w:eastAsia="仿宋" w:cs="仿宋"/>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，甲方给</w:t>
      </w:r>
      <w:r>
        <w:rPr>
          <w:rFonts w:hint="eastAsia" w:ascii="仿宋" w:hAnsi="仿宋" w:eastAsia="仿宋" w:cs="仿宋"/>
          <w:i w:val="0"/>
          <w:iCs w:val="0"/>
          <w:color w:val="auto"/>
          <w:sz w:val="28"/>
          <w:szCs w:val="28"/>
          <w:highlight w:val="none"/>
          <w:shd w:val="clear" w:color="auto" w:fill="auto"/>
          <w:lang w:val="en-US" w:eastAsia="zh-CN"/>
        </w:rPr>
        <w:t>予</w:t>
      </w:r>
      <w:r>
        <w:rPr>
          <w:rFonts w:hint="eastAsia" w:ascii="仿宋" w:hAnsi="仿宋" w:eastAsia="仿宋" w:cs="仿宋"/>
          <w:i w:val="0"/>
          <w:iCs w:val="0"/>
          <w:color w:val="auto"/>
          <w:sz w:val="28"/>
          <w:szCs w:val="28"/>
          <w:highlight w:val="none"/>
          <w:shd w:val="clear" w:color="auto" w:fill="auto"/>
        </w:rPr>
        <w:t>乙方一定</w:t>
      </w:r>
      <w:r>
        <w:rPr>
          <w:rFonts w:hint="eastAsia" w:ascii="仿宋" w:hAnsi="仿宋" w:eastAsia="仿宋" w:cs="仿宋"/>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i w:val="0"/>
          <w:iCs w:val="0"/>
          <w:color w:val="auto"/>
          <w:sz w:val="28"/>
          <w:szCs w:val="28"/>
          <w:highlight w:val="none"/>
          <w:shd w:val="clear" w:color="auto" w:fill="auto"/>
        </w:rPr>
        <w:t>）：</w:t>
      </w:r>
    </w:p>
    <w:p w14:paraId="1FEAC1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1.1.1甲方组织的各类检查验收中，乙方组建的施工队伍被评为优质作业队。</w:t>
      </w:r>
    </w:p>
    <w:p w14:paraId="06CF9B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1.1.2乙方负责施工的成品受到省、市有关部门表彰。</w:t>
      </w:r>
    </w:p>
    <w:p w14:paraId="4D0585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1.1.3乙方负责施工的成品受到</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、监理好评。</w:t>
      </w:r>
    </w:p>
    <w:p w14:paraId="23305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1.1.4特定情况下，由于乙方的主观努力使甲方避免遭受巨大损失。</w:t>
      </w:r>
    </w:p>
    <w:p w14:paraId="565974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1.1.5乙方工人安全生产、文明施工、节约用料、质量优、进度快。</w:t>
      </w:r>
    </w:p>
    <w:p w14:paraId="74AE6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2惩罚</w:t>
      </w:r>
    </w:p>
    <w:p w14:paraId="4D0E8D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2.1如乙方出现下列任一情况，甲方有权单方解除本合同，同时乙方赔偿甲方损失（包括但不限于因</w:t>
      </w:r>
      <w:r>
        <w:rPr>
          <w:rFonts w:hint="eastAsia" w:ascii="仿宋" w:hAnsi="仿宋" w:eastAsia="仿宋" w:cs="仿宋"/>
          <w:i w:val="0"/>
          <w:iCs w:val="0"/>
          <w:color w:val="auto"/>
          <w:sz w:val="28"/>
          <w:szCs w:val="28"/>
          <w:highlight w:val="none"/>
          <w:shd w:val="clear" w:color="auto" w:fill="auto"/>
          <w:lang w:val="en-US" w:eastAsia="zh-CN"/>
        </w:rPr>
        <w:t>工期延误</w:t>
      </w:r>
      <w:r>
        <w:rPr>
          <w:rFonts w:hint="eastAsia" w:ascii="仿宋" w:hAnsi="仿宋" w:eastAsia="仿宋" w:cs="仿宋"/>
          <w:i w:val="0"/>
          <w:iCs w:val="0"/>
          <w:color w:val="auto"/>
          <w:sz w:val="28"/>
          <w:szCs w:val="28"/>
          <w:highlight w:val="none"/>
          <w:shd w:val="clear" w:color="auto" w:fill="auto"/>
        </w:rPr>
        <w:t>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sz w:val="28"/>
          <w:szCs w:val="28"/>
          <w:highlight w:val="none"/>
          <w:shd w:val="clear" w:color="auto" w:fill="auto"/>
          <w:lang w:eastAsia="zh-CN"/>
        </w:rPr>
        <w:t>：</w:t>
      </w:r>
    </w:p>
    <w:p w14:paraId="5F26F6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2.1.1乙方</w:t>
      </w:r>
      <w:r>
        <w:rPr>
          <w:rFonts w:hint="eastAsia" w:ascii="仿宋" w:hAnsi="仿宋" w:eastAsia="仿宋" w:cs="仿宋"/>
          <w:i w:val="0"/>
          <w:iCs w:val="0"/>
          <w:color w:val="auto"/>
          <w:sz w:val="28"/>
          <w:szCs w:val="28"/>
          <w:highlight w:val="none"/>
          <w:shd w:val="clear" w:color="auto" w:fill="auto"/>
          <w:lang w:val="en-US" w:eastAsia="zh-CN"/>
        </w:rPr>
        <w:t>在</w:t>
      </w:r>
      <w:r>
        <w:rPr>
          <w:rFonts w:hint="eastAsia" w:ascii="仿宋" w:hAnsi="仿宋" w:eastAsia="仿宋" w:cs="仿宋"/>
          <w:i w:val="0"/>
          <w:iCs w:val="0"/>
          <w:color w:val="auto"/>
          <w:sz w:val="28"/>
          <w:szCs w:val="28"/>
          <w:highlight w:val="none"/>
          <w:shd w:val="clear" w:color="auto" w:fill="auto"/>
        </w:rPr>
        <w:t>质量、进度、安全、管理等方面经甲方</w:t>
      </w:r>
      <w:r>
        <w:rPr>
          <w:rFonts w:hint="eastAsia" w:ascii="仿宋" w:hAnsi="仿宋" w:eastAsia="仿宋" w:cs="仿宋"/>
          <w:i w:val="0"/>
          <w:iCs w:val="0"/>
          <w:color w:val="auto"/>
          <w:sz w:val="28"/>
          <w:szCs w:val="28"/>
          <w:highlight w:val="none"/>
          <w:shd w:val="clear" w:color="auto" w:fill="auto"/>
          <w:lang w:val="en-US" w:eastAsia="zh-CN"/>
        </w:rPr>
        <w:t>三</w:t>
      </w:r>
      <w:r>
        <w:rPr>
          <w:rFonts w:hint="eastAsia" w:ascii="仿宋" w:hAnsi="仿宋" w:eastAsia="仿宋" w:cs="仿宋"/>
          <w:i w:val="0"/>
          <w:iCs w:val="0"/>
          <w:color w:val="auto"/>
          <w:sz w:val="28"/>
          <w:szCs w:val="28"/>
          <w:highlight w:val="none"/>
          <w:shd w:val="clear" w:color="auto" w:fill="auto"/>
        </w:rPr>
        <w:t>次警告</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处罚</w:t>
      </w:r>
      <w:r>
        <w:rPr>
          <w:rFonts w:hint="eastAsia" w:ascii="仿宋" w:hAnsi="仿宋" w:eastAsia="仿宋" w:cs="仿宋"/>
          <w:i w:val="0"/>
          <w:iCs w:val="0"/>
          <w:color w:val="auto"/>
          <w:sz w:val="28"/>
          <w:szCs w:val="28"/>
          <w:highlight w:val="none"/>
          <w:shd w:val="clear" w:color="auto" w:fill="auto"/>
          <w:lang w:val="en-US" w:eastAsia="zh-CN"/>
        </w:rPr>
        <w:t>后</w:t>
      </w:r>
      <w:r>
        <w:rPr>
          <w:rFonts w:hint="eastAsia" w:ascii="仿宋" w:hAnsi="仿宋" w:eastAsia="仿宋" w:cs="仿宋"/>
          <w:i w:val="0"/>
          <w:iCs w:val="0"/>
          <w:color w:val="auto"/>
          <w:sz w:val="28"/>
          <w:szCs w:val="28"/>
          <w:highlight w:val="none"/>
          <w:shd w:val="clear" w:color="auto" w:fill="auto"/>
        </w:rPr>
        <w:t>仍不能明显改善</w:t>
      </w:r>
      <w:r>
        <w:rPr>
          <w:rFonts w:hint="eastAsia" w:ascii="仿宋" w:hAnsi="仿宋" w:eastAsia="仿宋" w:cs="仿宋"/>
          <w:i w:val="0"/>
          <w:iCs w:val="0"/>
          <w:color w:val="auto"/>
          <w:sz w:val="28"/>
          <w:szCs w:val="28"/>
          <w:highlight w:val="none"/>
          <w:shd w:val="clear" w:color="auto" w:fill="auto"/>
          <w:lang w:eastAsia="zh-CN"/>
        </w:rPr>
        <w:t>；</w:t>
      </w:r>
    </w:p>
    <w:p w14:paraId="4DC5CF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rPr>
        <w:t>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rPr>
        <w:t>以各种形式转包</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rPr>
        <w:t>他人</w:t>
      </w:r>
      <w:r>
        <w:rPr>
          <w:rFonts w:hint="eastAsia" w:ascii="仿宋" w:hAnsi="仿宋" w:eastAsia="仿宋" w:cs="仿宋"/>
          <w:i w:val="0"/>
          <w:iCs w:val="0"/>
          <w:color w:val="auto"/>
          <w:sz w:val="28"/>
          <w:szCs w:val="28"/>
          <w:highlight w:val="none"/>
          <w:shd w:val="clear" w:color="auto" w:fill="auto"/>
        </w:rPr>
        <w:t>。</w:t>
      </w:r>
    </w:p>
    <w:p w14:paraId="302E9C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因下列情况导致的甲方损失均由乙方赔偿（包括但不限于因逾期完工而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p>
    <w:p w14:paraId="746AAF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①因乙方施工质量事故造成的</w:t>
      </w:r>
      <w:r>
        <w:rPr>
          <w:rFonts w:hint="eastAsia" w:ascii="仿宋" w:hAnsi="仿宋" w:eastAsia="仿宋" w:cs="仿宋"/>
          <w:b w:val="0"/>
          <w:bCs w:val="0"/>
          <w:i w:val="0"/>
          <w:iCs w:val="0"/>
          <w:color w:val="auto"/>
          <w:sz w:val="28"/>
          <w:szCs w:val="28"/>
          <w:highlight w:val="none"/>
          <w:shd w:val="clear" w:color="auto" w:fill="auto"/>
        </w:rPr>
        <w:t>损失</w:t>
      </w:r>
      <w:r>
        <w:rPr>
          <w:rFonts w:hint="eastAsia" w:ascii="仿宋" w:hAnsi="仿宋" w:eastAsia="仿宋" w:cs="仿宋"/>
          <w:i w:val="0"/>
          <w:iCs w:val="0"/>
          <w:color w:val="auto"/>
          <w:sz w:val="28"/>
          <w:szCs w:val="28"/>
          <w:highlight w:val="none"/>
          <w:shd w:val="clear" w:color="auto" w:fill="auto"/>
        </w:rPr>
        <w:t>；</w:t>
      </w:r>
    </w:p>
    <w:p w14:paraId="0278A3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②因乙方中途退场造成的损失</w:t>
      </w:r>
      <w:r>
        <w:rPr>
          <w:rFonts w:hint="eastAsia" w:ascii="仿宋" w:hAnsi="仿宋" w:eastAsia="仿宋" w:cs="仿宋"/>
          <w:i w:val="0"/>
          <w:iCs w:val="0"/>
          <w:color w:val="auto"/>
          <w:sz w:val="28"/>
          <w:szCs w:val="28"/>
          <w:highlight w:val="none"/>
          <w:shd w:val="clear" w:color="auto" w:fill="auto"/>
          <w:lang w:eastAsia="zh-CN"/>
        </w:rPr>
        <w:t>。</w:t>
      </w:r>
    </w:p>
    <w:p w14:paraId="352232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14.2.3</w:t>
      </w:r>
      <w:r>
        <w:rPr>
          <w:rFonts w:hint="eastAsia" w:ascii="仿宋" w:hAnsi="仿宋" w:eastAsia="仿宋" w:cs="仿宋"/>
          <w:i w:val="0"/>
          <w:iCs w:val="0"/>
          <w:color w:val="auto"/>
          <w:sz w:val="28"/>
          <w:szCs w:val="28"/>
          <w:highlight w:val="none"/>
          <w:shd w:val="clear" w:color="auto" w:fill="auto"/>
        </w:rPr>
        <w:t>因乙方导致工程质量或工期达不到合同要求或使用</w:t>
      </w:r>
      <w:r>
        <w:rPr>
          <w:rFonts w:hint="eastAsia" w:ascii="仿宋" w:hAnsi="仿宋" w:eastAsia="仿宋" w:cs="仿宋"/>
          <w:i w:val="0"/>
          <w:iCs w:val="0"/>
          <w:color w:val="auto"/>
          <w:sz w:val="28"/>
          <w:szCs w:val="28"/>
          <w:highlight w:val="none"/>
          <w:shd w:val="clear" w:color="auto" w:fill="auto"/>
          <w:lang w:val="en-US" w:eastAsia="zh-CN"/>
        </w:rPr>
        <w:t>甲供</w:t>
      </w:r>
      <w:r>
        <w:rPr>
          <w:rFonts w:hint="eastAsia" w:ascii="仿宋" w:hAnsi="仿宋" w:eastAsia="仿宋" w:cs="仿宋"/>
          <w:i w:val="0"/>
          <w:iCs w:val="0"/>
          <w:color w:val="auto"/>
          <w:sz w:val="28"/>
          <w:szCs w:val="28"/>
          <w:highlight w:val="none"/>
          <w:shd w:val="clear" w:color="auto" w:fill="auto"/>
        </w:rPr>
        <w:t>材料用量超标</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，均属乙方违约，甲方有权单方解除合同且</w:t>
      </w:r>
      <w:r>
        <w:rPr>
          <w:rFonts w:hint="eastAsia" w:ascii="仿宋" w:hAnsi="仿宋" w:eastAsia="仿宋" w:cs="仿宋"/>
          <w:i w:val="0"/>
          <w:iCs w:val="0"/>
          <w:color w:val="auto"/>
          <w:sz w:val="28"/>
          <w:szCs w:val="28"/>
          <w:highlight w:val="none"/>
          <w:shd w:val="clear" w:color="auto" w:fill="auto"/>
          <w:lang w:val="en-US" w:eastAsia="zh-CN"/>
        </w:rPr>
        <w:t>不付款</w:t>
      </w:r>
      <w:r>
        <w:rPr>
          <w:rFonts w:hint="eastAsia" w:ascii="仿宋" w:hAnsi="仿宋" w:eastAsia="仿宋" w:cs="仿宋"/>
          <w:i w:val="0"/>
          <w:iCs w:val="0"/>
          <w:color w:val="auto"/>
          <w:sz w:val="28"/>
          <w:szCs w:val="28"/>
          <w:highlight w:val="none"/>
          <w:shd w:val="clear" w:color="auto" w:fill="auto"/>
        </w:rPr>
        <w:t>，同时乙方承担由此造成的损失责任及费用。</w:t>
      </w:r>
    </w:p>
    <w:p w14:paraId="49517A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或其</w:t>
      </w:r>
      <w:r>
        <w:rPr>
          <w:rFonts w:hint="eastAsia" w:ascii="仿宋" w:hAnsi="仿宋" w:eastAsia="仿宋" w:cs="仿宋"/>
          <w:i w:val="0"/>
          <w:iCs w:val="0"/>
          <w:color w:val="auto"/>
          <w:sz w:val="28"/>
          <w:szCs w:val="28"/>
          <w:highlight w:val="none"/>
          <w:shd w:val="clear" w:color="auto" w:fill="auto"/>
        </w:rPr>
        <w:t>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b w:val="0"/>
          <w:bCs w:val="0"/>
          <w:i w:val="0"/>
          <w:iCs w:val="0"/>
          <w:color w:val="auto"/>
          <w:sz w:val="28"/>
          <w:szCs w:val="28"/>
          <w:highlight w:val="none"/>
          <w:shd w:val="clear" w:color="auto" w:fill="auto"/>
          <w:lang w:val="en-US" w:eastAsia="zh-CN"/>
        </w:rPr>
        <w:t>伍佰元至叁万</w:t>
      </w:r>
      <w:r>
        <w:rPr>
          <w:rFonts w:hint="eastAsia" w:ascii="仿宋" w:hAnsi="仿宋" w:eastAsia="仿宋" w:cs="仿宋"/>
          <w:i w:val="0"/>
          <w:iCs w:val="0"/>
          <w:color w:val="auto"/>
          <w:sz w:val="28"/>
          <w:szCs w:val="28"/>
          <w:highlight w:val="none"/>
          <w:shd w:val="clear" w:color="auto" w:fill="auto"/>
        </w:rPr>
        <w:t>元的措施：</w:t>
      </w:r>
    </w:p>
    <w:p w14:paraId="61AD22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.1隐蔽工程一次验收不合格</w:t>
      </w:r>
      <w:r>
        <w:rPr>
          <w:rFonts w:hint="eastAsia" w:ascii="仿宋" w:hAnsi="仿宋" w:eastAsia="仿宋" w:cs="仿宋"/>
          <w:i w:val="0"/>
          <w:iCs w:val="0"/>
          <w:color w:val="auto"/>
          <w:sz w:val="28"/>
          <w:szCs w:val="28"/>
          <w:highlight w:val="none"/>
          <w:shd w:val="clear" w:color="auto" w:fill="auto"/>
          <w:lang w:eastAsia="zh-CN"/>
        </w:rPr>
        <w:t>；</w:t>
      </w:r>
    </w:p>
    <w:p w14:paraId="4014B7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.2不能按甲方</w:t>
      </w:r>
      <w:r>
        <w:rPr>
          <w:rFonts w:hint="eastAsia" w:ascii="仿宋" w:hAnsi="仿宋" w:eastAsia="仿宋" w:cs="仿宋"/>
          <w:i w:val="0"/>
          <w:iCs w:val="0"/>
          <w:color w:val="auto"/>
          <w:sz w:val="28"/>
          <w:szCs w:val="28"/>
          <w:highlight w:val="none"/>
          <w:shd w:val="clear" w:color="auto" w:fill="auto"/>
          <w:lang w:val="en-US" w:eastAsia="zh-CN"/>
        </w:rPr>
        <w:t>确定的</w:t>
      </w:r>
      <w:r>
        <w:rPr>
          <w:rFonts w:hint="eastAsia" w:ascii="仿宋" w:hAnsi="仿宋" w:eastAsia="仿宋" w:cs="仿宋"/>
          <w:i w:val="0"/>
          <w:iCs w:val="0"/>
          <w:color w:val="auto"/>
          <w:sz w:val="28"/>
          <w:szCs w:val="28"/>
          <w:highlight w:val="none"/>
          <w:shd w:val="clear" w:color="auto" w:fill="auto"/>
        </w:rPr>
        <w:t>周进度计划完成施工作业延误工期一天</w:t>
      </w:r>
      <w:r>
        <w:rPr>
          <w:rFonts w:hint="eastAsia" w:ascii="仿宋" w:hAnsi="仿宋" w:eastAsia="仿宋" w:cs="仿宋"/>
          <w:i w:val="0"/>
          <w:iCs w:val="0"/>
          <w:color w:val="auto"/>
          <w:sz w:val="28"/>
          <w:szCs w:val="28"/>
          <w:highlight w:val="none"/>
          <w:shd w:val="clear" w:color="auto" w:fill="auto"/>
          <w:lang w:eastAsia="zh-CN"/>
        </w:rPr>
        <w:t>；</w:t>
      </w:r>
    </w:p>
    <w:p w14:paraId="340A5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.3出现因质量、安全</w:t>
      </w:r>
      <w:r>
        <w:rPr>
          <w:rFonts w:hint="eastAsia" w:ascii="仿宋" w:hAnsi="仿宋" w:eastAsia="仿宋" w:cs="仿宋"/>
          <w:i w:val="0"/>
          <w:iCs w:val="0"/>
          <w:color w:val="auto"/>
          <w:sz w:val="28"/>
          <w:szCs w:val="28"/>
          <w:highlight w:val="none"/>
          <w:shd w:val="clear" w:color="auto" w:fill="auto"/>
          <w:lang w:val="en-US" w:eastAsia="zh-CN"/>
        </w:rPr>
        <w:t>不满足本合同约定需</w:t>
      </w:r>
      <w:r>
        <w:rPr>
          <w:rFonts w:hint="eastAsia" w:ascii="仿宋" w:hAnsi="仿宋" w:eastAsia="仿宋" w:cs="仿宋"/>
          <w:i w:val="0"/>
          <w:iCs w:val="0"/>
          <w:color w:val="auto"/>
          <w:sz w:val="28"/>
          <w:szCs w:val="28"/>
          <w:highlight w:val="none"/>
          <w:shd w:val="clear" w:color="auto" w:fill="auto"/>
        </w:rPr>
        <w:t>整改</w:t>
      </w:r>
      <w:r>
        <w:rPr>
          <w:rFonts w:hint="eastAsia" w:ascii="仿宋" w:hAnsi="仿宋" w:eastAsia="仿宋" w:cs="仿宋"/>
          <w:i w:val="0"/>
          <w:iCs w:val="0"/>
          <w:color w:val="auto"/>
          <w:sz w:val="28"/>
          <w:szCs w:val="28"/>
          <w:highlight w:val="none"/>
          <w:shd w:val="clear" w:color="auto" w:fill="auto"/>
          <w:lang w:eastAsia="zh-CN"/>
        </w:rPr>
        <w:t>；</w:t>
      </w:r>
    </w:p>
    <w:p w14:paraId="2E5B6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.4聚众赌博，影响他人休息</w:t>
      </w:r>
      <w:r>
        <w:rPr>
          <w:rFonts w:hint="eastAsia" w:ascii="仿宋" w:hAnsi="仿宋" w:eastAsia="仿宋" w:cs="仿宋"/>
          <w:i w:val="0"/>
          <w:iCs w:val="0"/>
          <w:color w:val="auto"/>
          <w:sz w:val="28"/>
          <w:szCs w:val="28"/>
          <w:highlight w:val="none"/>
          <w:shd w:val="clear" w:color="auto" w:fill="auto"/>
          <w:lang w:eastAsia="zh-CN"/>
        </w:rPr>
        <w:t>；</w:t>
      </w:r>
    </w:p>
    <w:p w14:paraId="11528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.5聚众闹事、打人、打架、偷抢行为</w:t>
      </w:r>
      <w:r>
        <w:rPr>
          <w:rFonts w:hint="eastAsia" w:ascii="仿宋" w:hAnsi="仿宋" w:eastAsia="仿宋" w:cs="仿宋"/>
          <w:i w:val="0"/>
          <w:iCs w:val="0"/>
          <w:color w:val="auto"/>
          <w:sz w:val="28"/>
          <w:szCs w:val="28"/>
          <w:highlight w:val="none"/>
          <w:shd w:val="clear" w:color="auto" w:fill="auto"/>
          <w:lang w:eastAsia="zh-CN"/>
        </w:rPr>
        <w:t>；</w:t>
      </w:r>
    </w:p>
    <w:p w14:paraId="22226B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.6容留非</w:t>
      </w:r>
      <w:r>
        <w:rPr>
          <w:rFonts w:hint="eastAsia" w:ascii="仿宋" w:hAnsi="仿宋" w:eastAsia="仿宋" w:cs="仿宋"/>
          <w:i w:val="0"/>
          <w:iCs w:val="0"/>
          <w:color w:val="auto"/>
          <w:sz w:val="28"/>
          <w:szCs w:val="28"/>
          <w:highlight w:val="none"/>
          <w:shd w:val="clear" w:color="auto" w:fill="auto"/>
          <w:lang w:val="en-US" w:eastAsia="zh-CN"/>
        </w:rPr>
        <w:t>本工程现场</w:t>
      </w:r>
      <w:r>
        <w:rPr>
          <w:rFonts w:hint="eastAsia" w:ascii="仿宋" w:hAnsi="仿宋" w:eastAsia="仿宋" w:cs="仿宋"/>
          <w:i w:val="0"/>
          <w:iCs w:val="0"/>
          <w:color w:val="auto"/>
          <w:sz w:val="28"/>
          <w:szCs w:val="28"/>
          <w:highlight w:val="none"/>
          <w:shd w:val="clear" w:color="auto" w:fill="auto"/>
        </w:rPr>
        <w:t>人员在</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rPr>
        <w:t>宿舍住宿</w:t>
      </w:r>
      <w:r>
        <w:rPr>
          <w:rFonts w:hint="eastAsia" w:ascii="仿宋" w:hAnsi="仿宋" w:eastAsia="仿宋" w:cs="仿宋"/>
          <w:i w:val="0"/>
          <w:iCs w:val="0"/>
          <w:color w:val="auto"/>
          <w:sz w:val="28"/>
          <w:szCs w:val="28"/>
          <w:highlight w:val="none"/>
          <w:shd w:val="clear" w:color="auto" w:fill="auto"/>
          <w:lang w:eastAsia="zh-CN"/>
        </w:rPr>
        <w:t>；</w:t>
      </w:r>
    </w:p>
    <w:p w14:paraId="2CEC2C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.7不按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要求加班或人员不足</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延误工期一天</w:t>
      </w:r>
      <w:r>
        <w:rPr>
          <w:rFonts w:hint="eastAsia" w:ascii="仿宋" w:hAnsi="仿宋" w:eastAsia="仿宋" w:cs="仿宋"/>
          <w:i w:val="0"/>
          <w:iCs w:val="0"/>
          <w:color w:val="auto"/>
          <w:sz w:val="28"/>
          <w:szCs w:val="28"/>
          <w:highlight w:val="none"/>
          <w:shd w:val="clear" w:color="auto" w:fill="auto"/>
          <w:lang w:eastAsia="zh-CN"/>
        </w:rPr>
        <w:t>；</w:t>
      </w:r>
    </w:p>
    <w:p w14:paraId="3E9504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.8浪费材料、损坏机具或破坏其它设施</w:t>
      </w:r>
      <w:r>
        <w:rPr>
          <w:rFonts w:hint="eastAsia" w:ascii="仿宋" w:hAnsi="仿宋" w:eastAsia="仿宋" w:cs="仿宋"/>
          <w:i w:val="0"/>
          <w:iCs w:val="0"/>
          <w:color w:val="auto"/>
          <w:sz w:val="28"/>
          <w:szCs w:val="28"/>
          <w:highlight w:val="none"/>
          <w:shd w:val="clear" w:color="auto" w:fill="auto"/>
          <w:lang w:val="en-US" w:eastAsia="zh-CN"/>
        </w:rPr>
        <w:t>及成品</w:t>
      </w:r>
      <w:r>
        <w:rPr>
          <w:rFonts w:hint="eastAsia" w:ascii="仿宋" w:hAnsi="仿宋" w:eastAsia="仿宋" w:cs="仿宋"/>
          <w:i w:val="0"/>
          <w:iCs w:val="0"/>
          <w:color w:val="auto"/>
          <w:sz w:val="28"/>
          <w:szCs w:val="28"/>
          <w:highlight w:val="none"/>
          <w:shd w:val="clear" w:color="auto" w:fill="auto"/>
          <w:lang w:eastAsia="zh-CN"/>
        </w:rPr>
        <w:t>；</w:t>
      </w:r>
    </w:p>
    <w:p w14:paraId="59C41A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.9在</w:t>
      </w:r>
      <w:r>
        <w:rPr>
          <w:rFonts w:hint="eastAsia" w:ascii="仿宋" w:hAnsi="仿宋" w:eastAsia="仿宋" w:cs="仿宋"/>
          <w:i w:val="0"/>
          <w:iCs w:val="0"/>
          <w:color w:val="auto"/>
          <w:sz w:val="28"/>
          <w:szCs w:val="28"/>
          <w:highlight w:val="none"/>
          <w:shd w:val="clear" w:color="auto" w:fill="auto"/>
          <w:lang w:val="en-US" w:eastAsia="zh-CN"/>
        </w:rPr>
        <w:t>生活区</w:t>
      </w:r>
      <w:r>
        <w:rPr>
          <w:rFonts w:hint="eastAsia" w:ascii="仿宋" w:hAnsi="仿宋" w:eastAsia="仿宋" w:cs="仿宋"/>
          <w:i w:val="0"/>
          <w:iCs w:val="0"/>
          <w:color w:val="auto"/>
          <w:sz w:val="28"/>
          <w:szCs w:val="28"/>
          <w:highlight w:val="none"/>
          <w:shd w:val="clear" w:color="auto" w:fill="auto"/>
        </w:rPr>
        <w:t>存放易燃易爆物品或其它危险品</w:t>
      </w:r>
      <w:r>
        <w:rPr>
          <w:rFonts w:hint="eastAsia" w:ascii="仿宋" w:hAnsi="仿宋" w:eastAsia="仿宋" w:cs="仿宋"/>
          <w:i w:val="0"/>
          <w:iCs w:val="0"/>
          <w:color w:val="auto"/>
          <w:sz w:val="28"/>
          <w:szCs w:val="28"/>
          <w:highlight w:val="none"/>
          <w:shd w:val="clear" w:color="auto" w:fill="auto"/>
          <w:lang w:eastAsia="zh-CN"/>
        </w:rPr>
        <w:t>；</w:t>
      </w:r>
    </w:p>
    <w:p w14:paraId="79F8E6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.10收留、聘用未成年人</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收取违约金</w:t>
      </w:r>
      <w:r>
        <w:rPr>
          <w:rFonts w:hint="eastAsia" w:ascii="仿宋" w:hAnsi="仿宋" w:eastAsia="仿宋" w:cs="仿宋"/>
          <w:i w:val="0"/>
          <w:iCs w:val="0"/>
          <w:color w:val="auto"/>
          <w:sz w:val="28"/>
          <w:szCs w:val="28"/>
          <w:highlight w:val="none"/>
          <w:shd w:val="clear" w:color="auto" w:fill="auto"/>
        </w:rPr>
        <w:t>同时驱逐</w:t>
      </w:r>
      <w:r>
        <w:rPr>
          <w:rFonts w:hint="eastAsia" w:ascii="仿宋" w:hAnsi="仿宋" w:eastAsia="仿宋" w:cs="仿宋"/>
          <w:i w:val="0"/>
          <w:iCs w:val="0"/>
          <w:color w:val="auto"/>
          <w:sz w:val="28"/>
          <w:szCs w:val="28"/>
          <w:highlight w:val="none"/>
          <w:shd w:val="clear" w:color="auto" w:fill="auto"/>
          <w:lang w:val="en-US" w:eastAsia="zh-CN"/>
        </w:rPr>
        <w:t>未成年人</w:t>
      </w:r>
      <w:r>
        <w:rPr>
          <w:rFonts w:hint="eastAsia" w:ascii="仿宋" w:hAnsi="仿宋" w:eastAsia="仿宋" w:cs="仿宋"/>
          <w:i w:val="0"/>
          <w:iCs w:val="0"/>
          <w:color w:val="auto"/>
          <w:sz w:val="28"/>
          <w:szCs w:val="28"/>
          <w:highlight w:val="none"/>
          <w:shd w:val="clear" w:color="auto" w:fill="auto"/>
        </w:rPr>
        <w:t>离开</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lang w:eastAsia="zh-CN"/>
        </w:rPr>
        <w:t>）</w:t>
      </w:r>
    </w:p>
    <w:p w14:paraId="73EB80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14.2.4.11在宿舍内做饭、使用大功率电器设备，如电磁炉、电饭煲、电热棒等。</w:t>
      </w:r>
    </w:p>
    <w:p w14:paraId="4777E9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其人员有下列情况之一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i w:val="0"/>
          <w:iCs w:val="0"/>
          <w:color w:val="auto"/>
          <w:sz w:val="28"/>
          <w:szCs w:val="28"/>
          <w:highlight w:val="none"/>
          <w:shd w:val="clear" w:color="auto" w:fill="auto"/>
          <w:lang w:val="en-US" w:eastAsia="zh-CN"/>
        </w:rPr>
        <w:t>伍拾元</w:t>
      </w:r>
      <w:r>
        <w:rPr>
          <w:rFonts w:hint="eastAsia" w:ascii="仿宋" w:hAnsi="仿宋" w:eastAsia="仿宋" w:cs="仿宋"/>
          <w:b w:val="0"/>
          <w:bCs w:val="0"/>
          <w:i w:val="0"/>
          <w:iCs w:val="0"/>
          <w:color w:val="auto"/>
          <w:sz w:val="28"/>
          <w:szCs w:val="28"/>
          <w:highlight w:val="none"/>
          <w:shd w:val="clear" w:color="auto" w:fill="auto"/>
          <w:lang w:val="en-US" w:eastAsia="zh-CN"/>
        </w:rPr>
        <w:t>至叁万</w:t>
      </w:r>
      <w:r>
        <w:rPr>
          <w:rFonts w:hint="eastAsia" w:ascii="仿宋" w:hAnsi="仿宋" w:eastAsia="仿宋" w:cs="仿宋"/>
          <w:i w:val="0"/>
          <w:iCs w:val="0"/>
          <w:color w:val="auto"/>
          <w:sz w:val="28"/>
          <w:szCs w:val="28"/>
          <w:highlight w:val="none"/>
          <w:shd w:val="clear" w:color="auto" w:fill="auto"/>
        </w:rPr>
        <w:t>元的措施：</w:t>
      </w:r>
    </w:p>
    <w:p w14:paraId="4D3E96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.1管理人员未经</w:t>
      </w:r>
      <w:r>
        <w:rPr>
          <w:rFonts w:hint="eastAsia" w:ascii="仿宋" w:hAnsi="仿宋" w:eastAsia="仿宋" w:cs="仿宋"/>
          <w:i w:val="0"/>
          <w:iCs w:val="0"/>
          <w:color w:val="auto"/>
          <w:sz w:val="28"/>
          <w:szCs w:val="28"/>
          <w:highlight w:val="none"/>
          <w:shd w:val="clear" w:color="auto" w:fill="auto"/>
          <w:lang w:val="en-US" w:eastAsia="zh-CN"/>
        </w:rPr>
        <w:t>甲方同意</w:t>
      </w:r>
      <w:r>
        <w:rPr>
          <w:rFonts w:hint="eastAsia" w:ascii="仿宋" w:hAnsi="仿宋" w:eastAsia="仿宋" w:cs="仿宋"/>
          <w:i w:val="0"/>
          <w:iCs w:val="0"/>
          <w:color w:val="auto"/>
          <w:sz w:val="28"/>
          <w:szCs w:val="28"/>
          <w:highlight w:val="none"/>
          <w:shd w:val="clear" w:color="auto" w:fill="auto"/>
        </w:rPr>
        <w:t>离开工地两天以内</w:t>
      </w:r>
      <w:r>
        <w:rPr>
          <w:rFonts w:hint="eastAsia" w:ascii="仿宋" w:hAnsi="仿宋" w:eastAsia="仿宋" w:cs="仿宋"/>
          <w:i w:val="0"/>
          <w:iCs w:val="0"/>
          <w:color w:val="auto"/>
          <w:sz w:val="28"/>
          <w:szCs w:val="28"/>
          <w:highlight w:val="none"/>
          <w:shd w:val="clear" w:color="auto" w:fill="auto"/>
          <w:lang w:eastAsia="zh-CN"/>
        </w:rPr>
        <w:t>；</w:t>
      </w:r>
    </w:p>
    <w:p w14:paraId="087AC9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.2未戴好安全帽、穿拖鞋或赤脚、赤膊进入作业区</w:t>
      </w:r>
      <w:r>
        <w:rPr>
          <w:rFonts w:hint="eastAsia" w:ascii="仿宋" w:hAnsi="仿宋" w:eastAsia="仿宋" w:cs="仿宋"/>
          <w:i w:val="0"/>
          <w:iCs w:val="0"/>
          <w:color w:val="auto"/>
          <w:sz w:val="28"/>
          <w:szCs w:val="28"/>
          <w:highlight w:val="none"/>
          <w:shd w:val="clear" w:color="auto" w:fill="auto"/>
          <w:lang w:eastAsia="zh-CN"/>
        </w:rPr>
        <w:t>；</w:t>
      </w:r>
    </w:p>
    <w:p w14:paraId="39B977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.3不戴工卡上岗</w:t>
      </w:r>
      <w:r>
        <w:rPr>
          <w:rFonts w:hint="eastAsia" w:ascii="仿宋" w:hAnsi="仿宋" w:eastAsia="仿宋" w:cs="仿宋"/>
          <w:i w:val="0"/>
          <w:iCs w:val="0"/>
          <w:color w:val="auto"/>
          <w:sz w:val="28"/>
          <w:szCs w:val="28"/>
          <w:highlight w:val="none"/>
          <w:shd w:val="clear" w:color="auto" w:fill="auto"/>
          <w:lang w:eastAsia="zh-CN"/>
        </w:rPr>
        <w:t>；</w:t>
      </w:r>
    </w:p>
    <w:p w14:paraId="5F64B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.4施工人员进场三天内不办理工作卡</w:t>
      </w:r>
      <w:r>
        <w:rPr>
          <w:rFonts w:hint="eastAsia" w:ascii="仿宋" w:hAnsi="仿宋" w:eastAsia="仿宋" w:cs="仿宋"/>
          <w:i w:val="0"/>
          <w:iCs w:val="0"/>
          <w:color w:val="auto"/>
          <w:sz w:val="28"/>
          <w:szCs w:val="28"/>
          <w:highlight w:val="none"/>
          <w:shd w:val="clear" w:color="auto" w:fill="auto"/>
          <w:lang w:eastAsia="zh-CN"/>
        </w:rPr>
        <w:t>；</w:t>
      </w:r>
    </w:p>
    <w:p w14:paraId="09EF15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.5未经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批准擅带家属及小孩进入施工现场或在宿舍居住</w:t>
      </w:r>
      <w:r>
        <w:rPr>
          <w:rFonts w:hint="eastAsia" w:ascii="仿宋" w:hAnsi="仿宋" w:eastAsia="仿宋" w:cs="仿宋"/>
          <w:i w:val="0"/>
          <w:iCs w:val="0"/>
          <w:color w:val="auto"/>
          <w:sz w:val="28"/>
          <w:szCs w:val="28"/>
          <w:highlight w:val="none"/>
          <w:shd w:val="clear" w:color="auto" w:fill="auto"/>
          <w:lang w:eastAsia="zh-CN"/>
        </w:rPr>
        <w:t>；</w:t>
      </w:r>
    </w:p>
    <w:p w14:paraId="5598B8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.6工棚内乱拉乱接电线，违反生活区管理制度</w:t>
      </w:r>
      <w:r>
        <w:rPr>
          <w:rFonts w:hint="eastAsia" w:ascii="仿宋" w:hAnsi="仿宋" w:eastAsia="仿宋" w:cs="仿宋"/>
          <w:i w:val="0"/>
          <w:iCs w:val="0"/>
          <w:color w:val="auto"/>
          <w:sz w:val="28"/>
          <w:szCs w:val="28"/>
          <w:highlight w:val="none"/>
          <w:shd w:val="clear" w:color="auto" w:fill="auto"/>
          <w:lang w:eastAsia="zh-CN"/>
        </w:rPr>
        <w:t>；</w:t>
      </w:r>
    </w:p>
    <w:p w14:paraId="3E1DD6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.7宿舍卫生不合格</w:t>
      </w:r>
      <w:r>
        <w:rPr>
          <w:rFonts w:hint="eastAsia" w:ascii="仿宋" w:hAnsi="仿宋" w:eastAsia="仿宋" w:cs="仿宋"/>
          <w:i w:val="0"/>
          <w:iCs w:val="0"/>
          <w:color w:val="auto"/>
          <w:sz w:val="28"/>
          <w:szCs w:val="28"/>
          <w:highlight w:val="none"/>
          <w:shd w:val="clear" w:color="auto" w:fill="auto"/>
          <w:lang w:eastAsia="zh-CN"/>
        </w:rPr>
        <w:t>；</w:t>
      </w:r>
    </w:p>
    <w:p w14:paraId="7AF625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.8材料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要求堆放</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建筑垃圾未按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要求处理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随地大小便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随意吸烟</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在墙上乱涂乱画。</w:t>
      </w:r>
    </w:p>
    <w:p w14:paraId="044C38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lang w:val="en-US" w:eastAsia="zh-CN"/>
        </w:rPr>
        <w:t>9乙方人员、车辆不接受甲方门岗保卫检查。</w:t>
      </w:r>
    </w:p>
    <w:p w14:paraId="2E9D42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14.3合同有效期内，乙方无条件执行甲方与建设单位签订的《江苏溢丰华创环保科技有限公司施工现场管理办法》，因乙方原因导致建设单位或其他部门对甲方进行处罚扣款的，乙方按该处罚金额的2倍向甲方承担违约金。</w:t>
      </w:r>
    </w:p>
    <w:p w14:paraId="1996C7A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52" w:name="_Toc26857"/>
      <w:r>
        <w:rPr>
          <w:rFonts w:hint="eastAsia" w:ascii="仿宋" w:hAnsi="仿宋" w:eastAsia="仿宋" w:cs="仿宋"/>
          <w:b/>
          <w:bCs/>
          <w:i w:val="0"/>
          <w:iCs w:val="0"/>
          <w:color w:val="auto"/>
          <w:sz w:val="28"/>
          <w:szCs w:val="28"/>
          <w:highlight w:val="none"/>
          <w:shd w:val="clear" w:color="auto" w:fill="auto"/>
          <w:lang w:val="en-US" w:eastAsia="zh-CN"/>
        </w:rPr>
        <w:t>违约条款</w:t>
      </w:r>
      <w:bookmarkEnd w:id="49"/>
      <w:bookmarkEnd w:id="50"/>
      <w:bookmarkEnd w:id="51"/>
      <w:bookmarkEnd w:id="52"/>
    </w:p>
    <w:p w14:paraId="180988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bookmarkStart w:id="53" w:name="_Toc20177"/>
      <w:bookmarkStart w:id="54" w:name="_Toc10430"/>
      <w:bookmarkStart w:id="55" w:name="_Toc2734"/>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.1乙方延迟开工或不能按合同约定的工期完成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任一节点</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，每延迟一个日历天，乙方向甲方</w:t>
      </w:r>
      <w:r>
        <w:rPr>
          <w:rFonts w:hint="eastAsia" w:ascii="仿宋" w:hAnsi="仿宋" w:eastAsia="仿宋" w:cs="仿宋"/>
          <w:color w:val="auto"/>
          <w:sz w:val="28"/>
          <w:szCs w:val="28"/>
          <w:highlight w:val="none"/>
          <w:lang w:val="en-US" w:eastAsia="zh-CN"/>
        </w:rPr>
        <w:t>承担</w:t>
      </w:r>
      <w:r>
        <w:rPr>
          <w:rFonts w:hint="eastAsia" w:ascii="仿宋" w:hAnsi="仿宋" w:eastAsia="仿宋" w:cs="仿宋"/>
          <w:color w:val="auto"/>
          <w:sz w:val="28"/>
          <w:szCs w:val="28"/>
          <w:highlight w:val="none"/>
        </w:rPr>
        <w:t>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元整，延迟超过三个日历天的，甲方有权单方解除合同，已完工工程无偿归甲方，甲方无需支付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款并有权委托其他单位继续完成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乙方还</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的20%支付违约金并按甲方要求准时退场，每延迟一个日历天退场，乙方向甲方另行支付违约金人民币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元整，甲方的损失（包括但不限于因逾期而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承担的违约责任、损失赔偿责任等）由乙方赔偿。</w:t>
      </w:r>
    </w:p>
    <w:p w14:paraId="4C2704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.2乙方原因造成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质量达不到约定的质量标准的，乙方</w:t>
      </w:r>
      <w:r>
        <w:rPr>
          <w:rFonts w:hint="eastAsia" w:ascii="仿宋" w:hAnsi="仿宋" w:eastAsia="仿宋" w:cs="仿宋"/>
          <w:color w:val="auto"/>
          <w:sz w:val="28"/>
          <w:szCs w:val="28"/>
          <w:highlight w:val="none"/>
          <w:lang w:val="en-US" w:eastAsia="zh-CN"/>
        </w:rPr>
        <w:t>无条件返工</w:t>
      </w:r>
      <w:r>
        <w:rPr>
          <w:rFonts w:hint="eastAsia" w:ascii="仿宋" w:hAnsi="仿宋" w:eastAsia="仿宋" w:cs="仿宋"/>
          <w:color w:val="auto"/>
          <w:sz w:val="28"/>
          <w:szCs w:val="28"/>
          <w:highlight w:val="none"/>
        </w:rPr>
        <w:t>至合格</w:t>
      </w:r>
      <w:r>
        <w:rPr>
          <w:rFonts w:hint="eastAsia" w:ascii="仿宋" w:hAnsi="仿宋" w:eastAsia="仿宋" w:cs="仿宋"/>
          <w:color w:val="auto"/>
          <w:sz w:val="28"/>
          <w:szCs w:val="28"/>
          <w:highlight w:val="none"/>
          <w:lang w:val="en-US" w:eastAsia="zh-CN"/>
        </w:rPr>
        <w:t>为止</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要求之日起</w:t>
      </w:r>
      <w:r>
        <w:rPr>
          <w:rFonts w:hint="eastAsia" w:ascii="仿宋" w:hAnsi="仿宋" w:eastAsia="仿宋" w:cs="仿宋"/>
          <w:color w:val="auto"/>
          <w:sz w:val="28"/>
          <w:szCs w:val="28"/>
          <w:highlight w:val="none"/>
        </w:rPr>
        <w:t>3个日历天内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仍未采取</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返工措施或未在甲方要求的期限内</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整改并通过甲方验收的，每延迟一个日历天，乙方向甲方支付违约金人民币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并赔偿</w:t>
      </w:r>
      <w:r>
        <w:rPr>
          <w:rFonts w:hint="eastAsia" w:ascii="仿宋" w:hAnsi="仿宋" w:eastAsia="仿宋" w:cs="仿宋"/>
          <w:color w:val="auto"/>
          <w:sz w:val="28"/>
          <w:szCs w:val="28"/>
          <w:highlight w:val="none"/>
        </w:rPr>
        <w:t>甲方损失（包括但不限于因逾期完工而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承担的违约责任、损失赔偿责任等），同时甲方有权：①单方解除合同并要求乙方期限内无条件撤场，乙方向甲方支付金额等于</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20%的违约金和赔偿甲方全部损失，已完工工程无偿归甲方，甲方无需支付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款；②另行委托其他单位对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进行返修，乙方须无条件接受并配合，由此产生的一切费用乙方承担</w:t>
      </w:r>
      <w:r>
        <w:rPr>
          <w:rFonts w:hint="eastAsia" w:ascii="仿宋" w:hAnsi="仿宋" w:eastAsia="仿宋" w:cs="仿宋"/>
          <w:color w:val="auto"/>
          <w:sz w:val="28"/>
          <w:szCs w:val="28"/>
          <w:highlight w:val="none"/>
          <w:lang w:eastAsia="zh-CN"/>
        </w:rPr>
        <w:t>。</w:t>
      </w:r>
    </w:p>
    <w:p w14:paraId="1AAF1A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.3经甲方验核达不到约定质量标准的检验批（分项或分部），甲方有权对乙方按相应检验批的工程量处以相当于</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5%的违约金处理，如果甲方被政府部门或</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而</w:t>
      </w:r>
      <w:r>
        <w:rPr>
          <w:rFonts w:hint="eastAsia" w:ascii="仿宋" w:hAnsi="仿宋" w:eastAsia="仿宋" w:cs="仿宋"/>
          <w:color w:val="auto"/>
          <w:sz w:val="28"/>
          <w:szCs w:val="28"/>
          <w:highlight w:val="none"/>
        </w:rPr>
        <w:t>需承担违约、赔偿责任</w:t>
      </w:r>
      <w:r>
        <w:rPr>
          <w:rFonts w:hint="eastAsia" w:ascii="仿宋" w:hAnsi="仿宋" w:eastAsia="仿宋" w:cs="仿宋"/>
          <w:color w:val="auto"/>
          <w:sz w:val="28"/>
          <w:szCs w:val="28"/>
          <w:highlight w:val="none"/>
          <w:lang w:val="en-US" w:eastAsia="zh-CN"/>
        </w:rPr>
        <w:t>或费用的</w:t>
      </w:r>
      <w:r>
        <w:rPr>
          <w:rFonts w:hint="eastAsia" w:ascii="仿宋" w:hAnsi="仿宋" w:eastAsia="仿宋" w:cs="仿宋"/>
          <w:color w:val="auto"/>
          <w:sz w:val="28"/>
          <w:szCs w:val="28"/>
          <w:highlight w:val="none"/>
        </w:rPr>
        <w:t>，则由乙方全部承担，同时甲方保留对乙方追偿的权利。</w:t>
      </w:r>
    </w:p>
    <w:p w14:paraId="182327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.4合同履行期间，因乙方原因造成甲</w:t>
      </w:r>
      <w:r>
        <w:rPr>
          <w:rFonts w:hint="eastAsia" w:ascii="仿宋" w:hAnsi="仿宋" w:eastAsia="仿宋" w:cs="仿宋"/>
          <w:color w:val="auto"/>
          <w:sz w:val="28"/>
          <w:szCs w:val="28"/>
          <w:highlight w:val="none"/>
          <w:lang w:val="en-US" w:eastAsia="zh-CN"/>
        </w:rPr>
        <w:t>方或本工程或本项目</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lang w:val="en-US" w:eastAsia="zh-CN"/>
        </w:rPr>
        <w:t>政府部门</w:t>
      </w:r>
      <w:r>
        <w:rPr>
          <w:rFonts w:hint="eastAsia" w:ascii="仿宋" w:hAnsi="仿宋" w:eastAsia="仿宋" w:cs="仿宋"/>
          <w:color w:val="auto"/>
          <w:sz w:val="28"/>
          <w:szCs w:val="28"/>
          <w:highlight w:val="none"/>
        </w:rPr>
        <w:t>停工、整改导致扣分的，按贰万元/分由乙方支付给甲方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甲方亦可从任意合同款中扣款</w:t>
      </w:r>
      <w:r>
        <w:rPr>
          <w:rFonts w:hint="eastAsia" w:ascii="仿宋" w:hAnsi="仿宋" w:eastAsia="仿宋" w:cs="仿宋"/>
          <w:color w:val="auto"/>
          <w:sz w:val="28"/>
          <w:szCs w:val="28"/>
          <w:highlight w:val="none"/>
          <w:lang w:eastAsia="zh-CN"/>
        </w:rPr>
        <w:t>）。</w:t>
      </w:r>
    </w:p>
    <w:p w14:paraId="1A150D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.5乙方及</w:t>
      </w:r>
      <w:r>
        <w:rPr>
          <w:rFonts w:hint="eastAsia" w:ascii="仿宋" w:hAnsi="仿宋" w:eastAsia="仿宋" w:cs="仿宋"/>
          <w:color w:val="auto"/>
          <w:sz w:val="28"/>
          <w:szCs w:val="28"/>
          <w:highlight w:val="none"/>
          <w:lang w:val="en-US" w:eastAsia="zh-CN"/>
        </w:rPr>
        <w:t>其人员</w:t>
      </w:r>
      <w:r>
        <w:rPr>
          <w:rFonts w:hint="eastAsia" w:ascii="仿宋" w:hAnsi="仿宋" w:eastAsia="仿宋" w:cs="仿宋"/>
          <w:color w:val="auto"/>
          <w:sz w:val="28"/>
          <w:szCs w:val="28"/>
          <w:highlight w:val="none"/>
        </w:rPr>
        <w:t>、供应商不得以任何理由去政府部门上访、投诉，</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去建设单位投诉、静坐，否则视情节轻重</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违约金壹万至壹拾万元/次。</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.6乙方无正当理由停工或</w:t>
      </w:r>
      <w:r>
        <w:rPr>
          <w:rFonts w:hint="eastAsia" w:ascii="仿宋" w:hAnsi="仿宋" w:eastAsia="仿宋" w:cs="仿宋"/>
          <w:color w:val="auto"/>
          <w:sz w:val="28"/>
          <w:szCs w:val="28"/>
          <w:highlight w:val="none"/>
          <w:lang w:val="en-US" w:eastAsia="zh-CN"/>
        </w:rPr>
        <w:t>提出</w:t>
      </w:r>
      <w:r>
        <w:rPr>
          <w:rFonts w:hint="eastAsia" w:ascii="仿宋" w:hAnsi="仿宋" w:eastAsia="仿宋" w:cs="仿宋"/>
          <w:color w:val="auto"/>
          <w:sz w:val="28"/>
          <w:szCs w:val="28"/>
          <w:highlight w:val="none"/>
        </w:rPr>
        <w:t>不履行合同</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拖延工期</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不能正常开展工作连续3天以上或无力将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顺利开展下去的，</w:t>
      </w:r>
      <w:r>
        <w:rPr>
          <w:rFonts w:hint="eastAsia" w:ascii="仿宋" w:hAnsi="仿宋" w:eastAsia="仿宋" w:cs="仿宋"/>
          <w:color w:val="auto"/>
          <w:sz w:val="28"/>
          <w:szCs w:val="28"/>
          <w:highlight w:val="none"/>
          <w:lang w:val="en-US" w:eastAsia="zh-CN"/>
        </w:rPr>
        <w:t>属乙方违约，</w:t>
      </w:r>
      <w:r>
        <w:rPr>
          <w:rFonts w:hint="eastAsia" w:ascii="仿宋" w:hAnsi="仿宋" w:eastAsia="仿宋" w:cs="仿宋"/>
          <w:color w:val="auto"/>
          <w:sz w:val="28"/>
          <w:szCs w:val="28"/>
          <w:highlight w:val="none"/>
        </w:rPr>
        <w:t>甲方有权单方解除合同且对乙方</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合同总价的20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rPr>
        <w:t>乙方按甲方要求限时退场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承担给甲方造成的所有损失</w:t>
      </w:r>
      <w:r>
        <w:rPr>
          <w:rFonts w:hint="eastAsia" w:ascii="仿宋" w:hAnsi="仿宋" w:eastAsia="仿宋" w:cs="仿宋"/>
          <w:color w:val="auto"/>
          <w:sz w:val="28"/>
          <w:szCs w:val="28"/>
          <w:highlight w:val="none"/>
          <w:lang w:eastAsia="zh-CN"/>
        </w:rPr>
        <w:t>。</w:t>
      </w:r>
    </w:p>
    <w:p w14:paraId="03A40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15.7无论乙方实际是否欠薪或欠货款，乙方人员或供应商每发起一次欠薪或欠货款纠纷，涉及甲方的，乙方均须向甲方支付违约金十万元/次；若因此导致媒体曝光，乙方须另向甲方支付违约金十万元/次。</w:t>
      </w:r>
    </w:p>
    <w:p w14:paraId="77316E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.8凡乙方发生偷工减料行为，甲方视情节轻重计收乙方贰万</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至壹拾万元/次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p>
    <w:p w14:paraId="0D1E3A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.9乙方须对甲供材料进行质量检验检测，并及时出具书面结果给甲方，如乙方施工部分的甲供材料出现质量问题，甲方有权扣除乙方在该施工部分的费用，如造成甲方损失，乙方须全额赔偿并承担全部责任。</w:t>
      </w:r>
      <w:r>
        <w:rPr>
          <w:rFonts w:hint="eastAsia" w:ascii="仿宋" w:hAnsi="仿宋" w:eastAsia="仿宋" w:cs="仿宋"/>
          <w:b w:val="0"/>
          <w:bCs w:val="0"/>
          <w:color w:val="auto"/>
          <w:sz w:val="28"/>
          <w:szCs w:val="28"/>
          <w:highlight w:val="none"/>
          <w:lang w:val="en-US" w:eastAsia="zh-CN"/>
        </w:rPr>
        <w:t>。</w:t>
      </w:r>
    </w:p>
    <w:p w14:paraId="03DC12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15.10因乙方原因导致甲方被起诉或被处分的，乙方除赔偿甲方损失外，甲方每被起诉或处分一次，乙方向甲方承担五万元违约金；若因此导致甲方账户被冻结，乙方按冻结资金总额的每日千分之一向甲方支付利息；因出现此情形属乙方自身管理不当，乙方自愿承担甲方遭受的所有损失，并根据账户被冻结次数，每次向甲方支付五万元违约金。</w:t>
      </w:r>
    </w:p>
    <w:p w14:paraId="20AC16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15.11</w:t>
      </w:r>
      <w:r>
        <w:rPr>
          <w:rFonts w:hint="eastAsia" w:ascii="仿宋" w:hAnsi="仿宋" w:eastAsia="仿宋" w:cs="仿宋"/>
          <w:color w:val="auto"/>
          <w:sz w:val="28"/>
          <w:szCs w:val="28"/>
          <w:highlight w:val="none"/>
        </w:rPr>
        <w:t>乙方出现</w:t>
      </w:r>
      <w:r>
        <w:rPr>
          <w:rFonts w:hint="eastAsia" w:ascii="仿宋" w:hAnsi="仿宋" w:eastAsia="仿宋" w:cs="仿宋"/>
          <w:color w:val="auto"/>
          <w:sz w:val="28"/>
          <w:szCs w:val="28"/>
          <w:highlight w:val="none"/>
          <w:lang w:val="en-US" w:eastAsia="zh-CN"/>
        </w:rPr>
        <w:t>上述第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条~第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条</w:t>
      </w:r>
      <w:r>
        <w:rPr>
          <w:rFonts w:hint="eastAsia" w:ascii="仿宋" w:hAnsi="仿宋" w:eastAsia="仿宋" w:cs="仿宋"/>
          <w:i w:val="0"/>
          <w:iCs w:val="0"/>
          <w:color w:val="auto"/>
          <w:kern w:val="0"/>
          <w:sz w:val="28"/>
          <w:szCs w:val="28"/>
          <w:highlight w:val="none"/>
          <w:shd w:val="clear" w:color="auto" w:fill="auto"/>
        </w:rPr>
        <w:t>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color w:val="auto"/>
          <w:sz w:val="28"/>
          <w:szCs w:val="28"/>
          <w:highlight w:val="none"/>
        </w:rPr>
        <w:t>。</w:t>
      </w:r>
    </w:p>
    <w:p w14:paraId="67C477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2</w:t>
      </w:r>
      <w:r>
        <w:rPr>
          <w:rFonts w:hint="eastAsia" w:ascii="仿宋" w:hAnsi="仿宋" w:eastAsia="仿宋" w:cs="仿宋"/>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 w:hAnsi="仿宋" w:eastAsia="仿宋" w:cs="仿宋"/>
          <w:i w:val="0"/>
          <w:iCs w:val="0"/>
          <w:color w:val="auto"/>
          <w:kern w:val="0"/>
          <w:sz w:val="28"/>
          <w:szCs w:val="28"/>
          <w:highlight w:val="none"/>
          <w:shd w:val="clear" w:color="auto" w:fill="auto"/>
          <w:lang w:eastAsia="zh-CN"/>
        </w:rPr>
        <w:t>按照乙方已完成且经甲方验收合格的工程量进行结算，</w:t>
      </w:r>
      <w:r>
        <w:rPr>
          <w:rFonts w:hint="eastAsia" w:ascii="仿宋" w:hAnsi="仿宋" w:eastAsia="仿宋" w:cs="仿宋"/>
          <w:i w:val="0"/>
          <w:iCs w:val="0"/>
          <w:color w:val="auto"/>
          <w:kern w:val="0"/>
          <w:sz w:val="28"/>
          <w:szCs w:val="28"/>
          <w:highlight w:val="none"/>
          <w:shd w:val="clear" w:color="auto" w:fill="auto"/>
        </w:rPr>
        <w:t>同时双方各自承担自身损失。</w:t>
      </w:r>
    </w:p>
    <w:p w14:paraId="1358DF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rPr>
        <w:t>乙方不得因停工损失向甲方索赔，同意</w:t>
      </w:r>
      <w:r>
        <w:rPr>
          <w:rFonts w:hint="eastAsia" w:ascii="仿宋" w:hAnsi="仿宋" w:eastAsia="仿宋" w:cs="仿宋"/>
          <w:i w:val="0"/>
          <w:iCs w:val="0"/>
          <w:color w:val="auto"/>
          <w:sz w:val="28"/>
          <w:szCs w:val="28"/>
          <w:highlight w:val="none"/>
          <w:shd w:val="clear" w:color="auto" w:fill="auto"/>
        </w:rPr>
        <w:t>不追究甲方在本合同履行过程中因付款延迟、停工而产生的违约责任。</w:t>
      </w:r>
    </w:p>
    <w:p w14:paraId="07669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15.14基于本项目的特殊性，乙方已充分了解其责任义务并自愿承担相应风险，合同所约定的违约金标准经双方友好协商确定，乙方放弃对违约金标准提出任何主张或抗辩。</w:t>
      </w:r>
    </w:p>
    <w:p w14:paraId="776E2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15.15在本合同有效期内，可能因乙方原因造成工程质量、安全文明措施等无法满足甲方及规范要求的，乙方须提供不属于其责任的证明并得到甲方的书面认可，否则视为乙方违约，全部责任及费用和损失由乙方承担。</w:t>
      </w:r>
    </w:p>
    <w:p w14:paraId="783E17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15.16乙方原因造成本工程质量达不到本合同约定的质量标准或出现影响使用功能和工程结构安全，即使通过技术整改措施仍然无法达到设计要求等永久质量问题的，无论是否在合同有效期内，乙方须无条件返工至合格为止，并须赔偿甲方因此造成的一切损失，所有费用甲方在乙方任一款项中扣除，乙方工程款不足以赔偿甲方损失的，由乙方在甲方通知5个日历天内自行筹备资金向甲方缴纳，乙方法定代表人及实际控制人自愿承担无限连带清偿责任。若该永久质量问题无法满足设计及合同约定质量标准，而甲方和建设单位也接受现状质量，乙方仍须承担违约责任，自愿接受不合格部位造价20%以上的违约金，同时另行承担5000元以上的违约金。</w:t>
      </w:r>
    </w:p>
    <w:p w14:paraId="60D710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15.17本项目如出现可能因乙方原因导致的施工材料不合格或工程质量问题，甲方有权按自行估算的最大损失金额在任何合同应付款项中进行暂扣，待责任及损失金额确定后，甲方无息返还非乙方责任的暂扣金额。</w:t>
      </w:r>
    </w:p>
    <w:p w14:paraId="3DE3CA8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6" w:name="_Toc21009"/>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廉洁条款</w:t>
      </w:r>
      <w:bookmarkEnd w:id="53"/>
      <w:bookmarkEnd w:id="54"/>
      <w:bookmarkEnd w:id="55"/>
      <w:bookmarkEnd w:id="56"/>
    </w:p>
    <w:p w14:paraId="5B5DC5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1乙方在与甲方合作期间（包括本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招标、签订、履行期间），不得向甲方职员提供请吃、送礼、旅游、色情服务、行贿、回扣或其他好处，如有违反，乙方每次向甲方支付</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金额等于</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合同暂定总价/</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合同总价</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违约金（甲方可从任意合同款中扣款），造成甲方经济或其他损失的，乙方全额赔偿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p>
    <w:p w14:paraId="0905E3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2甲乙双方管理人员有权拒绝执行合同以外的违法要求。甲方发现乙方向甲方人员或甲方委托的其他人员行贿或输送不正当利益的，甲方有权对乙方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收取违约金</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并单方解除合同，对所发生的工程量/工作量不予结算及不支付费用。</w:t>
      </w:r>
    </w:p>
    <w:p w14:paraId="422B91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3 如甲方发现乙方可能存在违反廉洁条款的行为时，甲方有权暂扣违约金/争议工程款/处罚款等对应等额的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款，直至调查完毕后根据调查结果再作处理，甲方暂不付款的行为不违约。</w:t>
      </w:r>
    </w:p>
    <w:p w14:paraId="247CADB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7" w:name="_Toc15001"/>
      <w:bookmarkStart w:id="58" w:name="_Toc7932"/>
      <w:bookmarkStart w:id="59" w:name="_Toc20161"/>
      <w:bookmarkStart w:id="60" w:name="_Toc1179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其他</w:t>
      </w:r>
      <w:bookmarkEnd w:id="57"/>
      <w:bookmarkEnd w:id="58"/>
      <w:bookmarkEnd w:id="59"/>
      <w:bookmarkEnd w:id="6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 xml:space="preserve"> </w:t>
      </w:r>
    </w:p>
    <w:p w14:paraId="45D5C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r>
        <w:rPr>
          <w:rFonts w:hint="eastAsia" w:ascii="仿宋_GB2312" w:hAnsi="仿宋_GB2312" w:eastAsia="仿宋_GB2312" w:cs="仿宋_GB2312"/>
          <w:i w:val="0"/>
          <w:iCs w:val="0"/>
          <w:color w:val="auto"/>
          <w:sz w:val="28"/>
          <w:szCs w:val="28"/>
          <w:highlight w:val="none"/>
          <w:shd w:val="clear" w:color="auto" w:fill="auto"/>
        </w:rPr>
        <w:t>甲乙双方联系人</w:t>
      </w:r>
    </w:p>
    <w:p w14:paraId="70C91A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彭善海</w:t>
      </w:r>
      <w:r>
        <w:rPr>
          <w:rFonts w:hint="eastAsia" w:ascii="仿宋_GB2312" w:hAnsi="仿宋_GB2312" w:eastAsia="仿宋_GB2312" w:cs="仿宋_GB2312"/>
          <w:i w:val="0"/>
          <w:iCs w:val="0"/>
          <w:color w:val="auto"/>
          <w:sz w:val="28"/>
          <w:szCs w:val="28"/>
          <w:highlight w:val="none"/>
          <w:shd w:val="clear" w:color="auto" w:fill="auto"/>
        </w:rPr>
        <w:t>为本</w:t>
      </w:r>
      <w:r>
        <w:rPr>
          <w:rFonts w:hint="eastAsia" w:ascii="仿宋_GB2312" w:hAnsi="仿宋_GB2312" w:eastAsia="仿宋_GB2312" w:cs="仿宋_GB2312"/>
          <w:i w:val="0"/>
          <w:iCs w:val="0"/>
          <w:color w:val="auto"/>
          <w:sz w:val="28"/>
          <w:szCs w:val="28"/>
          <w:highlight w:val="none"/>
          <w:shd w:val="clear" w:color="auto" w:fill="auto"/>
          <w:lang w:val="en-US" w:eastAsia="zh-CN"/>
        </w:rPr>
        <w:t>项目</w:t>
      </w:r>
      <w:r>
        <w:rPr>
          <w:rFonts w:hint="eastAsia" w:ascii="仿宋_GB2312" w:hAnsi="仿宋_GB2312" w:eastAsia="仿宋_GB2312" w:cs="仿宋_GB2312"/>
          <w:i w:val="0"/>
          <w:iCs w:val="0"/>
          <w:color w:val="auto"/>
          <w:sz w:val="28"/>
          <w:szCs w:val="28"/>
          <w:highlight w:val="none"/>
          <w:shd w:val="clear" w:color="auto" w:fill="auto"/>
        </w:rPr>
        <w:t>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本合同</w:t>
      </w:r>
      <w:r>
        <w:rPr>
          <w:rFonts w:hint="eastAsia" w:ascii="仿宋_GB2312" w:hAnsi="仿宋_GB2312" w:eastAsia="仿宋_GB2312" w:cs="仿宋_GB2312"/>
          <w:i w:val="0"/>
          <w:iCs w:val="0"/>
          <w:color w:val="auto"/>
          <w:sz w:val="28"/>
          <w:szCs w:val="28"/>
          <w:highlight w:val="none"/>
          <w:shd w:val="clear" w:color="auto" w:fill="auto"/>
        </w:rPr>
        <w:t>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方为有效，否则为无效文件，仅盖章或者仅签名的文件亦无效。甲方变更本工程负责人、合同执行联系人的，将以书面形式通知乙方。</w:t>
      </w:r>
    </w:p>
    <w:p w14:paraId="14AE5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为本合同的乙方授权代表，在本合同有效期内其为乙方授权处理与本合同相关事项的合同执行代表，负责与甲方公司总部办理相关事务（如负责双方来往函件签收、签字、验收、确定增减合同款、确定结算金额、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59DBA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17.1.3</w:t>
      </w:r>
      <w:r>
        <w:rPr>
          <w:rFonts w:hint="eastAsia" w:ascii="仿宋_GB2312" w:hAnsi="仿宋_GB2312" w:eastAsia="仿宋_GB2312" w:cs="仿宋_GB2312"/>
          <w:b w:val="0"/>
          <w:bCs w:val="0"/>
          <w:i w:val="0"/>
          <w:iCs w:val="0"/>
          <w:color w:val="auto"/>
          <w:sz w:val="28"/>
          <w:szCs w:val="28"/>
          <w:highlight w:val="none"/>
          <w:shd w:val="clear" w:color="auto" w:fill="auto"/>
        </w:rPr>
        <w:t>乙方指定乙方指定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为本合同的乙方现场负责人，在本合同有效期内其为乙方授权处理本项目施工现场相关事项的合同执行代表，负责与甲方项目现场的工作签认、安排等全部事务。现场负责人必须常驻本项目施工现场</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19F584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，应提前三个工作日书面报经甲方同意，否则不得更换。</w:t>
      </w:r>
    </w:p>
    <w:p w14:paraId="6A1786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17.1.4甲乙</w:t>
      </w:r>
      <w:r>
        <w:rPr>
          <w:rFonts w:hint="eastAsia" w:ascii="仿宋" w:hAnsi="仿宋" w:eastAsia="仿宋" w:cs="仿宋"/>
          <w:i w:val="0"/>
          <w:iCs w:val="0"/>
          <w:color w:val="auto"/>
          <w:sz w:val="28"/>
          <w:szCs w:val="28"/>
          <w:highlight w:val="none"/>
          <w:shd w:val="clear" w:color="auto" w:fill="auto"/>
        </w:rPr>
        <w:t>双方确认，甲方项目章仅供</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项目部与乙方联系工作和确认施工技术、资料之用。乙方知悉并同意，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项目章用于以下情形时无效：</w:t>
      </w:r>
    </w:p>
    <w:p w14:paraId="6932DC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1签订工程合同或工程分包合同及机械设备、周材租赁及材料采购类等合同；</w:t>
      </w:r>
    </w:p>
    <w:p w14:paraId="14C1C3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2任何类型的欠条或收据；</w:t>
      </w:r>
    </w:p>
    <w:p w14:paraId="2C61A7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3任何形式的经济结算凭证；</w:t>
      </w:r>
    </w:p>
    <w:p w14:paraId="27899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4为他人或他单位提供任何形式的担保；</w:t>
      </w:r>
    </w:p>
    <w:p w14:paraId="438659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eastAsia="仿宋"/>
          <w:highlight w:val="none"/>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5确认任何形式的包含权利义务及责任承担的文件</w:t>
      </w:r>
      <w:r>
        <w:rPr>
          <w:rFonts w:hint="eastAsia" w:ascii="仿宋" w:hAnsi="仿宋" w:eastAsia="仿宋" w:cs="仿宋"/>
          <w:i w:val="0"/>
          <w:iCs w:val="0"/>
          <w:color w:val="auto"/>
          <w:sz w:val="28"/>
          <w:szCs w:val="28"/>
          <w:highlight w:val="none"/>
          <w:shd w:val="clear" w:color="auto" w:fill="auto"/>
          <w:lang w:eastAsia="zh-CN"/>
        </w:rPr>
        <w:t>。</w:t>
      </w:r>
    </w:p>
    <w:p w14:paraId="0A4CE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rPr>
        <w:t>甲方编制的《施工交楼标准》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《常见建筑工程质量通病的标准化施工细则》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隐蔽工程管理制度</w:t>
      </w:r>
      <w:r>
        <w:rPr>
          <w:rFonts w:hint="eastAsia" w:ascii="仿宋" w:hAnsi="仿宋" w:eastAsia="仿宋" w:cs="仿宋"/>
          <w:color w:val="auto"/>
          <w:sz w:val="28"/>
          <w:szCs w:val="28"/>
          <w:highlight w:val="none"/>
          <w:lang w:eastAsia="zh-CN"/>
        </w:rPr>
        <w:t>》、《分包单位施工现场签证管理制度》、《</w:t>
      </w:r>
      <w:r>
        <w:rPr>
          <w:rFonts w:hint="eastAsia" w:ascii="仿宋" w:hAnsi="仿宋" w:eastAsia="仿宋" w:cs="仿宋"/>
          <w:color w:val="auto"/>
          <w:sz w:val="28"/>
          <w:szCs w:val="28"/>
          <w:highlight w:val="none"/>
          <w:lang w:val="en-US" w:eastAsia="zh-CN"/>
        </w:rPr>
        <w:t>临时设施管理制度</w:t>
      </w:r>
      <w:r>
        <w:rPr>
          <w:rFonts w:hint="eastAsia" w:ascii="仿宋" w:hAnsi="仿宋" w:eastAsia="仿宋" w:cs="仿宋"/>
          <w:color w:val="auto"/>
          <w:sz w:val="28"/>
          <w:szCs w:val="28"/>
          <w:highlight w:val="none"/>
          <w:lang w:eastAsia="zh-CN"/>
        </w:rPr>
        <w:t>》</w:t>
      </w:r>
      <w:r>
        <w:rPr>
          <w:rFonts w:hint="default" w:ascii="仿宋" w:hAnsi="仿宋" w:eastAsia="仿宋" w:cs="仿宋"/>
          <w:color w:val="auto"/>
          <w:sz w:val="28"/>
          <w:szCs w:val="28"/>
          <w:highlight w:val="none"/>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项目实名制及劳资管理制度》</w:t>
      </w:r>
      <w:r>
        <w:rPr>
          <w:rFonts w:hint="eastAsia" w:ascii="仿宋" w:hAnsi="仿宋" w:eastAsia="仿宋" w:cs="仿宋"/>
          <w:color w:val="auto"/>
          <w:sz w:val="28"/>
          <w:szCs w:val="28"/>
          <w:highlight w:val="none"/>
        </w:rPr>
        <w:t>为本合同不可分割的组成部分，与合同正文具有同等效力，乙方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照章施工。</w:t>
      </w:r>
      <w:r>
        <w:rPr>
          <w:rFonts w:hint="eastAsia" w:ascii="仿宋" w:hAnsi="仿宋" w:eastAsia="仿宋" w:cs="仿宋"/>
          <w:color w:val="auto"/>
          <w:sz w:val="28"/>
          <w:szCs w:val="28"/>
          <w:highlight w:val="none"/>
          <w:lang w:eastAsia="zh-CN"/>
        </w:rPr>
        <w:t>相关制度文件及附件表格格式以施工当期甲方最新版为准，最终解释权归甲方所有</w:t>
      </w:r>
      <w:r>
        <w:rPr>
          <w:rFonts w:hint="eastAsia" w:ascii="仿宋" w:hAnsi="仿宋" w:eastAsia="仿宋" w:cs="仿宋"/>
          <w:i w:val="0"/>
          <w:iCs w:val="0"/>
          <w:color w:val="auto"/>
          <w:sz w:val="28"/>
          <w:szCs w:val="28"/>
          <w:highlight w:val="none"/>
          <w:shd w:val="clear" w:color="auto" w:fill="auto"/>
        </w:rPr>
        <w:t>。</w:t>
      </w:r>
    </w:p>
    <w:p w14:paraId="112F2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3本合同除《工完场清交接单》《甲方项目章样式》《签证单分包说明》《施工图纸》外，其余合同附件在办理相关手续时，乙方须加盖公章且法人代表签名。</w:t>
      </w:r>
    </w:p>
    <w:p w14:paraId="173781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本合同条款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互为矛盾</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按</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最有利于甲方的条款执行。</w:t>
      </w:r>
    </w:p>
    <w:p w14:paraId="600A36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本合同未尽事宜，须经</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甲乙</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双方协商</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一致后</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签订补充协议</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进行明确。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补充协议与本合同具有同等法律效力。</w:t>
      </w:r>
    </w:p>
    <w:p w14:paraId="043D72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6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7AF67C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17.7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及相关担保费等费用由乙方全额承担。</w:t>
      </w:r>
    </w:p>
    <w:p w14:paraId="7E928A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auto"/>
          <w:sz w:val="28"/>
          <w:szCs w:val="28"/>
          <w:highlight w:val="none"/>
          <w:shd w:val="clear" w:color="auto" w:fill="auto"/>
          <w:lang w:val="en-US" w:eastAsia="zh-CN"/>
        </w:rPr>
        <w:t>本合同一式三份，甲方执二份，乙方执一份，均具同等效力</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w:t>
      </w:r>
    </w:p>
    <w:p w14:paraId="08DAD3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17.9</w:t>
      </w:r>
      <w:r>
        <w:rPr>
          <w:rFonts w:hint="eastAsia" w:ascii="仿宋" w:hAnsi="仿宋" w:eastAsia="仿宋" w:cs="仿宋"/>
          <w:b w:val="0"/>
          <w:bCs w:val="0"/>
          <w:i w:val="0"/>
          <w:iCs w:val="0"/>
          <w:color w:val="auto"/>
          <w:sz w:val="28"/>
          <w:szCs w:val="28"/>
          <w:highlight w:val="none"/>
          <w:lang w:val="en-US" w:eastAsia="zh-CN"/>
        </w:rPr>
        <w:t>本合同正文为清洁打印文本，如双方对此合同有任何修改及补充均应另行签订补充协议。合同正文中任何非打印的文字或者图形，除非经双方确认同意，否则不产生约束力。</w:t>
      </w:r>
    </w:p>
    <w:p w14:paraId="460595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17.10甲乙双方均确认已经审阅并理解本合同全部条款，且已经就条款相关的任何疑问得到满意的解释，并确认合同条款为双方本着诚信互利的原则友好协商一致的结果，不属于任何一方的格式条款。</w:t>
      </w:r>
    </w:p>
    <w:p w14:paraId="4D0100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17.11本合同自甲乙双方签字、加盖公章（或合同章）之日起生效，双方履行完全部合同义务、责任之日，本合同自动终止。</w:t>
      </w:r>
    </w:p>
    <w:p w14:paraId="45566C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17.12以下文件均为合同有效组成部分，各文件互相解释，互为说明。当合同文件中出现不一致时，除合同另有约定外，以下排列顺序就是各合同文件的优先解释顺序：</w:t>
      </w:r>
    </w:p>
    <w:p w14:paraId="43804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17.12.1 合同履行过程中，双方法人代表或授权人签字并加盖公章的补充协议；</w:t>
      </w:r>
    </w:p>
    <w:p w14:paraId="0F6FC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17.12.2 本合同书（含附件）；</w:t>
      </w:r>
    </w:p>
    <w:p w14:paraId="1E00B3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17.12.3经甲方确认的方案及相关设计变更；</w:t>
      </w:r>
    </w:p>
    <w:p w14:paraId="546D3D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17.12.4本工程招标文件（含相关答疑、补充通知等）；</w:t>
      </w:r>
    </w:p>
    <w:p w14:paraId="386B15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17.12.5乙方发出的、经甲方确认的本工程投标文件及相关澄清文件；</w:t>
      </w:r>
    </w:p>
    <w:p w14:paraId="195230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17.12.6本项目所在地现行的法律、法规、标准、规范。</w:t>
      </w:r>
    </w:p>
    <w:p w14:paraId="7472C6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61" w:name="_Toc10534"/>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61"/>
      <w:bookmarkStart w:id="62" w:name="_Toc30304"/>
    </w:p>
    <w:bookmarkEnd w:id="62"/>
    <w:p w14:paraId="149CD45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63" w:name="_Toc13137"/>
      <w:bookmarkStart w:id="64" w:name="_Toc26460"/>
      <w:bookmarkStart w:id="65" w:name="_Toc26059"/>
      <w:bookmarkStart w:id="66" w:name="_Toc1399"/>
      <w:bookmarkStart w:id="67" w:name="_Toc7880"/>
      <w:bookmarkStart w:id="68" w:name="_Toc4369"/>
      <w:bookmarkStart w:id="69" w:name="_Toc27911"/>
      <w:bookmarkStart w:id="70" w:name="_Toc28577"/>
      <w:bookmarkStart w:id="71" w:name="_Toc1666"/>
      <w:bookmarkStart w:id="72" w:name="_Toc26912"/>
      <w:bookmarkStart w:id="73" w:name="_Toc18080"/>
      <w:bookmarkStart w:id="74" w:name="_Toc22492"/>
      <w:bookmarkStart w:id="75" w:name="_Toc4318"/>
      <w:bookmarkStart w:id="76" w:name="_Toc10798"/>
      <w:bookmarkStart w:id="77" w:name="_Toc30985"/>
      <w:bookmarkStart w:id="78" w:name="_Toc23233"/>
      <w:bookmarkStart w:id="79" w:name="_Toc31130"/>
      <w:bookmarkStart w:id="80" w:name="_Toc14000"/>
      <w:bookmarkStart w:id="81" w:name="_Toc6457"/>
      <w:bookmarkStart w:id="82" w:name="_Toc77"/>
      <w:bookmarkStart w:id="83" w:name="_Toc936"/>
      <w:bookmarkStart w:id="84" w:name="_Toc7245"/>
      <w:bookmarkStart w:id="85" w:name="_Toc7014"/>
      <w:bookmarkStart w:id="86" w:name="_Toc32677"/>
      <w:bookmarkStart w:id="87" w:name="_Toc22736"/>
      <w:bookmarkStart w:id="88" w:name="_Toc12795"/>
      <w:bookmarkStart w:id="89" w:name="_Toc3404"/>
      <w:r>
        <w:rPr>
          <w:rFonts w:hint="eastAsia" w:ascii="仿宋" w:hAnsi="仿宋" w:eastAsia="仿宋" w:cs="仿宋"/>
          <w:color w:val="auto"/>
          <w:sz w:val="28"/>
          <w:szCs w:val="28"/>
          <w:highlight w:val="none"/>
          <w:lang w:val="en-US" w:eastAsia="zh-CN"/>
        </w:rPr>
        <w:t>附件：</w:t>
      </w:r>
    </w:p>
    <w:p w14:paraId="03B1507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90" w:name="_Toc30243"/>
      <w:bookmarkStart w:id="91" w:name="_Toc10572"/>
      <w:r>
        <w:rPr>
          <w:rFonts w:hint="eastAsia" w:ascii="仿宋" w:hAnsi="仿宋" w:eastAsia="仿宋" w:cs="仿宋"/>
          <w:color w:val="auto"/>
          <w:sz w:val="28"/>
          <w:szCs w:val="28"/>
          <w:highlight w:val="none"/>
          <w:lang w:val="en-US" w:eastAsia="zh-CN"/>
        </w:rPr>
        <w:t>附件一</w:t>
      </w:r>
      <w:bookmarkEnd w:id="90"/>
      <w:bookmarkEnd w:id="91"/>
      <w:r>
        <w:rPr>
          <w:rFonts w:hint="eastAsia" w:ascii="仿宋" w:hAnsi="仿宋" w:eastAsia="仿宋" w:cs="仿宋"/>
          <w:color w:val="auto"/>
          <w:sz w:val="28"/>
          <w:szCs w:val="28"/>
          <w:highlight w:val="none"/>
          <w:lang w:val="en-US" w:eastAsia="zh-CN"/>
        </w:rPr>
        <w:t>《甲方项目章》样式；</w:t>
      </w:r>
    </w:p>
    <w:p w14:paraId="36D3DDD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92" w:name="_Toc9040"/>
      <w:bookmarkStart w:id="93" w:name="_Toc23140"/>
      <w:bookmarkStart w:id="94" w:name="_Toc23426"/>
      <w:bookmarkStart w:id="95" w:name="_Toc1326"/>
      <w:bookmarkStart w:id="96" w:name="_Toc22544"/>
      <w:bookmarkStart w:id="97" w:name="_Toc10287"/>
      <w:bookmarkStart w:id="98" w:name="_Toc13735"/>
      <w:bookmarkStart w:id="99" w:name="_Toc29940"/>
      <w:bookmarkStart w:id="100" w:name="_Toc6450"/>
      <w:bookmarkStart w:id="101" w:name="_Toc10619"/>
      <w:bookmarkStart w:id="102" w:name="_Toc25160"/>
      <w:bookmarkStart w:id="103" w:name="_Toc31858"/>
      <w:bookmarkStart w:id="104" w:name="_Toc19231"/>
      <w:bookmarkStart w:id="105" w:name="_Toc18715"/>
      <w:bookmarkStart w:id="106" w:name="_Toc15918"/>
      <w:bookmarkStart w:id="107" w:name="_Toc16724"/>
      <w:bookmarkStart w:id="108" w:name="_Toc524"/>
      <w:bookmarkStart w:id="109" w:name="_Toc17668"/>
      <w:bookmarkStart w:id="110" w:name="_Toc13193"/>
      <w:bookmarkStart w:id="111" w:name="_Toc18649"/>
      <w:bookmarkStart w:id="112" w:name="_Toc32541"/>
      <w:bookmarkStart w:id="113" w:name="_Toc27522"/>
      <w:bookmarkStart w:id="114" w:name="_Toc25081"/>
      <w:bookmarkStart w:id="115" w:name="_Toc11404"/>
      <w:bookmarkStart w:id="116" w:name="_Toc1914"/>
      <w:bookmarkStart w:id="117" w:name="_Toc13136"/>
      <w:bookmarkStart w:id="118" w:name="_Toc13050"/>
      <w:bookmarkStart w:id="119" w:name="_Toc25675"/>
      <w:bookmarkStart w:id="120" w:name="_Toc3471"/>
      <w:bookmarkStart w:id="121" w:name="_Toc5294"/>
      <w:bookmarkStart w:id="122" w:name="_Toc26972"/>
      <w:bookmarkStart w:id="123" w:name="_Toc5133"/>
      <w:bookmarkStart w:id="124" w:name="_Toc31641"/>
      <w:bookmarkStart w:id="125" w:name="_Toc17489"/>
      <w:bookmarkStart w:id="126" w:name="_Toc2937"/>
      <w:bookmarkStart w:id="127" w:name="_Toc13154"/>
      <w:bookmarkStart w:id="128" w:name="_Toc2009"/>
      <w:bookmarkStart w:id="129" w:name="_Toc28253"/>
      <w:bookmarkStart w:id="130" w:name="_Toc25016"/>
      <w:bookmarkStart w:id="131" w:name="_Toc31176"/>
      <w:bookmarkStart w:id="132" w:name="_Toc14323"/>
      <w:bookmarkStart w:id="133" w:name="_Toc548"/>
      <w:bookmarkStart w:id="134" w:name="_Toc3531"/>
      <w:bookmarkStart w:id="135" w:name="_Toc5766"/>
      <w:bookmarkStart w:id="136" w:name="_Toc15176"/>
      <w:bookmarkStart w:id="137" w:name="_Toc21784"/>
      <w:r>
        <w:rPr>
          <w:rFonts w:hint="eastAsia" w:ascii="仿宋" w:hAnsi="仿宋" w:eastAsia="仿宋" w:cs="仿宋"/>
          <w:color w:val="auto"/>
          <w:sz w:val="28"/>
          <w:szCs w:val="28"/>
          <w:highlight w:val="none"/>
          <w:lang w:val="en-US" w:eastAsia="zh-CN"/>
        </w:rPr>
        <w:t>附件二《分包单位开工令》格式；</w:t>
      </w:r>
    </w:p>
    <w:p w14:paraId="511EDCB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cs="仿宋"/>
          <w:color w:val="auto"/>
          <w:sz w:val="28"/>
          <w:szCs w:val="28"/>
          <w:highlight w:val="none"/>
          <w:lang w:val="en-US" w:eastAsia="zh-CN"/>
        </w:rPr>
        <w:t>《分包签证确认单》格式；</w:t>
      </w:r>
    </w:p>
    <w:p w14:paraId="7C9F4C1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38" w:name="_Toc21763"/>
      <w:bookmarkStart w:id="139" w:name="_Toc28167"/>
      <w:bookmarkStart w:id="140" w:name="_Toc21181"/>
      <w:bookmarkStart w:id="141" w:name="_Toc5617"/>
      <w:r>
        <w:rPr>
          <w:rFonts w:hint="eastAsia" w:ascii="仿宋" w:hAnsi="仿宋" w:eastAsia="仿宋" w:cs="仿宋"/>
          <w:color w:val="auto"/>
          <w:sz w:val="28"/>
          <w:szCs w:val="28"/>
          <w:highlight w:val="none"/>
          <w:lang w:val="en-US" w:eastAsia="zh-CN"/>
        </w:rPr>
        <w:t>附件四</w:t>
      </w:r>
      <w:bookmarkEnd w:id="138"/>
      <w:bookmarkEnd w:id="139"/>
      <w:bookmarkEnd w:id="140"/>
      <w:bookmarkEnd w:id="141"/>
      <w:r>
        <w:rPr>
          <w:rFonts w:hint="eastAsia" w:ascii="仿宋" w:hAnsi="仿宋" w:eastAsia="仿宋" w:cs="仿宋"/>
          <w:color w:val="auto"/>
          <w:sz w:val="28"/>
          <w:szCs w:val="28"/>
          <w:highlight w:val="none"/>
          <w:lang w:val="en-US" w:eastAsia="zh-CN"/>
        </w:rPr>
        <w:t>《分项工程/认质认价申报审批表》格式；</w:t>
      </w:r>
    </w:p>
    <w:p w14:paraId="22E73F2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2" w:name="_Toc9049"/>
      <w:bookmarkStart w:id="143" w:name="_Toc23253"/>
      <w:bookmarkStart w:id="144" w:name="_Toc12079"/>
      <w:bookmarkStart w:id="145" w:name="_Toc32242"/>
      <w:bookmarkStart w:id="146" w:name="_Toc5427"/>
      <w:bookmarkStart w:id="147" w:name="_Toc9244"/>
      <w:r>
        <w:rPr>
          <w:rFonts w:hint="eastAsia" w:ascii="仿宋" w:hAnsi="仿宋" w:eastAsia="仿宋" w:cs="仿宋"/>
          <w:color w:val="auto"/>
          <w:sz w:val="28"/>
          <w:szCs w:val="28"/>
          <w:highlight w:val="none"/>
          <w:lang w:val="en-US" w:eastAsia="zh-CN"/>
        </w:rPr>
        <w:t>附件五</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2"/>
      <w:bookmarkEnd w:id="143"/>
      <w:bookmarkEnd w:id="144"/>
      <w:bookmarkEnd w:id="145"/>
      <w:bookmarkEnd w:id="146"/>
      <w:bookmarkEnd w:id="147"/>
      <w:r>
        <w:rPr>
          <w:rFonts w:hint="eastAsia" w:ascii="仿宋" w:hAnsi="仿宋" w:eastAsia="仿宋" w:cs="仿宋"/>
          <w:color w:val="auto"/>
          <w:sz w:val="28"/>
          <w:szCs w:val="28"/>
          <w:highlight w:val="none"/>
          <w:lang w:val="en-US" w:eastAsia="zh-CN"/>
        </w:rPr>
        <w:t>《签证单分包说明》格式；</w:t>
      </w:r>
    </w:p>
    <w:p w14:paraId="7256EE6A">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8" w:name="_Toc13942"/>
      <w:bookmarkStart w:id="149" w:name="_Toc23585"/>
      <w:bookmarkStart w:id="150" w:name="_Toc12934"/>
      <w:r>
        <w:rPr>
          <w:rFonts w:hint="eastAsia" w:ascii="仿宋" w:hAnsi="仿宋" w:eastAsia="仿宋" w:cs="仿宋"/>
          <w:color w:val="auto"/>
          <w:sz w:val="28"/>
          <w:szCs w:val="28"/>
          <w:highlight w:val="none"/>
          <w:lang w:val="en-US" w:eastAsia="zh-CN"/>
        </w:rPr>
        <w:t>附件</w:t>
      </w:r>
      <w:bookmarkEnd w:id="148"/>
      <w:bookmarkEnd w:id="149"/>
      <w:bookmarkEnd w:id="150"/>
      <w:r>
        <w:rPr>
          <w:rFonts w:hint="eastAsia" w:ascii="仿宋" w:hAnsi="仿宋" w:eastAsia="仿宋" w:cs="仿宋"/>
          <w:color w:val="auto"/>
          <w:sz w:val="28"/>
          <w:szCs w:val="28"/>
          <w:highlight w:val="none"/>
          <w:lang w:val="en-US" w:eastAsia="zh-CN"/>
        </w:rPr>
        <w:t>六《工程量现场草签记录表》格式；</w:t>
      </w:r>
    </w:p>
    <w:p w14:paraId="6529411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1" w:name="_Toc3767"/>
      <w:bookmarkStart w:id="152" w:name="_Toc21331"/>
      <w:bookmarkStart w:id="153" w:name="_Toc27506"/>
      <w:r>
        <w:rPr>
          <w:rFonts w:hint="eastAsia" w:ascii="仿宋" w:hAnsi="仿宋" w:eastAsia="仿宋" w:cs="仿宋"/>
          <w:color w:val="auto"/>
          <w:sz w:val="28"/>
          <w:szCs w:val="28"/>
          <w:highlight w:val="none"/>
          <w:lang w:val="en-US" w:eastAsia="zh-CN"/>
        </w:rPr>
        <w:t>附件</w:t>
      </w:r>
      <w:bookmarkEnd w:id="151"/>
      <w:bookmarkEnd w:id="152"/>
      <w:bookmarkEnd w:id="153"/>
      <w:bookmarkStart w:id="154" w:name="_Toc22706"/>
      <w:bookmarkStart w:id="155" w:name="_Toc26355"/>
      <w:bookmarkStart w:id="156" w:name="_Toc2016"/>
      <w:r>
        <w:rPr>
          <w:rFonts w:hint="eastAsia" w:ascii="仿宋" w:hAnsi="仿宋" w:eastAsia="仿宋" w:cs="仿宋"/>
          <w:color w:val="auto"/>
          <w:sz w:val="28"/>
          <w:szCs w:val="28"/>
          <w:highlight w:val="none"/>
          <w:lang w:val="en-US" w:eastAsia="zh-CN"/>
        </w:rPr>
        <w:t>七《工程结算支付证明单》格式；</w:t>
      </w:r>
    </w:p>
    <w:p w14:paraId="1832F47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bookmarkEnd w:id="154"/>
      <w:bookmarkEnd w:id="155"/>
      <w:bookmarkEnd w:id="156"/>
      <w:r>
        <w:rPr>
          <w:rFonts w:hint="eastAsia" w:ascii="仿宋" w:hAnsi="仿宋" w:eastAsia="仿宋" w:cs="仿宋"/>
          <w:color w:val="auto"/>
          <w:sz w:val="28"/>
          <w:szCs w:val="28"/>
          <w:highlight w:val="none"/>
          <w:lang w:val="en-US" w:eastAsia="zh-CN"/>
        </w:rPr>
        <w:t>八《工完场清交接单》格式；</w:t>
      </w:r>
    </w:p>
    <w:p w14:paraId="057E62D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7" w:name="_Toc13445"/>
      <w:bookmarkStart w:id="158" w:name="_Toc1307"/>
      <w:bookmarkStart w:id="159" w:name="_Toc27117"/>
      <w:r>
        <w:rPr>
          <w:rFonts w:hint="eastAsia" w:ascii="仿宋" w:hAnsi="仿宋" w:eastAsia="仿宋" w:cs="仿宋"/>
          <w:color w:val="auto"/>
          <w:sz w:val="28"/>
          <w:szCs w:val="28"/>
          <w:highlight w:val="none"/>
          <w:lang w:val="en-US" w:eastAsia="zh-CN"/>
        </w:rPr>
        <w:t>附件</w:t>
      </w:r>
      <w:bookmarkEnd w:id="157"/>
      <w:bookmarkEnd w:id="158"/>
      <w:bookmarkEnd w:id="159"/>
      <w:r>
        <w:rPr>
          <w:rFonts w:hint="eastAsia" w:ascii="仿宋" w:hAnsi="仿宋" w:eastAsia="仿宋" w:cs="仿宋"/>
          <w:color w:val="auto"/>
          <w:sz w:val="28"/>
          <w:szCs w:val="28"/>
          <w:highlight w:val="none"/>
          <w:lang w:val="en-US" w:eastAsia="zh-CN"/>
        </w:rPr>
        <w:t>九《工程结算资料目录》格式；</w:t>
      </w:r>
    </w:p>
    <w:p w14:paraId="36CE0CA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0" w:name="_Toc1953"/>
      <w:bookmarkStart w:id="161" w:name="_Toc7620"/>
      <w:bookmarkStart w:id="162" w:name="_Toc5815"/>
      <w:r>
        <w:rPr>
          <w:rFonts w:hint="eastAsia" w:ascii="仿宋" w:hAnsi="仿宋" w:eastAsia="仿宋" w:cs="仿宋"/>
          <w:color w:val="auto"/>
          <w:sz w:val="28"/>
          <w:szCs w:val="28"/>
          <w:highlight w:val="none"/>
          <w:lang w:val="en-US" w:eastAsia="zh-CN"/>
        </w:rPr>
        <w:t>附件十</w:t>
      </w:r>
      <w:bookmarkEnd w:id="160"/>
      <w:bookmarkEnd w:id="161"/>
      <w:bookmarkEnd w:id="162"/>
      <w:r>
        <w:rPr>
          <w:rFonts w:hint="eastAsia" w:ascii="仿宋" w:hAnsi="仿宋" w:eastAsia="仿宋" w:cs="仿宋"/>
          <w:color w:val="auto"/>
          <w:sz w:val="28"/>
          <w:szCs w:val="28"/>
          <w:highlight w:val="none"/>
          <w:lang w:val="en-US" w:eastAsia="zh-CN"/>
        </w:rPr>
        <w:t>《结算竣工图承诺书》格式；</w:t>
      </w:r>
    </w:p>
    <w:p w14:paraId="32A8265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3" w:name="_Toc30099"/>
      <w:bookmarkStart w:id="164" w:name="_Toc23057"/>
      <w:bookmarkStart w:id="165" w:name="_Toc31591"/>
      <w:r>
        <w:rPr>
          <w:rFonts w:hint="eastAsia" w:ascii="仿宋" w:hAnsi="仿宋" w:eastAsia="仿宋" w:cs="仿宋"/>
          <w:color w:val="auto"/>
          <w:sz w:val="28"/>
          <w:szCs w:val="28"/>
          <w:highlight w:val="none"/>
          <w:lang w:val="en-US" w:eastAsia="zh-CN"/>
        </w:rPr>
        <w:t>附件十</w:t>
      </w:r>
      <w:bookmarkEnd w:id="163"/>
      <w:bookmarkEnd w:id="164"/>
      <w:bookmarkEnd w:id="165"/>
      <w:r>
        <w:rPr>
          <w:rFonts w:hint="eastAsia" w:ascii="仿宋" w:hAnsi="仿宋" w:eastAsia="仿宋" w:cs="仿宋"/>
          <w:color w:val="auto"/>
          <w:sz w:val="28"/>
          <w:szCs w:val="28"/>
          <w:highlight w:val="none"/>
          <w:lang w:val="en-US" w:eastAsia="zh-CN"/>
        </w:rPr>
        <w:t>一</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建筑工人工资表</w:t>
      </w:r>
      <w:r>
        <w:rPr>
          <w:rFonts w:hint="eastAsia" w:ascii="仿宋" w:hAnsi="仿宋" w:eastAsia="仿宋" w:cs="仿宋"/>
          <w:b w:val="0"/>
          <w:bCs w:val="0"/>
          <w:i w:val="0"/>
          <w:iCs w:val="0"/>
          <w:color w:val="auto"/>
          <w:sz w:val="28"/>
          <w:szCs w:val="28"/>
          <w:highlight w:val="none"/>
          <w:shd w:val="clear" w:color="auto" w:fill="auto"/>
          <w:lang w:val="en-US" w:eastAsia="zh-CN"/>
        </w:rPr>
        <w:t>》格式；</w:t>
      </w:r>
    </w:p>
    <w:p w14:paraId="6DFF170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6" w:name="_Toc22131"/>
      <w:bookmarkStart w:id="167" w:name="_Toc21764"/>
      <w:bookmarkStart w:id="168" w:name="_Toc9592"/>
      <w:bookmarkStart w:id="169" w:name="_Toc16843"/>
      <w:bookmarkStart w:id="170" w:name="_Toc8317"/>
      <w:r>
        <w:rPr>
          <w:rFonts w:hint="eastAsia" w:ascii="仿宋" w:hAnsi="仿宋" w:eastAsia="仿宋" w:cs="仿宋"/>
          <w:color w:val="auto"/>
          <w:sz w:val="28"/>
          <w:szCs w:val="28"/>
          <w:highlight w:val="none"/>
          <w:lang w:val="en-US" w:eastAsia="zh-CN"/>
        </w:rPr>
        <w:t>附件十</w:t>
      </w:r>
      <w:bookmarkEnd w:id="166"/>
      <w:bookmarkEnd w:id="167"/>
      <w:bookmarkEnd w:id="168"/>
      <w:bookmarkEnd w:id="169"/>
      <w:bookmarkEnd w:id="170"/>
      <w:r>
        <w:rPr>
          <w:rFonts w:hint="eastAsia" w:ascii="仿宋" w:hAnsi="仿宋" w:eastAsia="仿宋" w:cs="仿宋"/>
          <w:color w:val="auto"/>
          <w:sz w:val="28"/>
          <w:szCs w:val="28"/>
          <w:highlight w:val="none"/>
          <w:lang w:val="en-US" w:eastAsia="zh-CN"/>
        </w:rPr>
        <w:t>二《工人工资发放承诺书》格式；</w:t>
      </w:r>
    </w:p>
    <w:p w14:paraId="6AF26A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1" w:name="_Toc21022"/>
      <w:bookmarkStart w:id="172" w:name="_Toc2158"/>
      <w:bookmarkStart w:id="173" w:name="_Toc6336"/>
      <w:r>
        <w:rPr>
          <w:rFonts w:hint="eastAsia" w:ascii="仿宋" w:hAnsi="仿宋" w:eastAsia="仿宋" w:cs="仿宋"/>
          <w:color w:val="auto"/>
          <w:sz w:val="28"/>
          <w:szCs w:val="28"/>
          <w:highlight w:val="none"/>
          <w:lang w:val="en-US" w:eastAsia="zh-CN"/>
        </w:rPr>
        <w:t>附件十</w:t>
      </w:r>
      <w:bookmarkEnd w:id="171"/>
      <w:bookmarkEnd w:id="172"/>
      <w:bookmarkEnd w:id="173"/>
      <w:r>
        <w:rPr>
          <w:rFonts w:hint="eastAsia" w:ascii="仿宋" w:hAnsi="仿宋" w:eastAsia="仿宋" w:cs="仿宋"/>
          <w:color w:val="auto"/>
          <w:sz w:val="28"/>
          <w:szCs w:val="28"/>
          <w:highlight w:val="none"/>
          <w:lang w:val="en-US" w:eastAsia="zh-CN"/>
        </w:rPr>
        <w:t>三《承诺书（个人版）》格式；</w:t>
      </w:r>
    </w:p>
    <w:p w14:paraId="61E993D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4" w:name="_Toc16040"/>
      <w:bookmarkStart w:id="175" w:name="_Toc5782"/>
      <w:bookmarkStart w:id="176" w:name="_Toc10815"/>
      <w:r>
        <w:rPr>
          <w:rFonts w:hint="eastAsia" w:ascii="仿宋" w:hAnsi="仿宋" w:eastAsia="仿宋" w:cs="仿宋"/>
          <w:color w:val="auto"/>
          <w:sz w:val="28"/>
          <w:szCs w:val="28"/>
          <w:highlight w:val="none"/>
          <w:lang w:val="en-US" w:eastAsia="zh-CN"/>
        </w:rPr>
        <w:t>附件十</w:t>
      </w:r>
      <w:bookmarkEnd w:id="174"/>
      <w:bookmarkEnd w:id="175"/>
      <w:bookmarkEnd w:id="176"/>
      <w:r>
        <w:rPr>
          <w:rFonts w:hint="eastAsia" w:ascii="仿宋" w:hAnsi="仿宋" w:eastAsia="仿宋" w:cs="仿宋"/>
          <w:color w:val="auto"/>
          <w:sz w:val="28"/>
          <w:szCs w:val="28"/>
          <w:highlight w:val="none"/>
          <w:lang w:val="en-US" w:eastAsia="zh-CN"/>
        </w:rPr>
        <w:t>四《</w:t>
      </w:r>
      <w:r>
        <w:rPr>
          <w:rFonts w:hint="eastAsia"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7753EF6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7" w:name="_Toc27415"/>
      <w:bookmarkStart w:id="178" w:name="_Toc24050"/>
      <w:bookmarkStart w:id="179" w:name="_Toc20901"/>
      <w:bookmarkStart w:id="180" w:name="_Toc22031"/>
      <w:r>
        <w:rPr>
          <w:rFonts w:hint="eastAsia" w:ascii="仿宋" w:hAnsi="仿宋" w:eastAsia="仿宋" w:cs="仿宋"/>
          <w:b w:val="0"/>
          <w:bCs w:val="0"/>
          <w:i w:val="0"/>
          <w:iCs w:val="0"/>
          <w:color w:val="auto"/>
          <w:sz w:val="28"/>
          <w:szCs w:val="28"/>
          <w:highlight w:val="none"/>
          <w:shd w:val="clear" w:color="auto" w:fill="auto"/>
          <w:lang w:val="en-US" w:eastAsia="zh-CN"/>
        </w:rPr>
        <w:t>附件十</w:t>
      </w:r>
      <w:bookmarkEnd w:id="177"/>
      <w:bookmarkEnd w:id="178"/>
      <w:bookmarkEnd w:id="179"/>
      <w:bookmarkEnd w:id="180"/>
      <w:r>
        <w:rPr>
          <w:rFonts w:hint="eastAsia" w:ascii="仿宋" w:hAnsi="仿宋" w:eastAsia="仿宋" w:cs="仿宋"/>
          <w:b w:val="0"/>
          <w:bCs w:val="0"/>
          <w:i w:val="0"/>
          <w:iCs w:val="0"/>
          <w:color w:val="auto"/>
          <w:sz w:val="28"/>
          <w:szCs w:val="28"/>
          <w:highlight w:val="none"/>
          <w:shd w:val="clear" w:color="auto" w:fill="auto"/>
          <w:lang w:val="en-US" w:eastAsia="zh-CN"/>
        </w:rPr>
        <w:t>五</w:t>
      </w:r>
      <w:r>
        <w:rPr>
          <w:rFonts w:hint="eastAsia" w:ascii="仿宋" w:hAnsi="仿宋" w:eastAsia="仿宋" w:cs="仿宋"/>
          <w:color w:val="auto"/>
          <w:sz w:val="28"/>
          <w:szCs w:val="28"/>
          <w:highlight w:val="none"/>
          <w:lang w:val="en-US" w:eastAsia="zh-CN"/>
        </w:rPr>
        <w:t>《出险声明函》格式；</w:t>
      </w:r>
    </w:p>
    <w:p w14:paraId="49A34D3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1" w:name="_Toc2418"/>
      <w:bookmarkStart w:id="182" w:name="_Toc7577"/>
      <w:r>
        <w:rPr>
          <w:rFonts w:hint="eastAsia" w:ascii="仿宋" w:hAnsi="仿宋" w:eastAsia="仿宋" w:cs="仿宋"/>
          <w:color w:val="auto"/>
          <w:sz w:val="28"/>
          <w:szCs w:val="28"/>
          <w:highlight w:val="none"/>
          <w:lang w:val="en-US" w:eastAsia="zh-CN"/>
        </w:rPr>
        <w:t>附件十</w:t>
      </w:r>
      <w:bookmarkEnd w:id="181"/>
      <w:bookmarkEnd w:id="182"/>
      <w:r>
        <w:rPr>
          <w:rFonts w:hint="eastAsia" w:ascii="仿宋" w:hAnsi="仿宋" w:eastAsia="仿宋" w:cs="仿宋"/>
          <w:color w:val="auto"/>
          <w:sz w:val="28"/>
          <w:szCs w:val="28"/>
          <w:highlight w:val="none"/>
          <w:lang w:val="en-US" w:eastAsia="zh-CN"/>
        </w:rPr>
        <w:t>六</w:t>
      </w:r>
      <w:r>
        <w:rPr>
          <w:rFonts w:hint="eastAsia" w:ascii="仿宋" w:hAnsi="仿宋" w:eastAsia="仿宋" w:cs="仿宋"/>
          <w:b w:val="0"/>
          <w:bCs w:val="0"/>
          <w:color w:val="auto"/>
          <w:sz w:val="28"/>
          <w:szCs w:val="28"/>
          <w:highlight w:val="none"/>
          <w:lang w:val="en-US" w:eastAsia="zh-CN"/>
        </w:rPr>
        <w:t>《乙方资质文件》；</w:t>
      </w:r>
    </w:p>
    <w:p w14:paraId="78C7F16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附件十七《报价清单》</w:t>
      </w:r>
      <w:r>
        <w:rPr>
          <w:rFonts w:hint="eastAsia" w:ascii="仿宋" w:hAnsi="仿宋" w:eastAsia="仿宋" w:cs="仿宋"/>
          <w:b w:val="0"/>
          <w:bCs w:val="0"/>
          <w:color w:val="auto"/>
          <w:sz w:val="28"/>
          <w:szCs w:val="28"/>
          <w:highlight w:val="none"/>
          <w:shd w:val="clear"/>
          <w:lang w:val="en-US" w:eastAsia="zh-CN"/>
        </w:rPr>
        <w:t>；</w:t>
      </w:r>
    </w:p>
    <w:p w14:paraId="62138D3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8"/>
          <w:szCs w:val="28"/>
          <w:highlight w:val="none"/>
          <w:lang w:val="en-US" w:eastAsia="zh-CN"/>
        </w:rPr>
        <w:t>附件十八</w:t>
      </w:r>
      <w:r>
        <w:rPr>
          <w:rFonts w:hint="eastAsia" w:ascii="仿宋" w:hAnsi="仿宋" w:eastAsia="仿宋" w:cs="仿宋"/>
          <w:b w:val="0"/>
          <w:bCs w:val="0"/>
          <w:color w:val="auto"/>
          <w:sz w:val="28"/>
          <w:szCs w:val="28"/>
          <w:highlight w:val="none"/>
          <w:lang w:val="en-US" w:eastAsia="zh-CN"/>
        </w:rPr>
        <w:t>《高压供电方案答复单及电缆走向示意图》</w:t>
      </w:r>
      <w:bookmarkStart w:id="183" w:name="_Toc23161"/>
      <w:bookmarkStart w:id="184" w:name="_Toc9682"/>
      <w:r>
        <w:rPr>
          <w:rFonts w:hint="eastAsia" w:ascii="仿宋" w:hAnsi="仿宋" w:eastAsia="仿宋" w:cs="仿宋"/>
          <w:b w:val="0"/>
          <w:bCs w:val="0"/>
          <w:color w:val="auto"/>
          <w:sz w:val="28"/>
          <w:szCs w:val="28"/>
          <w:highlight w:val="none"/>
          <w:lang w:val="en-US" w:eastAsia="zh-CN"/>
        </w:rPr>
        <w:t>。</w:t>
      </w:r>
      <w:bookmarkEnd w:id="183"/>
    </w:p>
    <w:p w14:paraId="506507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5EB0CD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1CB0ECFD">
      <w:pPr>
        <w:pStyle w:val="2"/>
        <w:spacing w:line="360" w:lineRule="auto"/>
        <w:ind w:left="0" w:leftChars="0" w:firstLine="0" w:firstLineChars="0"/>
        <w:rPr>
          <w:rFonts w:hint="eastAsia"/>
        </w:rPr>
      </w:pPr>
    </w:p>
    <w:p w14:paraId="4222D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301DE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6499B9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3D8747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4"/>
          <w:szCs w:val="24"/>
          <w:highlight w:val="none"/>
        </w:rPr>
        <w:t>地 址：广东省东莞市南城街道鸿福路        地  址：</w:t>
      </w:r>
      <w:r>
        <w:rPr>
          <w:rFonts w:hint="eastAsia" w:ascii="仿宋" w:hAnsi="仿宋" w:eastAsia="仿宋" w:cs="仿宋"/>
          <w:b/>
          <w:bCs/>
          <w:color w:val="auto"/>
          <w:sz w:val="20"/>
          <w:szCs w:val="20"/>
          <w:highlight w:val="none"/>
        </w:rPr>
        <w:t xml:space="preserve">             </w:t>
      </w:r>
    </w:p>
    <w:p w14:paraId="2BD0EB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0A8AFF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E6F9A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04A45CED">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sectPr>
          <w:footerReference r:id="rId6" w:type="default"/>
          <w:pgSz w:w="11906" w:h="16839"/>
          <w:pgMar w:top="1361" w:right="1312" w:bottom="1247" w:left="1354" w:header="0" w:footer="0" w:gutter="0"/>
          <w:pgNumType w:fmt="decimal" w:start="1"/>
          <w:cols w:space="720" w:num="1"/>
        </w:sectPr>
      </w:pPr>
    </w:p>
    <w:p w14:paraId="2F9789F8">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75432B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EDCA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53E09121">
      <w:pPr>
        <w:pStyle w:val="2"/>
        <w:tabs>
          <w:tab w:val="left" w:pos="-116"/>
          <w:tab w:val="left" w:pos="420"/>
        </w:tabs>
        <w:rPr>
          <w:rFonts w:hint="eastAsia" w:ascii="仿宋" w:hAnsi="仿宋" w:eastAsia="仿宋" w:cs="仿宋"/>
          <w:b/>
          <w:bCs w:val="0"/>
          <w:color w:val="auto"/>
          <w:sz w:val="40"/>
          <w:szCs w:val="40"/>
          <w:highlight w:val="none"/>
          <w:shd w:val="clear" w:color="auto" w:fill="auto"/>
          <w:lang w:val="en-US" w:eastAsia="zh-CN"/>
        </w:rPr>
      </w:pPr>
    </w:p>
    <w:p w14:paraId="2207B3E8">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r>
        <w:rPr>
          <w:highlight w:val="none"/>
        </w:rPr>
        <w:drawing>
          <wp:inline distT="0" distB="0" distL="114300" distR="114300">
            <wp:extent cx="473392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1EFED70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038BB652">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132BA35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43C319F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85" w:name="_Toc2625"/>
      <w:bookmarkStart w:id="186" w:name="_Toc20986"/>
    </w:p>
    <w:p w14:paraId="4B1BAF4F">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06D21311">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5C6A2806">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19D2E19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46DE4F5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6D0AC8B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184"/>
      <w:bookmarkEnd w:id="185"/>
      <w:bookmarkEnd w:id="186"/>
      <w:r>
        <w:rPr>
          <w:rFonts w:hint="eastAsia" w:ascii="仿宋" w:hAnsi="仿宋" w:eastAsia="仿宋" w:cs="仿宋"/>
          <w:b/>
          <w:bCs w:val="0"/>
          <w:color w:val="auto"/>
          <w:sz w:val="36"/>
          <w:szCs w:val="36"/>
          <w:highlight w:val="none"/>
          <w:shd w:val="clear" w:color="auto" w:fill="auto"/>
          <w:lang w:val="en-US" w:eastAsia="zh-CN"/>
        </w:rPr>
        <w:t>二</w:t>
      </w:r>
    </w:p>
    <w:p w14:paraId="6BB0E7E9">
      <w:pPr>
        <w:keepNext w:val="0"/>
        <w:keepLines w:val="0"/>
        <w:pageBreakBefore w:val="0"/>
        <w:overflowPunct/>
        <w:topLinePunct w:val="0"/>
        <w:bidi w:val="0"/>
        <w:adjustRightInd w:val="0"/>
        <w:snapToGrid w:val="0"/>
        <w:spacing w:after="156" w:afterLines="50" w:line="360" w:lineRule="auto"/>
        <w:ind w:right="0" w:rightChars="0"/>
        <w:jc w:val="center"/>
        <w:outlineLvl w:val="0"/>
        <w:rPr>
          <w:rFonts w:hint="eastAsia" w:ascii="仿宋" w:hAnsi="仿宋" w:eastAsia="仿宋" w:cs="仿宋"/>
          <w:color w:val="auto"/>
          <w:sz w:val="36"/>
          <w:szCs w:val="36"/>
          <w:highlight w:val="none"/>
        </w:rPr>
      </w:pPr>
      <w:bookmarkStart w:id="187" w:name="_Toc44"/>
      <w:bookmarkStart w:id="188" w:name="_Toc14245"/>
      <w:bookmarkStart w:id="189" w:name="_Toc2436"/>
      <w:r>
        <w:rPr>
          <w:rFonts w:hint="eastAsia" w:ascii="仿宋" w:hAnsi="仿宋" w:eastAsia="仿宋" w:cs="仿宋"/>
          <w:b/>
          <w:bCs/>
          <w:color w:val="auto"/>
          <w:sz w:val="36"/>
          <w:szCs w:val="36"/>
          <w:highlight w:val="none"/>
          <w:lang w:val="en-US" w:eastAsia="zh-CN"/>
        </w:rPr>
        <w:t>分包单位</w:t>
      </w:r>
      <w:r>
        <w:rPr>
          <w:rFonts w:hint="eastAsia" w:ascii="仿宋" w:hAnsi="仿宋" w:eastAsia="仿宋" w:cs="仿宋"/>
          <w:b/>
          <w:bCs/>
          <w:color w:val="auto"/>
          <w:sz w:val="36"/>
          <w:szCs w:val="36"/>
          <w:highlight w:val="none"/>
        </w:rPr>
        <w:t>开工令</w:t>
      </w:r>
      <w:bookmarkEnd w:id="187"/>
      <w:bookmarkEnd w:id="188"/>
      <w:bookmarkEnd w:id="189"/>
    </w:p>
    <w:p w14:paraId="12EB88AC">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1B405F33">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 xml:space="preserve">合同编号：                           </w:t>
      </w:r>
    </w:p>
    <w:p w14:paraId="0628F0E4">
      <w:pPr>
        <w:keepNext w:val="0"/>
        <w:keepLines w:val="0"/>
        <w:pageBreakBefore w:val="0"/>
        <w:overflowPunct/>
        <w:topLinePunct w:val="0"/>
        <w:bidi w:val="0"/>
        <w:adjustRightInd w:val="0"/>
        <w:snapToGrid w:val="0"/>
        <w:spacing w:line="360" w:lineRule="auto"/>
        <w:ind w:right="0" w:rightChars="0"/>
        <w:rPr>
          <w:color w:val="auto"/>
          <w:highlight w:val="none"/>
        </w:rPr>
      </w:pPr>
    </w:p>
    <w:tbl>
      <w:tblPr>
        <w:tblStyle w:val="15"/>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3"/>
      </w:tblGrid>
      <w:tr w14:paraId="614D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07A33BF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7196ABA1">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53304188">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66407224">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8026A8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8B53148">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724672A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6733F7E4">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1961BF7F">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tc>
      </w:tr>
      <w:tr w14:paraId="5833F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38691CC">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4D652D3E">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6F4CC07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59EACC3A">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p>
          <w:p w14:paraId="202E3E0D">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4B4BA640">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2EDBEB96">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42F347A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05BF9A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D2C9C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17A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63A5AB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C8A5DE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AF22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21FA35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B9D467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190" w:name="_Toc663"/>
      <w:bookmarkStart w:id="191" w:name="_Toc7395"/>
      <w:bookmarkStart w:id="192" w:name="_Toc3233"/>
      <w:r>
        <w:rPr>
          <w:rFonts w:hint="eastAsia" w:ascii="仿宋" w:hAnsi="仿宋" w:eastAsia="仿宋" w:cs="仿宋"/>
          <w:b/>
          <w:bCs w:val="0"/>
          <w:color w:val="auto"/>
          <w:sz w:val="36"/>
          <w:szCs w:val="36"/>
          <w:highlight w:val="none"/>
          <w:shd w:val="clear" w:color="auto" w:fill="auto"/>
          <w:lang w:val="en-US" w:eastAsia="zh-CN"/>
        </w:rPr>
        <w:t>附件</w:t>
      </w:r>
      <w:bookmarkEnd w:id="190"/>
      <w:bookmarkEnd w:id="191"/>
      <w:bookmarkEnd w:id="192"/>
      <w:r>
        <w:rPr>
          <w:rFonts w:hint="eastAsia" w:ascii="仿宋" w:hAnsi="仿宋" w:eastAsia="仿宋" w:cs="仿宋"/>
          <w:b/>
          <w:bCs w:val="0"/>
          <w:color w:val="auto"/>
          <w:sz w:val="36"/>
          <w:szCs w:val="36"/>
          <w:highlight w:val="none"/>
          <w:shd w:val="clear" w:color="auto" w:fill="auto"/>
          <w:lang w:val="en-US" w:eastAsia="zh-CN"/>
        </w:rPr>
        <w:t>三</w:t>
      </w:r>
    </w:p>
    <w:tbl>
      <w:tblPr>
        <w:tblStyle w:val="15"/>
        <w:tblW w:w="5307" w:type="pct"/>
        <w:jc w:val="center"/>
        <w:tblLayout w:type="fixed"/>
        <w:tblCellMar>
          <w:top w:w="15" w:type="dxa"/>
          <w:left w:w="15" w:type="dxa"/>
          <w:bottom w:w="15" w:type="dxa"/>
          <w:right w:w="15" w:type="dxa"/>
        </w:tblCellMar>
      </w:tblPr>
      <w:tblGrid>
        <w:gridCol w:w="10262"/>
      </w:tblGrid>
      <w:tr w14:paraId="417F021F">
        <w:trPr>
          <w:trHeight w:val="13066" w:hRule="atLeast"/>
          <w:jc w:val="center"/>
        </w:trPr>
        <w:tc>
          <w:tcPr>
            <w:tcW w:w="5000" w:type="pct"/>
            <w:noWrap w:val="0"/>
            <w:vAlign w:val="center"/>
          </w:tcPr>
          <w:p w14:paraId="684959E0">
            <w:pPr>
              <w:keepNext w:val="0"/>
              <w:keepLines w:val="0"/>
              <w:pageBreakBefore w:val="0"/>
              <w:overflowPunct/>
              <w:topLinePunct w:val="0"/>
              <w:bidi w:val="0"/>
              <w:adjustRightInd w:val="0"/>
              <w:snapToGrid w:val="0"/>
              <w:spacing w:before="90" w:line="360" w:lineRule="auto"/>
              <w:ind w:left="3175"/>
              <w:outlineLvl w:val="0"/>
              <w:rPr>
                <w:rFonts w:ascii="仿宋" w:hAnsi="仿宋" w:eastAsia="仿宋" w:cs="仿宋"/>
                <w:color w:val="auto"/>
                <w:sz w:val="31"/>
                <w:szCs w:val="31"/>
                <w:highlight w:val="none"/>
              </w:rPr>
            </w:pPr>
            <w:bookmarkStart w:id="193" w:name="_Toc24733"/>
            <w:bookmarkStart w:id="194" w:name="_Toc353"/>
            <w:bookmarkStart w:id="195" w:name="_Toc26810"/>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193"/>
            <w:bookmarkEnd w:id="194"/>
            <w:bookmarkEnd w:id="195"/>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3E04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6015040">
                  <w:pPr>
                    <w:keepNext w:val="0"/>
                    <w:keepLines w:val="0"/>
                    <w:pageBreakBefore w:val="0"/>
                    <w:overflowPunct/>
                    <w:topLinePunct w:val="0"/>
                    <w:bidi w:val="0"/>
                    <w:adjustRightInd w:val="0"/>
                    <w:snapToGrid w:val="0"/>
                    <w:spacing w:before="149"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3B0417A2">
                  <w:pPr>
                    <w:keepNext w:val="0"/>
                    <w:keepLines w:val="0"/>
                    <w:pageBreakBefore w:val="0"/>
                    <w:overflowPunct/>
                    <w:topLinePunct w:val="0"/>
                    <w:bidi w:val="0"/>
                    <w:adjustRightInd w:val="0"/>
                    <w:snapToGrid w:val="0"/>
                    <w:spacing w:before="149" w:line="36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304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022EA9D0">
                  <w:pPr>
                    <w:keepNext w:val="0"/>
                    <w:keepLines w:val="0"/>
                    <w:pageBreakBefore w:val="0"/>
                    <w:overflowPunct/>
                    <w:topLinePunct w:val="0"/>
                    <w:bidi w:val="0"/>
                    <w:adjustRightInd w:val="0"/>
                    <w:snapToGrid w:val="0"/>
                    <w:spacing w:before="125"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3810075">
                  <w:pPr>
                    <w:keepNext w:val="0"/>
                    <w:keepLines w:val="0"/>
                    <w:pageBreakBefore w:val="0"/>
                    <w:overflowPunct/>
                    <w:topLinePunct w:val="0"/>
                    <w:bidi w:val="0"/>
                    <w:adjustRightInd w:val="0"/>
                    <w:snapToGrid w:val="0"/>
                    <w:spacing w:before="125" w:line="360"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05293E">
                  <w:pPr>
                    <w:keepNext w:val="0"/>
                    <w:keepLines w:val="0"/>
                    <w:pageBreakBefore w:val="0"/>
                    <w:overflowPunct/>
                    <w:topLinePunct w:val="0"/>
                    <w:bidi w:val="0"/>
                    <w:adjustRightInd w:val="0"/>
                    <w:snapToGrid w:val="0"/>
                    <w:spacing w:before="124" w:line="360"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C45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48CD115D">
                  <w:pPr>
                    <w:keepNext w:val="0"/>
                    <w:keepLines w:val="0"/>
                    <w:pageBreakBefore w:val="0"/>
                    <w:overflowPunct/>
                    <w:topLinePunct w:val="0"/>
                    <w:bidi w:val="0"/>
                    <w:adjustRightInd w:val="0"/>
                    <w:snapToGrid w:val="0"/>
                    <w:spacing w:before="67" w:line="36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2CDA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4CD33E0F">
                  <w:pPr>
                    <w:keepNext w:val="0"/>
                    <w:keepLines w:val="0"/>
                    <w:pageBreakBefore w:val="0"/>
                    <w:overflowPunct/>
                    <w:topLinePunct w:val="0"/>
                    <w:bidi w:val="0"/>
                    <w:adjustRightInd w:val="0"/>
                    <w:snapToGrid w:val="0"/>
                    <w:spacing w:before="175" w:line="360"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E674EC">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5887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A833A0D">
                  <w:pPr>
                    <w:keepNext w:val="0"/>
                    <w:keepLines w:val="0"/>
                    <w:pageBreakBefore w:val="0"/>
                    <w:overflowPunct/>
                    <w:topLinePunct w:val="0"/>
                    <w:bidi w:val="0"/>
                    <w:adjustRightInd w:val="0"/>
                    <w:snapToGrid w:val="0"/>
                    <w:spacing w:before="176" w:line="36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40186B76">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3054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7AE7942">
                  <w:pPr>
                    <w:keepNext w:val="0"/>
                    <w:keepLines w:val="0"/>
                    <w:pageBreakBefore w:val="0"/>
                    <w:overflowPunct/>
                    <w:topLinePunct w:val="0"/>
                    <w:bidi w:val="0"/>
                    <w:adjustRightInd w:val="0"/>
                    <w:snapToGrid w:val="0"/>
                    <w:spacing w:before="152" w:line="360"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9" name="图片 1"/>
                        <wp:cNvGraphicFramePr/>
                        <a:graphic xmlns:a="http://schemas.openxmlformats.org/drawingml/2006/main">
                          <a:graphicData uri="http://schemas.openxmlformats.org/drawingml/2006/picture">
                            <pic:pic xmlns:pic="http://schemas.openxmlformats.org/drawingml/2006/picture">
                              <pic:nvPicPr>
                                <pic:cNvPr id="9" name="图片 1"/>
                                <pic:cNvPicPr/>
                              </pic:nvPicPr>
                              <pic:blipFill>
                                <a:blip r:embed="rId12"/>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12"/>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0533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B7F8BDC">
                  <w:pPr>
                    <w:keepNext w:val="0"/>
                    <w:keepLines w:val="0"/>
                    <w:pageBreakBefore w:val="0"/>
                    <w:overflowPunct/>
                    <w:topLinePunct w:val="0"/>
                    <w:bidi w:val="0"/>
                    <w:adjustRightInd w:val="0"/>
                    <w:snapToGrid w:val="0"/>
                    <w:spacing w:before="48"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77A8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2881FFB">
                  <w:pPr>
                    <w:keepNext w:val="0"/>
                    <w:keepLines w:val="0"/>
                    <w:pageBreakBefore w:val="0"/>
                    <w:overflowPunct/>
                    <w:topLinePunct w:val="0"/>
                    <w:bidi w:val="0"/>
                    <w:adjustRightInd w:val="0"/>
                    <w:snapToGrid w:val="0"/>
                    <w:spacing w:before="48" w:line="360"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880F707">
                  <w:pPr>
                    <w:keepNext w:val="0"/>
                    <w:keepLines w:val="0"/>
                    <w:pageBreakBefore w:val="0"/>
                    <w:overflowPunct/>
                    <w:topLinePunct w:val="0"/>
                    <w:bidi w:val="0"/>
                    <w:adjustRightInd w:val="0"/>
                    <w:snapToGrid w:val="0"/>
                    <w:spacing w:before="48" w:line="360"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255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C041A">
                  <w:pPr>
                    <w:keepNext w:val="0"/>
                    <w:keepLines w:val="0"/>
                    <w:pageBreakBefore w:val="0"/>
                    <w:overflowPunct/>
                    <w:topLinePunct w:val="0"/>
                    <w:bidi w:val="0"/>
                    <w:adjustRightInd w:val="0"/>
                    <w:snapToGrid w:val="0"/>
                    <w:spacing w:before="4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noWrap w:val="0"/>
                  <w:vAlign w:val="top"/>
                </w:tcPr>
                <w:p w14:paraId="207BD0B0">
                  <w:pPr>
                    <w:keepNext w:val="0"/>
                    <w:keepLines w:val="0"/>
                    <w:pageBreakBefore w:val="0"/>
                    <w:overflowPunct/>
                    <w:topLinePunct w:val="0"/>
                    <w:bidi w:val="0"/>
                    <w:adjustRightInd w:val="0"/>
                    <w:snapToGrid w:val="0"/>
                    <w:spacing w:before="49" w:line="360"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03BA4E3">
                  <w:pPr>
                    <w:keepNext w:val="0"/>
                    <w:keepLines w:val="0"/>
                    <w:pageBreakBefore w:val="0"/>
                    <w:overflowPunct/>
                    <w:topLinePunct w:val="0"/>
                    <w:bidi w:val="0"/>
                    <w:adjustRightInd w:val="0"/>
                    <w:snapToGrid w:val="0"/>
                    <w:spacing w:before="279"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96B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C87283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5BD4D51">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3DC25160">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A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22349A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26E6780C">
                  <w:pPr>
                    <w:keepNext w:val="0"/>
                    <w:keepLines w:val="0"/>
                    <w:pageBreakBefore w:val="0"/>
                    <w:overflowPunct/>
                    <w:topLinePunct w:val="0"/>
                    <w:bidi w:val="0"/>
                    <w:adjustRightInd w:val="0"/>
                    <w:snapToGrid w:val="0"/>
                    <w:spacing w:before="50" w:line="360" w:lineRule="auto"/>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55CF5A58">
                  <w:pPr>
                    <w:keepNext w:val="0"/>
                    <w:keepLines w:val="0"/>
                    <w:pageBreakBefore w:val="0"/>
                    <w:overflowPunct/>
                    <w:topLinePunct w:val="0"/>
                    <w:bidi w:val="0"/>
                    <w:adjustRightInd w:val="0"/>
                    <w:snapToGrid w:val="0"/>
                    <w:spacing w:before="1"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24C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5C09EC61">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6B3E68C0">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5AF5C11">
                  <w:pPr>
                    <w:keepNext w:val="0"/>
                    <w:keepLines w:val="0"/>
                    <w:pageBreakBefore w:val="0"/>
                    <w:overflowPunct/>
                    <w:topLinePunct w:val="0"/>
                    <w:bidi w:val="0"/>
                    <w:adjustRightInd w:val="0"/>
                    <w:snapToGrid w:val="0"/>
                    <w:spacing w:before="280"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53B8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56A9DBCE">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E1FCA7F">
                  <w:pPr>
                    <w:keepNext w:val="0"/>
                    <w:keepLines w:val="0"/>
                    <w:pageBreakBefore w:val="0"/>
                    <w:overflowPunct/>
                    <w:topLinePunct w:val="0"/>
                    <w:bidi w:val="0"/>
                    <w:adjustRightInd w:val="0"/>
                    <w:snapToGrid w:val="0"/>
                    <w:spacing w:before="47"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6CF2476C">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811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3375906">
                  <w:pPr>
                    <w:keepNext w:val="0"/>
                    <w:keepLines w:val="0"/>
                    <w:pageBreakBefore w:val="0"/>
                    <w:overflowPunct/>
                    <w:topLinePunct w:val="0"/>
                    <w:bidi w:val="0"/>
                    <w:adjustRightInd w:val="0"/>
                    <w:snapToGrid w:val="0"/>
                    <w:spacing w:before="49" w:line="360"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0DCA0FE4">
                  <w:pPr>
                    <w:keepNext w:val="0"/>
                    <w:keepLines w:val="0"/>
                    <w:pageBreakBefore w:val="0"/>
                    <w:overflowPunct/>
                    <w:topLinePunct w:val="0"/>
                    <w:bidi w:val="0"/>
                    <w:adjustRightInd w:val="0"/>
                    <w:snapToGrid w:val="0"/>
                    <w:spacing w:before="49" w:line="360"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0374AE0B">
                  <w:pPr>
                    <w:keepNext w:val="0"/>
                    <w:keepLines w:val="0"/>
                    <w:pageBreakBefore w:val="0"/>
                    <w:overflowPunct/>
                    <w:topLinePunct w:val="0"/>
                    <w:bidi w:val="0"/>
                    <w:adjustRightInd w:val="0"/>
                    <w:snapToGrid w:val="0"/>
                    <w:spacing w:line="360" w:lineRule="auto"/>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04FE3818">
                  <w:pPr>
                    <w:keepNext w:val="0"/>
                    <w:keepLines w:val="0"/>
                    <w:pageBreakBefore w:val="0"/>
                    <w:overflowPunct/>
                    <w:topLinePunct w:val="0"/>
                    <w:bidi w:val="0"/>
                    <w:adjustRightInd w:val="0"/>
                    <w:snapToGrid w:val="0"/>
                    <w:spacing w:before="129" w:line="360"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B16E3A2">
            <w:pPr>
              <w:keepNext w:val="0"/>
              <w:keepLines w:val="0"/>
              <w:pageBreakBefore w:val="0"/>
              <w:widowControl/>
              <w:overflowPunct/>
              <w:topLinePunct w:val="0"/>
              <w:bidi w:val="0"/>
              <w:adjustRightInd w:val="0"/>
              <w:snapToGrid w:val="0"/>
              <w:spacing w:line="360"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7ECCC3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234A8DE">
      <w:pPr>
        <w:keepNext w:val="0"/>
        <w:keepLines w:val="0"/>
        <w:pageBreakBefore w:val="0"/>
        <w:shd w:val="clear" w:color="auto" w:fill="auto"/>
        <w:wordWrap w:val="0"/>
        <w:overflowPunct/>
        <w:topLinePunct w:val="0"/>
        <w:bidi w:val="0"/>
        <w:adjustRightInd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r>
        <w:rPr>
          <w:rFonts w:hint="eastAsia" w:ascii="仿宋" w:hAnsi="仿宋" w:eastAsia="仿宋" w:cs="仿宋"/>
          <w:b/>
          <w:bCs w:val="0"/>
          <w:color w:val="auto"/>
          <w:sz w:val="36"/>
          <w:szCs w:val="36"/>
          <w:highlight w:val="none"/>
          <w:shd w:val="clear" w:color="auto" w:fill="auto"/>
          <w:lang w:val="en-US" w:eastAsia="zh-CN"/>
        </w:rPr>
        <w:t>附件四</w:t>
      </w:r>
    </w:p>
    <w:p w14:paraId="3B7E646E">
      <w:pPr>
        <w:pStyle w:val="2"/>
        <w:keepNext w:val="0"/>
        <w:keepLines w:val="0"/>
        <w:pageBreakBefore w:val="0"/>
        <w:overflowPunct/>
        <w:topLinePunct w:val="0"/>
        <w:bidi w:val="0"/>
        <w:adjustRightInd w:val="0"/>
        <w:snapToGrid w:val="0"/>
        <w:spacing w:line="360" w:lineRule="auto"/>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tbl>
      <w:tblPr>
        <w:tblStyle w:val="15"/>
        <w:tblW w:w="92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B31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366" w:type="dxa"/>
            <w:noWrap w:val="0"/>
            <w:vAlign w:val="center"/>
          </w:tcPr>
          <w:p w14:paraId="1961ECC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5552AFE">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04DF51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59B0783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6640B8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18787A3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631F6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08CE1ED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7801A01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7D28F6A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3B979BA2">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663D278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1F4D63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FF2024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353BC756">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0BB23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4A2CBF5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CF1224E">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2D31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5C45A9C3">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15327B5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56F2A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D7C892F">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75218BA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1B6C4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4B6CBD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54AA3A7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02917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B5307E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34E679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97CF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1" w:hRule="atLeast"/>
          <w:jc w:val="center"/>
        </w:trPr>
        <w:tc>
          <w:tcPr>
            <w:tcW w:w="1366" w:type="dxa"/>
            <w:noWrap w:val="0"/>
            <w:vAlign w:val="center"/>
          </w:tcPr>
          <w:p w14:paraId="2411F92B">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noWrap w:val="0"/>
            <w:vAlign w:val="center"/>
          </w:tcPr>
          <w:p w14:paraId="4DAE4D39">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0E6772CF">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2B87D258">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tc>
      </w:tr>
      <w:tr w14:paraId="3ABD7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E4C218E">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062405FD">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FF0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0037247A">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2BC39EC7">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0719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B7C2D0B">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5FE26B06">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047D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9276" w:type="dxa"/>
            <w:gridSpan w:val="11"/>
            <w:noWrap w:val="0"/>
            <w:vAlign w:val="center"/>
          </w:tcPr>
          <w:p w14:paraId="4AEE634C">
            <w:pPr>
              <w:keepNext w:val="0"/>
              <w:keepLines w:val="0"/>
              <w:pageBreakBefore w:val="0"/>
              <w:overflowPunct/>
              <w:topLinePunct w:val="0"/>
              <w:bidi w:val="0"/>
              <w:adjustRightInd w:val="0"/>
              <w:snapToGrid w:val="0"/>
              <w:spacing w:line="360" w:lineRule="auto"/>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7512C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C81210D">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537147D1">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6AD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D4B6442">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D2B6B34">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7ABE4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E7D8C67">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410DB353">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5C246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EC5DAC0">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EFE96B">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bl>
    <w:p w14:paraId="1D4DC3D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96" w:name="_Toc28909"/>
      <w:bookmarkStart w:id="197" w:name="_Toc12351"/>
      <w:bookmarkStart w:id="198" w:name="_Toc26227"/>
      <w:r>
        <w:rPr>
          <w:rFonts w:hint="eastAsia" w:ascii="仿宋" w:hAnsi="仿宋" w:eastAsia="仿宋" w:cs="仿宋"/>
          <w:b/>
          <w:bCs w:val="0"/>
          <w:color w:val="auto"/>
          <w:sz w:val="36"/>
          <w:szCs w:val="36"/>
          <w:highlight w:val="none"/>
          <w:shd w:val="clear" w:color="auto" w:fill="auto"/>
          <w:lang w:val="en-US" w:eastAsia="zh-CN"/>
        </w:rPr>
        <w:t>附件</w:t>
      </w:r>
      <w:bookmarkEnd w:id="196"/>
      <w:bookmarkEnd w:id="197"/>
      <w:bookmarkEnd w:id="198"/>
      <w:r>
        <w:rPr>
          <w:rFonts w:hint="eastAsia" w:ascii="仿宋" w:hAnsi="仿宋" w:eastAsia="仿宋" w:cs="仿宋"/>
          <w:b/>
          <w:bCs w:val="0"/>
          <w:color w:val="auto"/>
          <w:sz w:val="36"/>
          <w:szCs w:val="36"/>
          <w:highlight w:val="none"/>
          <w:shd w:val="clear" w:color="auto" w:fill="auto"/>
          <w:lang w:val="en-US" w:eastAsia="zh-CN"/>
        </w:rPr>
        <w:t>五</w:t>
      </w:r>
    </w:p>
    <w:p w14:paraId="7B965483">
      <w:pPr>
        <w:pStyle w:val="2"/>
        <w:keepNext w:val="0"/>
        <w:keepLines w:val="0"/>
        <w:pageBreakBefore w:val="0"/>
        <w:overflowPunct/>
        <w:topLinePunct w:val="0"/>
        <w:bidi w:val="0"/>
        <w:adjustRightInd w:val="0"/>
        <w:snapToGrid w:val="0"/>
        <w:spacing w:line="360" w:lineRule="auto"/>
        <w:ind w:firstLine="2409" w:firstLineChars="1000"/>
        <w:jc w:val="left"/>
        <w:rPr>
          <w:rFonts w:hint="eastAsia" w:ascii="仿宋" w:hAnsi="仿宋" w:eastAsia="仿宋" w:cs="仿宋"/>
          <w:b/>
          <w:color w:val="auto"/>
          <w:sz w:val="24"/>
          <w:szCs w:val="24"/>
          <w:highlight w:val="none"/>
          <w:lang w:eastAsia="zh-CN"/>
        </w:rPr>
      </w:pPr>
    </w:p>
    <w:p w14:paraId="70969B23">
      <w:pPr>
        <w:keepNext w:val="0"/>
        <w:keepLines w:val="0"/>
        <w:pageBreakBefore w:val="0"/>
        <w:widowControl/>
        <w:kinsoku w:val="0"/>
        <w:overflowPunct/>
        <w:topLinePunct w:val="0"/>
        <w:autoSpaceDE w:val="0"/>
        <w:autoSpaceDN w:val="0"/>
        <w:bidi w:val="0"/>
        <w:adjustRightInd w:val="0"/>
        <w:snapToGrid w:val="0"/>
        <w:spacing w:before="60" w:line="360"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566218E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Cs w:val="21"/>
          <w:highlight w:val="none"/>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2919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70C74093">
            <w:pPr>
              <w:keepNext w:val="0"/>
              <w:keepLines w:val="0"/>
              <w:pageBreakBefore w:val="0"/>
              <w:widowControl/>
              <w:kinsoku w:val="0"/>
              <w:overflowPunct/>
              <w:topLinePunct w:val="0"/>
              <w:autoSpaceDE w:val="0"/>
              <w:autoSpaceDN w:val="0"/>
              <w:bidi w:val="0"/>
              <w:adjustRightInd w:val="0"/>
              <w:snapToGrid w:val="0"/>
              <w:spacing w:before="149" w:line="360"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096D129">
            <w:pPr>
              <w:keepNext w:val="0"/>
              <w:keepLines w:val="0"/>
              <w:pageBreakBefore w:val="0"/>
              <w:widowControl/>
              <w:kinsoku w:val="0"/>
              <w:overflowPunct/>
              <w:topLinePunct w:val="0"/>
              <w:autoSpaceDE w:val="0"/>
              <w:autoSpaceDN w:val="0"/>
              <w:bidi w:val="0"/>
              <w:adjustRightInd w:val="0"/>
              <w:snapToGrid w:val="0"/>
              <w:spacing w:before="148" w:line="360"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597061BB">
            <w:pPr>
              <w:keepNext w:val="0"/>
              <w:keepLines w:val="0"/>
              <w:pageBreakBefore w:val="0"/>
              <w:widowControl/>
              <w:kinsoku w:val="0"/>
              <w:overflowPunct/>
              <w:topLinePunct w:val="0"/>
              <w:autoSpaceDE w:val="0"/>
              <w:autoSpaceDN w:val="0"/>
              <w:bidi w:val="0"/>
              <w:adjustRightInd w:val="0"/>
              <w:snapToGrid w:val="0"/>
              <w:spacing w:before="149" w:line="360"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7379E28B">
            <w:pPr>
              <w:keepNext w:val="0"/>
              <w:keepLines w:val="0"/>
              <w:pageBreakBefore w:val="0"/>
              <w:widowControl/>
              <w:kinsoku w:val="0"/>
              <w:overflowPunct/>
              <w:topLinePunct w:val="0"/>
              <w:autoSpaceDE w:val="0"/>
              <w:autoSpaceDN w:val="0"/>
              <w:bidi w:val="0"/>
              <w:adjustRightInd w:val="0"/>
              <w:snapToGrid w:val="0"/>
              <w:spacing w:before="149" w:line="360"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CB2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0340B5A6">
            <w:pPr>
              <w:keepNext w:val="0"/>
              <w:keepLines w:val="0"/>
              <w:pageBreakBefore w:val="0"/>
              <w:widowControl/>
              <w:kinsoku w:val="0"/>
              <w:overflowPunct/>
              <w:topLinePunct w:val="0"/>
              <w:autoSpaceDE w:val="0"/>
              <w:autoSpaceDN w:val="0"/>
              <w:bidi w:val="0"/>
              <w:adjustRightInd w:val="0"/>
              <w:snapToGrid w:val="0"/>
              <w:spacing w:before="35" w:line="360"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0287D7EC">
            <w:pPr>
              <w:keepNext w:val="0"/>
              <w:keepLines w:val="0"/>
              <w:pageBreakBefore w:val="0"/>
              <w:widowControl/>
              <w:kinsoku w:val="0"/>
              <w:overflowPunct/>
              <w:topLinePunct w:val="0"/>
              <w:autoSpaceDE w:val="0"/>
              <w:autoSpaceDN w:val="0"/>
              <w:bidi w:val="0"/>
              <w:adjustRightInd w:val="0"/>
              <w:snapToGrid w:val="0"/>
              <w:spacing w:before="178" w:line="360"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479DFA9E">
            <w:pPr>
              <w:keepNext w:val="0"/>
              <w:keepLines w:val="0"/>
              <w:pageBreakBefore w:val="0"/>
              <w:widowControl/>
              <w:kinsoku w:val="0"/>
              <w:overflowPunct/>
              <w:topLinePunct w:val="0"/>
              <w:autoSpaceDE w:val="0"/>
              <w:autoSpaceDN w:val="0"/>
              <w:bidi w:val="0"/>
              <w:adjustRightInd w:val="0"/>
              <w:snapToGrid w:val="0"/>
              <w:spacing w:before="180" w:line="360"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22D2B4C">
            <w:pPr>
              <w:keepNext w:val="0"/>
              <w:keepLines w:val="0"/>
              <w:pageBreakBefore w:val="0"/>
              <w:widowControl/>
              <w:kinsoku w:val="0"/>
              <w:overflowPunct/>
              <w:topLinePunct w:val="0"/>
              <w:autoSpaceDE w:val="0"/>
              <w:autoSpaceDN w:val="0"/>
              <w:bidi w:val="0"/>
              <w:adjustRightInd w:val="0"/>
              <w:snapToGrid w:val="0"/>
              <w:spacing w:before="182"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F57DFFE">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18EDECE">
            <w:pPr>
              <w:keepNext w:val="0"/>
              <w:keepLines w:val="0"/>
              <w:pageBreakBefore w:val="0"/>
              <w:widowControl/>
              <w:kinsoku w:val="0"/>
              <w:overflowPunct/>
              <w:topLinePunct w:val="0"/>
              <w:autoSpaceDE w:val="0"/>
              <w:autoSpaceDN w:val="0"/>
              <w:bidi w:val="0"/>
              <w:adjustRightInd w:val="0"/>
              <w:snapToGrid w:val="0"/>
              <w:spacing w:before="180" w:line="360"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371168CC">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34A09C3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43E73A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DC27C5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A7798B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A49A78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0117C410">
      <w:pPr>
        <w:keepNext w:val="0"/>
        <w:keepLines w:val="0"/>
        <w:pageBreakBefore w:val="0"/>
        <w:widowControl/>
        <w:kinsoku w:val="0"/>
        <w:overflowPunct/>
        <w:topLinePunct w:val="0"/>
        <w:autoSpaceDE w:val="0"/>
        <w:autoSpaceDN w:val="0"/>
        <w:bidi w:val="0"/>
        <w:adjustRightInd w:val="0"/>
        <w:snapToGrid w:val="0"/>
        <w:spacing w:before="75" w:line="360"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0ADE01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3DE18F2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179B13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61C0A2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3FEC1D4">
      <w:pPr>
        <w:keepNext w:val="0"/>
        <w:keepLines w:val="0"/>
        <w:pageBreakBefore w:val="0"/>
        <w:widowControl/>
        <w:kinsoku w:val="0"/>
        <w:overflowPunct/>
        <w:topLinePunct w:val="0"/>
        <w:autoSpaceDE w:val="0"/>
        <w:autoSpaceDN w:val="0"/>
        <w:bidi w:val="0"/>
        <w:adjustRightInd w:val="0"/>
        <w:snapToGrid w:val="0"/>
        <w:spacing w:before="75"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649545F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F7A425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32DF6C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49BF43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1A35DF3">
      <w:pPr>
        <w:keepNext w:val="0"/>
        <w:keepLines w:val="0"/>
        <w:pageBreakBefore w:val="0"/>
        <w:widowControl/>
        <w:kinsoku w:val="0"/>
        <w:overflowPunct/>
        <w:topLinePunct w:val="0"/>
        <w:autoSpaceDE w:val="0"/>
        <w:autoSpaceDN w:val="0"/>
        <w:bidi w:val="0"/>
        <w:adjustRightInd w:val="0"/>
        <w:snapToGrid w:val="0"/>
        <w:spacing w:before="76" w:line="360"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3FD58772">
      <w:pPr>
        <w:keepNext w:val="0"/>
        <w:keepLines w:val="0"/>
        <w:pageBreakBefore w:val="0"/>
        <w:shd w:val="clear" w:color="auto" w:fill="auto"/>
        <w:overflowPunct/>
        <w:topLinePunct w:val="0"/>
        <w:bidi w:val="0"/>
        <w:adjustRightInd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bookmarkStart w:id="199" w:name="_Toc30613"/>
    </w:p>
    <w:p w14:paraId="14E37532">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0" w:name="_Toc23664"/>
      <w:bookmarkStart w:id="201" w:name="_Toc20770"/>
      <w:r>
        <w:rPr>
          <w:rFonts w:hint="eastAsia" w:ascii="仿宋" w:hAnsi="仿宋" w:eastAsia="仿宋" w:cs="仿宋"/>
          <w:b/>
          <w:bCs w:val="0"/>
          <w:color w:val="auto"/>
          <w:sz w:val="36"/>
          <w:szCs w:val="36"/>
          <w:highlight w:val="none"/>
          <w:shd w:val="clear" w:color="auto" w:fill="auto"/>
          <w:lang w:val="en-US" w:eastAsia="zh-CN"/>
        </w:rPr>
        <w:t>附件</w:t>
      </w:r>
      <w:bookmarkEnd w:id="199"/>
      <w:bookmarkEnd w:id="200"/>
      <w:bookmarkEnd w:id="201"/>
      <w:r>
        <w:rPr>
          <w:rFonts w:hint="eastAsia" w:ascii="仿宋" w:hAnsi="仿宋" w:eastAsia="仿宋" w:cs="仿宋"/>
          <w:b/>
          <w:bCs w:val="0"/>
          <w:color w:val="auto"/>
          <w:sz w:val="36"/>
          <w:szCs w:val="36"/>
          <w:highlight w:val="none"/>
          <w:shd w:val="clear" w:color="auto" w:fill="auto"/>
          <w:lang w:val="en-US" w:eastAsia="zh-CN"/>
        </w:rPr>
        <w:t>六</w:t>
      </w:r>
    </w:p>
    <w:p w14:paraId="66FB8A56">
      <w:pPr>
        <w:keepNext w:val="0"/>
        <w:keepLines w:val="0"/>
        <w:pageBreakBefore w:val="0"/>
        <w:widowControl/>
        <w:kinsoku w:val="0"/>
        <w:overflowPunct/>
        <w:topLinePunct w:val="0"/>
        <w:autoSpaceDE w:val="0"/>
        <w:autoSpaceDN w:val="0"/>
        <w:bidi w:val="0"/>
        <w:adjustRightInd w:val="0"/>
        <w:snapToGrid w:val="0"/>
        <w:spacing w:before="59" w:line="360"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tbl>
      <w:tblPr>
        <w:tblStyle w:val="32"/>
        <w:tblW w:w="8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A94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8" w:hRule="atLeast"/>
          <w:jc w:val="center"/>
        </w:trPr>
        <w:tc>
          <w:tcPr>
            <w:tcW w:w="1297" w:type="dxa"/>
            <w:gridSpan w:val="2"/>
            <w:noWrap w:val="0"/>
            <w:vAlign w:val="top"/>
          </w:tcPr>
          <w:p w14:paraId="2AE6C9F1">
            <w:pPr>
              <w:keepNext w:val="0"/>
              <w:keepLines w:val="0"/>
              <w:pageBreakBefore w:val="0"/>
              <w:widowControl/>
              <w:kinsoku w:val="0"/>
              <w:overflowPunct/>
              <w:topLinePunct w:val="0"/>
              <w:autoSpaceDE w:val="0"/>
              <w:autoSpaceDN w:val="0"/>
              <w:bidi w:val="0"/>
              <w:adjustRightInd w:val="0"/>
              <w:snapToGrid w:val="0"/>
              <w:spacing w:before="86"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9BB64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DCC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97" w:type="dxa"/>
            <w:gridSpan w:val="2"/>
            <w:noWrap w:val="0"/>
            <w:vAlign w:val="top"/>
          </w:tcPr>
          <w:p w14:paraId="1F25C242">
            <w:pPr>
              <w:keepNext w:val="0"/>
              <w:keepLines w:val="0"/>
              <w:pageBreakBefore w:val="0"/>
              <w:widowControl/>
              <w:kinsoku w:val="0"/>
              <w:overflowPunct/>
              <w:topLinePunct w:val="0"/>
              <w:autoSpaceDE w:val="0"/>
              <w:autoSpaceDN w:val="0"/>
              <w:bidi w:val="0"/>
              <w:adjustRightInd w:val="0"/>
              <w:snapToGrid w:val="0"/>
              <w:spacing w:before="83" w:line="360"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0AC6086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0ABBC1CE">
            <w:pPr>
              <w:keepNext w:val="0"/>
              <w:keepLines w:val="0"/>
              <w:pageBreakBefore w:val="0"/>
              <w:widowControl/>
              <w:kinsoku w:val="0"/>
              <w:overflowPunct/>
              <w:topLinePunct w:val="0"/>
              <w:autoSpaceDE w:val="0"/>
              <w:autoSpaceDN w:val="0"/>
              <w:bidi w:val="0"/>
              <w:adjustRightInd w:val="0"/>
              <w:snapToGrid w:val="0"/>
              <w:spacing w:before="83"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39CE048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18C5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97" w:type="dxa"/>
            <w:gridSpan w:val="2"/>
            <w:noWrap w:val="0"/>
            <w:vAlign w:val="top"/>
          </w:tcPr>
          <w:p w14:paraId="44C5E096">
            <w:pPr>
              <w:keepNext w:val="0"/>
              <w:keepLines w:val="0"/>
              <w:pageBreakBefore w:val="0"/>
              <w:widowControl/>
              <w:kinsoku w:val="0"/>
              <w:overflowPunct/>
              <w:topLinePunct w:val="0"/>
              <w:autoSpaceDE w:val="0"/>
              <w:autoSpaceDN w:val="0"/>
              <w:bidi w:val="0"/>
              <w:adjustRightInd w:val="0"/>
              <w:snapToGrid w:val="0"/>
              <w:spacing w:before="84" w:line="360"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95A483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4DC36DFC">
            <w:pPr>
              <w:keepNext w:val="0"/>
              <w:keepLines w:val="0"/>
              <w:pageBreakBefore w:val="0"/>
              <w:widowControl/>
              <w:kinsoku w:val="0"/>
              <w:overflowPunct/>
              <w:topLinePunct w:val="0"/>
              <w:autoSpaceDE w:val="0"/>
              <w:autoSpaceDN w:val="0"/>
              <w:bidi w:val="0"/>
              <w:adjustRightInd w:val="0"/>
              <w:snapToGrid w:val="0"/>
              <w:spacing w:before="8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130595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990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07" w:type="dxa"/>
            <w:noWrap w:val="0"/>
            <w:vAlign w:val="top"/>
          </w:tcPr>
          <w:p w14:paraId="42C5542D">
            <w:pPr>
              <w:keepNext w:val="0"/>
              <w:keepLines w:val="0"/>
              <w:pageBreakBefore w:val="0"/>
              <w:widowControl/>
              <w:kinsoku w:val="0"/>
              <w:overflowPunct/>
              <w:topLinePunct w:val="0"/>
              <w:autoSpaceDE w:val="0"/>
              <w:autoSpaceDN w:val="0"/>
              <w:bidi w:val="0"/>
              <w:adjustRightInd w:val="0"/>
              <w:snapToGrid w:val="0"/>
              <w:spacing w:before="149" w:line="360"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F279DC2">
            <w:pPr>
              <w:keepNext w:val="0"/>
              <w:keepLines w:val="0"/>
              <w:pageBreakBefore w:val="0"/>
              <w:widowControl/>
              <w:kinsoku w:val="0"/>
              <w:overflowPunct/>
              <w:topLinePunct w:val="0"/>
              <w:autoSpaceDE w:val="0"/>
              <w:autoSpaceDN w:val="0"/>
              <w:bidi w:val="0"/>
              <w:adjustRightInd w:val="0"/>
              <w:snapToGrid w:val="0"/>
              <w:spacing w:before="150" w:line="360"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7D141E61">
            <w:pPr>
              <w:keepNext w:val="0"/>
              <w:keepLines w:val="0"/>
              <w:pageBreakBefore w:val="0"/>
              <w:widowControl/>
              <w:kinsoku w:val="0"/>
              <w:overflowPunct/>
              <w:topLinePunct w:val="0"/>
              <w:autoSpaceDE w:val="0"/>
              <w:autoSpaceDN w:val="0"/>
              <w:bidi w:val="0"/>
              <w:adjustRightInd w:val="0"/>
              <w:snapToGrid w:val="0"/>
              <w:spacing w:before="150" w:line="360"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091877C0">
            <w:pPr>
              <w:keepNext w:val="0"/>
              <w:keepLines w:val="0"/>
              <w:pageBreakBefore w:val="0"/>
              <w:widowControl/>
              <w:kinsoku w:val="0"/>
              <w:overflowPunct/>
              <w:topLinePunct w:val="0"/>
              <w:autoSpaceDE w:val="0"/>
              <w:autoSpaceDN w:val="0"/>
              <w:bidi w:val="0"/>
              <w:adjustRightInd w:val="0"/>
              <w:snapToGrid w:val="0"/>
              <w:spacing w:before="150" w:line="360"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CD1FDD1">
            <w:pPr>
              <w:keepNext w:val="0"/>
              <w:keepLines w:val="0"/>
              <w:pageBreakBefore w:val="0"/>
              <w:widowControl/>
              <w:kinsoku w:val="0"/>
              <w:overflowPunct/>
              <w:topLinePunct w:val="0"/>
              <w:autoSpaceDE w:val="0"/>
              <w:autoSpaceDN w:val="0"/>
              <w:bidi w:val="0"/>
              <w:adjustRightInd w:val="0"/>
              <w:snapToGrid w:val="0"/>
              <w:spacing w:before="150" w:line="360"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7C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7FC5A51">
            <w:pPr>
              <w:keepNext w:val="0"/>
              <w:keepLines w:val="0"/>
              <w:pageBreakBefore w:val="0"/>
              <w:widowControl/>
              <w:kinsoku w:val="0"/>
              <w:overflowPunct/>
              <w:topLinePunct w:val="0"/>
              <w:autoSpaceDE w:val="0"/>
              <w:autoSpaceDN w:val="0"/>
              <w:bidi w:val="0"/>
              <w:adjustRightInd w:val="0"/>
              <w:snapToGrid w:val="0"/>
              <w:spacing w:before="190" w:line="360"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393F560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B7C74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F13F9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A09693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C81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jc w:val="center"/>
        </w:trPr>
        <w:tc>
          <w:tcPr>
            <w:tcW w:w="807" w:type="dxa"/>
            <w:noWrap w:val="0"/>
            <w:vAlign w:val="top"/>
          </w:tcPr>
          <w:p w14:paraId="2C936925">
            <w:pPr>
              <w:keepNext w:val="0"/>
              <w:keepLines w:val="0"/>
              <w:pageBreakBefore w:val="0"/>
              <w:widowControl/>
              <w:kinsoku w:val="0"/>
              <w:overflowPunct/>
              <w:topLinePunct w:val="0"/>
              <w:autoSpaceDE w:val="0"/>
              <w:autoSpaceDN w:val="0"/>
              <w:bidi w:val="0"/>
              <w:adjustRightInd w:val="0"/>
              <w:snapToGrid w:val="0"/>
              <w:spacing w:before="191" w:line="360"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C7D457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073A1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90478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B9F47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91C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1AA4BC9C">
            <w:pPr>
              <w:keepNext w:val="0"/>
              <w:keepLines w:val="0"/>
              <w:pageBreakBefore w:val="0"/>
              <w:widowControl/>
              <w:kinsoku w:val="0"/>
              <w:overflowPunct/>
              <w:topLinePunct w:val="0"/>
              <w:autoSpaceDE w:val="0"/>
              <w:autoSpaceDN w:val="0"/>
              <w:bidi w:val="0"/>
              <w:adjustRightInd w:val="0"/>
              <w:snapToGrid w:val="0"/>
              <w:spacing w:before="191"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74AA0C6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5800CD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BCEB9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4A378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393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AF62D29">
            <w:pPr>
              <w:keepNext w:val="0"/>
              <w:keepLines w:val="0"/>
              <w:pageBreakBefore w:val="0"/>
              <w:widowControl/>
              <w:kinsoku w:val="0"/>
              <w:overflowPunct/>
              <w:topLinePunct w:val="0"/>
              <w:autoSpaceDE w:val="0"/>
              <w:autoSpaceDN w:val="0"/>
              <w:bidi w:val="0"/>
              <w:adjustRightInd w:val="0"/>
              <w:snapToGrid w:val="0"/>
              <w:spacing w:before="192" w:line="360"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51424B9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CEF17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7225AF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95B25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D46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76650B97">
            <w:pPr>
              <w:keepNext w:val="0"/>
              <w:keepLines w:val="0"/>
              <w:pageBreakBefore w:val="0"/>
              <w:widowControl/>
              <w:kinsoku w:val="0"/>
              <w:overflowPunct/>
              <w:topLinePunct w:val="0"/>
              <w:autoSpaceDE w:val="0"/>
              <w:autoSpaceDN w:val="0"/>
              <w:bidi w:val="0"/>
              <w:adjustRightInd w:val="0"/>
              <w:snapToGrid w:val="0"/>
              <w:spacing w:before="195"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17904D3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9AA499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6B72D4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72E160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A1D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31DF767">
            <w:pPr>
              <w:keepNext w:val="0"/>
              <w:keepLines w:val="0"/>
              <w:pageBreakBefore w:val="0"/>
              <w:widowControl/>
              <w:kinsoku w:val="0"/>
              <w:overflowPunct/>
              <w:topLinePunct w:val="0"/>
              <w:autoSpaceDE w:val="0"/>
              <w:autoSpaceDN w:val="0"/>
              <w:bidi w:val="0"/>
              <w:adjustRightInd w:val="0"/>
              <w:snapToGrid w:val="0"/>
              <w:spacing w:before="192" w:line="360"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89959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23005F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2927C2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286B8E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FDE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415B04C">
            <w:pPr>
              <w:keepNext w:val="0"/>
              <w:keepLines w:val="0"/>
              <w:pageBreakBefore w:val="0"/>
              <w:widowControl/>
              <w:kinsoku w:val="0"/>
              <w:overflowPunct/>
              <w:topLinePunct w:val="0"/>
              <w:autoSpaceDE w:val="0"/>
              <w:autoSpaceDN w:val="0"/>
              <w:bidi w:val="0"/>
              <w:adjustRightInd w:val="0"/>
              <w:snapToGrid w:val="0"/>
              <w:spacing w:before="195" w:line="360"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E9BC6D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B9D59A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CF8DD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48BD89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5837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2DE4C62">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5830D05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B5A9A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7E01781">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8AD518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C4EA4EF">
        <w:tblPrEx>
          <w:tblCellMar>
            <w:top w:w="0" w:type="dxa"/>
            <w:left w:w="0" w:type="dxa"/>
            <w:bottom w:w="0" w:type="dxa"/>
            <w:right w:w="0" w:type="dxa"/>
          </w:tblCellMar>
        </w:tblPrEx>
        <w:trPr>
          <w:trHeight w:val="340" w:hRule="atLeast"/>
          <w:jc w:val="center"/>
        </w:trPr>
        <w:tc>
          <w:tcPr>
            <w:tcW w:w="807" w:type="dxa"/>
            <w:noWrap w:val="0"/>
            <w:vAlign w:val="top"/>
          </w:tcPr>
          <w:p w14:paraId="52281D5F">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34D416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6CBBFC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DBD6B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6CA3EA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364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096F9FA8">
            <w:pPr>
              <w:keepNext w:val="0"/>
              <w:keepLines w:val="0"/>
              <w:pageBreakBefore w:val="0"/>
              <w:widowControl/>
              <w:kinsoku w:val="0"/>
              <w:overflowPunct/>
              <w:topLinePunct w:val="0"/>
              <w:autoSpaceDE w:val="0"/>
              <w:autoSpaceDN w:val="0"/>
              <w:bidi w:val="0"/>
              <w:adjustRightInd w:val="0"/>
              <w:snapToGrid w:val="0"/>
              <w:spacing w:before="193" w:line="360"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32BD910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D90AC4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7C817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1EA8CE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7C9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661" w:type="dxa"/>
            <w:gridSpan w:val="3"/>
            <w:noWrap w:val="0"/>
            <w:vAlign w:val="top"/>
          </w:tcPr>
          <w:p w14:paraId="6A7DDD28">
            <w:pPr>
              <w:keepNext w:val="0"/>
              <w:keepLines w:val="0"/>
              <w:pageBreakBefore w:val="0"/>
              <w:widowControl/>
              <w:kinsoku w:val="0"/>
              <w:overflowPunct/>
              <w:topLinePunct w:val="0"/>
              <w:autoSpaceDE w:val="0"/>
              <w:autoSpaceDN w:val="0"/>
              <w:bidi w:val="0"/>
              <w:adjustRightInd w:val="0"/>
              <w:snapToGrid w:val="0"/>
              <w:spacing w:before="39" w:line="360"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B312687">
            <w:pPr>
              <w:keepNext w:val="0"/>
              <w:keepLines w:val="0"/>
              <w:pageBreakBefore w:val="0"/>
              <w:widowControl/>
              <w:kinsoku w:val="0"/>
              <w:overflowPunct/>
              <w:topLinePunct w:val="0"/>
              <w:autoSpaceDE w:val="0"/>
              <w:autoSpaceDN w:val="0"/>
              <w:bidi w:val="0"/>
              <w:adjustRightInd w:val="0"/>
              <w:snapToGrid w:val="0"/>
              <w:spacing w:before="39" w:line="360"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25B6EDB7">
            <w:pPr>
              <w:keepNext w:val="0"/>
              <w:keepLines w:val="0"/>
              <w:pageBreakBefore w:val="0"/>
              <w:widowControl/>
              <w:kinsoku w:val="0"/>
              <w:overflowPunct/>
              <w:topLinePunct w:val="0"/>
              <w:autoSpaceDE w:val="0"/>
              <w:autoSpaceDN w:val="0"/>
              <w:bidi w:val="0"/>
              <w:adjustRightInd w:val="0"/>
              <w:snapToGrid w:val="0"/>
              <w:spacing w:before="39" w:line="360"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EE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jc w:val="center"/>
        </w:trPr>
        <w:tc>
          <w:tcPr>
            <w:tcW w:w="2661" w:type="dxa"/>
            <w:gridSpan w:val="3"/>
            <w:noWrap w:val="0"/>
            <w:vAlign w:val="top"/>
          </w:tcPr>
          <w:p w14:paraId="5E2E049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84B54CD">
            <w:pPr>
              <w:keepNext w:val="0"/>
              <w:keepLines w:val="0"/>
              <w:pageBreakBefore w:val="0"/>
              <w:widowControl/>
              <w:kinsoku w:val="0"/>
              <w:overflowPunct/>
              <w:topLinePunct w:val="0"/>
              <w:autoSpaceDE w:val="0"/>
              <w:autoSpaceDN w:val="0"/>
              <w:bidi w:val="0"/>
              <w:adjustRightInd w:val="0"/>
              <w:snapToGrid w:val="0"/>
              <w:spacing w:before="75"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368C79E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5FFE8B6">
            <w:pPr>
              <w:keepNext w:val="0"/>
              <w:keepLines w:val="0"/>
              <w:pageBreakBefore w:val="0"/>
              <w:widowControl/>
              <w:kinsoku w:val="0"/>
              <w:overflowPunct/>
              <w:topLinePunct w:val="0"/>
              <w:autoSpaceDE w:val="0"/>
              <w:autoSpaceDN w:val="0"/>
              <w:bidi w:val="0"/>
              <w:adjustRightInd w:val="0"/>
              <w:snapToGrid w:val="0"/>
              <w:spacing w:before="74"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48758D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0A273A3">
            <w:pPr>
              <w:keepNext w:val="0"/>
              <w:keepLines w:val="0"/>
              <w:pageBreakBefore w:val="0"/>
              <w:widowControl/>
              <w:kinsoku w:val="0"/>
              <w:overflowPunct/>
              <w:topLinePunct w:val="0"/>
              <w:autoSpaceDE w:val="0"/>
              <w:autoSpaceDN w:val="0"/>
              <w:bidi w:val="0"/>
              <w:adjustRightInd w:val="0"/>
              <w:snapToGrid w:val="0"/>
              <w:spacing w:before="7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2E5E315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F7BA22E">
            <w:pPr>
              <w:keepNext w:val="0"/>
              <w:keepLines w:val="0"/>
              <w:pageBreakBefore w:val="0"/>
              <w:widowControl/>
              <w:kinsoku w:val="0"/>
              <w:overflowPunct/>
              <w:topLinePunct w:val="0"/>
              <w:autoSpaceDE w:val="0"/>
              <w:autoSpaceDN w:val="0"/>
              <w:bidi w:val="0"/>
              <w:adjustRightInd w:val="0"/>
              <w:snapToGrid w:val="0"/>
              <w:spacing w:before="74"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0895F58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CEE003A">
            <w:pPr>
              <w:keepNext w:val="0"/>
              <w:keepLines w:val="0"/>
              <w:pageBreakBefore w:val="0"/>
              <w:widowControl/>
              <w:kinsoku w:val="0"/>
              <w:overflowPunct/>
              <w:topLinePunct w:val="0"/>
              <w:autoSpaceDE w:val="0"/>
              <w:autoSpaceDN w:val="0"/>
              <w:bidi w:val="0"/>
              <w:adjustRightInd w:val="0"/>
              <w:snapToGrid w:val="0"/>
              <w:spacing w:before="74" w:line="360"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9B8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2661" w:type="dxa"/>
            <w:gridSpan w:val="3"/>
            <w:noWrap w:val="0"/>
            <w:vAlign w:val="top"/>
          </w:tcPr>
          <w:p w14:paraId="2510576E">
            <w:pPr>
              <w:keepNext w:val="0"/>
              <w:keepLines w:val="0"/>
              <w:pageBreakBefore w:val="0"/>
              <w:widowControl/>
              <w:kinsoku w:val="0"/>
              <w:overflowPunct/>
              <w:topLinePunct w:val="0"/>
              <w:autoSpaceDE w:val="0"/>
              <w:autoSpaceDN w:val="0"/>
              <w:bidi w:val="0"/>
              <w:adjustRightInd w:val="0"/>
              <w:snapToGrid w:val="0"/>
              <w:spacing w:before="212" w:line="360"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3E62FF7">
            <w:pPr>
              <w:keepNext w:val="0"/>
              <w:keepLines w:val="0"/>
              <w:pageBreakBefore w:val="0"/>
              <w:widowControl/>
              <w:kinsoku w:val="0"/>
              <w:overflowPunct/>
              <w:topLinePunct w:val="0"/>
              <w:autoSpaceDE w:val="0"/>
              <w:autoSpaceDN w:val="0"/>
              <w:bidi w:val="0"/>
              <w:adjustRightInd w:val="0"/>
              <w:snapToGrid w:val="0"/>
              <w:spacing w:before="212" w:line="360"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3A15556">
            <w:pPr>
              <w:keepNext w:val="0"/>
              <w:keepLines w:val="0"/>
              <w:pageBreakBefore w:val="0"/>
              <w:widowControl/>
              <w:kinsoku w:val="0"/>
              <w:overflowPunct/>
              <w:topLinePunct w:val="0"/>
              <w:autoSpaceDE w:val="0"/>
              <w:autoSpaceDN w:val="0"/>
              <w:bidi w:val="0"/>
              <w:adjustRightInd w:val="0"/>
              <w:snapToGrid w:val="0"/>
              <w:spacing w:before="212" w:line="360"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F865F1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2" w:name="_Toc6307"/>
      <w:bookmarkStart w:id="203" w:name="_Toc12741"/>
      <w:bookmarkStart w:id="204" w:name="_Toc10964"/>
      <w:r>
        <w:rPr>
          <w:rFonts w:hint="eastAsia" w:ascii="仿宋" w:hAnsi="仿宋" w:eastAsia="仿宋" w:cs="仿宋"/>
          <w:b/>
          <w:bCs w:val="0"/>
          <w:color w:val="auto"/>
          <w:sz w:val="36"/>
          <w:szCs w:val="36"/>
          <w:highlight w:val="none"/>
          <w:shd w:val="clear" w:color="auto" w:fill="auto"/>
          <w:lang w:val="en-US" w:eastAsia="zh-CN"/>
        </w:rPr>
        <w:t>附件</w:t>
      </w:r>
      <w:bookmarkEnd w:id="202"/>
      <w:bookmarkEnd w:id="203"/>
      <w:bookmarkEnd w:id="204"/>
      <w:r>
        <w:rPr>
          <w:rFonts w:hint="eastAsia" w:ascii="仿宋" w:hAnsi="仿宋" w:eastAsia="仿宋" w:cs="仿宋"/>
          <w:b/>
          <w:bCs w:val="0"/>
          <w:color w:val="auto"/>
          <w:sz w:val="36"/>
          <w:szCs w:val="36"/>
          <w:highlight w:val="none"/>
          <w:shd w:val="clear" w:color="auto" w:fill="auto"/>
          <w:lang w:val="en-US" w:eastAsia="zh-CN"/>
        </w:rPr>
        <w:t>七</w:t>
      </w:r>
    </w:p>
    <w:p w14:paraId="420848BF">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7FF10771">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56E5836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工程结算支付证明单</w:t>
      </w:r>
    </w:p>
    <w:p w14:paraId="67CE020C">
      <w:pPr>
        <w:keepNext w:val="0"/>
        <w:keepLines w:val="0"/>
        <w:pageBreakBefore w:val="0"/>
        <w:overflowPunct/>
        <w:topLinePunct w:val="0"/>
        <w:bidi w:val="0"/>
        <w:adjustRightInd w:val="0"/>
        <w:snapToGrid w:val="0"/>
        <w:spacing w:line="360" w:lineRule="auto"/>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1ABBBB3D">
      <w:pPr>
        <w:keepNext w:val="0"/>
        <w:keepLines w:val="0"/>
        <w:pageBreakBefore w:val="0"/>
        <w:overflowPunct/>
        <w:topLinePunct w:val="0"/>
        <w:bidi w:val="0"/>
        <w:adjustRightInd w:val="0"/>
        <w:snapToGrid w:val="0"/>
        <w:spacing w:line="360" w:lineRule="auto"/>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7F2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3DE250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0610513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结算明细</w:t>
            </w:r>
          </w:p>
        </w:tc>
      </w:tr>
      <w:tr w14:paraId="694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F225AF8">
            <w:pPr>
              <w:keepNext w:val="0"/>
              <w:keepLines w:val="0"/>
              <w:pageBreakBefore w:val="0"/>
              <w:overflowPunct/>
              <w:topLinePunct w:val="0"/>
              <w:bidi w:val="0"/>
              <w:adjustRightInd w:val="0"/>
              <w:snapToGrid w:val="0"/>
              <w:spacing w:line="360" w:lineRule="auto"/>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8F74CFF">
            <w:pPr>
              <w:keepNext w:val="0"/>
              <w:keepLines w:val="0"/>
              <w:pageBreakBefore w:val="0"/>
              <w:overflowPunct/>
              <w:topLinePunct w:val="0"/>
              <w:bidi w:val="0"/>
              <w:adjustRightInd w:val="0"/>
              <w:snapToGrid w:val="0"/>
              <w:spacing w:line="360" w:lineRule="auto"/>
              <w:jc w:val="left"/>
              <w:rPr>
                <w:color w:val="auto"/>
                <w:sz w:val="30"/>
                <w:szCs w:val="30"/>
                <w:highlight w:val="none"/>
              </w:rPr>
            </w:pPr>
            <w:r>
              <w:rPr>
                <w:rFonts w:hint="eastAsia"/>
                <w:color w:val="auto"/>
                <w:sz w:val="28"/>
                <w:szCs w:val="28"/>
                <w:highlight w:val="none"/>
              </w:rPr>
              <w:t>工程名称：</w:t>
            </w:r>
          </w:p>
        </w:tc>
      </w:tr>
      <w:tr w14:paraId="60C2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2B896C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BB07728">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单位名称：</w:t>
            </w:r>
          </w:p>
        </w:tc>
      </w:tr>
      <w:tr w14:paraId="47A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C38E4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35FDB811">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合同单位负责人</w:t>
            </w:r>
            <w:r>
              <w:rPr>
                <w:rFonts w:hint="eastAsia"/>
                <w:color w:val="auto"/>
                <w:sz w:val="28"/>
                <w:szCs w:val="28"/>
                <w:highlight w:val="none"/>
                <w:lang w:eastAsia="zh-CN"/>
              </w:rPr>
              <w:t>：</w:t>
            </w:r>
          </w:p>
        </w:tc>
      </w:tr>
      <w:tr w14:paraId="692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9BC0721">
            <w:pPr>
              <w:keepNext w:val="0"/>
              <w:keepLines w:val="0"/>
              <w:pageBreakBefore w:val="0"/>
              <w:overflowPunct/>
              <w:topLinePunct w:val="0"/>
              <w:bidi w:val="0"/>
              <w:adjustRightInd w:val="0"/>
              <w:snapToGrid w:val="0"/>
              <w:spacing w:line="360" w:lineRule="auto"/>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1742AF9B">
            <w:pPr>
              <w:keepNext w:val="0"/>
              <w:keepLines w:val="0"/>
              <w:pageBreakBefore w:val="0"/>
              <w:overflowPunct/>
              <w:topLinePunct w:val="0"/>
              <w:bidi w:val="0"/>
              <w:adjustRightInd w:val="0"/>
              <w:snapToGrid w:val="0"/>
              <w:spacing w:line="360" w:lineRule="auto"/>
              <w:jc w:val="left"/>
              <w:rPr>
                <w:rFonts w:hint="eastAsia"/>
                <w:color w:val="auto"/>
                <w:sz w:val="28"/>
                <w:szCs w:val="28"/>
                <w:highlight w:val="none"/>
              </w:rPr>
            </w:pPr>
            <w:r>
              <w:rPr>
                <w:rFonts w:hint="eastAsia"/>
                <w:color w:val="auto"/>
                <w:sz w:val="28"/>
                <w:szCs w:val="28"/>
                <w:highlight w:val="none"/>
              </w:rPr>
              <w:t>合同编号：</w:t>
            </w:r>
          </w:p>
        </w:tc>
      </w:tr>
      <w:tr w14:paraId="526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D03DD3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5C18AB11">
            <w:pPr>
              <w:keepNext w:val="0"/>
              <w:keepLines w:val="0"/>
              <w:pageBreakBefore w:val="0"/>
              <w:overflowPunct/>
              <w:topLinePunct w:val="0"/>
              <w:bidi w:val="0"/>
              <w:adjustRightInd w:val="0"/>
              <w:snapToGrid w:val="0"/>
              <w:spacing w:line="360" w:lineRule="auto"/>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CD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DE4500E">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028363D">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1B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B00F654">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BB98FE6">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023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402E68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458CC661">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7365C9C0">
      <w:pPr>
        <w:keepNext w:val="0"/>
        <w:keepLines w:val="0"/>
        <w:pageBreakBefore w:val="0"/>
        <w:overflowPunct/>
        <w:topLinePunct w:val="0"/>
        <w:bidi w:val="0"/>
        <w:adjustRightInd w:val="0"/>
        <w:snapToGrid w:val="0"/>
        <w:spacing w:line="360" w:lineRule="auto"/>
        <w:jc w:val="center"/>
        <w:rPr>
          <w:color w:val="auto"/>
          <w:sz w:val="36"/>
          <w:szCs w:val="36"/>
          <w:highlight w:val="none"/>
        </w:rPr>
      </w:pPr>
    </w:p>
    <w:p w14:paraId="4561F0BC">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73170413">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533E2AD2">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6196168B">
      <w:pPr>
        <w:keepNext w:val="0"/>
        <w:keepLines w:val="0"/>
        <w:pageBreakBefore w:val="0"/>
        <w:overflowPunct/>
        <w:topLinePunct w:val="0"/>
        <w:bidi w:val="0"/>
        <w:adjustRightInd w:val="0"/>
        <w:snapToGrid w:val="0"/>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加盖公章）</w:t>
      </w:r>
    </w:p>
    <w:p w14:paraId="0D6FD8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color w:val="auto"/>
          <w:highlight w:val="none"/>
          <w:lang w:val="en-US"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08D69EC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205" w:name="_Toc5925"/>
      <w:bookmarkStart w:id="206" w:name="_Toc20382"/>
    </w:p>
    <w:p w14:paraId="62F7D5D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22CA6A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07" w:name="_Toc15770"/>
      <w:bookmarkStart w:id="208" w:name="_Toc5284"/>
      <w:bookmarkStart w:id="209" w:name="_Toc12674"/>
      <w:r>
        <w:rPr>
          <w:rFonts w:hint="eastAsia" w:ascii="仿宋" w:hAnsi="仿宋" w:eastAsia="仿宋" w:cs="仿宋"/>
          <w:b/>
          <w:bCs w:val="0"/>
          <w:color w:val="auto"/>
          <w:sz w:val="36"/>
          <w:szCs w:val="36"/>
          <w:highlight w:val="none"/>
          <w:shd w:val="clear" w:color="auto" w:fill="auto"/>
          <w:lang w:val="en-US" w:eastAsia="zh-CN"/>
        </w:rPr>
        <w:t>附件</w:t>
      </w:r>
      <w:bookmarkEnd w:id="205"/>
      <w:bookmarkEnd w:id="206"/>
      <w:bookmarkEnd w:id="207"/>
      <w:bookmarkEnd w:id="208"/>
      <w:bookmarkEnd w:id="209"/>
      <w:r>
        <w:rPr>
          <w:rFonts w:hint="eastAsia" w:ascii="仿宋" w:hAnsi="仿宋" w:eastAsia="仿宋" w:cs="仿宋"/>
          <w:b/>
          <w:bCs w:val="0"/>
          <w:color w:val="auto"/>
          <w:sz w:val="36"/>
          <w:szCs w:val="36"/>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1DA9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57D5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b/>
                <w:bCs/>
                <w:i w:val="0"/>
                <w:iCs w:val="0"/>
                <w:color w:val="auto"/>
                <w:sz w:val="36"/>
                <w:szCs w:val="36"/>
                <w:highlight w:val="none"/>
                <w:u w:val="none"/>
              </w:rPr>
            </w:pPr>
            <w:r>
              <w:rPr>
                <w:rFonts w:hint="eastAsia" w:ascii="仿宋" w:hAnsi="仿宋" w:eastAsia="仿宋" w:cs="仿宋"/>
                <w:b/>
                <w:bCs w:val="0"/>
                <w:color w:val="auto"/>
                <w:sz w:val="36"/>
                <w:szCs w:val="36"/>
                <w:highlight w:val="none"/>
                <w:shd w:val="clear" w:color="auto" w:fill="auto"/>
                <w:lang w:val="en-US" w:eastAsia="zh-CN"/>
              </w:rPr>
              <w:t>工完场清交接单</w:t>
            </w:r>
            <w:r>
              <w:rPr>
                <w:rFonts w:hint="eastAsia" w:ascii="仿宋" w:hAnsi="仿宋" w:eastAsia="仿宋" w:cs="仿宋"/>
                <w:b/>
                <w:bCs/>
                <w:i w:val="0"/>
                <w:iCs w:val="0"/>
                <w:color w:val="auto"/>
                <w:kern w:val="0"/>
                <w:sz w:val="36"/>
                <w:szCs w:val="36"/>
                <w:highlight w:val="none"/>
                <w:u w:val="none"/>
                <w:lang w:val="en-US" w:eastAsia="zh-CN" w:bidi="ar"/>
              </w:rPr>
              <w:t xml:space="preserve">                                                                                                            </w:t>
            </w:r>
          </w:p>
        </w:tc>
      </w:tr>
      <w:tr w14:paraId="2B38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5C7A4475">
            <w:pPr>
              <w:keepNext w:val="0"/>
              <w:keepLines w:val="0"/>
              <w:pageBreakBefore w:val="0"/>
              <w:widowControl/>
              <w:suppressLineNumbers w:val="0"/>
              <w:overflowPunct/>
              <w:topLinePunct w:val="0"/>
              <w:bidi w:val="0"/>
              <w:adjustRightInd w:val="0"/>
              <w:snapToGrid w:val="0"/>
              <w:spacing w:line="360" w:lineRule="auto"/>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23F7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4673A55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3910" w:type="dxa"/>
            <w:tcBorders>
              <w:top w:val="single" w:color="000000" w:sz="4" w:space="0"/>
              <w:left w:val="single" w:color="000000" w:sz="4" w:space="0"/>
              <w:bottom w:val="single" w:color="000000" w:sz="4" w:space="0"/>
              <w:right w:val="nil"/>
            </w:tcBorders>
            <w:noWrap/>
            <w:vAlign w:val="center"/>
          </w:tcPr>
          <w:p w14:paraId="1626B8E4">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4C2C3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F3DCEED">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r>
      <w:tr w14:paraId="290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E03F7">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5C6F69C3">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14D32">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6065FBD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ED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BC1E">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47ADF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95B8F">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AB73C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1BF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B0BD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E7C968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B2E9">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6316D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7B87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2AC88">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0F29985">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C0886">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A56E90A">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6D5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282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EFDF4D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C48A">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A0BE22">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4D26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10B2">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285780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E65B">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59F336">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287F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DB24">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2C3C0E7">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7516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B37793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FC3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3B7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73F20A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64270">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8EF90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5D17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D5AB3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3910" w:type="dxa"/>
            <w:tcBorders>
              <w:top w:val="nil"/>
              <w:left w:val="single" w:color="000000" w:sz="4" w:space="0"/>
              <w:bottom w:val="single" w:color="000000" w:sz="4" w:space="0"/>
              <w:right w:val="single" w:color="000000" w:sz="4" w:space="0"/>
            </w:tcBorders>
            <w:noWrap/>
            <w:vAlign w:val="center"/>
          </w:tcPr>
          <w:p w14:paraId="09D4A58D">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77A003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DD40E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BD6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EF17B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0A0FD57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68FDC8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5D71A4C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301E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29EEF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2FF965C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1C39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CB07B78">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485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19CD293">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r>
    </w:tbl>
    <w:p w14:paraId="11C71D0C">
      <w:pPr>
        <w:keepNext w:val="0"/>
        <w:keepLines w:val="0"/>
        <w:pageBreakBefore w:val="0"/>
        <w:shd w:val="clear" w:color="auto" w:fill="auto"/>
        <w:overflowPunct/>
        <w:topLinePunct w:val="0"/>
        <w:bidi w:val="0"/>
        <w:adjustRightInd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10D3BACC">
      <w:pPr>
        <w:keepNext w:val="0"/>
        <w:keepLines w:val="0"/>
        <w:pageBreakBefore w:val="0"/>
        <w:shd w:val="clear" w:color="auto" w:fill="auto"/>
        <w:overflowPunct/>
        <w:topLinePunct w:val="0"/>
        <w:bidi w:val="0"/>
        <w:adjustRightInd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5283220">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119F54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A4E3C5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10" w:name="_Toc1222"/>
      <w:bookmarkStart w:id="211" w:name="_Toc18341"/>
      <w:bookmarkStart w:id="212" w:name="_Toc15436"/>
      <w:r>
        <w:rPr>
          <w:rFonts w:hint="eastAsia" w:ascii="仿宋" w:hAnsi="仿宋" w:eastAsia="仿宋" w:cs="仿宋"/>
          <w:b/>
          <w:bCs w:val="0"/>
          <w:color w:val="auto"/>
          <w:sz w:val="36"/>
          <w:szCs w:val="36"/>
          <w:highlight w:val="none"/>
          <w:shd w:val="clear" w:color="auto" w:fill="auto"/>
          <w:lang w:val="en-US" w:eastAsia="zh-CN"/>
        </w:rPr>
        <w:t>附件</w:t>
      </w:r>
      <w:bookmarkEnd w:id="210"/>
      <w:bookmarkEnd w:id="211"/>
      <w:bookmarkEnd w:id="212"/>
      <w:r>
        <w:rPr>
          <w:rFonts w:hint="eastAsia" w:ascii="仿宋" w:hAnsi="仿宋" w:eastAsia="仿宋" w:cs="仿宋"/>
          <w:b/>
          <w:bCs w:val="0"/>
          <w:color w:val="auto"/>
          <w:sz w:val="36"/>
          <w:szCs w:val="36"/>
          <w:highlight w:val="none"/>
          <w:shd w:val="clear" w:color="auto" w:fill="auto"/>
          <w:lang w:val="en-US" w:eastAsia="zh-CN"/>
        </w:rPr>
        <w:t>九</w:t>
      </w:r>
    </w:p>
    <w:p w14:paraId="50A7D3DF">
      <w:pPr>
        <w:keepNext w:val="0"/>
        <w:keepLines w:val="0"/>
        <w:pageBreakBefore w:val="0"/>
        <w:widowControl w:val="0"/>
        <w:kinsoku/>
        <w:wordWrap/>
        <w:overflowPunct/>
        <w:topLinePunct w:val="0"/>
        <w:autoSpaceDE/>
        <w:autoSpaceDN/>
        <w:bidi w:val="0"/>
        <w:adjustRightInd w:val="0"/>
        <w:snapToGrid w:val="0"/>
        <w:spacing w:before="241" w:line="36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213" w:name="_Toc13533"/>
      <w:bookmarkStart w:id="214" w:name="_Toc9320"/>
      <w:bookmarkStart w:id="215" w:name="_Toc18585"/>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bookmarkEnd w:id="213"/>
      <w:bookmarkEnd w:id="214"/>
      <w:bookmarkEnd w:id="215"/>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25F00C37">
      <w:pPr>
        <w:keepNext w:val="0"/>
        <w:keepLines w:val="0"/>
        <w:pageBreakBefore w:val="0"/>
        <w:overflowPunct/>
        <w:topLinePunct w:val="0"/>
        <w:bidi w:val="0"/>
        <w:adjustRightInd w:val="0"/>
        <w:snapToGrid w:val="0"/>
        <w:spacing w:line="360" w:lineRule="auto"/>
        <w:ind w:firstLine="0" w:firstLineChars="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lang w:eastAsia="zh-CN"/>
        </w:rPr>
        <w:t>：</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164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noWrap w:val="0"/>
            <w:vAlign w:val="center"/>
          </w:tcPr>
          <w:p w14:paraId="13BEF37A">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778C4E4F">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42308FCD">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4E869711">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备       注</w:t>
            </w:r>
          </w:p>
        </w:tc>
      </w:tr>
      <w:tr w14:paraId="681D9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noWrap w:val="0"/>
            <w:vAlign w:val="center"/>
          </w:tcPr>
          <w:p w14:paraId="3408A926">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6607C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noWrap w:val="0"/>
            <w:vAlign w:val="center"/>
          </w:tcPr>
          <w:p w14:paraId="45399D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77088EA5">
            <w:pPr>
              <w:keepNext w:val="0"/>
              <w:keepLines w:val="0"/>
              <w:pageBreakBefore w:val="0"/>
              <w:overflowPunct/>
              <w:topLinePunct w:val="0"/>
              <w:bidi w:val="0"/>
              <w:adjustRightInd w:val="0"/>
              <w:snapToGrid w:val="0"/>
              <w:spacing w:line="360" w:lineRule="auto"/>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BE95A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46728EF6">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val="en-US" w:eastAsia="zh-CN"/>
              </w:rPr>
            </w:pPr>
          </w:p>
        </w:tc>
      </w:tr>
      <w:tr w14:paraId="30BB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noWrap w:val="0"/>
            <w:vAlign w:val="center"/>
          </w:tcPr>
          <w:p w14:paraId="70554196">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BDF2207">
            <w:pPr>
              <w:keepNext w:val="0"/>
              <w:keepLines w:val="0"/>
              <w:pageBreakBefore w:val="0"/>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03391680">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099551D">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72E49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689CC033">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5AAD14C7">
            <w:pPr>
              <w:keepNext w:val="0"/>
              <w:keepLines w:val="0"/>
              <w:pageBreakBefore w:val="0"/>
              <w:overflowPunct/>
              <w:topLinePunct w:val="0"/>
              <w:bidi w:val="0"/>
              <w:adjustRightInd w:val="0"/>
              <w:snapToGrid w:val="0"/>
              <w:spacing w:line="360" w:lineRule="auto"/>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2943E71">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3B7B6DA3">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3051F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38B499C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r>
              <w:rPr>
                <w:rFonts w:hint="eastAsia"/>
                <w:color w:val="auto"/>
                <w:sz w:val="24"/>
                <w:highlight w:val="none"/>
                <w:lang w:val="en-US" w:eastAsia="zh-CN"/>
              </w:rPr>
              <w:t>4</w:t>
            </w:r>
          </w:p>
          <w:p w14:paraId="179C6BD2">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p w14:paraId="6B1CDF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4407" w:type="dxa"/>
            <w:gridSpan w:val="2"/>
            <w:tcBorders>
              <w:top w:val="nil"/>
            </w:tcBorders>
            <w:noWrap w:val="0"/>
            <w:vAlign w:val="center"/>
          </w:tcPr>
          <w:p w14:paraId="35BB7B7C">
            <w:pPr>
              <w:keepNext w:val="0"/>
              <w:keepLines w:val="0"/>
              <w:pageBreakBefore w:val="0"/>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2F0DE7E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701B22">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4AD0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noWrap w:val="0"/>
            <w:vAlign w:val="center"/>
          </w:tcPr>
          <w:p w14:paraId="59166ECA">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4E34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noWrap w:val="0"/>
            <w:vAlign w:val="center"/>
          </w:tcPr>
          <w:p w14:paraId="141BB89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B99E4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36BFCD1B">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183B161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081BF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r>
      <w:tr w14:paraId="2CC0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504" w:type="dxa"/>
            <w:vMerge w:val="continue"/>
            <w:noWrap w:val="0"/>
            <w:vAlign w:val="center"/>
          </w:tcPr>
          <w:p w14:paraId="3441C7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1511FA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60D3257B">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1F76D87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C69A79">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234A1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04" w:type="dxa"/>
            <w:vMerge w:val="continue"/>
            <w:noWrap w:val="0"/>
            <w:vAlign w:val="center"/>
          </w:tcPr>
          <w:p w14:paraId="6D6BF26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E6DF1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D0E1981">
            <w:pPr>
              <w:keepNext w:val="0"/>
              <w:keepLines w:val="0"/>
              <w:pageBreakBefore w:val="0"/>
              <w:tabs>
                <w:tab w:val="left" w:pos="1138"/>
              </w:tabs>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9FC79CD">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0E801CF">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A3C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6C842C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05004F2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6F446B15">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7EDFCC3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C14014">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1B93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078EB2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178F45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1017D35C">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65ED96F8">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2985D19">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51C8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86E9C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0E1A2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A3FE4DE">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3EBA5B9C">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8D855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F292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noWrap w:val="0"/>
            <w:vAlign w:val="center"/>
          </w:tcPr>
          <w:p w14:paraId="6E339F6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42CB88A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3278DDC6">
            <w:pPr>
              <w:keepNext w:val="0"/>
              <w:keepLines w:val="0"/>
              <w:pageBreakBefore w:val="0"/>
              <w:overflowPunct/>
              <w:topLinePunct w:val="0"/>
              <w:bidi w:val="0"/>
              <w:adjustRightInd w:val="0"/>
              <w:snapToGrid w:val="0"/>
              <w:spacing w:line="360" w:lineRule="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48EDCBB7">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p>
        </w:tc>
        <w:tc>
          <w:tcPr>
            <w:tcW w:w="760" w:type="dxa"/>
            <w:tcBorders>
              <w:top w:val="nil"/>
            </w:tcBorders>
            <w:noWrap w:val="0"/>
            <w:vAlign w:val="center"/>
          </w:tcPr>
          <w:p w14:paraId="166769E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2EF952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3DB66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5F3C125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62885C8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22F84BA9">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097A66D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A69A8BD">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54F3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4979C65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A77551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49F33BA3">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11FAEB50">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58CC61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E45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6BC42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657DB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50385451">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7A79E10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D9B906">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23F20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504" w:type="dxa"/>
            <w:vMerge w:val="continue"/>
            <w:noWrap w:val="0"/>
            <w:vAlign w:val="center"/>
          </w:tcPr>
          <w:p w14:paraId="1A9108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A8B292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883B4BE">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2251670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869BAD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272F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504" w:type="dxa"/>
            <w:vMerge w:val="continue"/>
            <w:noWrap w:val="0"/>
            <w:vAlign w:val="center"/>
          </w:tcPr>
          <w:p w14:paraId="7D742381">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6AD117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F35AC12">
            <w:pPr>
              <w:keepNext w:val="0"/>
              <w:keepLines w:val="0"/>
              <w:pageBreakBefore w:val="0"/>
              <w:tabs>
                <w:tab w:val="left" w:pos="1289"/>
              </w:tabs>
              <w:overflowPunct/>
              <w:topLinePunct w:val="0"/>
              <w:bidi w:val="0"/>
              <w:adjustRightInd w:val="0"/>
              <w:snapToGrid w:val="0"/>
              <w:spacing w:line="360" w:lineRule="auto"/>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174279B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1BF820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8C3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504" w:type="dxa"/>
            <w:vMerge w:val="continue"/>
            <w:noWrap w:val="0"/>
            <w:vAlign w:val="center"/>
          </w:tcPr>
          <w:p w14:paraId="799B4A0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0895BEA">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0C4097C">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731592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2732" w:type="dxa"/>
            <w:noWrap w:val="0"/>
            <w:vAlign w:val="center"/>
          </w:tcPr>
          <w:p w14:paraId="4291FD21">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0F7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noWrap w:val="0"/>
            <w:vAlign w:val="center"/>
          </w:tcPr>
          <w:p w14:paraId="6E56F2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0E25F16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5839BA57">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2A6E8F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4FA8B218">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r w14:paraId="4FEFC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noWrap w:val="0"/>
            <w:vAlign w:val="center"/>
          </w:tcPr>
          <w:p w14:paraId="56D0830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1739" w:type="dxa"/>
            <w:vMerge w:val="continue"/>
            <w:noWrap w:val="0"/>
            <w:vAlign w:val="center"/>
          </w:tcPr>
          <w:p w14:paraId="4E9D427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668" w:type="dxa"/>
            <w:noWrap w:val="0"/>
            <w:vAlign w:val="center"/>
          </w:tcPr>
          <w:p w14:paraId="4A7F5AF6">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49F81111">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3763402A">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bl>
    <w:p w14:paraId="2CEB329F">
      <w:pPr>
        <w:keepNext w:val="0"/>
        <w:keepLines w:val="0"/>
        <w:pageBreakBefore w:val="0"/>
        <w:shd w:val="clear" w:color="auto" w:fill="auto"/>
        <w:overflowPunct/>
        <w:topLinePunct w:val="0"/>
        <w:bidi w:val="0"/>
        <w:adjustRightInd w:val="0"/>
        <w:snapToGrid w:val="0"/>
        <w:spacing w:line="360" w:lineRule="auto"/>
        <w:jc w:val="right"/>
        <w:rPr>
          <w:rFonts w:hint="default" w:ascii="仿宋" w:hAnsi="仿宋" w:eastAsia="仿宋" w:cs="仿宋"/>
          <w:color w:val="auto"/>
          <w:sz w:val="24"/>
          <w:szCs w:val="24"/>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t>附件十</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676"/>
        <w:gridCol w:w="1093"/>
        <w:gridCol w:w="1050"/>
        <w:gridCol w:w="612"/>
        <w:gridCol w:w="830"/>
        <w:gridCol w:w="768"/>
        <w:gridCol w:w="776"/>
        <w:gridCol w:w="662"/>
        <w:gridCol w:w="571"/>
        <w:gridCol w:w="810"/>
        <w:gridCol w:w="788"/>
        <w:gridCol w:w="688"/>
      </w:tblGrid>
      <w:tr w14:paraId="4147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5000" w:type="pct"/>
            <w:gridSpan w:val="13"/>
            <w:tcBorders>
              <w:top w:val="nil"/>
              <w:left w:val="nil"/>
              <w:bottom w:val="nil"/>
              <w:right w:val="nil"/>
            </w:tcBorders>
            <w:shd w:val="clear" w:color="auto" w:fill="auto"/>
            <w:noWrap/>
            <w:vAlign w:val="center"/>
          </w:tcPr>
          <w:p w14:paraId="33A53909">
            <w:pPr>
              <w:pStyle w:val="7"/>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216" w:name="_Toc23635"/>
            <w:bookmarkStart w:id="217" w:name="_Toc32349"/>
            <w:bookmarkStart w:id="218" w:name="_Toc12449"/>
            <w:bookmarkStart w:id="219" w:name="_Toc22410"/>
            <w:bookmarkStart w:id="220" w:name="_Toc22066"/>
            <w:bookmarkStart w:id="221" w:name="_Toc17589"/>
            <w:bookmarkStart w:id="222" w:name="_Toc19167"/>
            <w:bookmarkStart w:id="223" w:name="_Toc6026"/>
            <w:bookmarkStart w:id="224" w:name="_Toc14717"/>
            <w:bookmarkStart w:id="225" w:name="_Toc15414"/>
            <w:bookmarkStart w:id="226" w:name="_Toc17427"/>
            <w:bookmarkStart w:id="227" w:name="_Toc31985"/>
            <w:r>
              <w:rPr>
                <w:rFonts w:hint="eastAsia" w:ascii="仿宋" w:hAnsi="仿宋" w:eastAsia="仿宋" w:cs="仿宋"/>
                <w:b/>
                <w:bCs/>
                <w:spacing w:val="5"/>
                <w:sz w:val="28"/>
                <w:szCs w:val="28"/>
                <w:highlight w:val="none"/>
              </w:rPr>
              <w:t>结算竣工图承诺书</w:t>
            </w:r>
            <w:bookmarkEnd w:id="216"/>
            <w:bookmarkEnd w:id="217"/>
            <w:bookmarkEnd w:id="218"/>
            <w:bookmarkEnd w:id="219"/>
            <w:bookmarkEnd w:id="220"/>
            <w:bookmarkEnd w:id="221"/>
            <w:bookmarkEnd w:id="222"/>
            <w:bookmarkEnd w:id="223"/>
            <w:bookmarkEnd w:id="224"/>
            <w:bookmarkEnd w:id="225"/>
            <w:bookmarkEnd w:id="226"/>
            <w:bookmarkEnd w:id="227"/>
          </w:p>
          <w:p w14:paraId="37D5F852">
            <w:pPr>
              <w:pStyle w:val="7"/>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2EA962DE">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2A612A07">
            <w:pPr>
              <w:pStyle w:val="7"/>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2477DB3C">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494A3C91">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50EAF931">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32D1EA38">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62C9B960">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2DCA8D4A">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25D23AEC">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4A4B2E39">
            <w:pPr>
              <w:pStyle w:val="7"/>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228" w:name="_Toc30953"/>
            <w:bookmarkStart w:id="229" w:name="_Toc13297"/>
            <w:bookmarkStart w:id="230" w:name="_Toc185"/>
            <w:bookmarkStart w:id="231" w:name="_Toc20245"/>
            <w:bookmarkStart w:id="232" w:name="_Toc4039"/>
            <w:bookmarkStart w:id="233" w:name="_Toc29737"/>
            <w:bookmarkStart w:id="234" w:name="_Toc27605"/>
            <w:bookmarkStart w:id="235" w:name="_Toc16877"/>
            <w:bookmarkStart w:id="236" w:name="_Toc21296"/>
            <w:bookmarkStart w:id="237" w:name="_Toc11544"/>
            <w:r>
              <w:rPr>
                <w:rFonts w:hint="eastAsia" w:ascii="仿宋" w:hAnsi="仿宋" w:eastAsia="仿宋" w:cs="仿宋"/>
                <w:b/>
                <w:bCs/>
                <w:color w:val="191F25"/>
                <w:spacing w:val="-4"/>
                <w:sz w:val="22"/>
                <w:szCs w:val="22"/>
                <w:highlight w:val="none"/>
              </w:rPr>
              <w:t>三、</w:t>
            </w:r>
            <w:bookmarkEnd w:id="228"/>
            <w:bookmarkEnd w:id="229"/>
            <w:bookmarkEnd w:id="230"/>
            <w:bookmarkEnd w:id="231"/>
            <w:r>
              <w:rPr>
                <w:rFonts w:hint="eastAsia" w:ascii="仿宋" w:hAnsi="仿宋" w:eastAsia="仿宋" w:cs="仿宋"/>
                <w:b/>
                <w:bCs/>
                <w:color w:val="191F25"/>
                <w:spacing w:val="-4"/>
                <w:sz w:val="22"/>
                <w:szCs w:val="22"/>
                <w:highlight w:val="none"/>
                <w:lang w:val="en-US" w:eastAsia="zh-CN"/>
              </w:rPr>
              <w:t>特别约定</w:t>
            </w:r>
            <w:bookmarkEnd w:id="232"/>
            <w:bookmarkEnd w:id="233"/>
            <w:bookmarkEnd w:id="234"/>
            <w:bookmarkEnd w:id="235"/>
            <w:bookmarkEnd w:id="236"/>
            <w:bookmarkEnd w:id="237"/>
          </w:p>
          <w:p w14:paraId="05D01786">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99B678F">
            <w:pPr>
              <w:pStyle w:val="7"/>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outlineLvl w:val="0"/>
              <w:rPr>
                <w:rFonts w:hint="eastAsia" w:ascii="仿宋" w:hAnsi="仿宋" w:eastAsia="仿宋" w:cs="仿宋"/>
                <w:sz w:val="22"/>
                <w:szCs w:val="22"/>
                <w:highlight w:val="none"/>
              </w:rPr>
            </w:pPr>
            <w:bookmarkStart w:id="238" w:name="_Toc14713"/>
            <w:bookmarkStart w:id="239" w:name="_Toc4382"/>
            <w:bookmarkStart w:id="240" w:name="_Toc12099"/>
            <w:bookmarkStart w:id="241" w:name="_Toc12957"/>
            <w:bookmarkStart w:id="242" w:name="_Toc3393"/>
            <w:bookmarkStart w:id="243" w:name="_Toc10631"/>
            <w:bookmarkStart w:id="244" w:name="_Toc8698"/>
            <w:bookmarkStart w:id="245" w:name="_Toc15870"/>
            <w:bookmarkStart w:id="246" w:name="_Toc12062"/>
            <w:bookmarkStart w:id="247" w:name="_Toc22830"/>
            <w:r>
              <w:rPr>
                <w:rFonts w:hint="eastAsia" w:ascii="仿宋" w:hAnsi="仿宋" w:eastAsia="仿宋" w:cs="仿宋"/>
                <w:color w:val="191F25"/>
                <w:spacing w:val="-2"/>
                <w:sz w:val="22"/>
                <w:szCs w:val="22"/>
                <w:highlight w:val="none"/>
              </w:rPr>
              <w:t>特此承诺！</w:t>
            </w:r>
            <w:bookmarkEnd w:id="238"/>
            <w:bookmarkEnd w:id="239"/>
            <w:bookmarkEnd w:id="240"/>
            <w:bookmarkEnd w:id="241"/>
            <w:bookmarkEnd w:id="242"/>
            <w:bookmarkEnd w:id="243"/>
            <w:bookmarkEnd w:id="244"/>
            <w:bookmarkEnd w:id="245"/>
            <w:bookmarkEnd w:id="246"/>
            <w:bookmarkEnd w:id="247"/>
          </w:p>
          <w:p w14:paraId="2C2BC2CB">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063CE311">
            <w:pPr>
              <w:pStyle w:val="7"/>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248" w:name="_Toc31560"/>
            <w:bookmarkStart w:id="249" w:name="_Toc2476"/>
            <w:bookmarkStart w:id="250" w:name="_Toc24106"/>
            <w:bookmarkStart w:id="251" w:name="_Toc10842"/>
            <w:bookmarkStart w:id="252" w:name="_Toc11692"/>
            <w:bookmarkStart w:id="253" w:name="_Toc2420"/>
            <w:bookmarkStart w:id="254" w:name="_Toc32507"/>
            <w:bookmarkStart w:id="255" w:name="_Toc30761"/>
            <w:bookmarkStart w:id="256" w:name="_Toc9829"/>
            <w:bookmarkStart w:id="257" w:name="_Toc24037"/>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248"/>
            <w:bookmarkEnd w:id="249"/>
            <w:bookmarkEnd w:id="250"/>
            <w:bookmarkEnd w:id="251"/>
            <w:bookmarkEnd w:id="252"/>
            <w:bookmarkEnd w:id="253"/>
            <w:bookmarkEnd w:id="254"/>
            <w:bookmarkEnd w:id="255"/>
            <w:bookmarkEnd w:id="256"/>
            <w:bookmarkEnd w:id="257"/>
          </w:p>
          <w:p w14:paraId="727551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3C2104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7C2B4A09">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37C4050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705CFFC7">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7557C29">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425" w:firstLineChars="197"/>
              <w:jc w:val="right"/>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526D6738">
            <w:pPr>
              <w:keepNext w:val="0"/>
              <w:keepLines w:val="0"/>
              <w:pageBreakBefore w:val="0"/>
              <w:shd w:val="clear" w:color="auto" w:fill="auto"/>
              <w:kinsoku/>
              <w:overflowPunct/>
              <w:topLinePunct w:val="0"/>
              <w:autoSpaceDE/>
              <w:autoSpaceDN/>
              <w:bidi w:val="0"/>
              <w:adjustRightInd w:val="0"/>
              <w:snapToGrid w:val="0"/>
              <w:spacing w:before="241" w:line="360" w:lineRule="auto"/>
              <w:jc w:val="both"/>
              <w:rPr>
                <w:rFonts w:hint="eastAsia" w:ascii="仿宋" w:hAnsi="仿宋" w:eastAsia="仿宋" w:cs="仿宋"/>
                <w:color w:val="191F25"/>
                <w:spacing w:val="-2"/>
                <w:sz w:val="22"/>
                <w:szCs w:val="22"/>
                <w:highlight w:val="none"/>
              </w:rPr>
            </w:pPr>
          </w:p>
          <w:p w14:paraId="35905587">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617" w:firstLineChars="197"/>
              <w:jc w:val="right"/>
              <w:rPr>
                <w:rFonts w:hint="default" w:ascii="仿宋" w:hAnsi="仿宋" w:eastAsia="仿宋" w:cs="仿宋"/>
                <w:b/>
                <w:bCs/>
                <w:color w:val="auto"/>
                <w:spacing w:val="-4"/>
                <w:position w:val="21"/>
                <w:sz w:val="32"/>
                <w:szCs w:val="32"/>
                <w:highlight w:val="none"/>
                <w:lang w:val="en-US" w:eastAsia="zh-CN"/>
              </w:rPr>
            </w:pPr>
            <w:r>
              <w:rPr>
                <w:rFonts w:hint="eastAsia" w:ascii="仿宋" w:hAnsi="仿宋" w:eastAsia="仿宋" w:cs="仿宋"/>
                <w:b/>
                <w:bCs/>
                <w:color w:val="auto"/>
                <w:spacing w:val="-4"/>
                <w:position w:val="21"/>
                <w:sz w:val="32"/>
                <w:szCs w:val="32"/>
                <w:highlight w:val="none"/>
                <w:lang w:val="en-US" w:eastAsia="zh-CN"/>
              </w:rPr>
              <w:t>附件十一</w:t>
            </w:r>
          </w:p>
          <w:p w14:paraId="45128C7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6D3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465" w:type="pct"/>
            <w:gridSpan w:val="6"/>
            <w:tcBorders>
              <w:top w:val="nil"/>
              <w:left w:val="nil"/>
              <w:bottom w:val="nil"/>
              <w:right w:val="nil"/>
            </w:tcBorders>
            <w:shd w:val="clear" w:color="auto" w:fill="auto"/>
            <w:noWrap/>
            <w:vAlign w:val="center"/>
          </w:tcPr>
          <w:p w14:paraId="7039CE1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534" w:type="pct"/>
            <w:gridSpan w:val="7"/>
            <w:tcBorders>
              <w:top w:val="nil"/>
              <w:left w:val="nil"/>
              <w:bottom w:val="nil"/>
              <w:right w:val="nil"/>
            </w:tcBorders>
            <w:shd w:val="clear" w:color="auto" w:fill="auto"/>
            <w:noWrap/>
            <w:vAlign w:val="center"/>
          </w:tcPr>
          <w:p w14:paraId="201659E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FF6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FD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C06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A4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62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F596">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EB6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BD7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A6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FE9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9B7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6F3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B79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16A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0D2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2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49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B1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F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4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9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9FC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E2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E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9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9C7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3A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89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F18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08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01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FE3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8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0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0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5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B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1F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7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4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A25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A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29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CA4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E6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A5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2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0C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A1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B8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B9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24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9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02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B8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E3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2BE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CB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4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EE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1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FEB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06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F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3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D5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31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4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C0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6E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9C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54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00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9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C4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0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74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2A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8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1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3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E3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DB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5D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751D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FD5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A9D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67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A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84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2A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F8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CC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EF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C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E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B8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8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B1F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BF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27A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D6D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0C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4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E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8A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1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8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C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4B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1A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F7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D4C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3B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0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28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D7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58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10F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9A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1E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371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39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3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3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B1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3C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4E3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E16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F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F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57B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74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4F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A6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2D6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6FE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C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FE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6C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6CA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23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6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C3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1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A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9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6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81D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E96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59A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B9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CA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D92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F1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D10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0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7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E3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D16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A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0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6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91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2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1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570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E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92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5A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79F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10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9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2E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4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E2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4D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0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25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6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00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8B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DB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3D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55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A4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095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F57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CC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09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5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4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B0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2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2A2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CF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3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B4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9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6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E3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367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4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52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49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F6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4DA3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3FE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B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02A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3C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E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9B3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9F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9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4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4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E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C75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4C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1D2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83015C">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6A2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171" w:type="pct"/>
            <w:gridSpan w:val="3"/>
            <w:tcBorders>
              <w:top w:val="nil"/>
              <w:left w:val="nil"/>
              <w:bottom w:val="nil"/>
              <w:right w:val="nil"/>
            </w:tcBorders>
            <w:shd w:val="clear" w:color="auto" w:fill="auto"/>
            <w:noWrap/>
            <w:vAlign w:val="center"/>
          </w:tcPr>
          <w:p w14:paraId="1C9BB3B0">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572" w:type="pct"/>
            <w:tcBorders>
              <w:top w:val="nil"/>
              <w:left w:val="nil"/>
              <w:bottom w:val="nil"/>
              <w:right w:val="nil"/>
            </w:tcBorders>
            <w:shd w:val="clear" w:color="auto" w:fill="auto"/>
            <w:noWrap/>
            <w:vAlign w:val="center"/>
          </w:tcPr>
          <w:p w14:paraId="66FE7C4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291" w:type="pct"/>
            <w:tcBorders>
              <w:top w:val="nil"/>
              <w:left w:val="nil"/>
              <w:bottom w:val="nil"/>
              <w:right w:val="nil"/>
            </w:tcBorders>
            <w:shd w:val="clear" w:color="auto" w:fill="auto"/>
            <w:noWrap/>
            <w:vAlign w:val="center"/>
          </w:tcPr>
          <w:p w14:paraId="6405534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31" w:type="pct"/>
            <w:tcBorders>
              <w:top w:val="nil"/>
              <w:left w:val="nil"/>
              <w:bottom w:val="nil"/>
              <w:right w:val="nil"/>
            </w:tcBorders>
            <w:shd w:val="clear" w:color="auto" w:fill="auto"/>
            <w:noWrap/>
            <w:vAlign w:val="center"/>
          </w:tcPr>
          <w:p w14:paraId="55B007B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1110" w:type="pct"/>
            <w:gridSpan w:val="3"/>
            <w:tcBorders>
              <w:top w:val="nil"/>
              <w:left w:val="nil"/>
              <w:bottom w:val="nil"/>
              <w:right w:val="nil"/>
            </w:tcBorders>
            <w:shd w:val="clear" w:color="auto" w:fill="auto"/>
            <w:noWrap/>
            <w:vAlign w:val="center"/>
          </w:tcPr>
          <w:p w14:paraId="6D4FB11B">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265" w:type="pct"/>
            <w:tcBorders>
              <w:top w:val="nil"/>
              <w:left w:val="nil"/>
              <w:bottom w:val="nil"/>
              <w:right w:val="nil"/>
            </w:tcBorders>
            <w:shd w:val="clear" w:color="auto" w:fill="auto"/>
            <w:noWrap/>
            <w:vAlign w:val="center"/>
          </w:tcPr>
          <w:p w14:paraId="0931A8B3">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822" w:type="pct"/>
            <w:gridSpan w:val="2"/>
            <w:tcBorders>
              <w:top w:val="nil"/>
              <w:left w:val="nil"/>
              <w:bottom w:val="nil"/>
              <w:right w:val="nil"/>
            </w:tcBorders>
            <w:shd w:val="clear" w:color="auto" w:fill="auto"/>
            <w:noWrap/>
            <w:vAlign w:val="center"/>
          </w:tcPr>
          <w:p w14:paraId="6D14B96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335" w:type="pct"/>
            <w:tcBorders>
              <w:top w:val="nil"/>
              <w:left w:val="nil"/>
              <w:bottom w:val="nil"/>
              <w:right w:val="nil"/>
            </w:tcBorders>
            <w:shd w:val="clear" w:color="auto" w:fill="auto"/>
            <w:noWrap/>
            <w:vAlign w:val="center"/>
          </w:tcPr>
          <w:p w14:paraId="0230264D">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B05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171" w:type="pct"/>
            <w:gridSpan w:val="3"/>
            <w:tcBorders>
              <w:top w:val="nil"/>
              <w:left w:val="nil"/>
              <w:bottom w:val="nil"/>
              <w:right w:val="nil"/>
            </w:tcBorders>
            <w:shd w:val="clear" w:color="auto" w:fill="auto"/>
            <w:noWrap/>
            <w:vAlign w:val="center"/>
          </w:tcPr>
          <w:p w14:paraId="28F84052">
            <w:pPr>
              <w:keepNext w:val="0"/>
              <w:keepLines w:val="0"/>
              <w:pageBreakBefore w:val="0"/>
              <w:overflowPunct/>
              <w:topLinePunct w:val="0"/>
              <w:bidi w:val="0"/>
              <w:adjustRightInd w:val="0"/>
              <w:snapToGrid w:val="0"/>
              <w:spacing w:line="360" w:lineRule="auto"/>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863" w:type="pct"/>
            <w:gridSpan w:val="2"/>
            <w:tcBorders>
              <w:top w:val="nil"/>
              <w:left w:val="nil"/>
              <w:bottom w:val="nil"/>
              <w:right w:val="nil"/>
            </w:tcBorders>
            <w:shd w:val="clear" w:color="auto" w:fill="auto"/>
            <w:noWrap/>
            <w:vAlign w:val="center"/>
          </w:tcPr>
          <w:p w14:paraId="18DA9768">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431" w:type="pct"/>
            <w:tcBorders>
              <w:top w:val="nil"/>
              <w:left w:val="nil"/>
              <w:bottom w:val="nil"/>
              <w:right w:val="nil"/>
            </w:tcBorders>
            <w:shd w:val="clear" w:color="auto" w:fill="auto"/>
            <w:noWrap/>
            <w:vAlign w:val="center"/>
          </w:tcPr>
          <w:p w14:paraId="02096F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1" w:type="pct"/>
            <w:tcBorders>
              <w:top w:val="nil"/>
              <w:left w:val="nil"/>
              <w:bottom w:val="nil"/>
              <w:right w:val="nil"/>
            </w:tcBorders>
            <w:shd w:val="clear" w:color="auto" w:fill="auto"/>
            <w:noWrap/>
            <w:vAlign w:val="center"/>
          </w:tcPr>
          <w:p w14:paraId="2F55A16E">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6" w:type="pct"/>
            <w:tcBorders>
              <w:top w:val="nil"/>
              <w:left w:val="nil"/>
              <w:bottom w:val="nil"/>
              <w:right w:val="nil"/>
            </w:tcBorders>
            <w:shd w:val="clear" w:color="auto" w:fill="auto"/>
            <w:noWrap/>
            <w:vAlign w:val="center"/>
          </w:tcPr>
          <w:p w14:paraId="04638EE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22" w:type="pct"/>
            <w:tcBorders>
              <w:top w:val="nil"/>
              <w:left w:val="nil"/>
              <w:bottom w:val="nil"/>
              <w:right w:val="nil"/>
            </w:tcBorders>
            <w:shd w:val="clear" w:color="auto" w:fill="auto"/>
            <w:noWrap/>
            <w:vAlign w:val="center"/>
          </w:tcPr>
          <w:p w14:paraId="76BD5E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265" w:type="pct"/>
            <w:tcBorders>
              <w:top w:val="nil"/>
              <w:left w:val="nil"/>
              <w:bottom w:val="nil"/>
              <w:right w:val="nil"/>
            </w:tcBorders>
            <w:shd w:val="clear" w:color="auto" w:fill="auto"/>
            <w:noWrap/>
            <w:vAlign w:val="center"/>
          </w:tcPr>
          <w:p w14:paraId="02D4954B">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18" w:type="pct"/>
            <w:tcBorders>
              <w:top w:val="nil"/>
              <w:left w:val="nil"/>
              <w:bottom w:val="nil"/>
              <w:right w:val="nil"/>
            </w:tcBorders>
            <w:shd w:val="clear" w:color="auto" w:fill="auto"/>
            <w:noWrap/>
            <w:vAlign w:val="center"/>
          </w:tcPr>
          <w:p w14:paraId="17F4666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739" w:type="pct"/>
            <w:gridSpan w:val="2"/>
            <w:tcBorders>
              <w:top w:val="nil"/>
              <w:left w:val="nil"/>
              <w:bottom w:val="nil"/>
              <w:right w:val="nil"/>
            </w:tcBorders>
            <w:shd w:val="clear" w:color="auto" w:fill="auto"/>
            <w:noWrap/>
            <w:vAlign w:val="center"/>
          </w:tcPr>
          <w:p w14:paraId="79ABE82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EE6B69C">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ind w:firstLine="0" w:firstLineChars="0"/>
        <w:jc w:val="left"/>
        <w:textAlignment w:val="baseline"/>
        <w:rPr>
          <w:rFonts w:hint="eastAsia" w:ascii="宋体" w:hAnsi="宋体" w:eastAsia="宋体" w:cs="宋体"/>
          <w:color w:val="auto"/>
          <w:spacing w:val="-2"/>
          <w:sz w:val="22"/>
          <w:szCs w:val="22"/>
          <w:highlight w:val="none"/>
        </w:rPr>
        <w:sectPr>
          <w:footerReference r:id="rId7" w:type="default"/>
          <w:pgSz w:w="11906" w:h="16839"/>
          <w:pgMar w:top="1361" w:right="1134" w:bottom="1247" w:left="1134" w:header="0" w:footer="0" w:gutter="0"/>
          <w:pgNumType w:fmt="decimal" w:start="1"/>
          <w:cols w:space="720" w:num="1"/>
        </w:sectPr>
      </w:pPr>
    </w:p>
    <w:p w14:paraId="71BBD7F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258" w:name="_Toc21517"/>
      <w:bookmarkStart w:id="259" w:name="_Toc21618"/>
      <w:bookmarkStart w:id="260" w:name="_Toc2543"/>
      <w:bookmarkStart w:id="261" w:name="_Toc3010"/>
      <w:bookmarkStart w:id="262" w:name="_Toc18836"/>
      <w:bookmarkStart w:id="263" w:name="_Toc1383"/>
      <w:bookmarkStart w:id="264" w:name="_Toc9202"/>
      <w:bookmarkStart w:id="265" w:name="_Toc22581"/>
      <w:bookmarkStart w:id="266" w:name="_Toc23674"/>
      <w:bookmarkStart w:id="267" w:name="_Toc98"/>
      <w:r>
        <w:rPr>
          <w:rFonts w:hint="eastAsia" w:ascii="仿宋" w:hAnsi="仿宋" w:eastAsia="仿宋" w:cs="仿宋"/>
          <w:b/>
          <w:bCs w:val="0"/>
          <w:color w:val="auto"/>
          <w:sz w:val="36"/>
          <w:szCs w:val="36"/>
          <w:highlight w:val="none"/>
          <w:shd w:val="clear" w:color="auto" w:fill="auto"/>
          <w:lang w:val="en-US" w:eastAsia="zh-CN"/>
        </w:rPr>
        <w:t>附件十</w:t>
      </w:r>
      <w:bookmarkEnd w:id="258"/>
      <w:bookmarkEnd w:id="259"/>
      <w:bookmarkEnd w:id="260"/>
      <w:bookmarkEnd w:id="261"/>
      <w:bookmarkEnd w:id="262"/>
      <w:bookmarkEnd w:id="263"/>
      <w:bookmarkEnd w:id="264"/>
      <w:bookmarkEnd w:id="265"/>
      <w:r>
        <w:rPr>
          <w:rFonts w:hint="eastAsia" w:ascii="仿宋" w:hAnsi="仿宋" w:eastAsia="仿宋" w:cs="仿宋"/>
          <w:b/>
          <w:bCs w:val="0"/>
          <w:color w:val="auto"/>
          <w:sz w:val="36"/>
          <w:szCs w:val="36"/>
          <w:highlight w:val="none"/>
          <w:shd w:val="clear" w:color="auto" w:fill="auto"/>
          <w:lang w:val="en-US" w:eastAsia="zh-CN"/>
        </w:rPr>
        <w:t>二</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31DA606A">
      <w:pPr>
        <w:keepNext w:val="0"/>
        <w:keepLines w:val="0"/>
        <w:pageBreakBefore w:val="0"/>
        <w:shd w:val="clear" w:color="auto" w:fill="auto"/>
        <w:overflowPunct/>
        <w:topLinePunct w:val="0"/>
        <w:bidi w:val="0"/>
        <w:adjustRightInd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74160DB1">
      <w:pPr>
        <w:pStyle w:val="2"/>
        <w:rPr>
          <w:rFonts w:hint="eastAsia" w:ascii="仿宋" w:hAnsi="仿宋" w:eastAsia="仿宋" w:cs="仿宋"/>
          <w:b/>
          <w:bCs/>
          <w:sz w:val="36"/>
          <w:szCs w:val="36"/>
          <w:highlight w:val="none"/>
          <w:lang w:val="en-US" w:eastAsia="zh-CN"/>
        </w:rPr>
      </w:pPr>
    </w:p>
    <w:p w14:paraId="1B111DB8">
      <w:pPr>
        <w:pStyle w:val="2"/>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附件十三</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6947224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right"/>
        <w:textAlignment w:val="auto"/>
        <w:rPr>
          <w:rFonts w:hint="eastAsia"/>
          <w:b/>
          <w:bCs/>
          <w:color w:val="auto"/>
          <w:sz w:val="36"/>
          <w:szCs w:val="36"/>
          <w:highlight w:val="none"/>
          <w:lang w:val="en-US" w:eastAsia="zh-CN"/>
        </w:rPr>
      </w:pPr>
      <w:bookmarkStart w:id="26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268"/>
    </w:p>
    <w:p w14:paraId="42D5C110">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6ACC3EA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3EB5F53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附件十四</w:t>
      </w:r>
    </w:p>
    <w:p w14:paraId="3A237B95">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029A670D">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jc w:val="center"/>
        <w:textAlignment w:val="auto"/>
        <w:rPr>
          <w:rFonts w:hint="eastAsia"/>
          <w:b/>
          <w:bCs/>
          <w:color w:val="auto"/>
          <w:sz w:val="24"/>
          <w:szCs w:val="24"/>
          <w:highlight w:val="none"/>
          <w:lang w:val="en-US" w:eastAsia="zh-CN"/>
        </w:rPr>
      </w:pPr>
    </w:p>
    <w:p w14:paraId="76903F6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799E625D">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6E3450B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2EB47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496E443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p>
    <w:p w14:paraId="4941AA4B">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2969AF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0E5011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5AD20F9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352021D7">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48DA813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0980D17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【以下无正文】</w:t>
      </w:r>
    </w:p>
    <w:p w14:paraId="463DF8D5">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4B4F682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p>
    <w:p w14:paraId="59FE982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center"/>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承诺单位（盖章）：×××公司</w:t>
      </w:r>
    </w:p>
    <w:p w14:paraId="1E7D596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连带清偿责任人（签名）：</w:t>
      </w:r>
    </w:p>
    <w:p w14:paraId="16CE37A7">
      <w:pPr>
        <w:keepNext w:val="0"/>
        <w:keepLines w:val="0"/>
        <w:pageBreakBefore w:val="0"/>
        <w:widowControl w:val="0"/>
        <w:kinsoku/>
        <w:wordWrap/>
        <w:overflowPunct/>
        <w:topLinePunct w:val="0"/>
        <w:autoSpaceDE/>
        <w:autoSpaceDN/>
        <w:bidi w:val="0"/>
        <w:adjustRightInd w:val="0"/>
        <w:snapToGrid w:val="0"/>
        <w:spacing w:line="288" w:lineRule="auto"/>
        <w:ind w:firstLine="4840" w:firstLineChars="2200"/>
        <w:jc w:val="both"/>
        <w:textAlignment w:val="auto"/>
        <w:rPr>
          <w:rFonts w:hint="eastAsia" w:ascii="仿宋" w:hAnsi="仿宋" w:eastAsia="仿宋" w:cs="仿宋"/>
          <w:b/>
          <w:bCs w:val="0"/>
          <w:color w:val="auto"/>
          <w:sz w:val="36"/>
          <w:szCs w:val="36"/>
          <w:highlight w:val="none"/>
          <w:shd w:val="clear" w:color="auto" w:fill="auto"/>
          <w:lang w:val="en-US" w:eastAsia="zh-CN"/>
        </w:rPr>
      </w:pPr>
      <w:r>
        <w:rPr>
          <w:rFonts w:hint="default" w:ascii="宋体" w:hAnsi="宋体" w:cs="宋体"/>
          <w:color w:val="auto"/>
          <w:sz w:val="22"/>
          <w:szCs w:val="22"/>
          <w:highlight w:val="none"/>
          <w:u w:val="none"/>
          <w:lang w:val="en-US" w:eastAsia="zh-CN"/>
        </w:rPr>
        <w:t>日   期：××年××月××日</w:t>
      </w:r>
    </w:p>
    <w:p w14:paraId="5157893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69" w:name="_Toc17776"/>
      <w:bookmarkStart w:id="270" w:name="_Toc26314"/>
      <w:bookmarkStart w:id="271" w:name="_Toc11075"/>
      <w:bookmarkStart w:id="272" w:name="_Toc12395"/>
    </w:p>
    <w:p w14:paraId="14E8D3E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269"/>
      <w:bookmarkEnd w:id="270"/>
      <w:bookmarkEnd w:id="271"/>
      <w:r>
        <w:rPr>
          <w:rFonts w:hint="eastAsia" w:ascii="仿宋" w:hAnsi="仿宋" w:eastAsia="仿宋" w:cs="仿宋"/>
          <w:b/>
          <w:bCs w:val="0"/>
          <w:color w:val="auto"/>
          <w:sz w:val="36"/>
          <w:szCs w:val="36"/>
          <w:highlight w:val="none"/>
          <w:shd w:val="clear" w:color="auto" w:fill="auto"/>
          <w:lang w:val="en-US" w:eastAsia="zh-CN"/>
        </w:rPr>
        <w:t>十</w:t>
      </w:r>
      <w:bookmarkEnd w:id="272"/>
      <w:r>
        <w:rPr>
          <w:rFonts w:hint="eastAsia" w:ascii="仿宋" w:hAnsi="仿宋" w:eastAsia="仿宋" w:cs="仿宋"/>
          <w:b/>
          <w:bCs w:val="0"/>
          <w:color w:val="auto"/>
          <w:sz w:val="36"/>
          <w:szCs w:val="36"/>
          <w:highlight w:val="none"/>
          <w:shd w:val="clear" w:color="auto" w:fill="auto"/>
          <w:lang w:val="en-US" w:eastAsia="zh-CN"/>
        </w:rPr>
        <w:t>五</w:t>
      </w:r>
    </w:p>
    <w:p w14:paraId="640EFDBC">
      <w:pPr>
        <w:keepNext w:val="0"/>
        <w:keepLines w:val="0"/>
        <w:pageBreakBefore w:val="0"/>
        <w:overflowPunct/>
        <w:topLinePunct w:val="0"/>
        <w:bidi w:val="0"/>
        <w:adjustRightInd w:val="0"/>
        <w:snapToGrid w:val="0"/>
        <w:spacing w:line="288" w:lineRule="auto"/>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55E313A0">
      <w:pPr>
        <w:keepNext w:val="0"/>
        <w:keepLines w:val="0"/>
        <w:pageBreakBefore w:val="0"/>
        <w:widowControl w:val="0"/>
        <w:kinsoku/>
        <w:wordWrap/>
        <w:overflowPunct/>
        <w:topLinePunct w:val="0"/>
        <w:autoSpaceDE/>
        <w:autoSpaceDN/>
        <w:bidi w:val="0"/>
        <w:adjustRightInd w:val="0"/>
        <w:snapToGrid w:val="0"/>
        <w:spacing w:line="288" w:lineRule="auto"/>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DBBF49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6086F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7A28EC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563A083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370CCA0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C99E495">
      <w:pPr>
        <w:keepNext w:val="0"/>
        <w:keepLines w:val="0"/>
        <w:pageBreakBefore w:val="0"/>
        <w:widowControl w:val="0"/>
        <w:numPr>
          <w:ilvl w:val="0"/>
          <w:numId w:val="0"/>
        </w:numPr>
        <w:kinsoku/>
        <w:wordWrap/>
        <w:overflowPunct/>
        <w:topLinePunct w:val="0"/>
        <w:autoSpaceDE/>
        <w:autoSpaceDN/>
        <w:bidi w:val="0"/>
        <w:adjustRightInd w:val="0"/>
        <w:snapToGrid w:val="0"/>
        <w:spacing w:before="0" w:line="288"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6E48CCE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6E49031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4EF02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附件：</w:t>
      </w:r>
      <w:r>
        <w:rPr>
          <w:rFonts w:hint="eastAsia" w:ascii="仿宋" w:hAnsi="仿宋" w:eastAsia="仿宋" w:cs="仿宋"/>
          <w:color w:val="auto"/>
          <w:sz w:val="24"/>
          <w:szCs w:val="24"/>
          <w:highlight w:val="none"/>
          <w:shd w:val="clear" w:color="auto" w:fill="auto"/>
          <w:lang w:val="en-US" w:eastAsia="zh-CN"/>
        </w:rPr>
        <w:t>连带清偿责任</w:t>
      </w:r>
      <w:r>
        <w:rPr>
          <w:rFonts w:hint="default" w:ascii="仿宋" w:hAnsi="仿宋" w:eastAsia="仿宋" w:cs="仿宋"/>
          <w:color w:val="auto"/>
          <w:sz w:val="24"/>
          <w:szCs w:val="24"/>
          <w:highlight w:val="none"/>
          <w:shd w:val="clear" w:color="auto" w:fill="auto"/>
          <w:lang w:val="en-US" w:eastAsia="zh-CN"/>
        </w:rPr>
        <w:t>人身份证正反面复印件</w:t>
      </w:r>
    </w:p>
    <w:p w14:paraId="290A3DEB">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044010F1">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声明单位：（全称并盖公章） </w:t>
      </w:r>
    </w:p>
    <w:p w14:paraId="50B9E302">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6D03768A">
      <w:pPr>
        <w:pStyle w:val="2"/>
        <w:keepNext w:val="0"/>
        <w:keepLines w:val="0"/>
        <w:pageBreakBefore w:val="0"/>
        <w:widowControl w:val="0"/>
        <w:tabs>
          <w:tab w:val="left" w:pos="-116"/>
          <w:tab w:val="left" w:pos="420"/>
        </w:tabs>
        <w:kinsoku/>
        <w:wordWrap/>
        <w:overflowPunct/>
        <w:topLinePunct w:val="0"/>
        <w:autoSpaceDE/>
        <w:autoSpaceDN/>
        <w:bidi w:val="0"/>
        <w:adjustRightInd w:val="0"/>
        <w:snapToGrid w:val="0"/>
        <w:spacing w:line="288"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65475E8F">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0D6A372A">
      <w:pPr>
        <w:keepNext w:val="0"/>
        <w:keepLines w:val="0"/>
        <w:pageBreakBefore w:val="0"/>
        <w:shd w:val="clear" w:color="auto" w:fill="auto"/>
        <w:overflowPunct/>
        <w:topLinePunct w:val="0"/>
        <w:bidi w:val="0"/>
        <w:adjustRightInd w:val="0"/>
        <w:snapToGrid w:val="0"/>
        <w:spacing w:line="288" w:lineRule="auto"/>
        <w:ind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266"/>
      <w:bookmarkEnd w:id="267"/>
      <w:r>
        <w:rPr>
          <w:rFonts w:hint="eastAsia" w:ascii="仿宋" w:hAnsi="仿宋" w:eastAsia="仿宋" w:cs="仿宋"/>
          <w:color w:val="auto"/>
          <w:sz w:val="24"/>
          <w:szCs w:val="24"/>
          <w:highlight w:val="none"/>
          <w:shd w:val="clear" w:color="auto" w:fill="auto"/>
          <w:lang w:val="en-US" w:eastAsia="zh-CN"/>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ectPr>
      <w:footerReference r:id="rId8"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6DF2">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9299">
    <w:pPr>
      <w:pStyle w:val="10"/>
    </w:pPr>
  </w:p>
  <w:p w14:paraId="2762CCB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DA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2609215</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45pt;margin-top:-29.25pt;height:144pt;width:144pt;mso-position-horizontal-relative:margin;mso-wrap-style:none;z-index:251660288;mso-width-relative:page;mso-height-relative:page;" filled="f" stroked="f" coordsize="21600,21600" o:gfxdata="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w7t93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v:textbox>
            </v:shape>
          </w:pict>
        </mc:Fallback>
      </mc:AlternateContent>
    </w:r>
  </w:p>
  <w:p w14:paraId="45FCB67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763A">
    <w:pPr>
      <w:pStyle w:val="10"/>
    </w:pPr>
  </w:p>
  <w:p w14:paraId="13D2D3E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7F9A">
    <w:pPr>
      <w:pStyle w:val="10"/>
    </w:pPr>
  </w:p>
  <w:p w14:paraId="01CEF75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4B47">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6754"/>
    <w:multiLevelType w:val="singleLevel"/>
    <w:tmpl w:val="8AC06754"/>
    <w:lvl w:ilvl="0" w:tentative="0">
      <w:start w:val="2"/>
      <w:numFmt w:val="chineseCounting"/>
      <w:suff w:val="nothing"/>
      <w:lvlText w:val="第%1章、"/>
      <w:lvlJc w:val="left"/>
      <w:rPr>
        <w:rFonts w:hint="eastAsia"/>
        <w:b/>
        <w:bCs/>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bordersDoNotSurroundHeader w:val="0"/>
  <w:bordersDoNotSurroundFooter w:val="0"/>
  <w:documentProtection w:edit="readOnly"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118A6"/>
    <w:rsid w:val="00014E71"/>
    <w:rsid w:val="00070351"/>
    <w:rsid w:val="00190047"/>
    <w:rsid w:val="00203180"/>
    <w:rsid w:val="00203CC0"/>
    <w:rsid w:val="00213CF6"/>
    <w:rsid w:val="002D269B"/>
    <w:rsid w:val="00311A5F"/>
    <w:rsid w:val="00387CA6"/>
    <w:rsid w:val="003F5F2A"/>
    <w:rsid w:val="004F1218"/>
    <w:rsid w:val="005373E8"/>
    <w:rsid w:val="005714C6"/>
    <w:rsid w:val="00592882"/>
    <w:rsid w:val="006730BA"/>
    <w:rsid w:val="008102F1"/>
    <w:rsid w:val="00895C57"/>
    <w:rsid w:val="008B2377"/>
    <w:rsid w:val="008B3493"/>
    <w:rsid w:val="009224FE"/>
    <w:rsid w:val="009450A4"/>
    <w:rsid w:val="009530E3"/>
    <w:rsid w:val="00AE31A0"/>
    <w:rsid w:val="00B2494E"/>
    <w:rsid w:val="00B35E9C"/>
    <w:rsid w:val="00B970C4"/>
    <w:rsid w:val="00BC3A1F"/>
    <w:rsid w:val="00BF7D50"/>
    <w:rsid w:val="00C01140"/>
    <w:rsid w:val="00C14B6F"/>
    <w:rsid w:val="00C34DAD"/>
    <w:rsid w:val="00C70D2C"/>
    <w:rsid w:val="00C94BA8"/>
    <w:rsid w:val="00CA1002"/>
    <w:rsid w:val="00CB30A1"/>
    <w:rsid w:val="00D25D47"/>
    <w:rsid w:val="00DF5360"/>
    <w:rsid w:val="00E1609D"/>
    <w:rsid w:val="00E178E3"/>
    <w:rsid w:val="00EB1C0E"/>
    <w:rsid w:val="00ED202F"/>
    <w:rsid w:val="011A24F4"/>
    <w:rsid w:val="011E0CCE"/>
    <w:rsid w:val="01317F69"/>
    <w:rsid w:val="013730A5"/>
    <w:rsid w:val="013E5860"/>
    <w:rsid w:val="0147153B"/>
    <w:rsid w:val="015639C6"/>
    <w:rsid w:val="015765E3"/>
    <w:rsid w:val="017418B7"/>
    <w:rsid w:val="01813F60"/>
    <w:rsid w:val="01987FE8"/>
    <w:rsid w:val="019F7D7F"/>
    <w:rsid w:val="01B5752C"/>
    <w:rsid w:val="01B6046E"/>
    <w:rsid w:val="01BF37C7"/>
    <w:rsid w:val="01C04E49"/>
    <w:rsid w:val="01C901A1"/>
    <w:rsid w:val="01D26D8C"/>
    <w:rsid w:val="02031E05"/>
    <w:rsid w:val="021C600F"/>
    <w:rsid w:val="02274EC8"/>
    <w:rsid w:val="022C24DE"/>
    <w:rsid w:val="02391BF0"/>
    <w:rsid w:val="024C0DD3"/>
    <w:rsid w:val="024E1742"/>
    <w:rsid w:val="024F7C95"/>
    <w:rsid w:val="02587777"/>
    <w:rsid w:val="027F2F56"/>
    <w:rsid w:val="02820350"/>
    <w:rsid w:val="02854A8C"/>
    <w:rsid w:val="028873DB"/>
    <w:rsid w:val="02994018"/>
    <w:rsid w:val="02B63659"/>
    <w:rsid w:val="02BF77F6"/>
    <w:rsid w:val="02CD73A2"/>
    <w:rsid w:val="02D55869"/>
    <w:rsid w:val="02D768EE"/>
    <w:rsid w:val="02DA124D"/>
    <w:rsid w:val="02E1776D"/>
    <w:rsid w:val="02EB216E"/>
    <w:rsid w:val="02FE1B0B"/>
    <w:rsid w:val="02FF1990"/>
    <w:rsid w:val="03045209"/>
    <w:rsid w:val="030516AD"/>
    <w:rsid w:val="031C2553"/>
    <w:rsid w:val="031F4397"/>
    <w:rsid w:val="033E696D"/>
    <w:rsid w:val="03426925"/>
    <w:rsid w:val="035B12CD"/>
    <w:rsid w:val="036244AE"/>
    <w:rsid w:val="03630182"/>
    <w:rsid w:val="0365214C"/>
    <w:rsid w:val="036D65A5"/>
    <w:rsid w:val="0372607F"/>
    <w:rsid w:val="03732E03"/>
    <w:rsid w:val="03800D34"/>
    <w:rsid w:val="0386681B"/>
    <w:rsid w:val="0394445D"/>
    <w:rsid w:val="039A780A"/>
    <w:rsid w:val="03B3040D"/>
    <w:rsid w:val="03C52BEB"/>
    <w:rsid w:val="03E81F43"/>
    <w:rsid w:val="03F359AA"/>
    <w:rsid w:val="0410030A"/>
    <w:rsid w:val="041E4304"/>
    <w:rsid w:val="04277401"/>
    <w:rsid w:val="04332207"/>
    <w:rsid w:val="0433224A"/>
    <w:rsid w:val="04340622"/>
    <w:rsid w:val="0439572B"/>
    <w:rsid w:val="04464D0D"/>
    <w:rsid w:val="04562C00"/>
    <w:rsid w:val="04910D1F"/>
    <w:rsid w:val="04912ACD"/>
    <w:rsid w:val="04974587"/>
    <w:rsid w:val="049A3DD9"/>
    <w:rsid w:val="049F343C"/>
    <w:rsid w:val="04A10F62"/>
    <w:rsid w:val="04A81EAC"/>
    <w:rsid w:val="04AB1DE0"/>
    <w:rsid w:val="04B35139"/>
    <w:rsid w:val="04B476F2"/>
    <w:rsid w:val="04B769D7"/>
    <w:rsid w:val="04CD759A"/>
    <w:rsid w:val="04CE3287"/>
    <w:rsid w:val="04D53318"/>
    <w:rsid w:val="04DA0918"/>
    <w:rsid w:val="04DF3C4E"/>
    <w:rsid w:val="04E6106A"/>
    <w:rsid w:val="04E77D7D"/>
    <w:rsid w:val="04EB042F"/>
    <w:rsid w:val="04FB7762"/>
    <w:rsid w:val="04FF3EDA"/>
    <w:rsid w:val="050128A7"/>
    <w:rsid w:val="0513728D"/>
    <w:rsid w:val="051C4A8C"/>
    <w:rsid w:val="052027CE"/>
    <w:rsid w:val="05216546"/>
    <w:rsid w:val="053022E6"/>
    <w:rsid w:val="05341DD6"/>
    <w:rsid w:val="05657FDC"/>
    <w:rsid w:val="05663F59"/>
    <w:rsid w:val="05685C35"/>
    <w:rsid w:val="056B1570"/>
    <w:rsid w:val="057669A3"/>
    <w:rsid w:val="057C552B"/>
    <w:rsid w:val="059B1E55"/>
    <w:rsid w:val="05A101F3"/>
    <w:rsid w:val="05A86BB9"/>
    <w:rsid w:val="05AA653C"/>
    <w:rsid w:val="05AB5E10"/>
    <w:rsid w:val="05AD1B88"/>
    <w:rsid w:val="05AF3F7C"/>
    <w:rsid w:val="05BE1FE7"/>
    <w:rsid w:val="05C55124"/>
    <w:rsid w:val="05CC1FBD"/>
    <w:rsid w:val="05D56967"/>
    <w:rsid w:val="05E732EC"/>
    <w:rsid w:val="05EE467B"/>
    <w:rsid w:val="05FA2136"/>
    <w:rsid w:val="0607573C"/>
    <w:rsid w:val="06175254"/>
    <w:rsid w:val="062C51A3"/>
    <w:rsid w:val="063150E1"/>
    <w:rsid w:val="06530982"/>
    <w:rsid w:val="066761DB"/>
    <w:rsid w:val="066E2C7E"/>
    <w:rsid w:val="06706AD8"/>
    <w:rsid w:val="069074E0"/>
    <w:rsid w:val="06976105"/>
    <w:rsid w:val="06A66D03"/>
    <w:rsid w:val="06C5725D"/>
    <w:rsid w:val="06D31393"/>
    <w:rsid w:val="06D66EBD"/>
    <w:rsid w:val="06DC2F7F"/>
    <w:rsid w:val="06E94BA8"/>
    <w:rsid w:val="06ED4932"/>
    <w:rsid w:val="06F04339"/>
    <w:rsid w:val="06F832D7"/>
    <w:rsid w:val="06FE6B3F"/>
    <w:rsid w:val="071716FC"/>
    <w:rsid w:val="07181283"/>
    <w:rsid w:val="073F4A62"/>
    <w:rsid w:val="07513FB1"/>
    <w:rsid w:val="07580BE5"/>
    <w:rsid w:val="075D56E6"/>
    <w:rsid w:val="07602D27"/>
    <w:rsid w:val="07740BAF"/>
    <w:rsid w:val="07987B4D"/>
    <w:rsid w:val="07A66E8D"/>
    <w:rsid w:val="07B07EF9"/>
    <w:rsid w:val="07B436A2"/>
    <w:rsid w:val="07B9513E"/>
    <w:rsid w:val="07BA06BE"/>
    <w:rsid w:val="07C02047"/>
    <w:rsid w:val="07E13D6B"/>
    <w:rsid w:val="07E31891"/>
    <w:rsid w:val="07F41CF0"/>
    <w:rsid w:val="07F61040"/>
    <w:rsid w:val="07FC5C21"/>
    <w:rsid w:val="080B2B96"/>
    <w:rsid w:val="081B54CF"/>
    <w:rsid w:val="081B70BC"/>
    <w:rsid w:val="082A2071"/>
    <w:rsid w:val="082F0F7A"/>
    <w:rsid w:val="083A6C4A"/>
    <w:rsid w:val="084C5688"/>
    <w:rsid w:val="085547A4"/>
    <w:rsid w:val="085C7B8E"/>
    <w:rsid w:val="08626C5A"/>
    <w:rsid w:val="086B3717"/>
    <w:rsid w:val="086C4388"/>
    <w:rsid w:val="086C67B0"/>
    <w:rsid w:val="089112ED"/>
    <w:rsid w:val="08A6123D"/>
    <w:rsid w:val="08B374B6"/>
    <w:rsid w:val="08BC34BB"/>
    <w:rsid w:val="08CE2541"/>
    <w:rsid w:val="08D04EA3"/>
    <w:rsid w:val="08F24A3C"/>
    <w:rsid w:val="08F75BBB"/>
    <w:rsid w:val="08FA1588"/>
    <w:rsid w:val="090207D6"/>
    <w:rsid w:val="09273560"/>
    <w:rsid w:val="09572537"/>
    <w:rsid w:val="0966378D"/>
    <w:rsid w:val="09757AB5"/>
    <w:rsid w:val="09760B9C"/>
    <w:rsid w:val="099948FD"/>
    <w:rsid w:val="099A1CCF"/>
    <w:rsid w:val="09A56C91"/>
    <w:rsid w:val="09A82D92"/>
    <w:rsid w:val="09C120A6"/>
    <w:rsid w:val="09C46844"/>
    <w:rsid w:val="09C73C33"/>
    <w:rsid w:val="09C94AB7"/>
    <w:rsid w:val="09CF1D46"/>
    <w:rsid w:val="09D36118"/>
    <w:rsid w:val="09E22A5D"/>
    <w:rsid w:val="09E87633"/>
    <w:rsid w:val="09F91840"/>
    <w:rsid w:val="09FB1114"/>
    <w:rsid w:val="09FB55B8"/>
    <w:rsid w:val="09FB7366"/>
    <w:rsid w:val="09FF6F98"/>
    <w:rsid w:val="0A1B3564"/>
    <w:rsid w:val="0A1F4A7D"/>
    <w:rsid w:val="0A2118B5"/>
    <w:rsid w:val="0A2A37A7"/>
    <w:rsid w:val="0A300AD6"/>
    <w:rsid w:val="0A36214C"/>
    <w:rsid w:val="0A423889"/>
    <w:rsid w:val="0A454A85"/>
    <w:rsid w:val="0A482908"/>
    <w:rsid w:val="0A56459C"/>
    <w:rsid w:val="0A5922DF"/>
    <w:rsid w:val="0A60366D"/>
    <w:rsid w:val="0A6C2012"/>
    <w:rsid w:val="0A746B6C"/>
    <w:rsid w:val="0A7964DD"/>
    <w:rsid w:val="0A800542"/>
    <w:rsid w:val="0A8D3DBE"/>
    <w:rsid w:val="0A8F5D00"/>
    <w:rsid w:val="0A9A5DF0"/>
    <w:rsid w:val="0AA902F4"/>
    <w:rsid w:val="0AAE43D8"/>
    <w:rsid w:val="0AC77248"/>
    <w:rsid w:val="0ACE6829"/>
    <w:rsid w:val="0AD62B48"/>
    <w:rsid w:val="0AE931D4"/>
    <w:rsid w:val="0AFA3582"/>
    <w:rsid w:val="0B13248D"/>
    <w:rsid w:val="0B163D2C"/>
    <w:rsid w:val="0B2823DD"/>
    <w:rsid w:val="0B662F05"/>
    <w:rsid w:val="0B664CB3"/>
    <w:rsid w:val="0B674587"/>
    <w:rsid w:val="0B70650A"/>
    <w:rsid w:val="0B7A69B0"/>
    <w:rsid w:val="0B8E5FB8"/>
    <w:rsid w:val="0BAE5A66"/>
    <w:rsid w:val="0BB21CA6"/>
    <w:rsid w:val="0BB377CC"/>
    <w:rsid w:val="0BB41AAC"/>
    <w:rsid w:val="0BB45F68"/>
    <w:rsid w:val="0BB93035"/>
    <w:rsid w:val="0BC419DA"/>
    <w:rsid w:val="0BD92D6E"/>
    <w:rsid w:val="0BD95485"/>
    <w:rsid w:val="0BDB7D38"/>
    <w:rsid w:val="0BEB51B8"/>
    <w:rsid w:val="0BEF2EFA"/>
    <w:rsid w:val="0C0270CA"/>
    <w:rsid w:val="0C125258"/>
    <w:rsid w:val="0C177688"/>
    <w:rsid w:val="0C1D2B00"/>
    <w:rsid w:val="0C344DB1"/>
    <w:rsid w:val="0C4D2770"/>
    <w:rsid w:val="0C711B61"/>
    <w:rsid w:val="0C7358DA"/>
    <w:rsid w:val="0C931AD8"/>
    <w:rsid w:val="0C9B273A"/>
    <w:rsid w:val="0CA0346A"/>
    <w:rsid w:val="0CA77331"/>
    <w:rsid w:val="0CB06EE4"/>
    <w:rsid w:val="0CBC5C8A"/>
    <w:rsid w:val="0CC04DC6"/>
    <w:rsid w:val="0CC30467"/>
    <w:rsid w:val="0CC9374C"/>
    <w:rsid w:val="0CCA5228"/>
    <w:rsid w:val="0CD47050"/>
    <w:rsid w:val="0CD55E13"/>
    <w:rsid w:val="0CE1709F"/>
    <w:rsid w:val="0CE40585"/>
    <w:rsid w:val="0D006A41"/>
    <w:rsid w:val="0D0522AA"/>
    <w:rsid w:val="0D077DD0"/>
    <w:rsid w:val="0D093B48"/>
    <w:rsid w:val="0D0A37DF"/>
    <w:rsid w:val="0D186481"/>
    <w:rsid w:val="0D421949"/>
    <w:rsid w:val="0D4536A9"/>
    <w:rsid w:val="0D4665C8"/>
    <w:rsid w:val="0D723345"/>
    <w:rsid w:val="0D735465"/>
    <w:rsid w:val="0D8B6C53"/>
    <w:rsid w:val="0D904269"/>
    <w:rsid w:val="0D9553DC"/>
    <w:rsid w:val="0D964F5E"/>
    <w:rsid w:val="0DAE068F"/>
    <w:rsid w:val="0DAE649D"/>
    <w:rsid w:val="0DBB3044"/>
    <w:rsid w:val="0DC65EDD"/>
    <w:rsid w:val="0DD51C7C"/>
    <w:rsid w:val="0DD56120"/>
    <w:rsid w:val="0DD95C10"/>
    <w:rsid w:val="0DF30354"/>
    <w:rsid w:val="0DF51C0D"/>
    <w:rsid w:val="0DFE67C9"/>
    <w:rsid w:val="0E060087"/>
    <w:rsid w:val="0E0B1B42"/>
    <w:rsid w:val="0E0D6E79"/>
    <w:rsid w:val="0E2055ED"/>
    <w:rsid w:val="0E236E8B"/>
    <w:rsid w:val="0E3015A8"/>
    <w:rsid w:val="0E40102B"/>
    <w:rsid w:val="0E456E02"/>
    <w:rsid w:val="0E4741D7"/>
    <w:rsid w:val="0E4806A0"/>
    <w:rsid w:val="0E5205B9"/>
    <w:rsid w:val="0E575B4B"/>
    <w:rsid w:val="0E69444D"/>
    <w:rsid w:val="0E753A46"/>
    <w:rsid w:val="0E8C4A31"/>
    <w:rsid w:val="0E9D4EB8"/>
    <w:rsid w:val="0EA63619"/>
    <w:rsid w:val="0EAE274B"/>
    <w:rsid w:val="0EC341CA"/>
    <w:rsid w:val="0EC73CBB"/>
    <w:rsid w:val="0EDD34DE"/>
    <w:rsid w:val="0EEE426E"/>
    <w:rsid w:val="0EFD148A"/>
    <w:rsid w:val="0F0F5CAE"/>
    <w:rsid w:val="0F303EC9"/>
    <w:rsid w:val="0F3050A6"/>
    <w:rsid w:val="0F3D5D2B"/>
    <w:rsid w:val="0F405AEF"/>
    <w:rsid w:val="0F465E76"/>
    <w:rsid w:val="0F517A28"/>
    <w:rsid w:val="0F706264"/>
    <w:rsid w:val="0F901BD1"/>
    <w:rsid w:val="0F930041"/>
    <w:rsid w:val="0F9A1418"/>
    <w:rsid w:val="0FA17752"/>
    <w:rsid w:val="0FA67D74"/>
    <w:rsid w:val="0FB22358"/>
    <w:rsid w:val="0FDC5544"/>
    <w:rsid w:val="0FF9577E"/>
    <w:rsid w:val="10282537"/>
    <w:rsid w:val="102E38C6"/>
    <w:rsid w:val="10352EA6"/>
    <w:rsid w:val="1055184B"/>
    <w:rsid w:val="1064493C"/>
    <w:rsid w:val="106B7F9E"/>
    <w:rsid w:val="107132F0"/>
    <w:rsid w:val="107C0AD5"/>
    <w:rsid w:val="10863702"/>
    <w:rsid w:val="108674CF"/>
    <w:rsid w:val="10922D88"/>
    <w:rsid w:val="1093034E"/>
    <w:rsid w:val="109B152E"/>
    <w:rsid w:val="109E0A4B"/>
    <w:rsid w:val="10A145F0"/>
    <w:rsid w:val="10A14840"/>
    <w:rsid w:val="10A23752"/>
    <w:rsid w:val="10BA4216"/>
    <w:rsid w:val="10D80992"/>
    <w:rsid w:val="10E32902"/>
    <w:rsid w:val="10F16DCD"/>
    <w:rsid w:val="10FD0B73"/>
    <w:rsid w:val="1102547E"/>
    <w:rsid w:val="1115264F"/>
    <w:rsid w:val="11167533"/>
    <w:rsid w:val="11243FFF"/>
    <w:rsid w:val="113718BF"/>
    <w:rsid w:val="11395884"/>
    <w:rsid w:val="113D64B6"/>
    <w:rsid w:val="11407F98"/>
    <w:rsid w:val="114A2981"/>
    <w:rsid w:val="11557E4D"/>
    <w:rsid w:val="11565855"/>
    <w:rsid w:val="11665A0D"/>
    <w:rsid w:val="117B2B3A"/>
    <w:rsid w:val="1188642D"/>
    <w:rsid w:val="118C09AC"/>
    <w:rsid w:val="11B147AE"/>
    <w:rsid w:val="11B7164B"/>
    <w:rsid w:val="11D01CF9"/>
    <w:rsid w:val="11D02E86"/>
    <w:rsid w:val="11D51BA5"/>
    <w:rsid w:val="11EB7CC0"/>
    <w:rsid w:val="11F67404"/>
    <w:rsid w:val="11FC5536"/>
    <w:rsid w:val="12077CFA"/>
    <w:rsid w:val="1209447B"/>
    <w:rsid w:val="121B43BF"/>
    <w:rsid w:val="12260CF8"/>
    <w:rsid w:val="12271A49"/>
    <w:rsid w:val="122907E8"/>
    <w:rsid w:val="122C7D0D"/>
    <w:rsid w:val="12352D67"/>
    <w:rsid w:val="124205D1"/>
    <w:rsid w:val="12437AFC"/>
    <w:rsid w:val="124507B2"/>
    <w:rsid w:val="125E4936"/>
    <w:rsid w:val="12635AA8"/>
    <w:rsid w:val="12696E37"/>
    <w:rsid w:val="126E62DF"/>
    <w:rsid w:val="127952CC"/>
    <w:rsid w:val="12900868"/>
    <w:rsid w:val="129E6AAA"/>
    <w:rsid w:val="12A30FD7"/>
    <w:rsid w:val="12A61A03"/>
    <w:rsid w:val="12AA36D7"/>
    <w:rsid w:val="12AF5192"/>
    <w:rsid w:val="12CD386A"/>
    <w:rsid w:val="12DC3AAD"/>
    <w:rsid w:val="12EA45C0"/>
    <w:rsid w:val="12F901BB"/>
    <w:rsid w:val="12FC2ECD"/>
    <w:rsid w:val="130F3E82"/>
    <w:rsid w:val="13130C3B"/>
    <w:rsid w:val="13165211"/>
    <w:rsid w:val="132E143F"/>
    <w:rsid w:val="13426006"/>
    <w:rsid w:val="13471AD0"/>
    <w:rsid w:val="134753CA"/>
    <w:rsid w:val="134C2851"/>
    <w:rsid w:val="134C478E"/>
    <w:rsid w:val="13517FF7"/>
    <w:rsid w:val="136B6E60"/>
    <w:rsid w:val="13781A27"/>
    <w:rsid w:val="13826402"/>
    <w:rsid w:val="13845E89"/>
    <w:rsid w:val="13877EBC"/>
    <w:rsid w:val="138A52B7"/>
    <w:rsid w:val="13985C26"/>
    <w:rsid w:val="13B14F39"/>
    <w:rsid w:val="13BD4D90"/>
    <w:rsid w:val="13CC6536"/>
    <w:rsid w:val="13E62E35"/>
    <w:rsid w:val="14092680"/>
    <w:rsid w:val="140B2B2E"/>
    <w:rsid w:val="1417200D"/>
    <w:rsid w:val="141C3831"/>
    <w:rsid w:val="1425120F"/>
    <w:rsid w:val="142850A5"/>
    <w:rsid w:val="14301B15"/>
    <w:rsid w:val="1433594E"/>
    <w:rsid w:val="144F3C0E"/>
    <w:rsid w:val="14564D5E"/>
    <w:rsid w:val="14661880"/>
    <w:rsid w:val="146B158C"/>
    <w:rsid w:val="14726477"/>
    <w:rsid w:val="147306A9"/>
    <w:rsid w:val="14870CC8"/>
    <w:rsid w:val="14891A12"/>
    <w:rsid w:val="148E7ADC"/>
    <w:rsid w:val="1492781C"/>
    <w:rsid w:val="149375E5"/>
    <w:rsid w:val="149803FF"/>
    <w:rsid w:val="1499025C"/>
    <w:rsid w:val="149B6797"/>
    <w:rsid w:val="149D66D9"/>
    <w:rsid w:val="149D7870"/>
    <w:rsid w:val="14AC513B"/>
    <w:rsid w:val="14B051F1"/>
    <w:rsid w:val="14B26DC9"/>
    <w:rsid w:val="14B678F8"/>
    <w:rsid w:val="14C41530"/>
    <w:rsid w:val="14E07884"/>
    <w:rsid w:val="14F15522"/>
    <w:rsid w:val="14F52C04"/>
    <w:rsid w:val="150337D5"/>
    <w:rsid w:val="1504174F"/>
    <w:rsid w:val="152F6751"/>
    <w:rsid w:val="15303D7D"/>
    <w:rsid w:val="15363948"/>
    <w:rsid w:val="1553452D"/>
    <w:rsid w:val="15542020"/>
    <w:rsid w:val="156156EE"/>
    <w:rsid w:val="1568787A"/>
    <w:rsid w:val="156F29B6"/>
    <w:rsid w:val="15747FCD"/>
    <w:rsid w:val="157E0E4B"/>
    <w:rsid w:val="158263AD"/>
    <w:rsid w:val="158D108E"/>
    <w:rsid w:val="158F501B"/>
    <w:rsid w:val="159452FD"/>
    <w:rsid w:val="15A9794A"/>
    <w:rsid w:val="15AC2665"/>
    <w:rsid w:val="15B036FB"/>
    <w:rsid w:val="15B14B22"/>
    <w:rsid w:val="15B3427D"/>
    <w:rsid w:val="15BA33B1"/>
    <w:rsid w:val="15CD0276"/>
    <w:rsid w:val="15CE063D"/>
    <w:rsid w:val="15DB3A80"/>
    <w:rsid w:val="15E16D7A"/>
    <w:rsid w:val="15E46F00"/>
    <w:rsid w:val="15FE0734"/>
    <w:rsid w:val="16005D04"/>
    <w:rsid w:val="16041350"/>
    <w:rsid w:val="16151C72"/>
    <w:rsid w:val="161A23FF"/>
    <w:rsid w:val="161F43DC"/>
    <w:rsid w:val="161F7052"/>
    <w:rsid w:val="162437A1"/>
    <w:rsid w:val="16290B92"/>
    <w:rsid w:val="16297009"/>
    <w:rsid w:val="16322361"/>
    <w:rsid w:val="16343A70"/>
    <w:rsid w:val="16411B20"/>
    <w:rsid w:val="16431E4A"/>
    <w:rsid w:val="165C2217"/>
    <w:rsid w:val="167069E6"/>
    <w:rsid w:val="1674297A"/>
    <w:rsid w:val="167D7D71"/>
    <w:rsid w:val="168D7D84"/>
    <w:rsid w:val="169E5ECA"/>
    <w:rsid w:val="16A20B69"/>
    <w:rsid w:val="16A3500D"/>
    <w:rsid w:val="16A8318F"/>
    <w:rsid w:val="16A90B55"/>
    <w:rsid w:val="16B36AE1"/>
    <w:rsid w:val="16BE21D6"/>
    <w:rsid w:val="16C15493"/>
    <w:rsid w:val="16E42F30"/>
    <w:rsid w:val="16ED4897"/>
    <w:rsid w:val="16F2389F"/>
    <w:rsid w:val="16F615E1"/>
    <w:rsid w:val="16FE0496"/>
    <w:rsid w:val="16FE3FF2"/>
    <w:rsid w:val="1700420E"/>
    <w:rsid w:val="170C1FD1"/>
    <w:rsid w:val="172A0C99"/>
    <w:rsid w:val="172A128B"/>
    <w:rsid w:val="17417784"/>
    <w:rsid w:val="17483152"/>
    <w:rsid w:val="174C7453"/>
    <w:rsid w:val="17822E75"/>
    <w:rsid w:val="17832749"/>
    <w:rsid w:val="178E01B7"/>
    <w:rsid w:val="179A1DCD"/>
    <w:rsid w:val="17A15E0B"/>
    <w:rsid w:val="17AA312D"/>
    <w:rsid w:val="17AF1790"/>
    <w:rsid w:val="17BF5E77"/>
    <w:rsid w:val="17C74D2B"/>
    <w:rsid w:val="17C93502"/>
    <w:rsid w:val="17CA0378"/>
    <w:rsid w:val="17DE3E23"/>
    <w:rsid w:val="17E53404"/>
    <w:rsid w:val="17EC5092"/>
    <w:rsid w:val="17FB753C"/>
    <w:rsid w:val="180A4C18"/>
    <w:rsid w:val="180C6BE2"/>
    <w:rsid w:val="1811244B"/>
    <w:rsid w:val="18187335"/>
    <w:rsid w:val="181D494B"/>
    <w:rsid w:val="182C594B"/>
    <w:rsid w:val="183A3210"/>
    <w:rsid w:val="183B7D55"/>
    <w:rsid w:val="183C2E3A"/>
    <w:rsid w:val="183D3240"/>
    <w:rsid w:val="18416A30"/>
    <w:rsid w:val="18444FE4"/>
    <w:rsid w:val="185A16FC"/>
    <w:rsid w:val="186E09C7"/>
    <w:rsid w:val="18937310"/>
    <w:rsid w:val="189664AC"/>
    <w:rsid w:val="189E4F3F"/>
    <w:rsid w:val="18B10430"/>
    <w:rsid w:val="18B84674"/>
    <w:rsid w:val="18CB6A1D"/>
    <w:rsid w:val="18D771F0"/>
    <w:rsid w:val="18DE057F"/>
    <w:rsid w:val="18DF6F7C"/>
    <w:rsid w:val="18EB4A4A"/>
    <w:rsid w:val="18F030EF"/>
    <w:rsid w:val="18F14B85"/>
    <w:rsid w:val="18F224FA"/>
    <w:rsid w:val="18FC77C6"/>
    <w:rsid w:val="190D49C0"/>
    <w:rsid w:val="19102702"/>
    <w:rsid w:val="1910625E"/>
    <w:rsid w:val="19120228"/>
    <w:rsid w:val="19185113"/>
    <w:rsid w:val="191D4341"/>
    <w:rsid w:val="19206CA1"/>
    <w:rsid w:val="19265A82"/>
    <w:rsid w:val="1927353D"/>
    <w:rsid w:val="193656A4"/>
    <w:rsid w:val="1938288F"/>
    <w:rsid w:val="194E3890"/>
    <w:rsid w:val="19597C05"/>
    <w:rsid w:val="195C7136"/>
    <w:rsid w:val="19650358"/>
    <w:rsid w:val="196E3FDE"/>
    <w:rsid w:val="19705D48"/>
    <w:rsid w:val="197762DD"/>
    <w:rsid w:val="19786A87"/>
    <w:rsid w:val="198B5F6F"/>
    <w:rsid w:val="198D45F0"/>
    <w:rsid w:val="19A05834"/>
    <w:rsid w:val="19A1648E"/>
    <w:rsid w:val="19AF3CC9"/>
    <w:rsid w:val="19B1359D"/>
    <w:rsid w:val="19B24E93"/>
    <w:rsid w:val="19B25567"/>
    <w:rsid w:val="19B7455F"/>
    <w:rsid w:val="19CD3DF6"/>
    <w:rsid w:val="19D43730"/>
    <w:rsid w:val="19DB4ABE"/>
    <w:rsid w:val="1A015E61"/>
    <w:rsid w:val="1A0538E9"/>
    <w:rsid w:val="1A0667DD"/>
    <w:rsid w:val="1A1B00A3"/>
    <w:rsid w:val="1A1B4EBB"/>
    <w:rsid w:val="1A20395D"/>
    <w:rsid w:val="1A366BD3"/>
    <w:rsid w:val="1A393593"/>
    <w:rsid w:val="1A402B73"/>
    <w:rsid w:val="1A766342"/>
    <w:rsid w:val="1A874CC7"/>
    <w:rsid w:val="1A903AFB"/>
    <w:rsid w:val="1A9A04D5"/>
    <w:rsid w:val="1A9A324D"/>
    <w:rsid w:val="1AA05DF4"/>
    <w:rsid w:val="1AA475A6"/>
    <w:rsid w:val="1AB34498"/>
    <w:rsid w:val="1AB71087"/>
    <w:rsid w:val="1AC11F06"/>
    <w:rsid w:val="1ACC0721"/>
    <w:rsid w:val="1ADD6614"/>
    <w:rsid w:val="1B022F94"/>
    <w:rsid w:val="1B285AE1"/>
    <w:rsid w:val="1B310517"/>
    <w:rsid w:val="1B3C1FFD"/>
    <w:rsid w:val="1B46065D"/>
    <w:rsid w:val="1B4A1109"/>
    <w:rsid w:val="1B4C1DF3"/>
    <w:rsid w:val="1B6708CA"/>
    <w:rsid w:val="1B7F1479"/>
    <w:rsid w:val="1B8536B2"/>
    <w:rsid w:val="1B9118D8"/>
    <w:rsid w:val="1B952E08"/>
    <w:rsid w:val="1B980098"/>
    <w:rsid w:val="1BA16335"/>
    <w:rsid w:val="1BA57132"/>
    <w:rsid w:val="1BA6218E"/>
    <w:rsid w:val="1BAD5FE6"/>
    <w:rsid w:val="1BB13D28"/>
    <w:rsid w:val="1BC81072"/>
    <w:rsid w:val="1BCE59A7"/>
    <w:rsid w:val="1BDF0508"/>
    <w:rsid w:val="1BE177E6"/>
    <w:rsid w:val="1BE4073B"/>
    <w:rsid w:val="1BEE6D2B"/>
    <w:rsid w:val="1BF5598D"/>
    <w:rsid w:val="1C033B70"/>
    <w:rsid w:val="1C095F13"/>
    <w:rsid w:val="1C116575"/>
    <w:rsid w:val="1C166281"/>
    <w:rsid w:val="1C1F5136"/>
    <w:rsid w:val="1C305105"/>
    <w:rsid w:val="1C3B33BF"/>
    <w:rsid w:val="1C4A1A87"/>
    <w:rsid w:val="1C547B70"/>
    <w:rsid w:val="1C601BC8"/>
    <w:rsid w:val="1C6A3BB2"/>
    <w:rsid w:val="1C700BEF"/>
    <w:rsid w:val="1C7A05BE"/>
    <w:rsid w:val="1C7B17FA"/>
    <w:rsid w:val="1C896A53"/>
    <w:rsid w:val="1C972259"/>
    <w:rsid w:val="1C9B22E3"/>
    <w:rsid w:val="1C9D20E2"/>
    <w:rsid w:val="1CA05B4B"/>
    <w:rsid w:val="1CB11B06"/>
    <w:rsid w:val="1CBF2781"/>
    <w:rsid w:val="1CC306E9"/>
    <w:rsid w:val="1CD70D11"/>
    <w:rsid w:val="1CDF09E4"/>
    <w:rsid w:val="1CE819CC"/>
    <w:rsid w:val="1CF33ECD"/>
    <w:rsid w:val="1CF42E6E"/>
    <w:rsid w:val="1CF70848"/>
    <w:rsid w:val="1CFC3D4D"/>
    <w:rsid w:val="1D085BCA"/>
    <w:rsid w:val="1D104A7F"/>
    <w:rsid w:val="1D1074B6"/>
    <w:rsid w:val="1D183933"/>
    <w:rsid w:val="1D366756"/>
    <w:rsid w:val="1D3C4BFB"/>
    <w:rsid w:val="1D444728"/>
    <w:rsid w:val="1D587F1E"/>
    <w:rsid w:val="1D596426"/>
    <w:rsid w:val="1D7711E5"/>
    <w:rsid w:val="1D783852"/>
    <w:rsid w:val="1D7C0366"/>
    <w:rsid w:val="1D8D5398"/>
    <w:rsid w:val="1DAD6772"/>
    <w:rsid w:val="1DC36C05"/>
    <w:rsid w:val="1DC85749"/>
    <w:rsid w:val="1DD26A50"/>
    <w:rsid w:val="1DD27F86"/>
    <w:rsid w:val="1DD51824"/>
    <w:rsid w:val="1DEB0CCB"/>
    <w:rsid w:val="1DFB128B"/>
    <w:rsid w:val="1DFC5003"/>
    <w:rsid w:val="1E052B8D"/>
    <w:rsid w:val="1E0D7210"/>
    <w:rsid w:val="1E176A85"/>
    <w:rsid w:val="1E2D2F17"/>
    <w:rsid w:val="1E481B8A"/>
    <w:rsid w:val="1E4F5A7B"/>
    <w:rsid w:val="1E641526"/>
    <w:rsid w:val="1E6B19BE"/>
    <w:rsid w:val="1E8A02A3"/>
    <w:rsid w:val="1E8E2C79"/>
    <w:rsid w:val="1E933BB9"/>
    <w:rsid w:val="1E982F7E"/>
    <w:rsid w:val="1EA936A0"/>
    <w:rsid w:val="1EB06519"/>
    <w:rsid w:val="1EBA2359"/>
    <w:rsid w:val="1EBF330F"/>
    <w:rsid w:val="1EC91389"/>
    <w:rsid w:val="1ECE2E43"/>
    <w:rsid w:val="1EDB2E6A"/>
    <w:rsid w:val="1EE518CA"/>
    <w:rsid w:val="1EF1268E"/>
    <w:rsid w:val="1EFE4EDD"/>
    <w:rsid w:val="1F026649"/>
    <w:rsid w:val="1F100D66"/>
    <w:rsid w:val="1F1464D9"/>
    <w:rsid w:val="1F176598"/>
    <w:rsid w:val="1F177114"/>
    <w:rsid w:val="1F417171"/>
    <w:rsid w:val="1F437CC6"/>
    <w:rsid w:val="1F444EB4"/>
    <w:rsid w:val="1F4F074B"/>
    <w:rsid w:val="1F525966"/>
    <w:rsid w:val="1F5A6485"/>
    <w:rsid w:val="1F6D6E09"/>
    <w:rsid w:val="1F881E32"/>
    <w:rsid w:val="1F8D23B7"/>
    <w:rsid w:val="1F9C084C"/>
    <w:rsid w:val="1FB45B95"/>
    <w:rsid w:val="1FC3519E"/>
    <w:rsid w:val="1FD61FB0"/>
    <w:rsid w:val="1FE02E2E"/>
    <w:rsid w:val="1FF00B97"/>
    <w:rsid w:val="1FF02946"/>
    <w:rsid w:val="1FF57B15"/>
    <w:rsid w:val="202076CF"/>
    <w:rsid w:val="202D3B9A"/>
    <w:rsid w:val="20305F21"/>
    <w:rsid w:val="203B28A1"/>
    <w:rsid w:val="204A474C"/>
    <w:rsid w:val="20542ED4"/>
    <w:rsid w:val="2063580D"/>
    <w:rsid w:val="20644136"/>
    <w:rsid w:val="206770AC"/>
    <w:rsid w:val="20695B32"/>
    <w:rsid w:val="207B343E"/>
    <w:rsid w:val="207C5ECE"/>
    <w:rsid w:val="20801F1B"/>
    <w:rsid w:val="208714FC"/>
    <w:rsid w:val="20994D8B"/>
    <w:rsid w:val="209E23A2"/>
    <w:rsid w:val="20B35E4D"/>
    <w:rsid w:val="20BB73F7"/>
    <w:rsid w:val="20BF5379"/>
    <w:rsid w:val="20C53DD2"/>
    <w:rsid w:val="20D364EF"/>
    <w:rsid w:val="20DB1848"/>
    <w:rsid w:val="20DE6C42"/>
    <w:rsid w:val="20E95E3C"/>
    <w:rsid w:val="20EF2BFD"/>
    <w:rsid w:val="2118371F"/>
    <w:rsid w:val="21260D15"/>
    <w:rsid w:val="212C2C54"/>
    <w:rsid w:val="212C428E"/>
    <w:rsid w:val="21333432"/>
    <w:rsid w:val="213B4094"/>
    <w:rsid w:val="2144119B"/>
    <w:rsid w:val="215D109F"/>
    <w:rsid w:val="215E090F"/>
    <w:rsid w:val="21613AFB"/>
    <w:rsid w:val="2164771A"/>
    <w:rsid w:val="216A13BE"/>
    <w:rsid w:val="21735A99"/>
    <w:rsid w:val="2177331E"/>
    <w:rsid w:val="21837F15"/>
    <w:rsid w:val="218E2416"/>
    <w:rsid w:val="219029AA"/>
    <w:rsid w:val="219A78C7"/>
    <w:rsid w:val="21A8557E"/>
    <w:rsid w:val="21AF23CC"/>
    <w:rsid w:val="21C66054"/>
    <w:rsid w:val="21CD1190"/>
    <w:rsid w:val="21CE3BBD"/>
    <w:rsid w:val="21D02A2F"/>
    <w:rsid w:val="21D55709"/>
    <w:rsid w:val="21D64AFB"/>
    <w:rsid w:val="21DD0940"/>
    <w:rsid w:val="21E40288"/>
    <w:rsid w:val="21E9116B"/>
    <w:rsid w:val="21F00857"/>
    <w:rsid w:val="21F11323"/>
    <w:rsid w:val="21FC1A76"/>
    <w:rsid w:val="21FF0F4E"/>
    <w:rsid w:val="220B1CB9"/>
    <w:rsid w:val="220F05CF"/>
    <w:rsid w:val="22205764"/>
    <w:rsid w:val="222B2603"/>
    <w:rsid w:val="223E3E3C"/>
    <w:rsid w:val="2251620F"/>
    <w:rsid w:val="225275BA"/>
    <w:rsid w:val="225A40B5"/>
    <w:rsid w:val="225E003A"/>
    <w:rsid w:val="226B52CC"/>
    <w:rsid w:val="227635D6"/>
    <w:rsid w:val="227B299A"/>
    <w:rsid w:val="227E692E"/>
    <w:rsid w:val="228E4923"/>
    <w:rsid w:val="228F6446"/>
    <w:rsid w:val="22910410"/>
    <w:rsid w:val="229C5ED6"/>
    <w:rsid w:val="22AA7385"/>
    <w:rsid w:val="22AE65BE"/>
    <w:rsid w:val="22B63195"/>
    <w:rsid w:val="22C2681B"/>
    <w:rsid w:val="22DB079D"/>
    <w:rsid w:val="22E5250A"/>
    <w:rsid w:val="22F369D5"/>
    <w:rsid w:val="22F616B5"/>
    <w:rsid w:val="22F97D63"/>
    <w:rsid w:val="22FD0E5C"/>
    <w:rsid w:val="230778C7"/>
    <w:rsid w:val="231A510B"/>
    <w:rsid w:val="232B2612"/>
    <w:rsid w:val="232F19D7"/>
    <w:rsid w:val="233660B1"/>
    <w:rsid w:val="23414EC0"/>
    <w:rsid w:val="23522589"/>
    <w:rsid w:val="2354410D"/>
    <w:rsid w:val="235B4B0E"/>
    <w:rsid w:val="235F406A"/>
    <w:rsid w:val="236A7616"/>
    <w:rsid w:val="236F7F68"/>
    <w:rsid w:val="2374647C"/>
    <w:rsid w:val="237C10C0"/>
    <w:rsid w:val="237C3267"/>
    <w:rsid w:val="23A21A79"/>
    <w:rsid w:val="23A471C0"/>
    <w:rsid w:val="23A86B40"/>
    <w:rsid w:val="23BC326A"/>
    <w:rsid w:val="23BD72DF"/>
    <w:rsid w:val="23C0729E"/>
    <w:rsid w:val="23CD4FD9"/>
    <w:rsid w:val="23DA1E7B"/>
    <w:rsid w:val="23E629DD"/>
    <w:rsid w:val="23E7405F"/>
    <w:rsid w:val="23EA5501"/>
    <w:rsid w:val="23F37D3B"/>
    <w:rsid w:val="240D1EC8"/>
    <w:rsid w:val="24156E1F"/>
    <w:rsid w:val="24174B94"/>
    <w:rsid w:val="242805EF"/>
    <w:rsid w:val="242D23BA"/>
    <w:rsid w:val="243E45C7"/>
    <w:rsid w:val="244327A9"/>
    <w:rsid w:val="244F2331"/>
    <w:rsid w:val="24625D1B"/>
    <w:rsid w:val="2475240E"/>
    <w:rsid w:val="247955FF"/>
    <w:rsid w:val="248E0E6D"/>
    <w:rsid w:val="24961E78"/>
    <w:rsid w:val="249A6459"/>
    <w:rsid w:val="249C309C"/>
    <w:rsid w:val="249F7859"/>
    <w:rsid w:val="24A26904"/>
    <w:rsid w:val="24B56686"/>
    <w:rsid w:val="24C30629"/>
    <w:rsid w:val="24D665AE"/>
    <w:rsid w:val="24F079E9"/>
    <w:rsid w:val="25201F1F"/>
    <w:rsid w:val="25311082"/>
    <w:rsid w:val="25357778"/>
    <w:rsid w:val="254C15F2"/>
    <w:rsid w:val="25560C22"/>
    <w:rsid w:val="255B2F57"/>
    <w:rsid w:val="256A6BDA"/>
    <w:rsid w:val="256E456D"/>
    <w:rsid w:val="2580284D"/>
    <w:rsid w:val="258A399C"/>
    <w:rsid w:val="25B12B77"/>
    <w:rsid w:val="25B34B41"/>
    <w:rsid w:val="25BF34E6"/>
    <w:rsid w:val="26086C3B"/>
    <w:rsid w:val="261920D8"/>
    <w:rsid w:val="261B0492"/>
    <w:rsid w:val="26254703"/>
    <w:rsid w:val="262E5F76"/>
    <w:rsid w:val="26415CA9"/>
    <w:rsid w:val="26420893"/>
    <w:rsid w:val="26492DAF"/>
    <w:rsid w:val="264D0AF2"/>
    <w:rsid w:val="26527EB6"/>
    <w:rsid w:val="26571970"/>
    <w:rsid w:val="265C7F5D"/>
    <w:rsid w:val="26655E3B"/>
    <w:rsid w:val="267267AA"/>
    <w:rsid w:val="268D0EEE"/>
    <w:rsid w:val="269229A8"/>
    <w:rsid w:val="2694227D"/>
    <w:rsid w:val="269C0FD7"/>
    <w:rsid w:val="26A86F43"/>
    <w:rsid w:val="26DC30FF"/>
    <w:rsid w:val="26E56F7C"/>
    <w:rsid w:val="26E75394"/>
    <w:rsid w:val="26F91ECE"/>
    <w:rsid w:val="26FB67A0"/>
    <w:rsid w:val="27027B2E"/>
    <w:rsid w:val="270B4948"/>
    <w:rsid w:val="271F4C0C"/>
    <w:rsid w:val="27215AAC"/>
    <w:rsid w:val="2723400E"/>
    <w:rsid w:val="2736727F"/>
    <w:rsid w:val="273E668C"/>
    <w:rsid w:val="274041B2"/>
    <w:rsid w:val="27514612"/>
    <w:rsid w:val="27594AEA"/>
    <w:rsid w:val="27691F03"/>
    <w:rsid w:val="27767BD4"/>
    <w:rsid w:val="278E13C2"/>
    <w:rsid w:val="278E4F1E"/>
    <w:rsid w:val="279369D8"/>
    <w:rsid w:val="27982240"/>
    <w:rsid w:val="279B3ADF"/>
    <w:rsid w:val="279B763B"/>
    <w:rsid w:val="27A309F6"/>
    <w:rsid w:val="27B32BD6"/>
    <w:rsid w:val="27B8643F"/>
    <w:rsid w:val="27BD6D7E"/>
    <w:rsid w:val="27C132F1"/>
    <w:rsid w:val="27CB7D80"/>
    <w:rsid w:val="27CD11DA"/>
    <w:rsid w:val="27CD1F54"/>
    <w:rsid w:val="27D35027"/>
    <w:rsid w:val="27D86AE1"/>
    <w:rsid w:val="27DA7E77"/>
    <w:rsid w:val="27DD7C53"/>
    <w:rsid w:val="27E014F2"/>
    <w:rsid w:val="27E968D0"/>
    <w:rsid w:val="281A2C55"/>
    <w:rsid w:val="281F201A"/>
    <w:rsid w:val="282018BC"/>
    <w:rsid w:val="28292E99"/>
    <w:rsid w:val="2835183D"/>
    <w:rsid w:val="28373258"/>
    <w:rsid w:val="283F090E"/>
    <w:rsid w:val="28425D08"/>
    <w:rsid w:val="2844798D"/>
    <w:rsid w:val="285A74F6"/>
    <w:rsid w:val="285C14C0"/>
    <w:rsid w:val="286640ED"/>
    <w:rsid w:val="28691716"/>
    <w:rsid w:val="28724840"/>
    <w:rsid w:val="287405B8"/>
    <w:rsid w:val="2897692D"/>
    <w:rsid w:val="28AD5878"/>
    <w:rsid w:val="28B430AA"/>
    <w:rsid w:val="28C64B8B"/>
    <w:rsid w:val="28CD5F1A"/>
    <w:rsid w:val="28D366FF"/>
    <w:rsid w:val="28D9669A"/>
    <w:rsid w:val="28DF697D"/>
    <w:rsid w:val="28E76FDC"/>
    <w:rsid w:val="28F65471"/>
    <w:rsid w:val="291458F7"/>
    <w:rsid w:val="291B6C85"/>
    <w:rsid w:val="297B7724"/>
    <w:rsid w:val="29826D04"/>
    <w:rsid w:val="299B1B74"/>
    <w:rsid w:val="29B6075C"/>
    <w:rsid w:val="29D532D8"/>
    <w:rsid w:val="29EE6148"/>
    <w:rsid w:val="29FB219D"/>
    <w:rsid w:val="2A0140CD"/>
    <w:rsid w:val="2A157B78"/>
    <w:rsid w:val="2A166FA8"/>
    <w:rsid w:val="2A1713D6"/>
    <w:rsid w:val="2A5A558B"/>
    <w:rsid w:val="2A663F30"/>
    <w:rsid w:val="2A6B59EA"/>
    <w:rsid w:val="2A704DAF"/>
    <w:rsid w:val="2A73664D"/>
    <w:rsid w:val="2A895E70"/>
    <w:rsid w:val="2A8D5961"/>
    <w:rsid w:val="2A957654"/>
    <w:rsid w:val="2AAC49B3"/>
    <w:rsid w:val="2AC1560A"/>
    <w:rsid w:val="2AD92954"/>
    <w:rsid w:val="2ADA66CC"/>
    <w:rsid w:val="2AE914ED"/>
    <w:rsid w:val="2AE96DC7"/>
    <w:rsid w:val="2AEA2DB3"/>
    <w:rsid w:val="2AEC6B2B"/>
    <w:rsid w:val="2AFF7F50"/>
    <w:rsid w:val="2B055119"/>
    <w:rsid w:val="2B0B4446"/>
    <w:rsid w:val="2B0B5F38"/>
    <w:rsid w:val="2B230BF3"/>
    <w:rsid w:val="2B2650B2"/>
    <w:rsid w:val="2B2D108E"/>
    <w:rsid w:val="2B3109E2"/>
    <w:rsid w:val="2B465B0F"/>
    <w:rsid w:val="2B471FB3"/>
    <w:rsid w:val="2B6E0B76"/>
    <w:rsid w:val="2B88437A"/>
    <w:rsid w:val="2B88534B"/>
    <w:rsid w:val="2B8F5708"/>
    <w:rsid w:val="2B8F7FBD"/>
    <w:rsid w:val="2BB4516F"/>
    <w:rsid w:val="2BCD2F8E"/>
    <w:rsid w:val="2BDD0222"/>
    <w:rsid w:val="2BDE5160"/>
    <w:rsid w:val="2BE55328"/>
    <w:rsid w:val="2BEF61A7"/>
    <w:rsid w:val="2BFE692D"/>
    <w:rsid w:val="2BFF463C"/>
    <w:rsid w:val="2C043A01"/>
    <w:rsid w:val="2C0E487F"/>
    <w:rsid w:val="2C133886"/>
    <w:rsid w:val="2C161986"/>
    <w:rsid w:val="2C180916"/>
    <w:rsid w:val="2C1E35F3"/>
    <w:rsid w:val="2C2A4B45"/>
    <w:rsid w:val="2C35005E"/>
    <w:rsid w:val="2C4F5B19"/>
    <w:rsid w:val="2C505CDF"/>
    <w:rsid w:val="2C521589"/>
    <w:rsid w:val="2C526E62"/>
    <w:rsid w:val="2C5524AE"/>
    <w:rsid w:val="2C6438F8"/>
    <w:rsid w:val="2C6744A7"/>
    <w:rsid w:val="2C6B4037"/>
    <w:rsid w:val="2C6E3292"/>
    <w:rsid w:val="2C723060"/>
    <w:rsid w:val="2C7E4AF1"/>
    <w:rsid w:val="2C862B2D"/>
    <w:rsid w:val="2C8974AE"/>
    <w:rsid w:val="2C901738"/>
    <w:rsid w:val="2C926E94"/>
    <w:rsid w:val="2C9651E0"/>
    <w:rsid w:val="2CA034F5"/>
    <w:rsid w:val="2CA25BEC"/>
    <w:rsid w:val="2CA64AB8"/>
    <w:rsid w:val="2CAC5B63"/>
    <w:rsid w:val="2CC118F2"/>
    <w:rsid w:val="2CCE2BA8"/>
    <w:rsid w:val="2CD34A44"/>
    <w:rsid w:val="2CD47877"/>
    <w:rsid w:val="2CE101E6"/>
    <w:rsid w:val="2CE455E0"/>
    <w:rsid w:val="2CEB1DDF"/>
    <w:rsid w:val="2CF00E40"/>
    <w:rsid w:val="2CF434CC"/>
    <w:rsid w:val="2CF73795"/>
    <w:rsid w:val="2CF96C08"/>
    <w:rsid w:val="2CFE48F4"/>
    <w:rsid w:val="2CFF066C"/>
    <w:rsid w:val="2D00167F"/>
    <w:rsid w:val="2D2360D5"/>
    <w:rsid w:val="2D2D1B91"/>
    <w:rsid w:val="2D3575D7"/>
    <w:rsid w:val="2D392A9A"/>
    <w:rsid w:val="2D3F2720"/>
    <w:rsid w:val="2D6230D5"/>
    <w:rsid w:val="2D6329A9"/>
    <w:rsid w:val="2D6459D3"/>
    <w:rsid w:val="2D6A3D37"/>
    <w:rsid w:val="2D7C3A6A"/>
    <w:rsid w:val="2D8017AD"/>
    <w:rsid w:val="2DA37249"/>
    <w:rsid w:val="2DB43204"/>
    <w:rsid w:val="2DB54923"/>
    <w:rsid w:val="2DBF6A28"/>
    <w:rsid w:val="2DC75DE6"/>
    <w:rsid w:val="2DD04934"/>
    <w:rsid w:val="2DDB4BC1"/>
    <w:rsid w:val="2DEC0BF0"/>
    <w:rsid w:val="2DFB7085"/>
    <w:rsid w:val="2E0F2B31"/>
    <w:rsid w:val="2E110E54"/>
    <w:rsid w:val="2E112A0E"/>
    <w:rsid w:val="2E165C6D"/>
    <w:rsid w:val="2E220AB6"/>
    <w:rsid w:val="2E255EB0"/>
    <w:rsid w:val="2E3A7D96"/>
    <w:rsid w:val="2E4427DA"/>
    <w:rsid w:val="2E491B6D"/>
    <w:rsid w:val="2E516CA5"/>
    <w:rsid w:val="2E5C5D76"/>
    <w:rsid w:val="2E5D389C"/>
    <w:rsid w:val="2E630C84"/>
    <w:rsid w:val="2E641B42"/>
    <w:rsid w:val="2E731311"/>
    <w:rsid w:val="2E7806D6"/>
    <w:rsid w:val="2E84600A"/>
    <w:rsid w:val="2E9077CD"/>
    <w:rsid w:val="2E956466"/>
    <w:rsid w:val="2E9C2616"/>
    <w:rsid w:val="2EA15273"/>
    <w:rsid w:val="2EBF37A7"/>
    <w:rsid w:val="2EBF4B0B"/>
    <w:rsid w:val="2EC0573C"/>
    <w:rsid w:val="2EC6610D"/>
    <w:rsid w:val="2ED26038"/>
    <w:rsid w:val="2ED3590C"/>
    <w:rsid w:val="2ED86F63"/>
    <w:rsid w:val="2EED10C4"/>
    <w:rsid w:val="2EF04CCE"/>
    <w:rsid w:val="2EF7784D"/>
    <w:rsid w:val="2EFA10EB"/>
    <w:rsid w:val="2EFB21A9"/>
    <w:rsid w:val="2F0A3A24"/>
    <w:rsid w:val="2F0E4B96"/>
    <w:rsid w:val="2F1A353B"/>
    <w:rsid w:val="2F3C1703"/>
    <w:rsid w:val="2F3E4F4E"/>
    <w:rsid w:val="2F407445"/>
    <w:rsid w:val="2F544C9F"/>
    <w:rsid w:val="2F5702EB"/>
    <w:rsid w:val="2F6243A8"/>
    <w:rsid w:val="2F6A44C2"/>
    <w:rsid w:val="2F6B1FE9"/>
    <w:rsid w:val="2F6F0666"/>
    <w:rsid w:val="2F860BD0"/>
    <w:rsid w:val="2F9037FD"/>
    <w:rsid w:val="2F904E2B"/>
    <w:rsid w:val="2F927575"/>
    <w:rsid w:val="2FA52BCD"/>
    <w:rsid w:val="2FAC4ADB"/>
    <w:rsid w:val="2FAD0853"/>
    <w:rsid w:val="2FE778C1"/>
    <w:rsid w:val="2FF3270A"/>
    <w:rsid w:val="2FF574A1"/>
    <w:rsid w:val="300246FB"/>
    <w:rsid w:val="30156A33"/>
    <w:rsid w:val="301D42EF"/>
    <w:rsid w:val="30226B4B"/>
    <w:rsid w:val="30240B15"/>
    <w:rsid w:val="30250D25"/>
    <w:rsid w:val="3025488D"/>
    <w:rsid w:val="30275F10"/>
    <w:rsid w:val="30287BA1"/>
    <w:rsid w:val="302B0671"/>
    <w:rsid w:val="302E3742"/>
    <w:rsid w:val="30336292"/>
    <w:rsid w:val="30342B2E"/>
    <w:rsid w:val="3034687E"/>
    <w:rsid w:val="3044084D"/>
    <w:rsid w:val="304940D8"/>
    <w:rsid w:val="30607673"/>
    <w:rsid w:val="30644D23"/>
    <w:rsid w:val="306F1C32"/>
    <w:rsid w:val="30894E1C"/>
    <w:rsid w:val="308E3881"/>
    <w:rsid w:val="30907F59"/>
    <w:rsid w:val="30B05F05"/>
    <w:rsid w:val="30B96C6E"/>
    <w:rsid w:val="30C916BD"/>
    <w:rsid w:val="30CD3408"/>
    <w:rsid w:val="30CF4EA4"/>
    <w:rsid w:val="30F57DBC"/>
    <w:rsid w:val="30FA3624"/>
    <w:rsid w:val="31002A27"/>
    <w:rsid w:val="310A4AEB"/>
    <w:rsid w:val="310D2023"/>
    <w:rsid w:val="31293F09"/>
    <w:rsid w:val="313308E4"/>
    <w:rsid w:val="3133745D"/>
    <w:rsid w:val="314D7BF8"/>
    <w:rsid w:val="31603DCF"/>
    <w:rsid w:val="316365F0"/>
    <w:rsid w:val="3163741B"/>
    <w:rsid w:val="31723B02"/>
    <w:rsid w:val="317811BB"/>
    <w:rsid w:val="31857392"/>
    <w:rsid w:val="318E1BB8"/>
    <w:rsid w:val="319475D5"/>
    <w:rsid w:val="319976C6"/>
    <w:rsid w:val="319A711F"/>
    <w:rsid w:val="319D4FDD"/>
    <w:rsid w:val="31A15954"/>
    <w:rsid w:val="31C75BFC"/>
    <w:rsid w:val="31D840B5"/>
    <w:rsid w:val="31DD7894"/>
    <w:rsid w:val="31DE1ECC"/>
    <w:rsid w:val="31EC2061"/>
    <w:rsid w:val="31FF437A"/>
    <w:rsid w:val="32056724"/>
    <w:rsid w:val="320643AF"/>
    <w:rsid w:val="32130E41"/>
    <w:rsid w:val="321B5F48"/>
    <w:rsid w:val="321D006A"/>
    <w:rsid w:val="3228125A"/>
    <w:rsid w:val="322841C1"/>
    <w:rsid w:val="322D6302"/>
    <w:rsid w:val="323846D6"/>
    <w:rsid w:val="323963CE"/>
    <w:rsid w:val="32396EB1"/>
    <w:rsid w:val="323C6422"/>
    <w:rsid w:val="324234D5"/>
    <w:rsid w:val="32562ADC"/>
    <w:rsid w:val="326F46E0"/>
    <w:rsid w:val="32713DBA"/>
    <w:rsid w:val="3277206D"/>
    <w:rsid w:val="327A3BC6"/>
    <w:rsid w:val="327D450D"/>
    <w:rsid w:val="327F745D"/>
    <w:rsid w:val="3284589B"/>
    <w:rsid w:val="328E671A"/>
    <w:rsid w:val="32990C1B"/>
    <w:rsid w:val="32A6777E"/>
    <w:rsid w:val="32C24615"/>
    <w:rsid w:val="32CB013A"/>
    <w:rsid w:val="32D3412D"/>
    <w:rsid w:val="32DA370D"/>
    <w:rsid w:val="32E4458C"/>
    <w:rsid w:val="32E75E2A"/>
    <w:rsid w:val="32E8120D"/>
    <w:rsid w:val="32F347CF"/>
    <w:rsid w:val="32F848CB"/>
    <w:rsid w:val="33007B2E"/>
    <w:rsid w:val="330306C4"/>
    <w:rsid w:val="330B1B18"/>
    <w:rsid w:val="330C5891"/>
    <w:rsid w:val="331C3D26"/>
    <w:rsid w:val="333368B2"/>
    <w:rsid w:val="33372EAB"/>
    <w:rsid w:val="3341378C"/>
    <w:rsid w:val="334C66DF"/>
    <w:rsid w:val="335C4122"/>
    <w:rsid w:val="335D1989"/>
    <w:rsid w:val="336809E1"/>
    <w:rsid w:val="336F654B"/>
    <w:rsid w:val="337619FB"/>
    <w:rsid w:val="33786E01"/>
    <w:rsid w:val="337A0A4C"/>
    <w:rsid w:val="337A388B"/>
    <w:rsid w:val="33911204"/>
    <w:rsid w:val="339935C8"/>
    <w:rsid w:val="33AF3D68"/>
    <w:rsid w:val="33AF6666"/>
    <w:rsid w:val="33AF6948"/>
    <w:rsid w:val="33BE6F4E"/>
    <w:rsid w:val="33C63C91"/>
    <w:rsid w:val="33C70135"/>
    <w:rsid w:val="33CB572B"/>
    <w:rsid w:val="33CE657B"/>
    <w:rsid w:val="33EA3E24"/>
    <w:rsid w:val="33EC7B9C"/>
    <w:rsid w:val="33F64C8B"/>
    <w:rsid w:val="33FB0977"/>
    <w:rsid w:val="34034EE6"/>
    <w:rsid w:val="340842AA"/>
    <w:rsid w:val="340C1D01"/>
    <w:rsid w:val="341C53BA"/>
    <w:rsid w:val="341E2D11"/>
    <w:rsid w:val="342033A2"/>
    <w:rsid w:val="342C131A"/>
    <w:rsid w:val="34312EC5"/>
    <w:rsid w:val="343206CD"/>
    <w:rsid w:val="344A041F"/>
    <w:rsid w:val="34560A62"/>
    <w:rsid w:val="346314E0"/>
    <w:rsid w:val="34661EED"/>
    <w:rsid w:val="347831DE"/>
    <w:rsid w:val="347C39A8"/>
    <w:rsid w:val="34847DD4"/>
    <w:rsid w:val="34853B4C"/>
    <w:rsid w:val="349F5B4F"/>
    <w:rsid w:val="34A35D81"/>
    <w:rsid w:val="34AA011B"/>
    <w:rsid w:val="34AE30A3"/>
    <w:rsid w:val="34B34723"/>
    <w:rsid w:val="34C92940"/>
    <w:rsid w:val="34D643A8"/>
    <w:rsid w:val="34E41339"/>
    <w:rsid w:val="34EB6364"/>
    <w:rsid w:val="34F36D08"/>
    <w:rsid w:val="34F565DC"/>
    <w:rsid w:val="35066A3B"/>
    <w:rsid w:val="35123632"/>
    <w:rsid w:val="35132F06"/>
    <w:rsid w:val="35164EB5"/>
    <w:rsid w:val="35246B7C"/>
    <w:rsid w:val="35321AF4"/>
    <w:rsid w:val="35373099"/>
    <w:rsid w:val="3538296D"/>
    <w:rsid w:val="354E440C"/>
    <w:rsid w:val="357C1D59"/>
    <w:rsid w:val="358636D8"/>
    <w:rsid w:val="358A766C"/>
    <w:rsid w:val="358B2CE3"/>
    <w:rsid w:val="358C26FA"/>
    <w:rsid w:val="359232E4"/>
    <w:rsid w:val="35A46254"/>
    <w:rsid w:val="35A525CC"/>
    <w:rsid w:val="35A95FA6"/>
    <w:rsid w:val="35B55A68"/>
    <w:rsid w:val="35BA7D9E"/>
    <w:rsid w:val="35BC7A10"/>
    <w:rsid w:val="35BE2E72"/>
    <w:rsid w:val="35C228C2"/>
    <w:rsid w:val="35C32BDC"/>
    <w:rsid w:val="35D00DF7"/>
    <w:rsid w:val="35D5640E"/>
    <w:rsid w:val="35FB7088"/>
    <w:rsid w:val="36132D44"/>
    <w:rsid w:val="36140CE4"/>
    <w:rsid w:val="36251143"/>
    <w:rsid w:val="36257395"/>
    <w:rsid w:val="362F5B1E"/>
    <w:rsid w:val="363B44C3"/>
    <w:rsid w:val="363F7DC0"/>
    <w:rsid w:val="364610BA"/>
    <w:rsid w:val="36724494"/>
    <w:rsid w:val="36753638"/>
    <w:rsid w:val="3679649B"/>
    <w:rsid w:val="367D0F7F"/>
    <w:rsid w:val="36826C31"/>
    <w:rsid w:val="36851BE2"/>
    <w:rsid w:val="368C11C2"/>
    <w:rsid w:val="368F0CBF"/>
    <w:rsid w:val="36916FED"/>
    <w:rsid w:val="369E0892"/>
    <w:rsid w:val="36A469C4"/>
    <w:rsid w:val="36A521D9"/>
    <w:rsid w:val="36C22E36"/>
    <w:rsid w:val="36E25286"/>
    <w:rsid w:val="36F02599"/>
    <w:rsid w:val="36F23231"/>
    <w:rsid w:val="36F55EAA"/>
    <w:rsid w:val="370F0532"/>
    <w:rsid w:val="372B09DB"/>
    <w:rsid w:val="372B3383"/>
    <w:rsid w:val="37377380"/>
    <w:rsid w:val="374A6C65"/>
    <w:rsid w:val="375A12C0"/>
    <w:rsid w:val="37625508"/>
    <w:rsid w:val="376E70A4"/>
    <w:rsid w:val="37763F45"/>
    <w:rsid w:val="3784095E"/>
    <w:rsid w:val="37895E9F"/>
    <w:rsid w:val="37984D56"/>
    <w:rsid w:val="37985945"/>
    <w:rsid w:val="37DA41AF"/>
    <w:rsid w:val="37E40B8A"/>
    <w:rsid w:val="37EA2644"/>
    <w:rsid w:val="37EB1F18"/>
    <w:rsid w:val="37F34577"/>
    <w:rsid w:val="380354B4"/>
    <w:rsid w:val="38044D88"/>
    <w:rsid w:val="3806031D"/>
    <w:rsid w:val="381D4B68"/>
    <w:rsid w:val="382C513A"/>
    <w:rsid w:val="382E36E1"/>
    <w:rsid w:val="38417D8A"/>
    <w:rsid w:val="3842422E"/>
    <w:rsid w:val="384F06F9"/>
    <w:rsid w:val="38526F7A"/>
    <w:rsid w:val="3872263A"/>
    <w:rsid w:val="38782879"/>
    <w:rsid w:val="387A2F34"/>
    <w:rsid w:val="387C555A"/>
    <w:rsid w:val="387C7014"/>
    <w:rsid w:val="387E2D8D"/>
    <w:rsid w:val="389600D6"/>
    <w:rsid w:val="389C521D"/>
    <w:rsid w:val="38B67A98"/>
    <w:rsid w:val="38C70CF9"/>
    <w:rsid w:val="38E31074"/>
    <w:rsid w:val="38E52970"/>
    <w:rsid w:val="38EA21D0"/>
    <w:rsid w:val="38F372D7"/>
    <w:rsid w:val="38F65019"/>
    <w:rsid w:val="38F66DC7"/>
    <w:rsid w:val="38FB43DD"/>
    <w:rsid w:val="391B05DB"/>
    <w:rsid w:val="39286102"/>
    <w:rsid w:val="39641F82"/>
    <w:rsid w:val="39684912"/>
    <w:rsid w:val="397441F3"/>
    <w:rsid w:val="3979412A"/>
    <w:rsid w:val="39873EC3"/>
    <w:rsid w:val="398919E9"/>
    <w:rsid w:val="39A16C97"/>
    <w:rsid w:val="39A24859"/>
    <w:rsid w:val="39A56B84"/>
    <w:rsid w:val="39A77BB2"/>
    <w:rsid w:val="39AD5743"/>
    <w:rsid w:val="39B12CEE"/>
    <w:rsid w:val="39B60304"/>
    <w:rsid w:val="39BE5B37"/>
    <w:rsid w:val="39CD1EE3"/>
    <w:rsid w:val="39CD78A2"/>
    <w:rsid w:val="39D1471A"/>
    <w:rsid w:val="39ED6FFB"/>
    <w:rsid w:val="39F257E0"/>
    <w:rsid w:val="3A067300"/>
    <w:rsid w:val="3A1140AB"/>
    <w:rsid w:val="3A1A4D37"/>
    <w:rsid w:val="3A455B54"/>
    <w:rsid w:val="3A801D48"/>
    <w:rsid w:val="3A81200E"/>
    <w:rsid w:val="3A850402"/>
    <w:rsid w:val="3A9C399E"/>
    <w:rsid w:val="3AA52E29"/>
    <w:rsid w:val="3AA91B3C"/>
    <w:rsid w:val="3AB13D20"/>
    <w:rsid w:val="3ABB7AA2"/>
    <w:rsid w:val="3ACF5B21"/>
    <w:rsid w:val="3AD1189A"/>
    <w:rsid w:val="3AD62A0C"/>
    <w:rsid w:val="3AFD68A7"/>
    <w:rsid w:val="3B1479D8"/>
    <w:rsid w:val="3B196D9D"/>
    <w:rsid w:val="3B1F45BC"/>
    <w:rsid w:val="3B225C51"/>
    <w:rsid w:val="3B255741"/>
    <w:rsid w:val="3B2A2D58"/>
    <w:rsid w:val="3B321943"/>
    <w:rsid w:val="3B345984"/>
    <w:rsid w:val="3B36360F"/>
    <w:rsid w:val="3B36794F"/>
    <w:rsid w:val="3B367AA6"/>
    <w:rsid w:val="3B3B4F65"/>
    <w:rsid w:val="3B3E6803"/>
    <w:rsid w:val="3B437161"/>
    <w:rsid w:val="3B450A85"/>
    <w:rsid w:val="3B506C62"/>
    <w:rsid w:val="3B514FD2"/>
    <w:rsid w:val="3B693880"/>
    <w:rsid w:val="3B820DE6"/>
    <w:rsid w:val="3B854AB6"/>
    <w:rsid w:val="3B8E1539"/>
    <w:rsid w:val="3B9D177C"/>
    <w:rsid w:val="3BA046F2"/>
    <w:rsid w:val="3BA50630"/>
    <w:rsid w:val="3BC55BF0"/>
    <w:rsid w:val="3BCB0097"/>
    <w:rsid w:val="3BD80550"/>
    <w:rsid w:val="3BDD1B6F"/>
    <w:rsid w:val="3BE56E1B"/>
    <w:rsid w:val="3BED2DB3"/>
    <w:rsid w:val="3C0454A1"/>
    <w:rsid w:val="3C1403C6"/>
    <w:rsid w:val="3C215F09"/>
    <w:rsid w:val="3C436B55"/>
    <w:rsid w:val="3C4B567C"/>
    <w:rsid w:val="3C595E61"/>
    <w:rsid w:val="3C5A5699"/>
    <w:rsid w:val="3C5A766D"/>
    <w:rsid w:val="3C622D83"/>
    <w:rsid w:val="3C6947A2"/>
    <w:rsid w:val="3C722AD6"/>
    <w:rsid w:val="3C7324DC"/>
    <w:rsid w:val="3C7921E9"/>
    <w:rsid w:val="3C7F70D3"/>
    <w:rsid w:val="3CAA7145"/>
    <w:rsid w:val="3CAE4C7F"/>
    <w:rsid w:val="3CB74ABF"/>
    <w:rsid w:val="3CC0618E"/>
    <w:rsid w:val="3CC35212"/>
    <w:rsid w:val="3CC828E4"/>
    <w:rsid w:val="3CD14C56"/>
    <w:rsid w:val="3CD16A44"/>
    <w:rsid w:val="3CD25455"/>
    <w:rsid w:val="3CD65AAE"/>
    <w:rsid w:val="3CD87391"/>
    <w:rsid w:val="3CE73A29"/>
    <w:rsid w:val="3CF81438"/>
    <w:rsid w:val="3D053A7C"/>
    <w:rsid w:val="3D0A1093"/>
    <w:rsid w:val="3D0C0967"/>
    <w:rsid w:val="3D1D70A7"/>
    <w:rsid w:val="3D22018A"/>
    <w:rsid w:val="3D22462E"/>
    <w:rsid w:val="3D2263DC"/>
    <w:rsid w:val="3D2C1009"/>
    <w:rsid w:val="3D481C94"/>
    <w:rsid w:val="3D502922"/>
    <w:rsid w:val="3D5A545D"/>
    <w:rsid w:val="3D605157"/>
    <w:rsid w:val="3D6407A3"/>
    <w:rsid w:val="3D6E1622"/>
    <w:rsid w:val="3DA46DF1"/>
    <w:rsid w:val="3DA62EC6"/>
    <w:rsid w:val="3DB50FFF"/>
    <w:rsid w:val="3DBF00CF"/>
    <w:rsid w:val="3DC5448B"/>
    <w:rsid w:val="3DE60DD6"/>
    <w:rsid w:val="3DEA0B3C"/>
    <w:rsid w:val="3E004349"/>
    <w:rsid w:val="3E0F7B1D"/>
    <w:rsid w:val="3E1C72D0"/>
    <w:rsid w:val="3E1D0E70"/>
    <w:rsid w:val="3E234AB8"/>
    <w:rsid w:val="3E32264F"/>
    <w:rsid w:val="3E4009FD"/>
    <w:rsid w:val="3E444130"/>
    <w:rsid w:val="3E524A87"/>
    <w:rsid w:val="3E5C1BAD"/>
    <w:rsid w:val="3E6D3CFD"/>
    <w:rsid w:val="3E9230EE"/>
    <w:rsid w:val="3E9B58E4"/>
    <w:rsid w:val="3E9F6F17"/>
    <w:rsid w:val="3EA11583"/>
    <w:rsid w:val="3EA1224E"/>
    <w:rsid w:val="3EA173B6"/>
    <w:rsid w:val="3EA37CD2"/>
    <w:rsid w:val="3EA4471C"/>
    <w:rsid w:val="3EB35031"/>
    <w:rsid w:val="3ED570D4"/>
    <w:rsid w:val="3ED8530B"/>
    <w:rsid w:val="3EDF3E59"/>
    <w:rsid w:val="3EE06168"/>
    <w:rsid w:val="3EE85404"/>
    <w:rsid w:val="3F122481"/>
    <w:rsid w:val="3F141725"/>
    <w:rsid w:val="3F1B1335"/>
    <w:rsid w:val="3F200257"/>
    <w:rsid w:val="3F23468E"/>
    <w:rsid w:val="3F286DBF"/>
    <w:rsid w:val="3F520ACF"/>
    <w:rsid w:val="3F5C4CEB"/>
    <w:rsid w:val="3F6367D4"/>
    <w:rsid w:val="3F6727CC"/>
    <w:rsid w:val="3F7140F5"/>
    <w:rsid w:val="3F786788"/>
    <w:rsid w:val="3F7E4562"/>
    <w:rsid w:val="3F892743"/>
    <w:rsid w:val="3F8D1475"/>
    <w:rsid w:val="3F975C22"/>
    <w:rsid w:val="3FA034D3"/>
    <w:rsid w:val="3FA70E1B"/>
    <w:rsid w:val="3FA75D30"/>
    <w:rsid w:val="3FB5178A"/>
    <w:rsid w:val="3FC64109"/>
    <w:rsid w:val="3FCC77A7"/>
    <w:rsid w:val="3FCE63A8"/>
    <w:rsid w:val="3FD65247"/>
    <w:rsid w:val="3FD81621"/>
    <w:rsid w:val="3FDB385A"/>
    <w:rsid w:val="3FDF1BB6"/>
    <w:rsid w:val="3FDF6807"/>
    <w:rsid w:val="3FE23C01"/>
    <w:rsid w:val="3FE3145D"/>
    <w:rsid w:val="3FE71217"/>
    <w:rsid w:val="3FFF4431"/>
    <w:rsid w:val="40061FE5"/>
    <w:rsid w:val="400E0CEC"/>
    <w:rsid w:val="40175FA1"/>
    <w:rsid w:val="4022565B"/>
    <w:rsid w:val="402266F3"/>
    <w:rsid w:val="4032514F"/>
    <w:rsid w:val="403629A3"/>
    <w:rsid w:val="403B122D"/>
    <w:rsid w:val="403D52DB"/>
    <w:rsid w:val="404B007A"/>
    <w:rsid w:val="405A7C3B"/>
    <w:rsid w:val="405B7334"/>
    <w:rsid w:val="405C70C5"/>
    <w:rsid w:val="406311E6"/>
    <w:rsid w:val="406B3BF6"/>
    <w:rsid w:val="406E53A2"/>
    <w:rsid w:val="40730CFD"/>
    <w:rsid w:val="409C4184"/>
    <w:rsid w:val="40B65678"/>
    <w:rsid w:val="40C31C84"/>
    <w:rsid w:val="40C4271E"/>
    <w:rsid w:val="40CD2BBC"/>
    <w:rsid w:val="40CE74E8"/>
    <w:rsid w:val="40D05B99"/>
    <w:rsid w:val="40D43E92"/>
    <w:rsid w:val="40D55514"/>
    <w:rsid w:val="40D7128C"/>
    <w:rsid w:val="40DE086C"/>
    <w:rsid w:val="40ED7968"/>
    <w:rsid w:val="40EE65D6"/>
    <w:rsid w:val="40FE0F0E"/>
    <w:rsid w:val="411841B3"/>
    <w:rsid w:val="41390199"/>
    <w:rsid w:val="41561B7B"/>
    <w:rsid w:val="415D5C35"/>
    <w:rsid w:val="415F2382"/>
    <w:rsid w:val="41644CA3"/>
    <w:rsid w:val="417A1B09"/>
    <w:rsid w:val="417C604D"/>
    <w:rsid w:val="417E7959"/>
    <w:rsid w:val="41807B75"/>
    <w:rsid w:val="418238EE"/>
    <w:rsid w:val="418750CF"/>
    <w:rsid w:val="418C2076"/>
    <w:rsid w:val="41C47F76"/>
    <w:rsid w:val="41CF6407"/>
    <w:rsid w:val="41D63FBD"/>
    <w:rsid w:val="41D91034"/>
    <w:rsid w:val="41DF75B5"/>
    <w:rsid w:val="41F23423"/>
    <w:rsid w:val="421568CA"/>
    <w:rsid w:val="422229DB"/>
    <w:rsid w:val="42246753"/>
    <w:rsid w:val="422F2C0A"/>
    <w:rsid w:val="423341AF"/>
    <w:rsid w:val="423B39E3"/>
    <w:rsid w:val="424D3EFC"/>
    <w:rsid w:val="426D0C07"/>
    <w:rsid w:val="427C658F"/>
    <w:rsid w:val="42937956"/>
    <w:rsid w:val="42997BDD"/>
    <w:rsid w:val="429E310A"/>
    <w:rsid w:val="42AB29D0"/>
    <w:rsid w:val="42AC4D28"/>
    <w:rsid w:val="42AE426E"/>
    <w:rsid w:val="42B0448A"/>
    <w:rsid w:val="42B60CBA"/>
    <w:rsid w:val="42BA4570"/>
    <w:rsid w:val="42C43A92"/>
    <w:rsid w:val="42DB62DB"/>
    <w:rsid w:val="42E83C24"/>
    <w:rsid w:val="42EE0B0F"/>
    <w:rsid w:val="42F40D87"/>
    <w:rsid w:val="42F9198D"/>
    <w:rsid w:val="430B346F"/>
    <w:rsid w:val="43157031"/>
    <w:rsid w:val="431F6F1A"/>
    <w:rsid w:val="43204D6E"/>
    <w:rsid w:val="432E4410"/>
    <w:rsid w:val="433760D0"/>
    <w:rsid w:val="433E0C67"/>
    <w:rsid w:val="434171A0"/>
    <w:rsid w:val="43430E5B"/>
    <w:rsid w:val="43486471"/>
    <w:rsid w:val="434F476D"/>
    <w:rsid w:val="43503578"/>
    <w:rsid w:val="4352109E"/>
    <w:rsid w:val="43530C9D"/>
    <w:rsid w:val="43661D30"/>
    <w:rsid w:val="436C09A1"/>
    <w:rsid w:val="436D0AEC"/>
    <w:rsid w:val="436E0D52"/>
    <w:rsid w:val="436F047F"/>
    <w:rsid w:val="436F39FE"/>
    <w:rsid w:val="436F7EA2"/>
    <w:rsid w:val="43863FBF"/>
    <w:rsid w:val="4387343D"/>
    <w:rsid w:val="439C056B"/>
    <w:rsid w:val="43AE09CA"/>
    <w:rsid w:val="43BA63BC"/>
    <w:rsid w:val="43DE0B83"/>
    <w:rsid w:val="43E56FFE"/>
    <w:rsid w:val="44071DF4"/>
    <w:rsid w:val="44094377"/>
    <w:rsid w:val="44223166"/>
    <w:rsid w:val="442347E8"/>
    <w:rsid w:val="442B201A"/>
    <w:rsid w:val="44315157"/>
    <w:rsid w:val="44384517"/>
    <w:rsid w:val="443D2BAD"/>
    <w:rsid w:val="44406A3F"/>
    <w:rsid w:val="444E5D09"/>
    <w:rsid w:val="445114EF"/>
    <w:rsid w:val="445B2639"/>
    <w:rsid w:val="445D5F4C"/>
    <w:rsid w:val="44654E01"/>
    <w:rsid w:val="44675AEB"/>
    <w:rsid w:val="44676DCB"/>
    <w:rsid w:val="44803B8C"/>
    <w:rsid w:val="44894274"/>
    <w:rsid w:val="448D375C"/>
    <w:rsid w:val="44996FB3"/>
    <w:rsid w:val="449D27EC"/>
    <w:rsid w:val="44A53DC8"/>
    <w:rsid w:val="44C77869"/>
    <w:rsid w:val="44D51F86"/>
    <w:rsid w:val="44DC50C3"/>
    <w:rsid w:val="44E26451"/>
    <w:rsid w:val="44E70410"/>
    <w:rsid w:val="44F248E6"/>
    <w:rsid w:val="44FA2AC6"/>
    <w:rsid w:val="450A6DA6"/>
    <w:rsid w:val="450E5B4A"/>
    <w:rsid w:val="452B604A"/>
    <w:rsid w:val="452C56B4"/>
    <w:rsid w:val="45363083"/>
    <w:rsid w:val="453C0257"/>
    <w:rsid w:val="45406B12"/>
    <w:rsid w:val="45442C68"/>
    <w:rsid w:val="455A06DD"/>
    <w:rsid w:val="45790EBA"/>
    <w:rsid w:val="457A48DC"/>
    <w:rsid w:val="458A4B1F"/>
    <w:rsid w:val="458F482B"/>
    <w:rsid w:val="45A7531D"/>
    <w:rsid w:val="45A92AE9"/>
    <w:rsid w:val="45AA6F6F"/>
    <w:rsid w:val="45B10696"/>
    <w:rsid w:val="45BC36A1"/>
    <w:rsid w:val="45D43FEC"/>
    <w:rsid w:val="45DA2E00"/>
    <w:rsid w:val="45E85CE9"/>
    <w:rsid w:val="45EF1111"/>
    <w:rsid w:val="45F51402"/>
    <w:rsid w:val="46080139"/>
    <w:rsid w:val="460C7409"/>
    <w:rsid w:val="460D74FE"/>
    <w:rsid w:val="461E376F"/>
    <w:rsid w:val="46366582"/>
    <w:rsid w:val="463F1478"/>
    <w:rsid w:val="464A2500"/>
    <w:rsid w:val="464C0026"/>
    <w:rsid w:val="465D4CB9"/>
    <w:rsid w:val="466B2BA2"/>
    <w:rsid w:val="46B207DF"/>
    <w:rsid w:val="46B53E1D"/>
    <w:rsid w:val="46B86825"/>
    <w:rsid w:val="46EA07B2"/>
    <w:rsid w:val="46EB783F"/>
    <w:rsid w:val="46F506BE"/>
    <w:rsid w:val="46F82CC1"/>
    <w:rsid w:val="46FA3FBB"/>
    <w:rsid w:val="4703337B"/>
    <w:rsid w:val="47150D60"/>
    <w:rsid w:val="471D19C3"/>
    <w:rsid w:val="471E65B1"/>
    <w:rsid w:val="471F1784"/>
    <w:rsid w:val="471F573B"/>
    <w:rsid w:val="47242D51"/>
    <w:rsid w:val="473311E6"/>
    <w:rsid w:val="47347438"/>
    <w:rsid w:val="474074AC"/>
    <w:rsid w:val="474F4AC7"/>
    <w:rsid w:val="475A2341"/>
    <w:rsid w:val="4760647F"/>
    <w:rsid w:val="478D0F2A"/>
    <w:rsid w:val="479F2308"/>
    <w:rsid w:val="47A72EC9"/>
    <w:rsid w:val="47B71E17"/>
    <w:rsid w:val="47BA5463"/>
    <w:rsid w:val="47C02A7A"/>
    <w:rsid w:val="47C54D69"/>
    <w:rsid w:val="47CA7D9C"/>
    <w:rsid w:val="47CC40D8"/>
    <w:rsid w:val="47CD2511"/>
    <w:rsid w:val="47CF53B3"/>
    <w:rsid w:val="47E15213"/>
    <w:rsid w:val="48082673"/>
    <w:rsid w:val="480E3260"/>
    <w:rsid w:val="481132D5"/>
    <w:rsid w:val="481A70C2"/>
    <w:rsid w:val="48221986"/>
    <w:rsid w:val="48480CC1"/>
    <w:rsid w:val="48496F13"/>
    <w:rsid w:val="48587156"/>
    <w:rsid w:val="48597B07"/>
    <w:rsid w:val="48691B36"/>
    <w:rsid w:val="486F26F2"/>
    <w:rsid w:val="48741AB6"/>
    <w:rsid w:val="487B1097"/>
    <w:rsid w:val="48861F15"/>
    <w:rsid w:val="48877A3B"/>
    <w:rsid w:val="488B4C1A"/>
    <w:rsid w:val="488C0CE1"/>
    <w:rsid w:val="489C2DB7"/>
    <w:rsid w:val="489E1D09"/>
    <w:rsid w:val="48A028AB"/>
    <w:rsid w:val="48BD520B"/>
    <w:rsid w:val="48C1039E"/>
    <w:rsid w:val="48D6451F"/>
    <w:rsid w:val="48E23A51"/>
    <w:rsid w:val="48EB1D78"/>
    <w:rsid w:val="48F50E49"/>
    <w:rsid w:val="48FC3F85"/>
    <w:rsid w:val="490023BE"/>
    <w:rsid w:val="49024B59"/>
    <w:rsid w:val="49180694"/>
    <w:rsid w:val="491D3EFC"/>
    <w:rsid w:val="491F1A22"/>
    <w:rsid w:val="49332C32"/>
    <w:rsid w:val="4934009A"/>
    <w:rsid w:val="493666B5"/>
    <w:rsid w:val="49431BB4"/>
    <w:rsid w:val="494877A6"/>
    <w:rsid w:val="49560ABE"/>
    <w:rsid w:val="495C0DBE"/>
    <w:rsid w:val="49663358"/>
    <w:rsid w:val="49724393"/>
    <w:rsid w:val="497C0C22"/>
    <w:rsid w:val="497F6965"/>
    <w:rsid w:val="498A333C"/>
    <w:rsid w:val="49975BE8"/>
    <w:rsid w:val="49C425C9"/>
    <w:rsid w:val="49D24CE6"/>
    <w:rsid w:val="49DF5043"/>
    <w:rsid w:val="49EF3581"/>
    <w:rsid w:val="49F66C27"/>
    <w:rsid w:val="49FA5FEB"/>
    <w:rsid w:val="4A1C69A8"/>
    <w:rsid w:val="4A282B58"/>
    <w:rsid w:val="4A2C2648"/>
    <w:rsid w:val="4A372D9B"/>
    <w:rsid w:val="4A38723F"/>
    <w:rsid w:val="4A451346"/>
    <w:rsid w:val="4A5676C5"/>
    <w:rsid w:val="4A58343D"/>
    <w:rsid w:val="4A5A4C2D"/>
    <w:rsid w:val="4A791606"/>
    <w:rsid w:val="4A9106FD"/>
    <w:rsid w:val="4AA541A9"/>
    <w:rsid w:val="4ABD5996"/>
    <w:rsid w:val="4AC07235"/>
    <w:rsid w:val="4AC24D5B"/>
    <w:rsid w:val="4AD3077D"/>
    <w:rsid w:val="4AE370A5"/>
    <w:rsid w:val="4B1307D7"/>
    <w:rsid w:val="4B1F5D09"/>
    <w:rsid w:val="4B21248D"/>
    <w:rsid w:val="4B2B3A38"/>
    <w:rsid w:val="4B313C8F"/>
    <w:rsid w:val="4B3859E3"/>
    <w:rsid w:val="4B4D6D1A"/>
    <w:rsid w:val="4B5952D1"/>
    <w:rsid w:val="4B5F75CB"/>
    <w:rsid w:val="4B6D633F"/>
    <w:rsid w:val="4B797CFE"/>
    <w:rsid w:val="4B96714B"/>
    <w:rsid w:val="4BA95F1B"/>
    <w:rsid w:val="4BB16CD5"/>
    <w:rsid w:val="4BB5666E"/>
    <w:rsid w:val="4BB708DA"/>
    <w:rsid w:val="4BB723FD"/>
    <w:rsid w:val="4BB74194"/>
    <w:rsid w:val="4BC13264"/>
    <w:rsid w:val="4BDE7697"/>
    <w:rsid w:val="4BEE2F77"/>
    <w:rsid w:val="4BF776DC"/>
    <w:rsid w:val="4BFA22D2"/>
    <w:rsid w:val="4BFD14B6"/>
    <w:rsid w:val="4C080E93"/>
    <w:rsid w:val="4C0F1BEA"/>
    <w:rsid w:val="4C145A93"/>
    <w:rsid w:val="4C2C7B3F"/>
    <w:rsid w:val="4C3C28EB"/>
    <w:rsid w:val="4C481290"/>
    <w:rsid w:val="4C7F2E42"/>
    <w:rsid w:val="4C87625C"/>
    <w:rsid w:val="4C91372A"/>
    <w:rsid w:val="4C92075D"/>
    <w:rsid w:val="4C991AEB"/>
    <w:rsid w:val="4C9F512B"/>
    <w:rsid w:val="4CA43D84"/>
    <w:rsid w:val="4CA56323"/>
    <w:rsid w:val="4CC0176E"/>
    <w:rsid w:val="4CF66F3E"/>
    <w:rsid w:val="4D0478AD"/>
    <w:rsid w:val="4D0A4797"/>
    <w:rsid w:val="4D187642"/>
    <w:rsid w:val="4D1D44CA"/>
    <w:rsid w:val="4D2553D4"/>
    <w:rsid w:val="4D2F41FE"/>
    <w:rsid w:val="4D56422A"/>
    <w:rsid w:val="4D5E4D14"/>
    <w:rsid w:val="4D6F3B43"/>
    <w:rsid w:val="4D712FDA"/>
    <w:rsid w:val="4D746E8E"/>
    <w:rsid w:val="4D800456"/>
    <w:rsid w:val="4D844549"/>
    <w:rsid w:val="4D862070"/>
    <w:rsid w:val="4D92310A"/>
    <w:rsid w:val="4D9A6A17"/>
    <w:rsid w:val="4D9D385D"/>
    <w:rsid w:val="4DAD1CF2"/>
    <w:rsid w:val="4DC4703C"/>
    <w:rsid w:val="4DCD7C9F"/>
    <w:rsid w:val="4DE17BEE"/>
    <w:rsid w:val="4DE35714"/>
    <w:rsid w:val="4DE90850"/>
    <w:rsid w:val="4DFD4FEE"/>
    <w:rsid w:val="4E066C4A"/>
    <w:rsid w:val="4E091180"/>
    <w:rsid w:val="4E173610"/>
    <w:rsid w:val="4E1A6C5C"/>
    <w:rsid w:val="4E1E6324"/>
    <w:rsid w:val="4E2B70BB"/>
    <w:rsid w:val="4E2F0959"/>
    <w:rsid w:val="4E393586"/>
    <w:rsid w:val="4E3C3076"/>
    <w:rsid w:val="4E4C61AE"/>
    <w:rsid w:val="4E4D0DDF"/>
    <w:rsid w:val="4E4F4B57"/>
    <w:rsid w:val="4E5C1A72"/>
    <w:rsid w:val="4E615284"/>
    <w:rsid w:val="4E7421FE"/>
    <w:rsid w:val="4E7E368F"/>
    <w:rsid w:val="4E957E81"/>
    <w:rsid w:val="4EA64556"/>
    <w:rsid w:val="4EAD29E4"/>
    <w:rsid w:val="4EC310A1"/>
    <w:rsid w:val="4ECC43FA"/>
    <w:rsid w:val="4ED1637D"/>
    <w:rsid w:val="4ED46303"/>
    <w:rsid w:val="4EE554BC"/>
    <w:rsid w:val="4EE80B08"/>
    <w:rsid w:val="4F043B94"/>
    <w:rsid w:val="4F1638C7"/>
    <w:rsid w:val="4F1B205A"/>
    <w:rsid w:val="4F1F277C"/>
    <w:rsid w:val="4F247196"/>
    <w:rsid w:val="4F2A7373"/>
    <w:rsid w:val="4F2E5442"/>
    <w:rsid w:val="4F2F1144"/>
    <w:rsid w:val="4F30313F"/>
    <w:rsid w:val="4F3E7013"/>
    <w:rsid w:val="4F52580A"/>
    <w:rsid w:val="4F691C49"/>
    <w:rsid w:val="4F6A776F"/>
    <w:rsid w:val="4F702FD7"/>
    <w:rsid w:val="4F707F08"/>
    <w:rsid w:val="4F9273F2"/>
    <w:rsid w:val="4FA9473B"/>
    <w:rsid w:val="4FBA0B14"/>
    <w:rsid w:val="4FC728EB"/>
    <w:rsid w:val="4FC74BC1"/>
    <w:rsid w:val="4FCD042A"/>
    <w:rsid w:val="4FCD7190"/>
    <w:rsid w:val="4FD277EE"/>
    <w:rsid w:val="4FDA2B47"/>
    <w:rsid w:val="4FDA7D75"/>
    <w:rsid w:val="4FE439C5"/>
    <w:rsid w:val="4FE614EB"/>
    <w:rsid w:val="4FEE65F2"/>
    <w:rsid w:val="4FF57980"/>
    <w:rsid w:val="50016834"/>
    <w:rsid w:val="500656EA"/>
    <w:rsid w:val="501E6ED7"/>
    <w:rsid w:val="5035087B"/>
    <w:rsid w:val="507C775A"/>
    <w:rsid w:val="50816CB4"/>
    <w:rsid w:val="50827466"/>
    <w:rsid w:val="508D5E0B"/>
    <w:rsid w:val="508F1B83"/>
    <w:rsid w:val="50900326"/>
    <w:rsid w:val="50954B90"/>
    <w:rsid w:val="50AA076B"/>
    <w:rsid w:val="50B25281"/>
    <w:rsid w:val="50B33BB9"/>
    <w:rsid w:val="50BE5FC4"/>
    <w:rsid w:val="50D43A3A"/>
    <w:rsid w:val="50D74B77"/>
    <w:rsid w:val="50DE6667"/>
    <w:rsid w:val="50E35A2B"/>
    <w:rsid w:val="50E579F5"/>
    <w:rsid w:val="50E87836"/>
    <w:rsid w:val="50EA500B"/>
    <w:rsid w:val="50F83282"/>
    <w:rsid w:val="50FB4B23"/>
    <w:rsid w:val="51173459"/>
    <w:rsid w:val="512625D1"/>
    <w:rsid w:val="51265C7E"/>
    <w:rsid w:val="512B2ED3"/>
    <w:rsid w:val="513872E4"/>
    <w:rsid w:val="513A098B"/>
    <w:rsid w:val="514814EC"/>
    <w:rsid w:val="5150055F"/>
    <w:rsid w:val="5153670D"/>
    <w:rsid w:val="5157474A"/>
    <w:rsid w:val="51586419"/>
    <w:rsid w:val="515F1555"/>
    <w:rsid w:val="51907961"/>
    <w:rsid w:val="51960CEF"/>
    <w:rsid w:val="51A54DB6"/>
    <w:rsid w:val="51A83B47"/>
    <w:rsid w:val="51AC22C1"/>
    <w:rsid w:val="51B17E6B"/>
    <w:rsid w:val="51CB2747"/>
    <w:rsid w:val="51CB6BEB"/>
    <w:rsid w:val="51CD131C"/>
    <w:rsid w:val="51D6014D"/>
    <w:rsid w:val="51DB032E"/>
    <w:rsid w:val="51EB4B97"/>
    <w:rsid w:val="51EE6435"/>
    <w:rsid w:val="51EF091F"/>
    <w:rsid w:val="51F53C68"/>
    <w:rsid w:val="5201260D"/>
    <w:rsid w:val="52072F1E"/>
    <w:rsid w:val="5217644D"/>
    <w:rsid w:val="522D1654"/>
    <w:rsid w:val="52302970"/>
    <w:rsid w:val="523835F9"/>
    <w:rsid w:val="523C1C8B"/>
    <w:rsid w:val="523C5EA4"/>
    <w:rsid w:val="523F4EE3"/>
    <w:rsid w:val="524620FA"/>
    <w:rsid w:val="52592449"/>
    <w:rsid w:val="526D49E3"/>
    <w:rsid w:val="5274360D"/>
    <w:rsid w:val="52756B57"/>
    <w:rsid w:val="52972F71"/>
    <w:rsid w:val="529E7E5B"/>
    <w:rsid w:val="52B753C1"/>
    <w:rsid w:val="52BF7DD2"/>
    <w:rsid w:val="52D715BF"/>
    <w:rsid w:val="52DA5E34"/>
    <w:rsid w:val="52FB705C"/>
    <w:rsid w:val="53071EA5"/>
    <w:rsid w:val="53081779"/>
    <w:rsid w:val="530A3743"/>
    <w:rsid w:val="53395DD6"/>
    <w:rsid w:val="53400F13"/>
    <w:rsid w:val="5347038D"/>
    <w:rsid w:val="534A6CD4"/>
    <w:rsid w:val="534E7AD3"/>
    <w:rsid w:val="53620E89"/>
    <w:rsid w:val="53755060"/>
    <w:rsid w:val="538B4884"/>
    <w:rsid w:val="53A63921"/>
    <w:rsid w:val="53AC47FA"/>
    <w:rsid w:val="53AC65A8"/>
    <w:rsid w:val="53BC2E44"/>
    <w:rsid w:val="53C625EC"/>
    <w:rsid w:val="53CA6CDA"/>
    <w:rsid w:val="53CC5791"/>
    <w:rsid w:val="53D95D45"/>
    <w:rsid w:val="53DA1367"/>
    <w:rsid w:val="53EB53BD"/>
    <w:rsid w:val="53F15B6B"/>
    <w:rsid w:val="53F8359B"/>
    <w:rsid w:val="53FC5993"/>
    <w:rsid w:val="54041F40"/>
    <w:rsid w:val="54190C98"/>
    <w:rsid w:val="541D74A6"/>
    <w:rsid w:val="54297BF9"/>
    <w:rsid w:val="54324CFF"/>
    <w:rsid w:val="543A0058"/>
    <w:rsid w:val="54420F72"/>
    <w:rsid w:val="54484523"/>
    <w:rsid w:val="54505185"/>
    <w:rsid w:val="54556C40"/>
    <w:rsid w:val="545671EC"/>
    <w:rsid w:val="54611097"/>
    <w:rsid w:val="547A48F8"/>
    <w:rsid w:val="547A6DAD"/>
    <w:rsid w:val="5487370E"/>
    <w:rsid w:val="54BC17B0"/>
    <w:rsid w:val="54C4758E"/>
    <w:rsid w:val="54CD0728"/>
    <w:rsid w:val="54CD4A28"/>
    <w:rsid w:val="54D15F1A"/>
    <w:rsid w:val="54D264E2"/>
    <w:rsid w:val="54D65699"/>
    <w:rsid w:val="54DA3A8F"/>
    <w:rsid w:val="54E01D6C"/>
    <w:rsid w:val="54E47B17"/>
    <w:rsid w:val="54E9481D"/>
    <w:rsid w:val="54EE2F1E"/>
    <w:rsid w:val="54F226E1"/>
    <w:rsid w:val="54FC530D"/>
    <w:rsid w:val="55094443"/>
    <w:rsid w:val="551E742C"/>
    <w:rsid w:val="554127C0"/>
    <w:rsid w:val="55432F3C"/>
    <w:rsid w:val="55560EC1"/>
    <w:rsid w:val="55570670"/>
    <w:rsid w:val="5579695E"/>
    <w:rsid w:val="557D19A9"/>
    <w:rsid w:val="558A2919"/>
    <w:rsid w:val="55A97243"/>
    <w:rsid w:val="55AB2097"/>
    <w:rsid w:val="55B87486"/>
    <w:rsid w:val="55C470D8"/>
    <w:rsid w:val="55CE6CAA"/>
    <w:rsid w:val="55DA73FC"/>
    <w:rsid w:val="55DB4F23"/>
    <w:rsid w:val="55DF5DA8"/>
    <w:rsid w:val="55E069DD"/>
    <w:rsid w:val="55EF136D"/>
    <w:rsid w:val="55F55C55"/>
    <w:rsid w:val="55F83D27"/>
    <w:rsid w:val="56001C9A"/>
    <w:rsid w:val="560069AF"/>
    <w:rsid w:val="56094F2A"/>
    <w:rsid w:val="560C1580"/>
    <w:rsid w:val="56156687"/>
    <w:rsid w:val="56177EC9"/>
    <w:rsid w:val="561A1EEF"/>
    <w:rsid w:val="5635492A"/>
    <w:rsid w:val="5684052B"/>
    <w:rsid w:val="568630E0"/>
    <w:rsid w:val="56921A85"/>
    <w:rsid w:val="569752EE"/>
    <w:rsid w:val="569976E5"/>
    <w:rsid w:val="56E16569"/>
    <w:rsid w:val="56EB521A"/>
    <w:rsid w:val="56F25D16"/>
    <w:rsid w:val="56F72230"/>
    <w:rsid w:val="56F770C8"/>
    <w:rsid w:val="56F95FA8"/>
    <w:rsid w:val="56FE7C5C"/>
    <w:rsid w:val="57016C0B"/>
    <w:rsid w:val="570F0DAD"/>
    <w:rsid w:val="571050A0"/>
    <w:rsid w:val="57136DC9"/>
    <w:rsid w:val="571C1C97"/>
    <w:rsid w:val="571E3EBF"/>
    <w:rsid w:val="5721105B"/>
    <w:rsid w:val="572C1045"/>
    <w:rsid w:val="57342B3C"/>
    <w:rsid w:val="57394670"/>
    <w:rsid w:val="57413F62"/>
    <w:rsid w:val="57437223"/>
    <w:rsid w:val="57443D1C"/>
    <w:rsid w:val="574511ED"/>
    <w:rsid w:val="57527466"/>
    <w:rsid w:val="57547BA2"/>
    <w:rsid w:val="57572B76"/>
    <w:rsid w:val="576378C6"/>
    <w:rsid w:val="5769056B"/>
    <w:rsid w:val="576F0018"/>
    <w:rsid w:val="57715B3F"/>
    <w:rsid w:val="577949F3"/>
    <w:rsid w:val="57961A49"/>
    <w:rsid w:val="579730CB"/>
    <w:rsid w:val="579B705F"/>
    <w:rsid w:val="57AA1051"/>
    <w:rsid w:val="57AB79F3"/>
    <w:rsid w:val="57C06AC6"/>
    <w:rsid w:val="57CD43E4"/>
    <w:rsid w:val="57D85BBE"/>
    <w:rsid w:val="57E207EA"/>
    <w:rsid w:val="57F246BE"/>
    <w:rsid w:val="57F648EB"/>
    <w:rsid w:val="57F87988"/>
    <w:rsid w:val="57FE314A"/>
    <w:rsid w:val="5809221B"/>
    <w:rsid w:val="5814296E"/>
    <w:rsid w:val="581A61D6"/>
    <w:rsid w:val="582B03E3"/>
    <w:rsid w:val="584A6390"/>
    <w:rsid w:val="585F0D52"/>
    <w:rsid w:val="586525C2"/>
    <w:rsid w:val="586557AC"/>
    <w:rsid w:val="5867455C"/>
    <w:rsid w:val="586C27AA"/>
    <w:rsid w:val="587A5C94"/>
    <w:rsid w:val="58823D7B"/>
    <w:rsid w:val="58885705"/>
    <w:rsid w:val="588B42F5"/>
    <w:rsid w:val="588D4BFA"/>
    <w:rsid w:val="58A81A34"/>
    <w:rsid w:val="58AA250E"/>
    <w:rsid w:val="58AB7726"/>
    <w:rsid w:val="58B06B3A"/>
    <w:rsid w:val="58C139D3"/>
    <w:rsid w:val="58C93758"/>
    <w:rsid w:val="58D367F3"/>
    <w:rsid w:val="58D52C93"/>
    <w:rsid w:val="58DE3013"/>
    <w:rsid w:val="58DE5456"/>
    <w:rsid w:val="58E3481A"/>
    <w:rsid w:val="59133EE4"/>
    <w:rsid w:val="591E1CF6"/>
    <w:rsid w:val="592A069B"/>
    <w:rsid w:val="59306FCE"/>
    <w:rsid w:val="5939268C"/>
    <w:rsid w:val="59486D73"/>
    <w:rsid w:val="5952374E"/>
    <w:rsid w:val="59617E35"/>
    <w:rsid w:val="596E25BB"/>
    <w:rsid w:val="59722042"/>
    <w:rsid w:val="59777658"/>
    <w:rsid w:val="59796F2C"/>
    <w:rsid w:val="597C7E8C"/>
    <w:rsid w:val="598839CF"/>
    <w:rsid w:val="598D0C2A"/>
    <w:rsid w:val="59901BF4"/>
    <w:rsid w:val="59970B04"/>
    <w:rsid w:val="599E0ACF"/>
    <w:rsid w:val="59AD3D34"/>
    <w:rsid w:val="59B03888"/>
    <w:rsid w:val="59B17620"/>
    <w:rsid w:val="59C208D3"/>
    <w:rsid w:val="59C503C4"/>
    <w:rsid w:val="59DC65BC"/>
    <w:rsid w:val="59DF5DD6"/>
    <w:rsid w:val="59E051FD"/>
    <w:rsid w:val="59F91818"/>
    <w:rsid w:val="59F97A26"/>
    <w:rsid w:val="5A1504F5"/>
    <w:rsid w:val="5A172243"/>
    <w:rsid w:val="5A196ED2"/>
    <w:rsid w:val="5A3317D1"/>
    <w:rsid w:val="5A395B76"/>
    <w:rsid w:val="5A432F55"/>
    <w:rsid w:val="5A5878B5"/>
    <w:rsid w:val="5A604A46"/>
    <w:rsid w:val="5A9658BC"/>
    <w:rsid w:val="5A972841"/>
    <w:rsid w:val="5A9D6C4B"/>
    <w:rsid w:val="5AA2093F"/>
    <w:rsid w:val="5AA817FD"/>
    <w:rsid w:val="5AA95EA4"/>
    <w:rsid w:val="5ABC17C7"/>
    <w:rsid w:val="5AC55FE2"/>
    <w:rsid w:val="5AD63E09"/>
    <w:rsid w:val="5AFD6421"/>
    <w:rsid w:val="5B123195"/>
    <w:rsid w:val="5B215ACE"/>
    <w:rsid w:val="5B223606"/>
    <w:rsid w:val="5B266C40"/>
    <w:rsid w:val="5B4332B6"/>
    <w:rsid w:val="5B4B66A7"/>
    <w:rsid w:val="5B5E0F00"/>
    <w:rsid w:val="5B783F08"/>
    <w:rsid w:val="5B9B13DC"/>
    <w:rsid w:val="5B9C5154"/>
    <w:rsid w:val="5B9E7C72"/>
    <w:rsid w:val="5BA34735"/>
    <w:rsid w:val="5BA87F9D"/>
    <w:rsid w:val="5BAF4E87"/>
    <w:rsid w:val="5BB46942"/>
    <w:rsid w:val="5BBC75A4"/>
    <w:rsid w:val="5BDE39BF"/>
    <w:rsid w:val="5BE65C1B"/>
    <w:rsid w:val="5BEF731F"/>
    <w:rsid w:val="5BFB00CD"/>
    <w:rsid w:val="5BFD68E7"/>
    <w:rsid w:val="5BFF4CBE"/>
    <w:rsid w:val="5C022007"/>
    <w:rsid w:val="5C1271C4"/>
    <w:rsid w:val="5C2C297C"/>
    <w:rsid w:val="5C384E7D"/>
    <w:rsid w:val="5C3E620B"/>
    <w:rsid w:val="5C51268C"/>
    <w:rsid w:val="5C5A3EA2"/>
    <w:rsid w:val="5C675762"/>
    <w:rsid w:val="5C682BEC"/>
    <w:rsid w:val="5C741C2D"/>
    <w:rsid w:val="5C773E55"/>
    <w:rsid w:val="5C90132E"/>
    <w:rsid w:val="5C9A1694"/>
    <w:rsid w:val="5C9D1184"/>
    <w:rsid w:val="5CA41938"/>
    <w:rsid w:val="5CA7123C"/>
    <w:rsid w:val="5CAE15E3"/>
    <w:rsid w:val="5CB00EB7"/>
    <w:rsid w:val="5CC42BB4"/>
    <w:rsid w:val="5CC826A5"/>
    <w:rsid w:val="5CD64696"/>
    <w:rsid w:val="5CDC7EFE"/>
    <w:rsid w:val="5CF64EBA"/>
    <w:rsid w:val="5CF77950"/>
    <w:rsid w:val="5D086F45"/>
    <w:rsid w:val="5D101956"/>
    <w:rsid w:val="5D2D2508"/>
    <w:rsid w:val="5D331AE8"/>
    <w:rsid w:val="5D441D14"/>
    <w:rsid w:val="5D5977A1"/>
    <w:rsid w:val="5D600B2F"/>
    <w:rsid w:val="5D6A0918"/>
    <w:rsid w:val="5D6D00EA"/>
    <w:rsid w:val="5D8163EE"/>
    <w:rsid w:val="5D972077"/>
    <w:rsid w:val="5D9C768D"/>
    <w:rsid w:val="5DAE426C"/>
    <w:rsid w:val="5DAF467E"/>
    <w:rsid w:val="5DBA7B13"/>
    <w:rsid w:val="5DBD7190"/>
    <w:rsid w:val="5DCC7F73"/>
    <w:rsid w:val="5DCD04E0"/>
    <w:rsid w:val="5DD03A54"/>
    <w:rsid w:val="5DD15BF4"/>
    <w:rsid w:val="5DD25BBB"/>
    <w:rsid w:val="5E0C4813"/>
    <w:rsid w:val="5E192411"/>
    <w:rsid w:val="5E1D1CEB"/>
    <w:rsid w:val="5E23390B"/>
    <w:rsid w:val="5E311C0C"/>
    <w:rsid w:val="5E3601CC"/>
    <w:rsid w:val="5E472D79"/>
    <w:rsid w:val="5E6A5C9B"/>
    <w:rsid w:val="5E736640"/>
    <w:rsid w:val="5E7F5C28"/>
    <w:rsid w:val="5E8343A9"/>
    <w:rsid w:val="5E860D80"/>
    <w:rsid w:val="5E895C8E"/>
    <w:rsid w:val="5E8B1BDC"/>
    <w:rsid w:val="5E8C3B32"/>
    <w:rsid w:val="5E9020F1"/>
    <w:rsid w:val="5EBD3D5F"/>
    <w:rsid w:val="5ED510A9"/>
    <w:rsid w:val="5EDD61AF"/>
    <w:rsid w:val="5EEC01A1"/>
    <w:rsid w:val="5EF07DFC"/>
    <w:rsid w:val="5EFD23AE"/>
    <w:rsid w:val="5F0279C4"/>
    <w:rsid w:val="5F20216B"/>
    <w:rsid w:val="5F36439B"/>
    <w:rsid w:val="5F441D8B"/>
    <w:rsid w:val="5F573883"/>
    <w:rsid w:val="5F681F1D"/>
    <w:rsid w:val="5F702B80"/>
    <w:rsid w:val="5F755A2A"/>
    <w:rsid w:val="5F814D8D"/>
    <w:rsid w:val="5F8959EF"/>
    <w:rsid w:val="5F8B1768"/>
    <w:rsid w:val="5F920D48"/>
    <w:rsid w:val="5FA32F55"/>
    <w:rsid w:val="5FA36AB1"/>
    <w:rsid w:val="5FA40A7B"/>
    <w:rsid w:val="5FB07420"/>
    <w:rsid w:val="5FB32A6C"/>
    <w:rsid w:val="5FC04410"/>
    <w:rsid w:val="5FC652C4"/>
    <w:rsid w:val="5FC845C3"/>
    <w:rsid w:val="5FCB6F0A"/>
    <w:rsid w:val="5FDB26EF"/>
    <w:rsid w:val="5FE62E42"/>
    <w:rsid w:val="60196D73"/>
    <w:rsid w:val="601C6864"/>
    <w:rsid w:val="601D2892"/>
    <w:rsid w:val="601F4747"/>
    <w:rsid w:val="602F6597"/>
    <w:rsid w:val="60432042"/>
    <w:rsid w:val="6052321D"/>
    <w:rsid w:val="60696BC9"/>
    <w:rsid w:val="607B7A2E"/>
    <w:rsid w:val="607E307A"/>
    <w:rsid w:val="607F790E"/>
    <w:rsid w:val="6082700E"/>
    <w:rsid w:val="608508AD"/>
    <w:rsid w:val="608C1C3B"/>
    <w:rsid w:val="60940AF0"/>
    <w:rsid w:val="60A42170"/>
    <w:rsid w:val="60B66CB8"/>
    <w:rsid w:val="60B71BF9"/>
    <w:rsid w:val="60C5514D"/>
    <w:rsid w:val="60E5134B"/>
    <w:rsid w:val="60F860B5"/>
    <w:rsid w:val="60FD45FF"/>
    <w:rsid w:val="610C031A"/>
    <w:rsid w:val="611A0FF5"/>
    <w:rsid w:val="612B3202"/>
    <w:rsid w:val="613B0F6B"/>
    <w:rsid w:val="616008F1"/>
    <w:rsid w:val="61847169"/>
    <w:rsid w:val="618625DD"/>
    <w:rsid w:val="61903065"/>
    <w:rsid w:val="61932B55"/>
    <w:rsid w:val="61B53A89"/>
    <w:rsid w:val="61B7149D"/>
    <w:rsid w:val="61CE16E2"/>
    <w:rsid w:val="61E84C4F"/>
    <w:rsid w:val="620852F1"/>
    <w:rsid w:val="620A72BB"/>
    <w:rsid w:val="620D0706"/>
    <w:rsid w:val="621048C9"/>
    <w:rsid w:val="6210694A"/>
    <w:rsid w:val="621231A6"/>
    <w:rsid w:val="621641CF"/>
    <w:rsid w:val="62210161"/>
    <w:rsid w:val="624C34E5"/>
    <w:rsid w:val="627D7A8D"/>
    <w:rsid w:val="62861F1F"/>
    <w:rsid w:val="629139EC"/>
    <w:rsid w:val="62917095"/>
    <w:rsid w:val="6292559B"/>
    <w:rsid w:val="629450F2"/>
    <w:rsid w:val="629E099C"/>
    <w:rsid w:val="629E17B2"/>
    <w:rsid w:val="62A16A87"/>
    <w:rsid w:val="62A52FE9"/>
    <w:rsid w:val="62AC2121"/>
    <w:rsid w:val="62C15DE7"/>
    <w:rsid w:val="62CF7FE7"/>
    <w:rsid w:val="62D94CCA"/>
    <w:rsid w:val="630F26B0"/>
    <w:rsid w:val="631D2A8C"/>
    <w:rsid w:val="63396BF6"/>
    <w:rsid w:val="63462575"/>
    <w:rsid w:val="63493E13"/>
    <w:rsid w:val="635A1B7D"/>
    <w:rsid w:val="63666773"/>
    <w:rsid w:val="63735C0C"/>
    <w:rsid w:val="63752CA5"/>
    <w:rsid w:val="638B7F88"/>
    <w:rsid w:val="639037F0"/>
    <w:rsid w:val="63936E3D"/>
    <w:rsid w:val="63A64DC2"/>
    <w:rsid w:val="63A90E76"/>
    <w:rsid w:val="63B55005"/>
    <w:rsid w:val="63CB5CCC"/>
    <w:rsid w:val="63D3192F"/>
    <w:rsid w:val="63E63410"/>
    <w:rsid w:val="63E77BF1"/>
    <w:rsid w:val="63EB4ECB"/>
    <w:rsid w:val="63F55D49"/>
    <w:rsid w:val="63F975E8"/>
    <w:rsid w:val="63FA3360"/>
    <w:rsid w:val="63FA6EBC"/>
    <w:rsid w:val="640A2615"/>
    <w:rsid w:val="640B731B"/>
    <w:rsid w:val="641066DF"/>
    <w:rsid w:val="641073AB"/>
    <w:rsid w:val="641745A0"/>
    <w:rsid w:val="64281C7B"/>
    <w:rsid w:val="642F4DB7"/>
    <w:rsid w:val="643C1C36"/>
    <w:rsid w:val="64405216"/>
    <w:rsid w:val="644515CA"/>
    <w:rsid w:val="6445282D"/>
    <w:rsid w:val="644C3BBB"/>
    <w:rsid w:val="644D7933"/>
    <w:rsid w:val="645C36D2"/>
    <w:rsid w:val="64754794"/>
    <w:rsid w:val="64824B18"/>
    <w:rsid w:val="64881976"/>
    <w:rsid w:val="64942E6C"/>
    <w:rsid w:val="649B244D"/>
    <w:rsid w:val="64AE3CB5"/>
    <w:rsid w:val="64B90B25"/>
    <w:rsid w:val="64C244AC"/>
    <w:rsid w:val="64CD637E"/>
    <w:rsid w:val="64DC03FF"/>
    <w:rsid w:val="64F125C5"/>
    <w:rsid w:val="64F425BA"/>
    <w:rsid w:val="650D6603"/>
    <w:rsid w:val="65162F7F"/>
    <w:rsid w:val="6518584B"/>
    <w:rsid w:val="65202952"/>
    <w:rsid w:val="65210C32"/>
    <w:rsid w:val="652225D5"/>
    <w:rsid w:val="6528717A"/>
    <w:rsid w:val="652F2B95"/>
    <w:rsid w:val="65311E05"/>
    <w:rsid w:val="65377372"/>
    <w:rsid w:val="653D52B2"/>
    <w:rsid w:val="65451957"/>
    <w:rsid w:val="654A79CF"/>
    <w:rsid w:val="65501489"/>
    <w:rsid w:val="65515201"/>
    <w:rsid w:val="65682947"/>
    <w:rsid w:val="657C227E"/>
    <w:rsid w:val="659770B8"/>
    <w:rsid w:val="659A2704"/>
    <w:rsid w:val="65A13A93"/>
    <w:rsid w:val="65B46366"/>
    <w:rsid w:val="65BD63F3"/>
    <w:rsid w:val="65C23107"/>
    <w:rsid w:val="65CC4888"/>
    <w:rsid w:val="65D025CA"/>
    <w:rsid w:val="65F570CF"/>
    <w:rsid w:val="66065FEC"/>
    <w:rsid w:val="660C147E"/>
    <w:rsid w:val="66285F62"/>
    <w:rsid w:val="66320B8F"/>
    <w:rsid w:val="663E7534"/>
    <w:rsid w:val="66661757"/>
    <w:rsid w:val="66763171"/>
    <w:rsid w:val="667C005C"/>
    <w:rsid w:val="668F4233"/>
    <w:rsid w:val="6692162D"/>
    <w:rsid w:val="6693093B"/>
    <w:rsid w:val="66976C44"/>
    <w:rsid w:val="669B7B39"/>
    <w:rsid w:val="66AC7A81"/>
    <w:rsid w:val="66AE4D0B"/>
    <w:rsid w:val="66B5494D"/>
    <w:rsid w:val="66B84695"/>
    <w:rsid w:val="66CD637B"/>
    <w:rsid w:val="66D103A8"/>
    <w:rsid w:val="66DB4D83"/>
    <w:rsid w:val="66DE0D17"/>
    <w:rsid w:val="66EA5461"/>
    <w:rsid w:val="66EF6A80"/>
    <w:rsid w:val="66F96425"/>
    <w:rsid w:val="66F978FF"/>
    <w:rsid w:val="66FB71D3"/>
    <w:rsid w:val="670C13E0"/>
    <w:rsid w:val="670C5884"/>
    <w:rsid w:val="670D5158"/>
    <w:rsid w:val="671C4E18"/>
    <w:rsid w:val="671F55B7"/>
    <w:rsid w:val="673E5311"/>
    <w:rsid w:val="67461D48"/>
    <w:rsid w:val="67472418"/>
    <w:rsid w:val="67486190"/>
    <w:rsid w:val="674A6CAF"/>
    <w:rsid w:val="676034DA"/>
    <w:rsid w:val="67694A84"/>
    <w:rsid w:val="677376B1"/>
    <w:rsid w:val="67784F2E"/>
    <w:rsid w:val="678A67A9"/>
    <w:rsid w:val="678F1925"/>
    <w:rsid w:val="67942577"/>
    <w:rsid w:val="67A83750"/>
    <w:rsid w:val="67A92539"/>
    <w:rsid w:val="67C972D1"/>
    <w:rsid w:val="67CA4EF1"/>
    <w:rsid w:val="67CD115B"/>
    <w:rsid w:val="67D143D7"/>
    <w:rsid w:val="67D61178"/>
    <w:rsid w:val="67E20393"/>
    <w:rsid w:val="67E759A9"/>
    <w:rsid w:val="67F76A7E"/>
    <w:rsid w:val="67F86871"/>
    <w:rsid w:val="67FC2F18"/>
    <w:rsid w:val="680B72D0"/>
    <w:rsid w:val="68106CAE"/>
    <w:rsid w:val="68164673"/>
    <w:rsid w:val="68190258"/>
    <w:rsid w:val="683F7341"/>
    <w:rsid w:val="684352D5"/>
    <w:rsid w:val="684D1CB0"/>
    <w:rsid w:val="6864524C"/>
    <w:rsid w:val="686F7E78"/>
    <w:rsid w:val="687234C5"/>
    <w:rsid w:val="687927CB"/>
    <w:rsid w:val="687E455F"/>
    <w:rsid w:val="687E630D"/>
    <w:rsid w:val="688B0A2A"/>
    <w:rsid w:val="68A35D74"/>
    <w:rsid w:val="68A5389A"/>
    <w:rsid w:val="68AF3CA2"/>
    <w:rsid w:val="68BB130F"/>
    <w:rsid w:val="68CB0E27"/>
    <w:rsid w:val="68CC560D"/>
    <w:rsid w:val="68E97265"/>
    <w:rsid w:val="68EA39A3"/>
    <w:rsid w:val="68EF0FB9"/>
    <w:rsid w:val="68FC5A86"/>
    <w:rsid w:val="69162670"/>
    <w:rsid w:val="69196036"/>
    <w:rsid w:val="691E189E"/>
    <w:rsid w:val="69216C99"/>
    <w:rsid w:val="69236596"/>
    <w:rsid w:val="692635EB"/>
    <w:rsid w:val="692A0243"/>
    <w:rsid w:val="69342E70"/>
    <w:rsid w:val="693B41FE"/>
    <w:rsid w:val="6951757E"/>
    <w:rsid w:val="695452C0"/>
    <w:rsid w:val="6954706E"/>
    <w:rsid w:val="69561384"/>
    <w:rsid w:val="696279DD"/>
    <w:rsid w:val="696F5C56"/>
    <w:rsid w:val="69766FE4"/>
    <w:rsid w:val="69775165"/>
    <w:rsid w:val="69807E63"/>
    <w:rsid w:val="698711F2"/>
    <w:rsid w:val="69A511DA"/>
    <w:rsid w:val="69B144C0"/>
    <w:rsid w:val="69B230A2"/>
    <w:rsid w:val="69B8584F"/>
    <w:rsid w:val="69D34437"/>
    <w:rsid w:val="69E2224C"/>
    <w:rsid w:val="69F819AA"/>
    <w:rsid w:val="6A0740E0"/>
    <w:rsid w:val="6A097E59"/>
    <w:rsid w:val="6A136F29"/>
    <w:rsid w:val="6A18461F"/>
    <w:rsid w:val="6A187723"/>
    <w:rsid w:val="6A1D1B56"/>
    <w:rsid w:val="6A1D2B18"/>
    <w:rsid w:val="6A240B29"/>
    <w:rsid w:val="6A595414"/>
    <w:rsid w:val="6A5A4A67"/>
    <w:rsid w:val="6A6E7FF3"/>
    <w:rsid w:val="6A700C09"/>
    <w:rsid w:val="6A756A74"/>
    <w:rsid w:val="6A7662E0"/>
    <w:rsid w:val="6A8B4D12"/>
    <w:rsid w:val="6A8D2838"/>
    <w:rsid w:val="6A8E3BBF"/>
    <w:rsid w:val="6AA67D9D"/>
    <w:rsid w:val="6AAD6A36"/>
    <w:rsid w:val="6AC57AA5"/>
    <w:rsid w:val="6ADC556D"/>
    <w:rsid w:val="6AE14931"/>
    <w:rsid w:val="6AE91C23"/>
    <w:rsid w:val="6AF2505C"/>
    <w:rsid w:val="6AFA59F3"/>
    <w:rsid w:val="6B1D5B77"/>
    <w:rsid w:val="6B242F56"/>
    <w:rsid w:val="6B2C6FBF"/>
    <w:rsid w:val="6B2D7B77"/>
    <w:rsid w:val="6B3B6738"/>
    <w:rsid w:val="6B3D24B0"/>
    <w:rsid w:val="6B3D425E"/>
    <w:rsid w:val="6B3F08AA"/>
    <w:rsid w:val="6B5E1177"/>
    <w:rsid w:val="6B685053"/>
    <w:rsid w:val="6B7F4739"/>
    <w:rsid w:val="6B8359E9"/>
    <w:rsid w:val="6B8A4FC9"/>
    <w:rsid w:val="6B8A6D77"/>
    <w:rsid w:val="6B9A5FD4"/>
    <w:rsid w:val="6BA75B7B"/>
    <w:rsid w:val="6BAE0CB8"/>
    <w:rsid w:val="6BC67FC5"/>
    <w:rsid w:val="6C033F85"/>
    <w:rsid w:val="6C042FCD"/>
    <w:rsid w:val="6C167EC9"/>
    <w:rsid w:val="6C1A459F"/>
    <w:rsid w:val="6C20148A"/>
    <w:rsid w:val="6C3D203B"/>
    <w:rsid w:val="6C3F7B62"/>
    <w:rsid w:val="6C447394"/>
    <w:rsid w:val="6C44786E"/>
    <w:rsid w:val="6C467142"/>
    <w:rsid w:val="6C6501E7"/>
    <w:rsid w:val="6C7517D5"/>
    <w:rsid w:val="6C7D68DC"/>
    <w:rsid w:val="6C9431CC"/>
    <w:rsid w:val="6CA26383"/>
    <w:rsid w:val="6CAB1AEE"/>
    <w:rsid w:val="6CAE2F39"/>
    <w:rsid w:val="6CAF10DA"/>
    <w:rsid w:val="6CB467A2"/>
    <w:rsid w:val="6CB513FE"/>
    <w:rsid w:val="6CBB03BB"/>
    <w:rsid w:val="6CBC7404"/>
    <w:rsid w:val="6CC369E5"/>
    <w:rsid w:val="6CD24E7A"/>
    <w:rsid w:val="6CD75FEC"/>
    <w:rsid w:val="6CDA06B8"/>
    <w:rsid w:val="6CDC2EEB"/>
    <w:rsid w:val="6CE90CE7"/>
    <w:rsid w:val="6CF7668E"/>
    <w:rsid w:val="6D0715F8"/>
    <w:rsid w:val="6D221DD5"/>
    <w:rsid w:val="6D254FA9"/>
    <w:rsid w:val="6D374CDD"/>
    <w:rsid w:val="6D426B56"/>
    <w:rsid w:val="6D4318D3"/>
    <w:rsid w:val="6D505108"/>
    <w:rsid w:val="6D54588F"/>
    <w:rsid w:val="6D605FE2"/>
    <w:rsid w:val="6D7E290C"/>
    <w:rsid w:val="6D855097"/>
    <w:rsid w:val="6D920165"/>
    <w:rsid w:val="6DA22A9E"/>
    <w:rsid w:val="6DA700B4"/>
    <w:rsid w:val="6DAA360F"/>
    <w:rsid w:val="6DB1683D"/>
    <w:rsid w:val="6DB93944"/>
    <w:rsid w:val="6DBB5AC1"/>
    <w:rsid w:val="6DCF4F15"/>
    <w:rsid w:val="6DDF02A1"/>
    <w:rsid w:val="6DE24C48"/>
    <w:rsid w:val="6DED24B1"/>
    <w:rsid w:val="6E0011D2"/>
    <w:rsid w:val="6E0468F3"/>
    <w:rsid w:val="6E0F7A08"/>
    <w:rsid w:val="6E192634"/>
    <w:rsid w:val="6E34121C"/>
    <w:rsid w:val="6E38263C"/>
    <w:rsid w:val="6E470F4F"/>
    <w:rsid w:val="6E526272"/>
    <w:rsid w:val="6E533D98"/>
    <w:rsid w:val="6E573B2B"/>
    <w:rsid w:val="6E5D69C5"/>
    <w:rsid w:val="6E69536A"/>
    <w:rsid w:val="6E6B10E2"/>
    <w:rsid w:val="6E7D0394"/>
    <w:rsid w:val="6E94481B"/>
    <w:rsid w:val="6EA2373C"/>
    <w:rsid w:val="6EB93E88"/>
    <w:rsid w:val="6EC15BA9"/>
    <w:rsid w:val="6ED0776A"/>
    <w:rsid w:val="6EDF387E"/>
    <w:rsid w:val="6EE175F6"/>
    <w:rsid w:val="6F0357BE"/>
    <w:rsid w:val="6F093D91"/>
    <w:rsid w:val="6F0B01CF"/>
    <w:rsid w:val="6F241291"/>
    <w:rsid w:val="6F286FD3"/>
    <w:rsid w:val="6F2B261F"/>
    <w:rsid w:val="6F5222A2"/>
    <w:rsid w:val="6F6519BC"/>
    <w:rsid w:val="6F6F075E"/>
    <w:rsid w:val="6F751AEC"/>
    <w:rsid w:val="6F7658CB"/>
    <w:rsid w:val="6F912DCA"/>
    <w:rsid w:val="6F976FBE"/>
    <w:rsid w:val="6FA0008C"/>
    <w:rsid w:val="6FA359EB"/>
    <w:rsid w:val="6FB42615"/>
    <w:rsid w:val="6FC35064"/>
    <w:rsid w:val="6FC36CFC"/>
    <w:rsid w:val="6FCA63E4"/>
    <w:rsid w:val="6FD26F3F"/>
    <w:rsid w:val="6FDF03DB"/>
    <w:rsid w:val="6FEA4288"/>
    <w:rsid w:val="6FF218DD"/>
    <w:rsid w:val="6FF42BE0"/>
    <w:rsid w:val="6FFC41AF"/>
    <w:rsid w:val="70381498"/>
    <w:rsid w:val="704C4F43"/>
    <w:rsid w:val="70504778"/>
    <w:rsid w:val="705362D1"/>
    <w:rsid w:val="705924EF"/>
    <w:rsid w:val="705B6F34"/>
    <w:rsid w:val="706C2EEF"/>
    <w:rsid w:val="70707EDF"/>
    <w:rsid w:val="70761F1B"/>
    <w:rsid w:val="70781C58"/>
    <w:rsid w:val="70792DB0"/>
    <w:rsid w:val="708C1ED2"/>
    <w:rsid w:val="709F5073"/>
    <w:rsid w:val="70A02B99"/>
    <w:rsid w:val="70BA3C5B"/>
    <w:rsid w:val="70C67013"/>
    <w:rsid w:val="70CB230C"/>
    <w:rsid w:val="70E32593"/>
    <w:rsid w:val="70E801A2"/>
    <w:rsid w:val="7104581E"/>
    <w:rsid w:val="71132E62"/>
    <w:rsid w:val="71186BD3"/>
    <w:rsid w:val="711D41EA"/>
    <w:rsid w:val="71222297"/>
    <w:rsid w:val="712D7C1F"/>
    <w:rsid w:val="714348B5"/>
    <w:rsid w:val="71461992"/>
    <w:rsid w:val="715045BF"/>
    <w:rsid w:val="71554590"/>
    <w:rsid w:val="715805E5"/>
    <w:rsid w:val="715874AB"/>
    <w:rsid w:val="715D01AD"/>
    <w:rsid w:val="718C1A9B"/>
    <w:rsid w:val="71960E01"/>
    <w:rsid w:val="719941B8"/>
    <w:rsid w:val="719E357C"/>
    <w:rsid w:val="71A87F57"/>
    <w:rsid w:val="71B00E22"/>
    <w:rsid w:val="71B777CC"/>
    <w:rsid w:val="71BD1788"/>
    <w:rsid w:val="71C32FE3"/>
    <w:rsid w:val="71C50B09"/>
    <w:rsid w:val="71F31C95"/>
    <w:rsid w:val="72001B41"/>
    <w:rsid w:val="72005FE5"/>
    <w:rsid w:val="72165809"/>
    <w:rsid w:val="721B4BCD"/>
    <w:rsid w:val="722515A8"/>
    <w:rsid w:val="7229553C"/>
    <w:rsid w:val="722A3ED7"/>
    <w:rsid w:val="722F2426"/>
    <w:rsid w:val="72395053"/>
    <w:rsid w:val="723979C9"/>
    <w:rsid w:val="723B0DCB"/>
    <w:rsid w:val="724118AE"/>
    <w:rsid w:val="725D3437"/>
    <w:rsid w:val="7265409A"/>
    <w:rsid w:val="727265AC"/>
    <w:rsid w:val="7278201F"/>
    <w:rsid w:val="727B1B10"/>
    <w:rsid w:val="727B24E1"/>
    <w:rsid w:val="727D13E4"/>
    <w:rsid w:val="72853885"/>
    <w:rsid w:val="728A58AF"/>
    <w:rsid w:val="72A526E9"/>
    <w:rsid w:val="72C619A7"/>
    <w:rsid w:val="72D52FCE"/>
    <w:rsid w:val="72D71070"/>
    <w:rsid w:val="72DC6132"/>
    <w:rsid w:val="72E510E4"/>
    <w:rsid w:val="72EC1039"/>
    <w:rsid w:val="72F13B80"/>
    <w:rsid w:val="72F62F44"/>
    <w:rsid w:val="72F84F0E"/>
    <w:rsid w:val="72FF4E06"/>
    <w:rsid w:val="73004C2C"/>
    <w:rsid w:val="7304330F"/>
    <w:rsid w:val="7306587D"/>
    <w:rsid w:val="73257610"/>
    <w:rsid w:val="732E5FCC"/>
    <w:rsid w:val="73334198"/>
    <w:rsid w:val="73337CF4"/>
    <w:rsid w:val="733817AF"/>
    <w:rsid w:val="73412411"/>
    <w:rsid w:val="734463A5"/>
    <w:rsid w:val="73520AC2"/>
    <w:rsid w:val="7358775B"/>
    <w:rsid w:val="7366631C"/>
    <w:rsid w:val="73784AC8"/>
    <w:rsid w:val="73840550"/>
    <w:rsid w:val="738B7B30"/>
    <w:rsid w:val="739509AF"/>
    <w:rsid w:val="73A0182E"/>
    <w:rsid w:val="73BA729E"/>
    <w:rsid w:val="73C052CC"/>
    <w:rsid w:val="73D46BDF"/>
    <w:rsid w:val="73DC3547"/>
    <w:rsid w:val="73ED2599"/>
    <w:rsid w:val="740D6797"/>
    <w:rsid w:val="74113F05"/>
    <w:rsid w:val="74163F16"/>
    <w:rsid w:val="741C69DA"/>
    <w:rsid w:val="742424F5"/>
    <w:rsid w:val="744103B3"/>
    <w:rsid w:val="7450221E"/>
    <w:rsid w:val="74546174"/>
    <w:rsid w:val="74566390"/>
    <w:rsid w:val="74820F33"/>
    <w:rsid w:val="74827185"/>
    <w:rsid w:val="749F595E"/>
    <w:rsid w:val="74AA2238"/>
    <w:rsid w:val="74B135C7"/>
    <w:rsid w:val="74DF0134"/>
    <w:rsid w:val="74DF0225"/>
    <w:rsid w:val="74F87650"/>
    <w:rsid w:val="75114065"/>
    <w:rsid w:val="75183646"/>
    <w:rsid w:val="751A5610"/>
    <w:rsid w:val="751A7DE7"/>
    <w:rsid w:val="7521074C"/>
    <w:rsid w:val="7530273D"/>
    <w:rsid w:val="7539539D"/>
    <w:rsid w:val="755C79D6"/>
    <w:rsid w:val="75695C4F"/>
    <w:rsid w:val="756B1EDB"/>
    <w:rsid w:val="756E14B8"/>
    <w:rsid w:val="757E5B9F"/>
    <w:rsid w:val="759248B8"/>
    <w:rsid w:val="759C7DD3"/>
    <w:rsid w:val="759D28B3"/>
    <w:rsid w:val="75A153E9"/>
    <w:rsid w:val="75B6023C"/>
    <w:rsid w:val="75C612F4"/>
    <w:rsid w:val="75CB6E7D"/>
    <w:rsid w:val="75D9146A"/>
    <w:rsid w:val="75E12D70"/>
    <w:rsid w:val="75E4177A"/>
    <w:rsid w:val="75EA3234"/>
    <w:rsid w:val="75ED3231"/>
    <w:rsid w:val="75F47C0F"/>
    <w:rsid w:val="75FC2C73"/>
    <w:rsid w:val="76047756"/>
    <w:rsid w:val="7608190C"/>
    <w:rsid w:val="76155660"/>
    <w:rsid w:val="761B33ED"/>
    <w:rsid w:val="761E5D99"/>
    <w:rsid w:val="761F03BE"/>
    <w:rsid w:val="762B1157"/>
    <w:rsid w:val="76426BCC"/>
    <w:rsid w:val="764A5A81"/>
    <w:rsid w:val="76513C4F"/>
    <w:rsid w:val="765207D6"/>
    <w:rsid w:val="765C7562"/>
    <w:rsid w:val="766111DA"/>
    <w:rsid w:val="76612DCA"/>
    <w:rsid w:val="766528BB"/>
    <w:rsid w:val="767B20DE"/>
    <w:rsid w:val="767B7C93"/>
    <w:rsid w:val="76937428"/>
    <w:rsid w:val="7694586D"/>
    <w:rsid w:val="769B0BE4"/>
    <w:rsid w:val="769E23CE"/>
    <w:rsid w:val="769E3AF5"/>
    <w:rsid w:val="76AC673B"/>
    <w:rsid w:val="76AF1D88"/>
    <w:rsid w:val="76B37ACA"/>
    <w:rsid w:val="76B4739E"/>
    <w:rsid w:val="76C515AB"/>
    <w:rsid w:val="76C75323"/>
    <w:rsid w:val="76D11CFE"/>
    <w:rsid w:val="76D1655C"/>
    <w:rsid w:val="76D25D41"/>
    <w:rsid w:val="76E666DE"/>
    <w:rsid w:val="76E72AA0"/>
    <w:rsid w:val="76ED63C6"/>
    <w:rsid w:val="7701090C"/>
    <w:rsid w:val="770A5210"/>
    <w:rsid w:val="770B3462"/>
    <w:rsid w:val="77151797"/>
    <w:rsid w:val="771A711A"/>
    <w:rsid w:val="771D4F43"/>
    <w:rsid w:val="772A600E"/>
    <w:rsid w:val="772B3B04"/>
    <w:rsid w:val="77336515"/>
    <w:rsid w:val="77362975"/>
    <w:rsid w:val="773927F3"/>
    <w:rsid w:val="773C5143"/>
    <w:rsid w:val="77444BC6"/>
    <w:rsid w:val="77577349"/>
    <w:rsid w:val="775A6197"/>
    <w:rsid w:val="776B2153"/>
    <w:rsid w:val="777C4360"/>
    <w:rsid w:val="778A4376"/>
    <w:rsid w:val="77955421"/>
    <w:rsid w:val="77A411C1"/>
    <w:rsid w:val="77B238DE"/>
    <w:rsid w:val="77C875A5"/>
    <w:rsid w:val="77F66600"/>
    <w:rsid w:val="77F71C38"/>
    <w:rsid w:val="77F8781D"/>
    <w:rsid w:val="77FC0FFD"/>
    <w:rsid w:val="78026D8F"/>
    <w:rsid w:val="780659D7"/>
    <w:rsid w:val="780B1240"/>
    <w:rsid w:val="780D57F6"/>
    <w:rsid w:val="78106856"/>
    <w:rsid w:val="781E4FE7"/>
    <w:rsid w:val="783C5D84"/>
    <w:rsid w:val="7884096A"/>
    <w:rsid w:val="78850FF2"/>
    <w:rsid w:val="7892370F"/>
    <w:rsid w:val="789524E8"/>
    <w:rsid w:val="78A53442"/>
    <w:rsid w:val="78B11DE7"/>
    <w:rsid w:val="78B611AB"/>
    <w:rsid w:val="78CA10FB"/>
    <w:rsid w:val="78CE3B31"/>
    <w:rsid w:val="78DD498A"/>
    <w:rsid w:val="78E0091E"/>
    <w:rsid w:val="78E03E67"/>
    <w:rsid w:val="78E8332F"/>
    <w:rsid w:val="78F06D68"/>
    <w:rsid w:val="78F55DA6"/>
    <w:rsid w:val="78F65A4C"/>
    <w:rsid w:val="78FC027F"/>
    <w:rsid w:val="790E548B"/>
    <w:rsid w:val="791D747D"/>
    <w:rsid w:val="79206F6D"/>
    <w:rsid w:val="79236E7C"/>
    <w:rsid w:val="792720A9"/>
    <w:rsid w:val="792A1B99"/>
    <w:rsid w:val="794013BD"/>
    <w:rsid w:val="7945446C"/>
    <w:rsid w:val="79477EFD"/>
    <w:rsid w:val="79494E01"/>
    <w:rsid w:val="796B1B89"/>
    <w:rsid w:val="796C27E7"/>
    <w:rsid w:val="797B008A"/>
    <w:rsid w:val="797F39F5"/>
    <w:rsid w:val="798516DF"/>
    <w:rsid w:val="798C015E"/>
    <w:rsid w:val="79915775"/>
    <w:rsid w:val="79921C19"/>
    <w:rsid w:val="79AC186C"/>
    <w:rsid w:val="79BA5396"/>
    <w:rsid w:val="79C618C2"/>
    <w:rsid w:val="79D37D72"/>
    <w:rsid w:val="79D73ACF"/>
    <w:rsid w:val="79E46056"/>
    <w:rsid w:val="79F04B91"/>
    <w:rsid w:val="79FA77BE"/>
    <w:rsid w:val="7A097A01"/>
    <w:rsid w:val="7A0C534E"/>
    <w:rsid w:val="7A17211E"/>
    <w:rsid w:val="7A222CE3"/>
    <w:rsid w:val="7A232871"/>
    <w:rsid w:val="7A2860D9"/>
    <w:rsid w:val="7A291E51"/>
    <w:rsid w:val="7A4961A5"/>
    <w:rsid w:val="7A4C4796"/>
    <w:rsid w:val="7A735C4D"/>
    <w:rsid w:val="7A74131E"/>
    <w:rsid w:val="7A8B1E85"/>
    <w:rsid w:val="7A8C2B0C"/>
    <w:rsid w:val="7A8E7C8A"/>
    <w:rsid w:val="7A9F01F0"/>
    <w:rsid w:val="7AE5221C"/>
    <w:rsid w:val="7AE9326F"/>
    <w:rsid w:val="7AEE5B78"/>
    <w:rsid w:val="7AFD610D"/>
    <w:rsid w:val="7B0152A5"/>
    <w:rsid w:val="7B112B38"/>
    <w:rsid w:val="7B2A5E81"/>
    <w:rsid w:val="7B2C7E4B"/>
    <w:rsid w:val="7B2F16E9"/>
    <w:rsid w:val="7B5B274E"/>
    <w:rsid w:val="7B5F3D7C"/>
    <w:rsid w:val="7B707D38"/>
    <w:rsid w:val="7B7567C0"/>
    <w:rsid w:val="7B7B66DC"/>
    <w:rsid w:val="7B7D2454"/>
    <w:rsid w:val="7B7E25C3"/>
    <w:rsid w:val="7B7F332D"/>
    <w:rsid w:val="7B9072BC"/>
    <w:rsid w:val="7B944A08"/>
    <w:rsid w:val="7B9B28DB"/>
    <w:rsid w:val="7B9F57C7"/>
    <w:rsid w:val="7BA14395"/>
    <w:rsid w:val="7BD55DED"/>
    <w:rsid w:val="7BDA78A7"/>
    <w:rsid w:val="7C0634F8"/>
    <w:rsid w:val="7C0A5341"/>
    <w:rsid w:val="7C0C24B6"/>
    <w:rsid w:val="7C182615"/>
    <w:rsid w:val="7C2428D0"/>
    <w:rsid w:val="7C266648"/>
    <w:rsid w:val="7C2823C0"/>
    <w:rsid w:val="7C3074C7"/>
    <w:rsid w:val="7C330D65"/>
    <w:rsid w:val="7C43369E"/>
    <w:rsid w:val="7C563402"/>
    <w:rsid w:val="7C5E2286"/>
    <w:rsid w:val="7C686C61"/>
    <w:rsid w:val="7C765D1B"/>
    <w:rsid w:val="7C7B659E"/>
    <w:rsid w:val="7C7E0232"/>
    <w:rsid w:val="7C8C231D"/>
    <w:rsid w:val="7C9712F4"/>
    <w:rsid w:val="7C991DB2"/>
    <w:rsid w:val="7C9B0FDB"/>
    <w:rsid w:val="7CBA4D6C"/>
    <w:rsid w:val="7CC85951"/>
    <w:rsid w:val="7CCC5441"/>
    <w:rsid w:val="7CD23C7F"/>
    <w:rsid w:val="7CD24BAE"/>
    <w:rsid w:val="7CD41461"/>
    <w:rsid w:val="7CE56503"/>
    <w:rsid w:val="7CEB33A0"/>
    <w:rsid w:val="7D033147"/>
    <w:rsid w:val="7D0C7F34"/>
    <w:rsid w:val="7D1066E2"/>
    <w:rsid w:val="7D1B3CD3"/>
    <w:rsid w:val="7D227CB6"/>
    <w:rsid w:val="7D300C5A"/>
    <w:rsid w:val="7D3134F6"/>
    <w:rsid w:val="7D3139AC"/>
    <w:rsid w:val="7D32101D"/>
    <w:rsid w:val="7D4C0330"/>
    <w:rsid w:val="7D515E70"/>
    <w:rsid w:val="7D594108"/>
    <w:rsid w:val="7D637428"/>
    <w:rsid w:val="7D641B1E"/>
    <w:rsid w:val="7D811B7B"/>
    <w:rsid w:val="7D836171"/>
    <w:rsid w:val="7D8A1D89"/>
    <w:rsid w:val="7DA261A2"/>
    <w:rsid w:val="7DA76118"/>
    <w:rsid w:val="7DA97531"/>
    <w:rsid w:val="7DB619DD"/>
    <w:rsid w:val="7DB84FA7"/>
    <w:rsid w:val="7DBA0B43"/>
    <w:rsid w:val="7DC75C09"/>
    <w:rsid w:val="7DD65E4C"/>
    <w:rsid w:val="7DE22A43"/>
    <w:rsid w:val="7E002EC9"/>
    <w:rsid w:val="7E1773F8"/>
    <w:rsid w:val="7E186464"/>
    <w:rsid w:val="7E1C7D03"/>
    <w:rsid w:val="7E2117BD"/>
    <w:rsid w:val="7E33654C"/>
    <w:rsid w:val="7E3E4800"/>
    <w:rsid w:val="7E437985"/>
    <w:rsid w:val="7E464D80"/>
    <w:rsid w:val="7E491E00"/>
    <w:rsid w:val="7E696CC0"/>
    <w:rsid w:val="7E6B0C8A"/>
    <w:rsid w:val="7E7044F2"/>
    <w:rsid w:val="7E7B41B8"/>
    <w:rsid w:val="7E7F0292"/>
    <w:rsid w:val="7E835AFC"/>
    <w:rsid w:val="7E851714"/>
    <w:rsid w:val="7E851E20"/>
    <w:rsid w:val="7E861620"/>
    <w:rsid w:val="7E88060D"/>
    <w:rsid w:val="7E8B6C36"/>
    <w:rsid w:val="7E966D9F"/>
    <w:rsid w:val="7E987B34"/>
    <w:rsid w:val="7EA45F4A"/>
    <w:rsid w:val="7ECA3C03"/>
    <w:rsid w:val="7EDC3936"/>
    <w:rsid w:val="7EE02B0F"/>
    <w:rsid w:val="7EE94CE8"/>
    <w:rsid w:val="7EF0118F"/>
    <w:rsid w:val="7EF16259"/>
    <w:rsid w:val="7EF163A6"/>
    <w:rsid w:val="7EFB200E"/>
    <w:rsid w:val="7F0569E9"/>
    <w:rsid w:val="7F0D7FB9"/>
    <w:rsid w:val="7F0F7867"/>
    <w:rsid w:val="7F115666"/>
    <w:rsid w:val="7F2B0D53"/>
    <w:rsid w:val="7F4219EB"/>
    <w:rsid w:val="7F4734A5"/>
    <w:rsid w:val="7F4E65E2"/>
    <w:rsid w:val="7F537F26"/>
    <w:rsid w:val="7F601E71"/>
    <w:rsid w:val="7F6A7194"/>
    <w:rsid w:val="7F7E679B"/>
    <w:rsid w:val="7F7F5D50"/>
    <w:rsid w:val="7F8813C8"/>
    <w:rsid w:val="7F8F791E"/>
    <w:rsid w:val="7F9164CE"/>
    <w:rsid w:val="7F9A5B2F"/>
    <w:rsid w:val="7F9D13E6"/>
    <w:rsid w:val="7FA0125F"/>
    <w:rsid w:val="7FA043A1"/>
    <w:rsid w:val="7FAE0E2E"/>
    <w:rsid w:val="7FBD3767"/>
    <w:rsid w:val="7FC36972"/>
    <w:rsid w:val="7FC70142"/>
    <w:rsid w:val="7FCE6E81"/>
    <w:rsid w:val="7FD12D6F"/>
    <w:rsid w:val="7FD44B5D"/>
    <w:rsid w:val="7FD960B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840"/>
      </w:tabs>
      <w:ind w:firstLine="420" w:firstLineChars="200"/>
    </w:pPr>
    <w:rPr>
      <w:rFonts w:ascii="Calibri" w:hAnsi="Calibri"/>
      <w:szCs w:val="22"/>
    </w:rPr>
  </w:style>
  <w:style w:type="paragraph" w:styleId="3">
    <w:name w:val="Body Text Indent"/>
    <w:basedOn w:val="1"/>
    <w:autoRedefine/>
    <w:qFormat/>
    <w:uiPriority w:val="0"/>
    <w:pPr>
      <w:tabs>
        <w:tab w:val="left" w:pos="840"/>
      </w:tabs>
      <w:snapToGrid w:val="0"/>
      <w:spacing w:line="300" w:lineRule="exact"/>
      <w:ind w:left="630" w:leftChars="300"/>
    </w:pPr>
  </w:style>
  <w:style w:type="paragraph" w:styleId="6">
    <w:name w:val="annotation text"/>
    <w:basedOn w:val="1"/>
    <w:link w:val="24"/>
    <w:autoRedefine/>
    <w:qFormat/>
    <w:uiPriority w:val="0"/>
    <w:pPr>
      <w:jc w:val="left"/>
    </w:pPr>
  </w:style>
  <w:style w:type="paragraph" w:styleId="7">
    <w:name w:val="Body Text"/>
    <w:basedOn w:val="1"/>
    <w:autoRedefine/>
    <w:qFormat/>
    <w:uiPriority w:val="1624"/>
    <w:pPr>
      <w:spacing w:line="360" w:lineRule="auto"/>
      <w:ind w:right="72"/>
    </w:pPr>
    <w:rPr>
      <w:sz w:val="24"/>
      <w:szCs w:val="24"/>
    </w:rPr>
  </w:style>
  <w:style w:type="paragraph" w:styleId="8">
    <w:name w:val="Plain Text"/>
    <w:basedOn w:val="1"/>
    <w:autoRedefine/>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3"/>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6"/>
    <w:next w:val="6"/>
    <w:link w:val="25"/>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FollowedHyperlink"/>
    <w:basedOn w:val="17"/>
    <w:autoRedefine/>
    <w:qFormat/>
    <w:uiPriority w:val="0"/>
    <w:rPr>
      <w:color w:val="000000"/>
      <w:u w:val="single"/>
    </w:rPr>
  </w:style>
  <w:style w:type="character" w:styleId="20">
    <w:name w:val="Emphasis"/>
    <w:basedOn w:val="17"/>
    <w:autoRedefine/>
    <w:qFormat/>
    <w:uiPriority w:val="0"/>
    <w:rPr>
      <w:i/>
    </w:rPr>
  </w:style>
  <w:style w:type="character" w:styleId="21">
    <w:name w:val="Hyperlink"/>
    <w:basedOn w:val="17"/>
    <w:autoRedefine/>
    <w:qFormat/>
    <w:uiPriority w:val="0"/>
    <w:rPr>
      <w:color w:val="000000"/>
      <w:u w:val="single"/>
    </w:rPr>
  </w:style>
  <w:style w:type="character" w:styleId="22">
    <w:name w:val="annotation reference"/>
    <w:basedOn w:val="17"/>
    <w:autoRedefine/>
    <w:qFormat/>
    <w:uiPriority w:val="0"/>
    <w:rPr>
      <w:sz w:val="21"/>
      <w:szCs w:val="21"/>
    </w:rPr>
  </w:style>
  <w:style w:type="character" w:customStyle="1" w:styleId="23">
    <w:name w:val="批注框文本 Char"/>
    <w:basedOn w:val="17"/>
    <w:link w:val="9"/>
    <w:autoRedefine/>
    <w:qFormat/>
    <w:uiPriority w:val="0"/>
    <w:rPr>
      <w:rFonts w:ascii="Times New Roman" w:hAnsi="Times New Roman"/>
      <w:kern w:val="2"/>
      <w:sz w:val="18"/>
      <w:szCs w:val="18"/>
    </w:rPr>
  </w:style>
  <w:style w:type="character" w:customStyle="1" w:styleId="24">
    <w:name w:val="批注文字 Char"/>
    <w:basedOn w:val="17"/>
    <w:link w:val="6"/>
    <w:autoRedefine/>
    <w:qFormat/>
    <w:uiPriority w:val="0"/>
    <w:rPr>
      <w:rFonts w:ascii="Times New Roman" w:hAnsi="Times New Roman"/>
      <w:kern w:val="2"/>
      <w:sz w:val="21"/>
      <w:szCs w:val="22"/>
    </w:rPr>
  </w:style>
  <w:style w:type="character" w:customStyle="1" w:styleId="25">
    <w:name w:val="批注主题 Char"/>
    <w:basedOn w:val="24"/>
    <w:link w:val="14"/>
    <w:autoRedefine/>
    <w:qFormat/>
    <w:uiPriority w:val="0"/>
  </w:style>
  <w:style w:type="character" w:customStyle="1" w:styleId="26">
    <w:name w:val="font51"/>
    <w:basedOn w:val="17"/>
    <w:autoRedefine/>
    <w:qFormat/>
    <w:uiPriority w:val="0"/>
    <w:rPr>
      <w:rFonts w:hint="eastAsia" w:ascii="宋体" w:hAnsi="宋体" w:eastAsia="宋体" w:cs="宋体"/>
      <w:color w:val="000000"/>
      <w:sz w:val="20"/>
      <w:szCs w:val="20"/>
      <w:u w:val="none"/>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character" w:customStyle="1" w:styleId="28">
    <w:name w:val="font31"/>
    <w:basedOn w:val="17"/>
    <w:autoRedefine/>
    <w:qFormat/>
    <w:uiPriority w:val="0"/>
    <w:rPr>
      <w:rFonts w:hint="eastAsia" w:ascii="宋体" w:hAnsi="宋体" w:eastAsia="宋体" w:cs="宋体"/>
      <w:color w:val="000000"/>
      <w:sz w:val="20"/>
      <w:szCs w:val="20"/>
      <w:u w:val="none"/>
    </w:rPr>
  </w:style>
  <w:style w:type="character" w:customStyle="1" w:styleId="29">
    <w:name w:val="font21"/>
    <w:autoRedefine/>
    <w:qFormat/>
    <w:uiPriority w:val="0"/>
    <w:rPr>
      <w:rFonts w:hint="eastAsia" w:ascii="宋体" w:hAnsi="宋体" w:eastAsia="宋体" w:cs="宋体"/>
      <w:color w:val="000000"/>
      <w:sz w:val="20"/>
      <w:szCs w:val="20"/>
      <w:u w:val="none"/>
    </w:rPr>
  </w:style>
  <w:style w:type="character" w:customStyle="1" w:styleId="30">
    <w:name w:val="font41"/>
    <w:basedOn w:val="17"/>
    <w:autoRedefine/>
    <w:qFormat/>
    <w:uiPriority w:val="0"/>
    <w:rPr>
      <w:rFonts w:hint="eastAsia" w:ascii="宋体" w:hAnsi="宋体" w:eastAsia="宋体" w:cs="宋体"/>
      <w:b/>
      <w:bCs/>
      <w:color w:val="000000"/>
      <w:sz w:val="18"/>
      <w:szCs w:val="18"/>
      <w:u w:val="none"/>
    </w:rPr>
  </w:style>
  <w:style w:type="character" w:customStyle="1" w:styleId="31">
    <w:name w:val="font11"/>
    <w:basedOn w:val="17"/>
    <w:autoRedefine/>
    <w:qFormat/>
    <w:uiPriority w:val="0"/>
    <w:rPr>
      <w:rFonts w:hint="eastAsia" w:ascii="仿宋" w:hAnsi="仿宋" w:eastAsia="仿宋" w:cs="仿宋"/>
      <w:color w:val="000000"/>
      <w:sz w:val="28"/>
      <w:szCs w:val="28"/>
      <w:u w:val="non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href"/>
    <w:basedOn w:val="17"/>
    <w:autoRedefine/>
    <w:qFormat/>
    <w:uiPriority w:val="0"/>
    <w:rPr>
      <w:color w:val="0000FF"/>
      <w:u w:val="single"/>
    </w:rPr>
  </w:style>
  <w:style w:type="character" w:customStyle="1" w:styleId="34">
    <w:name w:val="first-child"/>
    <w:basedOn w:val="17"/>
    <w:autoRedefine/>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56</Pages>
  <Words>32546</Words>
  <Characters>34348</Characters>
  <Lines>1</Lines>
  <Paragraphs>1</Paragraphs>
  <TotalTime>6</TotalTime>
  <ScaleCrop>false</ScaleCrop>
  <LinksUpToDate>false</LinksUpToDate>
  <CharactersWithSpaces>36444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2024-11-21T07:35:00Z</cp:lastPrinted>
  <dcterms:modified xsi:type="dcterms:W3CDTF">2025-07-15T06:47:55Z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61445F7D8F4B4FB084E575963CC0724A_13</vt:lpwstr>
  </property>
  <property fmtid="{D5CDD505-2E9C-101B-9397-08002B2CF9AE}" pid="4" name="KSOTemplateDocerSaveRecord">
    <vt:lpwstr>eyJoZGlkIjoiZTZlZWQxYjNiOGQwOWQ3ZDcwYzI4ZTE0M2ZhZmIzYTgiLCJ1c2VySWQiOiIzMjYyOTIwOTcifQ==</vt:lpwstr>
  </property>
</Properties>
</file>