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E080">
      <w:pPr>
        <w:jc w:val="both"/>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9"/>
                    <a:stretch>
                      <a:fillRect/>
                    </a:stretch>
                  </pic:blipFill>
                  <pic:spPr>
                    <a:xfrm>
                      <a:off x="0" y="0"/>
                      <a:ext cx="4288790" cy="690245"/>
                    </a:xfrm>
                    <a:prstGeom prst="rect">
                      <a:avLst/>
                    </a:prstGeom>
                    <a:noFill/>
                    <a:ln>
                      <a:noFill/>
                    </a:ln>
                  </pic:spPr>
                </pic:pic>
              </a:graphicData>
            </a:graphic>
          </wp:anchor>
        </w:drawing>
      </w:r>
      <w:r>
        <w:rPr>
          <w:rFonts w:hint="eastAsia" w:ascii="仿宋_GB2312" w:hAnsi="仿宋_GB2312" w:eastAsia="仿宋_GB2312" w:cs="仿宋_GB2312"/>
          <w:color w:val="auto"/>
          <w:highlight w:val="none"/>
          <w:shd w:val="clear" w:color="auto" w:fill="auto"/>
          <w:lang w:val="en-US" w:eastAsia="zh-CN"/>
        </w:rPr>
        <w:t xml:space="preserve"> </w:t>
      </w:r>
    </w:p>
    <w:p w14:paraId="405D983F">
      <w:pPr>
        <w:jc w:val="both"/>
        <w:rPr>
          <w:rFonts w:hint="eastAsia" w:ascii="仿宋_GB2312" w:hAnsi="仿宋_GB2312" w:eastAsia="仿宋_GB2312" w:cs="仿宋_GB2312"/>
          <w:color w:val="auto"/>
          <w:highlight w:val="none"/>
          <w:shd w:val="clear" w:color="auto" w:fill="auto"/>
          <w:lang w:val="en-US" w:eastAsia="zh-CN"/>
        </w:rPr>
      </w:pPr>
    </w:p>
    <w:p w14:paraId="55A92534">
      <w:pPr>
        <w:jc w:val="both"/>
        <w:rPr>
          <w:rFonts w:hint="eastAsia" w:ascii="仿宋_GB2312" w:hAnsi="仿宋_GB2312" w:eastAsia="仿宋_GB2312" w:cs="仿宋_GB2312"/>
          <w:color w:val="auto"/>
          <w:highlight w:val="none"/>
          <w:shd w:val="clear" w:color="auto" w:fill="auto"/>
          <w:lang w:val="en-US" w:eastAsia="zh-CN"/>
        </w:rPr>
      </w:pPr>
    </w:p>
    <w:p w14:paraId="7E5170C7">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_GB2312" w:hAnsi="仿宋_GB2312" w:eastAsia="仿宋_GB2312" w:cs="仿宋_GB2312"/>
          <w:b/>
          <w:bCs w:val="0"/>
          <w:color w:val="auto"/>
          <w:sz w:val="52"/>
          <w:szCs w:val="52"/>
          <w:highlight w:val="none"/>
          <w:u w:val="none"/>
          <w:shd w:val="clear" w:color="auto" w:fill="auto"/>
          <w:lang w:val="en-US" w:eastAsia="zh-CN"/>
        </w:rPr>
      </w:pPr>
      <w:bookmarkStart w:id="0" w:name="_Toc24474"/>
      <w:bookmarkStart w:id="1" w:name="_Toc5546"/>
      <w:bookmarkStart w:id="2" w:name="_Toc28773"/>
      <w:bookmarkStart w:id="3" w:name="_Toc26096"/>
      <w:bookmarkStart w:id="4" w:name="_Toc12682"/>
      <w:bookmarkStart w:id="5" w:name="_Toc4415"/>
      <w:bookmarkStart w:id="6" w:name="_Toc26081"/>
      <w:bookmarkStart w:id="7" w:name="_Toc11188"/>
      <w:r>
        <w:rPr>
          <w:rFonts w:hint="eastAsia" w:ascii="仿宋_GB2312" w:hAnsi="仿宋_GB2312" w:eastAsia="仿宋_GB2312" w:cs="仿宋_GB2312"/>
          <w:b/>
          <w:bCs w:val="0"/>
          <w:color w:val="auto"/>
          <w:sz w:val="52"/>
          <w:szCs w:val="52"/>
          <w:highlight w:val="none"/>
          <w:u w:val="none"/>
          <w:shd w:val="clear" w:color="auto" w:fill="auto"/>
          <w:lang w:val="en-US" w:eastAsia="zh-CN"/>
        </w:rPr>
        <w:t xml:space="preserve">  </w:t>
      </w:r>
    </w:p>
    <w:p w14:paraId="2EC2FB27">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_GB2312" w:hAnsi="仿宋_GB2312" w:eastAsia="仿宋_GB2312" w:cs="仿宋_GB2312"/>
          <w:b/>
          <w:bCs w:val="0"/>
          <w:color w:val="auto"/>
          <w:sz w:val="52"/>
          <w:szCs w:val="52"/>
          <w:highlight w:val="none"/>
          <w:u w:val="none"/>
          <w:shd w:val="clear" w:color="auto" w:fill="auto"/>
          <w:lang w:val="en-US" w:eastAsia="zh-CN"/>
        </w:rPr>
      </w:pPr>
    </w:p>
    <w:bookmarkEnd w:id="0"/>
    <w:bookmarkEnd w:id="1"/>
    <w:bookmarkEnd w:id="2"/>
    <w:bookmarkEnd w:id="3"/>
    <w:bookmarkEnd w:id="4"/>
    <w:bookmarkEnd w:id="5"/>
    <w:bookmarkEnd w:id="6"/>
    <w:bookmarkEnd w:id="7"/>
    <w:p w14:paraId="7A85F827">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0"/>
        <w:rPr>
          <w:rFonts w:hint="eastAsia" w:ascii="仿宋_GB2312" w:hAnsi="仿宋_GB2312" w:eastAsia="仿宋_GB2312" w:cs="仿宋_GB2312"/>
          <w:b/>
          <w:bCs w:val="0"/>
          <w:color w:val="auto"/>
          <w:sz w:val="48"/>
          <w:szCs w:val="48"/>
          <w:highlight w:val="none"/>
          <w:u w:val="none"/>
          <w:shd w:val="clear" w:color="auto" w:fill="auto"/>
          <w:lang w:val="en-US" w:eastAsia="zh-CN"/>
        </w:rPr>
      </w:pPr>
      <w:bookmarkStart w:id="8" w:name="_Toc3470"/>
      <w:bookmarkStart w:id="9" w:name="_Toc24247"/>
      <w:bookmarkStart w:id="10" w:name="_Toc28081"/>
      <w:bookmarkStart w:id="11" w:name="_Toc29930"/>
      <w:bookmarkStart w:id="12" w:name="_Toc31551"/>
      <w:bookmarkStart w:id="13" w:name="_Toc4103"/>
      <w:bookmarkStart w:id="14" w:name="_Toc16337"/>
      <w:bookmarkStart w:id="15" w:name="_Toc20550"/>
      <w:r>
        <w:rPr>
          <w:rFonts w:hint="eastAsia" w:ascii="仿宋_GB2312" w:hAnsi="仿宋_GB2312" w:eastAsia="仿宋_GB2312" w:cs="仿宋_GB2312"/>
          <w:b/>
          <w:bCs w:val="0"/>
          <w:color w:val="auto"/>
          <w:sz w:val="48"/>
          <w:szCs w:val="48"/>
          <w:highlight w:val="none"/>
          <w:u w:val="none"/>
          <w:shd w:val="clear" w:color="auto" w:fill="auto"/>
          <w:lang w:val="en-US" w:eastAsia="zh-CN"/>
        </w:rPr>
        <w:t>南京现代表面处理科技产业中心项目</w:t>
      </w:r>
    </w:p>
    <w:p w14:paraId="676D7305">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0"/>
        <w:rPr>
          <w:rFonts w:hint="eastAsia" w:ascii="仿宋_GB2312" w:hAnsi="仿宋_GB2312" w:eastAsia="仿宋_GB2312" w:cs="仿宋_GB2312"/>
          <w:b/>
          <w:bCs w:val="0"/>
          <w:color w:val="auto"/>
          <w:sz w:val="48"/>
          <w:szCs w:val="48"/>
          <w:highlight w:val="none"/>
          <w:u w:val="none"/>
          <w:shd w:val="clear" w:color="auto" w:fill="auto"/>
          <w:lang w:val="en-US" w:eastAsia="zh-CN"/>
        </w:rPr>
      </w:pPr>
      <w:r>
        <w:rPr>
          <w:rFonts w:hint="eastAsia" w:ascii="仿宋_GB2312" w:hAnsi="仿宋_GB2312" w:eastAsia="仿宋_GB2312" w:cs="仿宋_GB2312"/>
          <w:b/>
          <w:bCs w:val="0"/>
          <w:color w:val="auto"/>
          <w:sz w:val="48"/>
          <w:szCs w:val="48"/>
          <w:highlight w:val="none"/>
          <w:u w:val="none"/>
          <w:shd w:val="clear" w:color="auto" w:fill="auto"/>
          <w:lang w:val="en-US" w:eastAsia="zh-CN"/>
        </w:rPr>
        <w:t>B地块工程综合楼装配式工程</w:t>
      </w:r>
    </w:p>
    <w:p w14:paraId="5A3329C8">
      <w:pPr>
        <w:keepNext w:val="0"/>
        <w:keepLines w:val="0"/>
        <w:pageBreakBefore w:val="0"/>
        <w:widowControl w:val="0"/>
        <w:kinsoku/>
        <w:wordWrap/>
        <w:overflowPunct/>
        <w:topLinePunct w:val="0"/>
        <w:autoSpaceDE/>
        <w:autoSpaceDN/>
        <w:bidi w:val="0"/>
        <w:adjustRightInd/>
        <w:snapToGrid/>
        <w:spacing w:line="336" w:lineRule="auto"/>
        <w:ind w:firstLine="4698" w:firstLineChars="900"/>
        <w:jc w:val="both"/>
        <w:textAlignment w:val="auto"/>
        <w:outlineLvl w:val="0"/>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施</w:t>
      </w:r>
      <w:bookmarkEnd w:id="8"/>
      <w:bookmarkEnd w:id="9"/>
      <w:bookmarkEnd w:id="10"/>
      <w:bookmarkEnd w:id="11"/>
      <w:bookmarkEnd w:id="12"/>
      <w:bookmarkEnd w:id="13"/>
      <w:bookmarkStart w:id="16" w:name="_Toc22706"/>
      <w:bookmarkStart w:id="17" w:name="_Toc26684"/>
      <w:bookmarkStart w:id="18" w:name="_Toc250"/>
      <w:bookmarkStart w:id="19" w:name="_Toc14200"/>
      <w:bookmarkStart w:id="20" w:name="_Toc9147"/>
      <w:bookmarkStart w:id="21" w:name="_Toc19357"/>
    </w:p>
    <w:p w14:paraId="02AA8862">
      <w:pPr>
        <w:keepNext w:val="0"/>
        <w:keepLines w:val="0"/>
        <w:pageBreakBefore w:val="0"/>
        <w:widowControl w:val="0"/>
        <w:kinsoku/>
        <w:wordWrap/>
        <w:overflowPunct/>
        <w:topLinePunct w:val="0"/>
        <w:autoSpaceDE/>
        <w:autoSpaceDN/>
        <w:bidi w:val="0"/>
        <w:adjustRightInd/>
        <w:snapToGrid/>
        <w:spacing w:line="336" w:lineRule="auto"/>
        <w:ind w:firstLine="4698" w:firstLineChars="900"/>
        <w:jc w:val="both"/>
        <w:textAlignment w:val="auto"/>
        <w:outlineLvl w:val="0"/>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工</w:t>
      </w:r>
      <w:bookmarkEnd w:id="16"/>
      <w:bookmarkEnd w:id="17"/>
      <w:bookmarkEnd w:id="18"/>
      <w:bookmarkEnd w:id="19"/>
      <w:bookmarkEnd w:id="20"/>
      <w:bookmarkEnd w:id="21"/>
      <w:bookmarkStart w:id="22" w:name="_Toc18977"/>
      <w:bookmarkStart w:id="23" w:name="_Toc16488"/>
      <w:bookmarkStart w:id="24" w:name="_Toc4382"/>
      <w:bookmarkStart w:id="25" w:name="_Toc21110"/>
      <w:bookmarkStart w:id="26" w:name="_Toc19797"/>
      <w:bookmarkStart w:id="27" w:name="_Toc3854"/>
    </w:p>
    <w:p w14:paraId="23850115">
      <w:pPr>
        <w:keepNext w:val="0"/>
        <w:keepLines w:val="0"/>
        <w:pageBreakBefore w:val="0"/>
        <w:widowControl w:val="0"/>
        <w:kinsoku/>
        <w:wordWrap/>
        <w:overflowPunct/>
        <w:topLinePunct w:val="0"/>
        <w:autoSpaceDE/>
        <w:autoSpaceDN/>
        <w:bidi w:val="0"/>
        <w:adjustRightInd/>
        <w:snapToGrid/>
        <w:spacing w:line="336" w:lineRule="auto"/>
        <w:ind w:firstLine="4698" w:firstLineChars="900"/>
        <w:jc w:val="both"/>
        <w:textAlignment w:val="auto"/>
        <w:outlineLvl w:val="0"/>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合</w:t>
      </w:r>
      <w:bookmarkEnd w:id="22"/>
      <w:bookmarkEnd w:id="23"/>
      <w:bookmarkEnd w:id="24"/>
      <w:bookmarkEnd w:id="25"/>
      <w:bookmarkEnd w:id="26"/>
      <w:bookmarkEnd w:id="27"/>
      <w:bookmarkStart w:id="28" w:name="_Toc13089"/>
      <w:bookmarkStart w:id="29" w:name="_Toc16210"/>
      <w:bookmarkStart w:id="30" w:name="_Toc25789"/>
      <w:bookmarkStart w:id="31" w:name="_Toc2352"/>
      <w:bookmarkStart w:id="32" w:name="_Toc26151"/>
      <w:bookmarkStart w:id="33" w:name="_Toc13181"/>
    </w:p>
    <w:p w14:paraId="372927D7">
      <w:pPr>
        <w:keepNext w:val="0"/>
        <w:keepLines w:val="0"/>
        <w:pageBreakBefore w:val="0"/>
        <w:widowControl w:val="0"/>
        <w:kinsoku/>
        <w:wordWrap/>
        <w:overflowPunct/>
        <w:topLinePunct w:val="0"/>
        <w:autoSpaceDE/>
        <w:autoSpaceDN/>
        <w:bidi w:val="0"/>
        <w:adjustRightInd/>
        <w:snapToGrid/>
        <w:spacing w:line="336" w:lineRule="auto"/>
        <w:ind w:firstLine="4698" w:firstLineChars="900"/>
        <w:jc w:val="both"/>
        <w:textAlignment w:val="auto"/>
        <w:outlineLvl w:val="0"/>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同</w:t>
      </w:r>
      <w:bookmarkEnd w:id="14"/>
      <w:bookmarkEnd w:id="15"/>
      <w:bookmarkEnd w:id="28"/>
      <w:bookmarkEnd w:id="29"/>
      <w:bookmarkEnd w:id="30"/>
      <w:bookmarkEnd w:id="31"/>
      <w:bookmarkEnd w:id="32"/>
      <w:bookmarkEnd w:id="33"/>
    </w:p>
    <w:p w14:paraId="4D10DE2F">
      <w:pPr>
        <w:jc w:val="center"/>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b/>
          <w:bCs/>
          <w:color w:val="auto"/>
          <w:sz w:val="28"/>
          <w:szCs w:val="32"/>
          <w:highlight w:val="none"/>
          <w:shd w:val="clear" w:color="auto" w:fill="auto"/>
          <w:lang w:val="en-US" w:eastAsia="zh-CN"/>
        </w:rPr>
        <w:t>（20250825版</w:t>
      </w:r>
      <w:bookmarkStart w:id="563" w:name="_GoBack"/>
      <w:bookmarkEnd w:id="563"/>
      <w:r>
        <w:rPr>
          <w:rFonts w:hint="eastAsia" w:ascii="仿宋_GB2312" w:hAnsi="仿宋_GB2312" w:eastAsia="仿宋_GB2312" w:cs="仿宋_GB2312"/>
          <w:b/>
          <w:bCs/>
          <w:color w:val="auto"/>
          <w:sz w:val="28"/>
          <w:szCs w:val="32"/>
          <w:highlight w:val="none"/>
          <w:shd w:val="clear" w:color="auto" w:fill="auto"/>
          <w:lang w:val="en-US" w:eastAsia="zh-CN"/>
        </w:rPr>
        <w:t xml:space="preserve">） </w:t>
      </w:r>
    </w:p>
    <w:p w14:paraId="49E96866">
      <w:pPr>
        <w:pStyle w:val="2"/>
        <w:rPr>
          <w:rFonts w:hint="eastAsia" w:ascii="仿宋_GB2312" w:hAnsi="仿宋_GB2312" w:eastAsia="仿宋_GB2312" w:cs="仿宋_GB2312"/>
          <w:color w:val="auto"/>
          <w:highlight w:val="none"/>
          <w:shd w:val="clear" w:color="auto" w:fill="auto"/>
          <w:lang w:val="en-US" w:eastAsia="zh-CN"/>
        </w:rPr>
      </w:pPr>
    </w:p>
    <w:p w14:paraId="45C0DEED">
      <w:pPr>
        <w:pStyle w:val="2"/>
        <w:rPr>
          <w:rFonts w:hint="eastAsia" w:ascii="仿宋_GB2312" w:hAnsi="仿宋_GB2312" w:eastAsia="仿宋_GB2312" w:cs="仿宋_GB2312"/>
          <w:color w:val="auto"/>
          <w:highlight w:val="none"/>
          <w:shd w:val="clear" w:color="auto" w:fill="auto"/>
          <w:lang w:val="en-US" w:eastAsia="zh-CN"/>
        </w:rPr>
      </w:pPr>
    </w:p>
    <w:p w14:paraId="7E418ADE">
      <w:pPr>
        <w:pStyle w:val="2"/>
        <w:rPr>
          <w:rFonts w:hint="eastAsia" w:ascii="仿宋_GB2312" w:hAnsi="仿宋_GB2312" w:eastAsia="仿宋_GB2312" w:cs="仿宋_GB2312"/>
          <w:color w:val="auto"/>
          <w:highlight w:val="none"/>
          <w:shd w:val="clear" w:color="auto" w:fill="auto"/>
          <w:lang w:val="en-US" w:eastAsia="zh-CN"/>
        </w:rPr>
      </w:pPr>
    </w:p>
    <w:p w14:paraId="13CCBD62">
      <w:pPr>
        <w:pStyle w:val="2"/>
        <w:rPr>
          <w:rFonts w:hint="eastAsia" w:ascii="仿宋_GB2312" w:hAnsi="仿宋_GB2312" w:eastAsia="仿宋_GB2312" w:cs="仿宋_GB2312"/>
          <w:color w:val="auto"/>
          <w:highlight w:val="none"/>
          <w:shd w:val="clear" w:color="auto" w:fill="auto"/>
          <w:lang w:val="en-US" w:eastAsia="zh-CN"/>
        </w:rPr>
      </w:pPr>
    </w:p>
    <w:p w14:paraId="55EB2D5D">
      <w:pPr>
        <w:pStyle w:val="2"/>
        <w:rPr>
          <w:rFonts w:hint="eastAsia" w:ascii="仿宋_GB2312" w:hAnsi="仿宋_GB2312" w:eastAsia="仿宋_GB2312" w:cs="仿宋_GB2312"/>
          <w:color w:val="auto"/>
          <w:highlight w:val="none"/>
          <w:shd w:val="clear" w:color="auto" w:fill="auto"/>
          <w:lang w:val="en-US" w:eastAsia="zh-CN"/>
        </w:rPr>
      </w:pPr>
    </w:p>
    <w:p w14:paraId="691394DD">
      <w:pPr>
        <w:pStyle w:val="2"/>
        <w:ind w:left="0" w:leftChars="0" w:firstLine="0" w:firstLineChars="0"/>
        <w:rPr>
          <w:rFonts w:hint="eastAsia" w:ascii="仿宋_GB2312" w:hAnsi="仿宋_GB2312" w:eastAsia="仿宋_GB2312" w:cs="仿宋_GB2312"/>
          <w:color w:val="auto"/>
          <w:highlight w:val="none"/>
          <w:shd w:val="clear" w:color="auto" w:fill="auto"/>
          <w:lang w:val="en-US" w:eastAsia="zh-CN"/>
        </w:rPr>
      </w:pPr>
    </w:p>
    <w:p w14:paraId="56892BAE">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合同编号：</w:t>
      </w:r>
    </w:p>
    <w:p w14:paraId="13F2C012">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发包</w:t>
      </w:r>
      <w:r>
        <w:rPr>
          <w:rFonts w:hint="eastAsia" w:ascii="仿宋_GB2312" w:hAnsi="仿宋_GB2312" w:eastAsia="仿宋_GB2312" w:cs="仿宋_GB2312"/>
          <w:b w:val="0"/>
          <w:bCs w:val="0"/>
          <w:color w:val="auto"/>
          <w:sz w:val="28"/>
          <w:szCs w:val="28"/>
          <w:highlight w:val="none"/>
          <w:shd w:val="clear" w:color="auto" w:fill="auto"/>
          <w:lang w:val="en-US" w:eastAsia="zh-CN"/>
        </w:rPr>
        <w:t>方）：东莞市中泰建安工程有限公司</w:t>
      </w:r>
    </w:p>
    <w:p w14:paraId="12E33652">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 xml:space="preserve">乙方（承包方）： </w:t>
      </w:r>
    </w:p>
    <w:p w14:paraId="1C6FE57A">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val="0"/>
          <w:b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签订日期：202</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年</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月</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日</w:t>
      </w:r>
    </w:p>
    <w:p w14:paraId="2D31605F">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签订地点：广东东莞南城。</w:t>
      </w:r>
    </w:p>
    <w:sdt>
      <w:sdtPr>
        <w:rPr>
          <w:rFonts w:ascii="宋体" w:hAnsi="宋体" w:eastAsia="宋体" w:cs="Times New Roman"/>
          <w:kern w:val="2"/>
          <w:sz w:val="22"/>
          <w:szCs w:val="24"/>
          <w:highlight w:val="none"/>
          <w:lang w:val="en-US" w:eastAsia="zh-CN" w:bidi="ar-SA"/>
        </w:rPr>
        <w:id w:val="147459723"/>
        <w15:color w:val="DBDBDB"/>
        <w:docPartObj>
          <w:docPartGallery w:val="Table of Contents"/>
          <w:docPartUnique/>
        </w:docPartObj>
      </w:sdtPr>
      <w:sdtEndPr>
        <w:rPr>
          <w:rFonts w:hint="eastAsia" w:ascii="仿宋_GB2312" w:hAnsi="仿宋_GB2312" w:eastAsia="仿宋_GB2312" w:cs="仿宋_GB2312"/>
          <w:i w:val="0"/>
          <w:iCs w:val="0"/>
          <w:color w:val="auto"/>
          <w:kern w:val="0"/>
          <w:sz w:val="21"/>
          <w:szCs w:val="28"/>
          <w:highlight w:val="none"/>
          <w:u w:val="none"/>
          <w:shd w:val="clear" w:color="auto" w:fill="auto"/>
          <w:lang w:val="en-US" w:eastAsia="zh-CN" w:bidi="ar-SA"/>
        </w:rPr>
      </w:sdtEndPr>
      <w:sdtContent>
        <w:p w14:paraId="66FD5626">
          <w:pPr>
            <w:spacing w:before="0" w:beforeLines="0" w:after="0" w:afterLines="0" w:line="240" w:lineRule="auto"/>
            <w:ind w:left="0" w:leftChars="0" w:right="0" w:rightChars="0" w:firstLine="0" w:firstLineChars="0"/>
            <w:jc w:val="center"/>
            <w:rPr>
              <w:sz w:val="22"/>
              <w:szCs w:val="24"/>
              <w:highlight w:val="none"/>
            </w:rPr>
          </w:pPr>
          <w:r>
            <w:rPr>
              <w:rFonts w:ascii="宋体" w:hAnsi="宋体" w:eastAsia="宋体"/>
              <w:sz w:val="22"/>
              <w:szCs w:val="24"/>
              <w:highlight w:val="none"/>
            </w:rPr>
            <w:t>目录</w:t>
          </w:r>
        </w:p>
        <w:p w14:paraId="57AE67A0">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8"/>
              <w:szCs w:val="28"/>
              <w:highlight w:val="none"/>
              <w:u w:val="none"/>
              <w:shd w:val="clear" w:color="auto" w:fill="auto"/>
            </w:rPr>
            <w:fldChar w:fldCharType="begin"/>
          </w:r>
          <w:r>
            <w:rPr>
              <w:rFonts w:hint="eastAsia" w:ascii="仿宋_GB2312" w:hAnsi="仿宋_GB2312" w:eastAsia="仿宋_GB2312" w:cs="仿宋_GB2312"/>
              <w:i w:val="0"/>
              <w:iCs w:val="0"/>
              <w:color w:val="auto"/>
              <w:kern w:val="0"/>
              <w:sz w:val="28"/>
              <w:szCs w:val="28"/>
              <w:highlight w:val="none"/>
              <w:u w:val="none"/>
              <w:shd w:val="clear" w:color="auto" w:fill="auto"/>
            </w:rPr>
            <w:instrText xml:space="preserve">TOC \o "1-3" \h \u </w:instrText>
          </w:r>
          <w:r>
            <w:rPr>
              <w:rFonts w:hint="eastAsia" w:ascii="仿宋_GB2312" w:hAnsi="仿宋_GB2312" w:eastAsia="仿宋_GB2312" w:cs="仿宋_GB2312"/>
              <w:i w:val="0"/>
              <w:iCs w:val="0"/>
              <w:color w:val="auto"/>
              <w:kern w:val="0"/>
              <w:sz w:val="28"/>
              <w:szCs w:val="28"/>
              <w:highlight w:val="none"/>
              <w:u w:val="none"/>
              <w:shd w:val="clear" w:color="auto" w:fill="auto"/>
            </w:rPr>
            <w:fldChar w:fldCharType="separate"/>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_Toc5904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kern w:val="0"/>
              <w:sz w:val="22"/>
              <w:szCs w:val="32"/>
              <w:highlight w:val="none"/>
              <w:shd w:val="clear" w:fill="auto"/>
              <w:lang w:val="en-US" w:eastAsia="zh-CN"/>
            </w:rPr>
            <w:t xml:space="preserve">第一部分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合同专用条款</w:t>
          </w:r>
          <w:r>
            <w:rPr>
              <w:sz w:val="22"/>
              <w:szCs w:val="24"/>
              <w:highlight w:val="none"/>
            </w:rPr>
            <w:tab/>
          </w:r>
          <w:r>
            <w:rPr>
              <w:sz w:val="22"/>
              <w:szCs w:val="24"/>
              <w:highlight w:val="none"/>
            </w:rPr>
            <w:fldChar w:fldCharType="begin"/>
          </w:r>
          <w:r>
            <w:rPr>
              <w:sz w:val="22"/>
              <w:szCs w:val="24"/>
              <w:highlight w:val="none"/>
            </w:rPr>
            <w:instrText xml:space="preserve"> PAGEREF _Toc5904 \h </w:instrText>
          </w:r>
          <w:r>
            <w:rPr>
              <w:sz w:val="22"/>
              <w:szCs w:val="24"/>
              <w:highlight w:val="none"/>
            </w:rPr>
            <w:fldChar w:fldCharType="separate"/>
          </w:r>
          <w:r>
            <w:rPr>
              <w:sz w:val="22"/>
              <w:szCs w:val="24"/>
              <w:highlight w:val="none"/>
            </w:rPr>
            <w:t>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49D2045">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_Toc862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w:t>
          </w:r>
          <w:r>
            <w:rPr>
              <w:rFonts w:hint="eastAsia" w:ascii="仿宋_GB2312" w:hAnsi="仿宋_GB2312" w:eastAsia="仿宋_GB2312" w:cs="仿宋_GB2312"/>
              <w:bCs/>
              <w:i w:val="0"/>
              <w:iCs w:val="0"/>
              <w:sz w:val="22"/>
              <w:szCs w:val="32"/>
              <w:highlight w:val="none"/>
              <w:shd w:val="clear" w:color="auto" w:fill="auto"/>
            </w:rPr>
            <w:t>、项目概况</w:t>
          </w:r>
          <w:r>
            <w:rPr>
              <w:sz w:val="22"/>
              <w:szCs w:val="24"/>
              <w:highlight w:val="none"/>
            </w:rPr>
            <w:tab/>
          </w:r>
          <w:r>
            <w:rPr>
              <w:sz w:val="22"/>
              <w:szCs w:val="24"/>
              <w:highlight w:val="none"/>
            </w:rPr>
            <w:fldChar w:fldCharType="begin"/>
          </w:r>
          <w:r>
            <w:rPr>
              <w:sz w:val="22"/>
              <w:szCs w:val="24"/>
              <w:highlight w:val="none"/>
            </w:rPr>
            <w:instrText xml:space="preserve"> PAGEREF _Toc862 \h </w:instrText>
          </w:r>
          <w:r>
            <w:rPr>
              <w:sz w:val="22"/>
              <w:szCs w:val="24"/>
              <w:highlight w:val="none"/>
            </w:rPr>
            <w:fldChar w:fldCharType="separate"/>
          </w:r>
          <w:r>
            <w:rPr>
              <w:sz w:val="22"/>
              <w:szCs w:val="24"/>
              <w:highlight w:val="none"/>
            </w:rPr>
            <w:t>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75DB72BE">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_Toc8676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第二章、承包方式</w:t>
          </w:r>
          <w:r>
            <w:rPr>
              <w:sz w:val="22"/>
              <w:szCs w:val="24"/>
              <w:highlight w:val="none"/>
            </w:rPr>
            <w:tab/>
          </w:r>
          <w:r>
            <w:rPr>
              <w:sz w:val="22"/>
              <w:szCs w:val="24"/>
              <w:highlight w:val="none"/>
            </w:rPr>
            <w:fldChar w:fldCharType="begin"/>
          </w:r>
          <w:r>
            <w:rPr>
              <w:sz w:val="22"/>
              <w:szCs w:val="24"/>
              <w:highlight w:val="none"/>
            </w:rPr>
            <w:instrText xml:space="preserve"> PAGEREF _Toc8676 \h </w:instrText>
          </w:r>
          <w:r>
            <w:rPr>
              <w:sz w:val="22"/>
              <w:szCs w:val="24"/>
              <w:highlight w:val="none"/>
            </w:rPr>
            <w:fldChar w:fldCharType="separate"/>
          </w:r>
          <w:r>
            <w:rPr>
              <w:sz w:val="22"/>
              <w:szCs w:val="24"/>
              <w:highlight w:val="none"/>
            </w:rPr>
            <w:t>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555BBF4">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_Toc27568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第三章、承包范围及主要工程内容</w:t>
          </w:r>
          <w:r>
            <w:rPr>
              <w:sz w:val="22"/>
              <w:szCs w:val="24"/>
              <w:highlight w:val="none"/>
            </w:rPr>
            <w:tab/>
          </w:r>
          <w:r>
            <w:rPr>
              <w:sz w:val="22"/>
              <w:szCs w:val="24"/>
              <w:highlight w:val="none"/>
            </w:rPr>
            <w:fldChar w:fldCharType="begin"/>
          </w:r>
          <w:r>
            <w:rPr>
              <w:sz w:val="22"/>
              <w:szCs w:val="24"/>
              <w:highlight w:val="none"/>
            </w:rPr>
            <w:instrText xml:space="preserve"> PAGEREF _Toc27568 \h </w:instrText>
          </w:r>
          <w:r>
            <w:rPr>
              <w:sz w:val="22"/>
              <w:szCs w:val="24"/>
              <w:highlight w:val="none"/>
            </w:rPr>
            <w:fldChar w:fldCharType="separate"/>
          </w:r>
          <w:r>
            <w:rPr>
              <w:sz w:val="22"/>
              <w:szCs w:val="24"/>
              <w:highlight w:val="none"/>
            </w:rPr>
            <w:t>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08B3718">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_Toc28446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第四章、工期</w:t>
          </w:r>
          <w:r>
            <w:rPr>
              <w:sz w:val="22"/>
              <w:szCs w:val="24"/>
              <w:highlight w:val="none"/>
            </w:rPr>
            <w:tab/>
          </w:r>
          <w:r>
            <w:rPr>
              <w:sz w:val="22"/>
              <w:szCs w:val="24"/>
              <w:highlight w:val="none"/>
            </w:rPr>
            <w:fldChar w:fldCharType="begin"/>
          </w:r>
          <w:r>
            <w:rPr>
              <w:sz w:val="22"/>
              <w:szCs w:val="24"/>
              <w:highlight w:val="none"/>
            </w:rPr>
            <w:instrText xml:space="preserve"> PAGEREF _Toc28446 \h </w:instrText>
          </w:r>
          <w:r>
            <w:rPr>
              <w:sz w:val="22"/>
              <w:szCs w:val="24"/>
              <w:highlight w:val="none"/>
            </w:rPr>
            <w:fldChar w:fldCharType="separate"/>
          </w:r>
          <w:r>
            <w:rPr>
              <w:sz w:val="22"/>
              <w:szCs w:val="24"/>
              <w:highlight w:val="none"/>
            </w:rPr>
            <w:t>4</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7009C9D4">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_Toc1653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第五章、工程质量标准</w:t>
          </w:r>
          <w:r>
            <w:rPr>
              <w:sz w:val="22"/>
              <w:szCs w:val="24"/>
              <w:highlight w:val="none"/>
            </w:rPr>
            <w:tab/>
          </w:r>
          <w:r>
            <w:rPr>
              <w:sz w:val="22"/>
              <w:szCs w:val="24"/>
              <w:highlight w:val="none"/>
            </w:rPr>
            <w:fldChar w:fldCharType="begin"/>
          </w:r>
          <w:r>
            <w:rPr>
              <w:sz w:val="22"/>
              <w:szCs w:val="24"/>
              <w:highlight w:val="none"/>
            </w:rPr>
            <w:instrText xml:space="preserve"> PAGEREF _Toc1653 \h </w:instrText>
          </w:r>
          <w:r>
            <w:rPr>
              <w:sz w:val="22"/>
              <w:szCs w:val="24"/>
              <w:highlight w:val="none"/>
            </w:rPr>
            <w:fldChar w:fldCharType="separate"/>
          </w:r>
          <w:r>
            <w:rPr>
              <w:sz w:val="22"/>
              <w:szCs w:val="24"/>
              <w:highlight w:val="none"/>
            </w:rPr>
            <w:t>4</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3841F463">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_Toc20415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第六章、合同价款</w:t>
          </w:r>
          <w:r>
            <w:rPr>
              <w:sz w:val="22"/>
              <w:szCs w:val="24"/>
              <w:highlight w:val="none"/>
            </w:rPr>
            <w:tab/>
          </w:r>
          <w:r>
            <w:rPr>
              <w:sz w:val="22"/>
              <w:szCs w:val="24"/>
              <w:highlight w:val="none"/>
            </w:rPr>
            <w:fldChar w:fldCharType="begin"/>
          </w:r>
          <w:r>
            <w:rPr>
              <w:sz w:val="22"/>
              <w:szCs w:val="24"/>
              <w:highlight w:val="none"/>
            </w:rPr>
            <w:instrText xml:space="preserve"> PAGEREF _Toc20415 \h </w:instrText>
          </w:r>
          <w:r>
            <w:rPr>
              <w:sz w:val="22"/>
              <w:szCs w:val="24"/>
              <w:highlight w:val="none"/>
            </w:rPr>
            <w:fldChar w:fldCharType="separate"/>
          </w:r>
          <w:r>
            <w:rPr>
              <w:sz w:val="22"/>
              <w:szCs w:val="24"/>
              <w:highlight w:val="none"/>
            </w:rPr>
            <w:t>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3EDA6D73">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_Toc1519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第七章、计量计价方式及结算方式</w:t>
          </w:r>
          <w:r>
            <w:rPr>
              <w:sz w:val="22"/>
              <w:szCs w:val="24"/>
              <w:highlight w:val="none"/>
            </w:rPr>
            <w:tab/>
          </w:r>
          <w:r>
            <w:rPr>
              <w:sz w:val="22"/>
              <w:szCs w:val="24"/>
              <w:highlight w:val="none"/>
            </w:rPr>
            <w:fldChar w:fldCharType="begin"/>
          </w:r>
          <w:r>
            <w:rPr>
              <w:sz w:val="22"/>
              <w:szCs w:val="24"/>
              <w:highlight w:val="none"/>
            </w:rPr>
            <w:instrText xml:space="preserve"> PAGEREF _Toc1519 \h </w:instrText>
          </w:r>
          <w:r>
            <w:rPr>
              <w:sz w:val="22"/>
              <w:szCs w:val="24"/>
              <w:highlight w:val="none"/>
            </w:rPr>
            <w:fldChar w:fldCharType="separate"/>
          </w:r>
          <w:r>
            <w:rPr>
              <w:sz w:val="22"/>
              <w:szCs w:val="24"/>
              <w:highlight w:val="none"/>
            </w:rPr>
            <w:t>6</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2FA9DC63">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_Toc14424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第八章、付款方式（每个组团独立付款）</w:t>
          </w:r>
          <w:r>
            <w:rPr>
              <w:sz w:val="22"/>
              <w:szCs w:val="24"/>
              <w:highlight w:val="none"/>
            </w:rPr>
            <w:tab/>
          </w:r>
          <w:r>
            <w:rPr>
              <w:sz w:val="22"/>
              <w:szCs w:val="24"/>
              <w:highlight w:val="none"/>
            </w:rPr>
            <w:fldChar w:fldCharType="begin"/>
          </w:r>
          <w:r>
            <w:rPr>
              <w:sz w:val="22"/>
              <w:szCs w:val="24"/>
              <w:highlight w:val="none"/>
            </w:rPr>
            <w:instrText xml:space="preserve"> PAGEREF _Toc14424 \h </w:instrText>
          </w:r>
          <w:r>
            <w:rPr>
              <w:sz w:val="22"/>
              <w:szCs w:val="24"/>
              <w:highlight w:val="none"/>
            </w:rPr>
            <w:fldChar w:fldCharType="separate"/>
          </w:r>
          <w:r>
            <w:rPr>
              <w:sz w:val="22"/>
              <w:szCs w:val="24"/>
              <w:highlight w:val="none"/>
            </w:rPr>
            <w:t>7</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FB37E9C">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_Toc167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第九章、双方责任和权利</w:t>
          </w:r>
          <w:r>
            <w:rPr>
              <w:sz w:val="22"/>
              <w:szCs w:val="24"/>
              <w:highlight w:val="none"/>
            </w:rPr>
            <w:tab/>
          </w:r>
          <w:r>
            <w:rPr>
              <w:sz w:val="22"/>
              <w:szCs w:val="24"/>
              <w:highlight w:val="none"/>
            </w:rPr>
            <w:fldChar w:fldCharType="begin"/>
          </w:r>
          <w:r>
            <w:rPr>
              <w:sz w:val="22"/>
              <w:szCs w:val="24"/>
              <w:highlight w:val="none"/>
            </w:rPr>
            <w:instrText xml:space="preserve"> PAGEREF _Toc167 \h </w:instrText>
          </w:r>
          <w:r>
            <w:rPr>
              <w:sz w:val="22"/>
              <w:szCs w:val="24"/>
              <w:highlight w:val="none"/>
            </w:rPr>
            <w:fldChar w:fldCharType="separate"/>
          </w:r>
          <w:r>
            <w:rPr>
              <w:sz w:val="22"/>
              <w:szCs w:val="24"/>
              <w:highlight w:val="none"/>
            </w:rPr>
            <w:t>8</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FF49F30">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_Toc18795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_Toc18795 \h </w:instrText>
          </w:r>
          <w:r>
            <w:rPr>
              <w:sz w:val="22"/>
              <w:szCs w:val="24"/>
              <w:highlight w:val="none"/>
            </w:rPr>
            <w:fldChar w:fldCharType="separate"/>
          </w:r>
          <w:r>
            <w:rPr>
              <w:sz w:val="22"/>
              <w:szCs w:val="24"/>
              <w:highlight w:val="none"/>
            </w:rPr>
            <w:t>9</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73E5C1A">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_Toc6382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highlight w:val="none"/>
            </w:rPr>
            <w:tab/>
          </w:r>
          <w:r>
            <w:rPr>
              <w:sz w:val="22"/>
              <w:szCs w:val="24"/>
              <w:highlight w:val="none"/>
            </w:rPr>
            <w:fldChar w:fldCharType="begin"/>
          </w:r>
          <w:r>
            <w:rPr>
              <w:sz w:val="22"/>
              <w:szCs w:val="24"/>
              <w:highlight w:val="none"/>
            </w:rPr>
            <w:instrText xml:space="preserve"> PAGEREF _Toc6382 \h </w:instrText>
          </w:r>
          <w:r>
            <w:rPr>
              <w:sz w:val="22"/>
              <w:szCs w:val="24"/>
              <w:highlight w:val="none"/>
            </w:rPr>
            <w:fldChar w:fldCharType="separate"/>
          </w:r>
          <w:r>
            <w:rPr>
              <w:sz w:val="22"/>
              <w:szCs w:val="24"/>
              <w:highlight w:val="none"/>
            </w:rPr>
            <w:t>9</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21C75766">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_Toc8385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第十二章、其他</w:t>
          </w:r>
          <w:r>
            <w:rPr>
              <w:sz w:val="22"/>
              <w:szCs w:val="24"/>
              <w:highlight w:val="none"/>
            </w:rPr>
            <w:tab/>
          </w:r>
          <w:r>
            <w:rPr>
              <w:sz w:val="22"/>
              <w:szCs w:val="24"/>
              <w:highlight w:val="none"/>
            </w:rPr>
            <w:fldChar w:fldCharType="begin"/>
          </w:r>
          <w:r>
            <w:rPr>
              <w:sz w:val="22"/>
              <w:szCs w:val="24"/>
              <w:highlight w:val="none"/>
            </w:rPr>
            <w:instrText xml:space="preserve"> PAGEREF _Toc8385 \h </w:instrText>
          </w:r>
          <w:r>
            <w:rPr>
              <w:sz w:val="22"/>
              <w:szCs w:val="24"/>
              <w:highlight w:val="none"/>
            </w:rPr>
            <w:fldChar w:fldCharType="separate"/>
          </w:r>
          <w:r>
            <w:rPr>
              <w:sz w:val="22"/>
              <w:szCs w:val="24"/>
              <w:highlight w:val="none"/>
            </w:rPr>
            <w:t>10</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628F67BD">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_Toc13232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kern w:val="0"/>
              <w:sz w:val="22"/>
              <w:szCs w:val="32"/>
              <w:highlight w:val="none"/>
              <w:shd w:val="clear" w:fill="auto"/>
              <w:lang w:val="en-US" w:eastAsia="zh-CN"/>
            </w:rPr>
            <w:t xml:space="preserve">第二部分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合同通用条款</w:t>
          </w:r>
          <w:r>
            <w:rPr>
              <w:sz w:val="22"/>
              <w:szCs w:val="24"/>
              <w:highlight w:val="none"/>
            </w:rPr>
            <w:tab/>
          </w:r>
          <w:r>
            <w:rPr>
              <w:sz w:val="22"/>
              <w:szCs w:val="24"/>
              <w:highlight w:val="none"/>
            </w:rPr>
            <w:fldChar w:fldCharType="begin"/>
          </w:r>
          <w:r>
            <w:rPr>
              <w:sz w:val="22"/>
              <w:szCs w:val="24"/>
              <w:highlight w:val="none"/>
            </w:rPr>
            <w:instrText xml:space="preserve"> PAGEREF _Toc13232 \h </w:instrText>
          </w:r>
          <w:r>
            <w:rPr>
              <w:sz w:val="22"/>
              <w:szCs w:val="24"/>
              <w:highlight w:val="none"/>
            </w:rPr>
            <w:fldChar w:fldCharType="separate"/>
          </w:r>
          <w:r>
            <w:rPr>
              <w:sz w:val="22"/>
              <w:szCs w:val="24"/>
              <w:highlight w:val="none"/>
            </w:rPr>
            <w:t>12</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E28950A">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_Toc15704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第一章、承包方式</w:t>
          </w:r>
          <w:r>
            <w:rPr>
              <w:sz w:val="22"/>
              <w:szCs w:val="24"/>
              <w:highlight w:val="none"/>
            </w:rPr>
            <w:tab/>
          </w:r>
          <w:r>
            <w:rPr>
              <w:sz w:val="22"/>
              <w:szCs w:val="24"/>
              <w:highlight w:val="none"/>
            </w:rPr>
            <w:fldChar w:fldCharType="begin"/>
          </w:r>
          <w:r>
            <w:rPr>
              <w:sz w:val="22"/>
              <w:szCs w:val="24"/>
              <w:highlight w:val="none"/>
            </w:rPr>
            <w:instrText xml:space="preserve"> PAGEREF _Toc15704 \h </w:instrText>
          </w:r>
          <w:r>
            <w:rPr>
              <w:sz w:val="22"/>
              <w:szCs w:val="24"/>
              <w:highlight w:val="none"/>
            </w:rPr>
            <w:fldChar w:fldCharType="separate"/>
          </w:r>
          <w:r>
            <w:rPr>
              <w:sz w:val="22"/>
              <w:szCs w:val="24"/>
              <w:highlight w:val="none"/>
            </w:rPr>
            <w:t>12</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D0CFFFE">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_Toc10039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第二章、承包范围及主要工程内容</w:t>
          </w:r>
          <w:r>
            <w:rPr>
              <w:sz w:val="22"/>
              <w:szCs w:val="24"/>
              <w:highlight w:val="none"/>
            </w:rPr>
            <w:tab/>
          </w:r>
          <w:r>
            <w:rPr>
              <w:sz w:val="22"/>
              <w:szCs w:val="24"/>
              <w:highlight w:val="none"/>
            </w:rPr>
            <w:fldChar w:fldCharType="begin"/>
          </w:r>
          <w:r>
            <w:rPr>
              <w:sz w:val="22"/>
              <w:szCs w:val="24"/>
              <w:highlight w:val="none"/>
            </w:rPr>
            <w:instrText xml:space="preserve"> PAGEREF _Toc10039 \h </w:instrText>
          </w:r>
          <w:r>
            <w:rPr>
              <w:sz w:val="22"/>
              <w:szCs w:val="24"/>
              <w:highlight w:val="none"/>
            </w:rPr>
            <w:fldChar w:fldCharType="separate"/>
          </w:r>
          <w:r>
            <w:rPr>
              <w:sz w:val="22"/>
              <w:szCs w:val="24"/>
              <w:highlight w:val="none"/>
            </w:rPr>
            <w:t>12</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427275A3">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_Toc22918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第三章、工期</w:t>
          </w:r>
          <w:r>
            <w:rPr>
              <w:sz w:val="22"/>
              <w:szCs w:val="24"/>
              <w:highlight w:val="none"/>
            </w:rPr>
            <w:tab/>
          </w:r>
          <w:r>
            <w:rPr>
              <w:sz w:val="22"/>
              <w:szCs w:val="24"/>
              <w:highlight w:val="none"/>
            </w:rPr>
            <w:fldChar w:fldCharType="begin"/>
          </w:r>
          <w:r>
            <w:rPr>
              <w:sz w:val="22"/>
              <w:szCs w:val="24"/>
              <w:highlight w:val="none"/>
            </w:rPr>
            <w:instrText xml:space="preserve"> PAGEREF _Toc22918 \h </w:instrText>
          </w:r>
          <w:r>
            <w:rPr>
              <w:sz w:val="22"/>
              <w:szCs w:val="24"/>
              <w:highlight w:val="none"/>
            </w:rPr>
            <w:fldChar w:fldCharType="separate"/>
          </w:r>
          <w:r>
            <w:rPr>
              <w:sz w:val="22"/>
              <w:szCs w:val="24"/>
              <w:highlight w:val="none"/>
            </w:rPr>
            <w:t>13</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A8E1B5F">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_Toc9603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第四章、工程质量标准</w:t>
          </w:r>
          <w:r>
            <w:rPr>
              <w:sz w:val="22"/>
              <w:szCs w:val="24"/>
              <w:highlight w:val="none"/>
            </w:rPr>
            <w:tab/>
          </w:r>
          <w:r>
            <w:rPr>
              <w:sz w:val="22"/>
              <w:szCs w:val="24"/>
              <w:highlight w:val="none"/>
            </w:rPr>
            <w:fldChar w:fldCharType="begin"/>
          </w:r>
          <w:r>
            <w:rPr>
              <w:sz w:val="22"/>
              <w:szCs w:val="24"/>
              <w:highlight w:val="none"/>
            </w:rPr>
            <w:instrText xml:space="preserve"> PAGEREF _Toc9603 \h </w:instrText>
          </w:r>
          <w:r>
            <w:rPr>
              <w:sz w:val="22"/>
              <w:szCs w:val="24"/>
              <w:highlight w:val="none"/>
            </w:rPr>
            <w:fldChar w:fldCharType="separate"/>
          </w:r>
          <w:r>
            <w:rPr>
              <w:sz w:val="22"/>
              <w:szCs w:val="24"/>
              <w:highlight w:val="none"/>
            </w:rPr>
            <w:t>15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601B9D5">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_Toc14746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第五章、合同价款</w:t>
          </w:r>
          <w:r>
            <w:rPr>
              <w:sz w:val="22"/>
              <w:szCs w:val="24"/>
              <w:highlight w:val="none"/>
            </w:rPr>
            <w:tab/>
          </w:r>
          <w:r>
            <w:rPr>
              <w:sz w:val="22"/>
              <w:szCs w:val="24"/>
              <w:highlight w:val="none"/>
            </w:rPr>
            <w:fldChar w:fldCharType="begin"/>
          </w:r>
          <w:r>
            <w:rPr>
              <w:sz w:val="22"/>
              <w:szCs w:val="24"/>
              <w:highlight w:val="none"/>
            </w:rPr>
            <w:instrText xml:space="preserve"> PAGEREF _Toc14746 \h </w:instrText>
          </w:r>
          <w:r>
            <w:rPr>
              <w:sz w:val="22"/>
              <w:szCs w:val="24"/>
              <w:highlight w:val="none"/>
            </w:rPr>
            <w:fldChar w:fldCharType="separate"/>
          </w:r>
          <w:r>
            <w:rPr>
              <w:sz w:val="22"/>
              <w:szCs w:val="24"/>
              <w:highlight w:val="none"/>
            </w:rPr>
            <w:t>16</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28CFDFAC">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_Toc29136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第六章、计量计价方式及结算方式</w:t>
          </w:r>
          <w:r>
            <w:rPr>
              <w:sz w:val="22"/>
              <w:szCs w:val="24"/>
              <w:highlight w:val="none"/>
            </w:rPr>
            <w:tab/>
          </w:r>
          <w:r>
            <w:rPr>
              <w:sz w:val="22"/>
              <w:szCs w:val="24"/>
              <w:highlight w:val="none"/>
            </w:rPr>
            <w:fldChar w:fldCharType="begin"/>
          </w:r>
          <w:r>
            <w:rPr>
              <w:sz w:val="22"/>
              <w:szCs w:val="24"/>
              <w:highlight w:val="none"/>
            </w:rPr>
            <w:instrText xml:space="preserve"> PAGEREF _Toc29136 \h </w:instrText>
          </w:r>
          <w:r>
            <w:rPr>
              <w:sz w:val="22"/>
              <w:szCs w:val="24"/>
              <w:highlight w:val="none"/>
            </w:rPr>
            <w:fldChar w:fldCharType="separate"/>
          </w:r>
          <w:r>
            <w:rPr>
              <w:sz w:val="22"/>
              <w:szCs w:val="24"/>
              <w:highlight w:val="none"/>
            </w:rPr>
            <w:t>17</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7A726B9">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_Toc23406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第七章、付款方式</w:t>
          </w:r>
          <w:r>
            <w:rPr>
              <w:sz w:val="22"/>
              <w:szCs w:val="24"/>
              <w:highlight w:val="none"/>
            </w:rPr>
            <w:tab/>
          </w:r>
          <w:r>
            <w:rPr>
              <w:sz w:val="22"/>
              <w:szCs w:val="24"/>
              <w:highlight w:val="none"/>
            </w:rPr>
            <w:fldChar w:fldCharType="begin"/>
          </w:r>
          <w:r>
            <w:rPr>
              <w:sz w:val="22"/>
              <w:szCs w:val="24"/>
              <w:highlight w:val="none"/>
            </w:rPr>
            <w:instrText xml:space="preserve"> PAGEREF _Toc23406 \h </w:instrText>
          </w:r>
          <w:r>
            <w:rPr>
              <w:sz w:val="22"/>
              <w:szCs w:val="24"/>
              <w:highlight w:val="none"/>
            </w:rPr>
            <w:fldChar w:fldCharType="separate"/>
          </w:r>
          <w:r>
            <w:rPr>
              <w:sz w:val="22"/>
              <w:szCs w:val="24"/>
              <w:highlight w:val="none"/>
            </w:rPr>
            <w:t>23</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6DBC69C4">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_Toc19473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第八章、双方责任和权利</w:t>
          </w:r>
          <w:r>
            <w:rPr>
              <w:sz w:val="22"/>
              <w:szCs w:val="24"/>
              <w:highlight w:val="none"/>
            </w:rPr>
            <w:tab/>
          </w:r>
          <w:r>
            <w:rPr>
              <w:sz w:val="22"/>
              <w:szCs w:val="24"/>
              <w:highlight w:val="none"/>
            </w:rPr>
            <w:fldChar w:fldCharType="begin"/>
          </w:r>
          <w:r>
            <w:rPr>
              <w:sz w:val="22"/>
              <w:szCs w:val="24"/>
              <w:highlight w:val="none"/>
            </w:rPr>
            <w:instrText xml:space="preserve"> PAGEREF _Toc19473 \h </w:instrText>
          </w:r>
          <w:r>
            <w:rPr>
              <w:sz w:val="22"/>
              <w:szCs w:val="24"/>
              <w:highlight w:val="none"/>
            </w:rPr>
            <w:fldChar w:fldCharType="separate"/>
          </w:r>
          <w:r>
            <w:rPr>
              <w:sz w:val="22"/>
              <w:szCs w:val="24"/>
              <w:highlight w:val="none"/>
            </w:rPr>
            <w:t>25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D02E024">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_Toc27007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第九章、安全生产、文明施工要求</w:t>
          </w:r>
          <w:r>
            <w:rPr>
              <w:sz w:val="22"/>
              <w:szCs w:val="24"/>
              <w:highlight w:val="none"/>
            </w:rPr>
            <w:tab/>
          </w:r>
          <w:r>
            <w:rPr>
              <w:sz w:val="22"/>
              <w:szCs w:val="24"/>
              <w:highlight w:val="none"/>
            </w:rPr>
            <w:fldChar w:fldCharType="begin"/>
          </w:r>
          <w:r>
            <w:rPr>
              <w:sz w:val="22"/>
              <w:szCs w:val="24"/>
              <w:highlight w:val="none"/>
            </w:rPr>
            <w:instrText xml:space="preserve"> PAGEREF _Toc27007 \h </w:instrText>
          </w:r>
          <w:r>
            <w:rPr>
              <w:sz w:val="22"/>
              <w:szCs w:val="24"/>
              <w:highlight w:val="none"/>
            </w:rPr>
            <w:fldChar w:fldCharType="separate"/>
          </w:r>
          <w:r>
            <w:rPr>
              <w:sz w:val="22"/>
              <w:szCs w:val="24"/>
              <w:highlight w:val="none"/>
            </w:rPr>
            <w:t>32</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71DC9652">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_Toc12373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_Toc12373 \h </w:instrText>
          </w:r>
          <w:r>
            <w:rPr>
              <w:sz w:val="22"/>
              <w:szCs w:val="24"/>
              <w:highlight w:val="none"/>
            </w:rPr>
            <w:fldChar w:fldCharType="separate"/>
          </w:r>
          <w:r>
            <w:rPr>
              <w:sz w:val="22"/>
              <w:szCs w:val="24"/>
              <w:highlight w:val="none"/>
            </w:rPr>
            <w:t>33</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CB9DDCD">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_Toc19806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highlight w:val="none"/>
            </w:rPr>
            <w:tab/>
          </w:r>
          <w:r>
            <w:rPr>
              <w:sz w:val="22"/>
              <w:szCs w:val="24"/>
              <w:highlight w:val="none"/>
            </w:rPr>
            <w:fldChar w:fldCharType="begin"/>
          </w:r>
          <w:r>
            <w:rPr>
              <w:sz w:val="22"/>
              <w:szCs w:val="24"/>
              <w:highlight w:val="none"/>
            </w:rPr>
            <w:instrText xml:space="preserve"> PAGEREF _Toc19806 \h </w:instrText>
          </w:r>
          <w:r>
            <w:rPr>
              <w:sz w:val="22"/>
              <w:szCs w:val="24"/>
              <w:highlight w:val="none"/>
            </w:rPr>
            <w:fldChar w:fldCharType="separate"/>
          </w:r>
          <w:r>
            <w:rPr>
              <w:sz w:val="22"/>
              <w:szCs w:val="24"/>
              <w:highlight w:val="none"/>
            </w:rPr>
            <w:t>35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FFA32CD">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_Toc26808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第十二章、保险</w:t>
          </w:r>
          <w:r>
            <w:rPr>
              <w:sz w:val="22"/>
              <w:szCs w:val="24"/>
              <w:highlight w:val="none"/>
            </w:rPr>
            <w:tab/>
          </w:r>
          <w:r>
            <w:rPr>
              <w:sz w:val="22"/>
              <w:szCs w:val="24"/>
              <w:highlight w:val="none"/>
            </w:rPr>
            <w:fldChar w:fldCharType="begin"/>
          </w:r>
          <w:r>
            <w:rPr>
              <w:sz w:val="22"/>
              <w:szCs w:val="24"/>
              <w:highlight w:val="none"/>
            </w:rPr>
            <w:instrText xml:space="preserve"> PAGEREF _Toc26808 \h </w:instrText>
          </w:r>
          <w:r>
            <w:rPr>
              <w:sz w:val="22"/>
              <w:szCs w:val="24"/>
              <w:highlight w:val="none"/>
            </w:rPr>
            <w:fldChar w:fldCharType="separate"/>
          </w:r>
          <w:r>
            <w:rPr>
              <w:sz w:val="22"/>
              <w:szCs w:val="24"/>
              <w:highlight w:val="none"/>
            </w:rPr>
            <w:t>35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4B154B9F">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_Toc8855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第十三章、奖罚条款</w:t>
          </w:r>
          <w:r>
            <w:rPr>
              <w:sz w:val="22"/>
              <w:szCs w:val="24"/>
              <w:highlight w:val="none"/>
            </w:rPr>
            <w:tab/>
          </w:r>
          <w:r>
            <w:rPr>
              <w:sz w:val="22"/>
              <w:szCs w:val="24"/>
              <w:highlight w:val="none"/>
            </w:rPr>
            <w:fldChar w:fldCharType="begin"/>
          </w:r>
          <w:r>
            <w:rPr>
              <w:sz w:val="22"/>
              <w:szCs w:val="24"/>
              <w:highlight w:val="none"/>
            </w:rPr>
            <w:instrText xml:space="preserve"> PAGEREF _Toc8855 \h </w:instrText>
          </w:r>
          <w:r>
            <w:rPr>
              <w:sz w:val="22"/>
              <w:szCs w:val="24"/>
              <w:highlight w:val="none"/>
            </w:rPr>
            <w:fldChar w:fldCharType="separate"/>
          </w:r>
          <w:r>
            <w:rPr>
              <w:sz w:val="22"/>
              <w:szCs w:val="24"/>
              <w:highlight w:val="none"/>
            </w:rPr>
            <w:t>37</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671DBA9F">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_Toc679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第十四章、违约条款</w:t>
          </w:r>
          <w:r>
            <w:rPr>
              <w:sz w:val="22"/>
              <w:szCs w:val="24"/>
              <w:highlight w:val="none"/>
            </w:rPr>
            <w:tab/>
          </w:r>
          <w:r>
            <w:rPr>
              <w:sz w:val="22"/>
              <w:szCs w:val="24"/>
              <w:highlight w:val="none"/>
            </w:rPr>
            <w:fldChar w:fldCharType="begin"/>
          </w:r>
          <w:r>
            <w:rPr>
              <w:sz w:val="22"/>
              <w:szCs w:val="24"/>
              <w:highlight w:val="none"/>
            </w:rPr>
            <w:instrText xml:space="preserve"> PAGEREF _Toc679 \h </w:instrText>
          </w:r>
          <w:r>
            <w:rPr>
              <w:sz w:val="22"/>
              <w:szCs w:val="24"/>
              <w:highlight w:val="none"/>
            </w:rPr>
            <w:fldChar w:fldCharType="separate"/>
          </w:r>
          <w:r>
            <w:rPr>
              <w:sz w:val="22"/>
              <w:szCs w:val="24"/>
              <w:highlight w:val="none"/>
            </w:rPr>
            <w:t>39</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2998D40">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_Toc13409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第十五章、廉洁条款</w:t>
          </w:r>
          <w:r>
            <w:rPr>
              <w:sz w:val="22"/>
              <w:szCs w:val="24"/>
              <w:highlight w:val="none"/>
            </w:rPr>
            <w:tab/>
          </w:r>
          <w:r>
            <w:rPr>
              <w:sz w:val="22"/>
              <w:szCs w:val="24"/>
              <w:highlight w:val="none"/>
            </w:rPr>
            <w:fldChar w:fldCharType="begin"/>
          </w:r>
          <w:r>
            <w:rPr>
              <w:sz w:val="22"/>
              <w:szCs w:val="24"/>
              <w:highlight w:val="none"/>
            </w:rPr>
            <w:instrText xml:space="preserve"> PAGEREF _Toc13409 \h </w:instrText>
          </w:r>
          <w:r>
            <w:rPr>
              <w:sz w:val="22"/>
              <w:szCs w:val="24"/>
              <w:highlight w:val="none"/>
            </w:rPr>
            <w:fldChar w:fldCharType="separate"/>
          </w:r>
          <w:r>
            <w:rPr>
              <w:sz w:val="22"/>
              <w:szCs w:val="24"/>
              <w:highlight w:val="none"/>
            </w:rPr>
            <w:t>42</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7A4F2A8">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_Toc7358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第十六章、其他</w:t>
          </w:r>
          <w:r>
            <w:rPr>
              <w:sz w:val="22"/>
              <w:szCs w:val="24"/>
              <w:highlight w:val="none"/>
            </w:rPr>
            <w:tab/>
          </w:r>
          <w:r>
            <w:rPr>
              <w:sz w:val="22"/>
              <w:szCs w:val="24"/>
              <w:highlight w:val="none"/>
            </w:rPr>
            <w:fldChar w:fldCharType="begin"/>
          </w:r>
          <w:r>
            <w:rPr>
              <w:sz w:val="22"/>
              <w:szCs w:val="24"/>
              <w:highlight w:val="none"/>
            </w:rPr>
            <w:instrText xml:space="preserve"> PAGEREF _Toc7358 \h </w:instrText>
          </w:r>
          <w:r>
            <w:rPr>
              <w:sz w:val="22"/>
              <w:szCs w:val="24"/>
              <w:highlight w:val="none"/>
            </w:rPr>
            <w:fldChar w:fldCharType="separate"/>
          </w:r>
          <w:r>
            <w:rPr>
              <w:sz w:val="22"/>
              <w:szCs w:val="24"/>
              <w:highlight w:val="none"/>
            </w:rPr>
            <w:t>43</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4F4A4280">
          <w:pPr>
            <w:tabs>
              <w:tab w:val="left" w:pos="6272"/>
            </w:tabs>
            <w:spacing w:line="360" w:lineRule="auto"/>
            <w:ind w:right="-578" w:rightChars="-275"/>
            <w:rPr>
              <w:rFonts w:hint="eastAsia" w:ascii="仿宋_GB2312" w:hAnsi="仿宋_GB2312" w:eastAsia="仿宋_GB2312" w:cs="仿宋_GB2312"/>
              <w:i w:val="0"/>
              <w:iCs w:val="0"/>
              <w:color w:val="auto"/>
              <w:kern w:val="0"/>
              <w:sz w:val="28"/>
              <w:szCs w:val="28"/>
              <w:highlight w:val="none"/>
              <w:u w:val="none"/>
              <w:shd w:val="clear" w:color="auto" w:fill="auto"/>
            </w:rPr>
          </w:pPr>
          <w:r>
            <w:rPr>
              <w:rFonts w:hint="eastAsia" w:ascii="仿宋_GB2312" w:hAnsi="仿宋_GB2312" w:eastAsia="仿宋_GB2312" w:cs="仿宋_GB2312"/>
              <w:i w:val="0"/>
              <w:iCs w:val="0"/>
              <w:color w:val="auto"/>
              <w:kern w:val="0"/>
              <w:szCs w:val="28"/>
              <w:highlight w:val="none"/>
              <w:u w:val="none"/>
              <w:shd w:val="clear" w:color="auto" w:fill="auto"/>
            </w:rPr>
            <w:fldChar w:fldCharType="end"/>
          </w:r>
        </w:p>
      </w:sdtContent>
    </w:sdt>
    <w:p w14:paraId="4FBF0702">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both"/>
        <w:textAlignment w:val="auto"/>
        <w:outlineLvl w:val="0"/>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sectPr>
          <w:pgSz w:w="11906" w:h="16839"/>
          <w:pgMar w:top="1440" w:right="1800" w:bottom="1440" w:left="1800" w:header="0" w:footer="0" w:gutter="0"/>
          <w:cols w:space="720" w:num="1"/>
        </w:sectPr>
      </w:pPr>
    </w:p>
    <w:p w14:paraId="01A7D883">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0" w:rightChars="0"/>
        <w:jc w:val="center"/>
        <w:textAlignment w:val="auto"/>
        <w:outlineLvl w:val="0"/>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pPr>
      <w:bookmarkStart w:id="34" w:name="_Toc5904"/>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合同专用条款</w:t>
      </w:r>
      <w:bookmarkEnd w:id="34"/>
    </w:p>
    <w:p w14:paraId="655ED6E7">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i w:val="0"/>
          <w:iCs w:val="0"/>
          <w:color w:val="auto"/>
          <w:kern w:val="0"/>
          <w:sz w:val="28"/>
          <w:szCs w:val="28"/>
          <w:highlight w:val="none"/>
          <w:u w:val="none"/>
          <w:shd w:val="clear" w:color="auto" w:fill="auto"/>
          <w:lang w:eastAsia="zh-CN"/>
        </w:rPr>
      </w:pPr>
      <w:r>
        <w:rPr>
          <w:rFonts w:hint="eastAsia" w:ascii="仿宋_GB2312" w:hAnsi="仿宋_GB2312" w:eastAsia="仿宋_GB2312" w:cs="仿宋_GB2312"/>
          <w:i w:val="0"/>
          <w:iCs w:val="0"/>
          <w:color w:val="auto"/>
          <w:kern w:val="0"/>
          <w:sz w:val="28"/>
          <w:szCs w:val="28"/>
          <w:highlight w:val="none"/>
          <w:u w:val="none"/>
          <w:shd w:val="clear" w:color="auto" w:fill="auto"/>
        </w:rPr>
        <w:t>根据《中华人民共和国民法典》《中华人民共和国建筑法》《建设工程质量管理条例》及有关法律、法规，在乙方确认并承诺自身满足本项目所在地住建主管部门相关要求（如资质、资格等）的前提下</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rPr>
        <w:t>甲乙双方在平等、自愿、公平和诚实信用的基础上，就乙方承包</w:t>
      </w:r>
      <w:r>
        <w:rPr>
          <w:rFonts w:hint="eastAsia" w:ascii="仿宋_GB2312" w:hAnsi="仿宋_GB2312" w:eastAsia="仿宋_GB2312" w:cs="仿宋_GB2312"/>
          <w:i w:val="0"/>
          <w:iCs w:val="0"/>
          <w:color w:val="auto"/>
          <w:sz w:val="28"/>
          <w:szCs w:val="28"/>
          <w:highlight w:val="none"/>
          <w:u w:val="single"/>
          <w:shd w:val="clear" w:color="auto" w:fill="auto"/>
        </w:rPr>
        <w:t>南京现代表面处理科技产业中心项目B地块工程</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综合楼</w:t>
      </w:r>
      <w:r>
        <w:rPr>
          <w:rFonts w:hint="eastAsia" w:ascii="仿宋_GB2312" w:hAnsi="仿宋_GB2312" w:eastAsia="仿宋_GB2312" w:cs="仿宋_GB2312"/>
          <w:i w:val="0"/>
          <w:iCs w:val="0"/>
          <w:color w:val="auto"/>
          <w:sz w:val="28"/>
          <w:szCs w:val="28"/>
          <w:highlight w:val="none"/>
          <w:u w:val="single"/>
          <w:shd w:val="clear" w:color="auto" w:fill="auto"/>
        </w:rPr>
        <w:t>装配式工程</w:t>
      </w:r>
      <w:r>
        <w:rPr>
          <w:rFonts w:hint="eastAsia" w:ascii="仿宋_GB2312" w:hAnsi="仿宋_GB2312" w:eastAsia="仿宋_GB2312" w:cs="仿宋_GB2312"/>
          <w:i w:val="0"/>
          <w:iCs w:val="0"/>
          <w:color w:val="auto"/>
          <w:kern w:val="0"/>
          <w:sz w:val="28"/>
          <w:szCs w:val="28"/>
          <w:highlight w:val="none"/>
          <w:u w:val="none"/>
          <w:shd w:val="clear" w:color="auto" w:fill="auto"/>
        </w:rPr>
        <w:t>（以下简称“</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本</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u w:val="none"/>
          <w:shd w:val="clear" w:color="auto" w:fill="auto"/>
        </w:rPr>
        <w:t>有关事项协商一致，特签订本合同以共同遵守。</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本合同范围内，对以</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开头的内容，以</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开头的内容为准。</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p>
    <w:p w14:paraId="229FCBA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rPr>
      </w:pPr>
      <w:bookmarkStart w:id="35" w:name="_Toc23610"/>
      <w:bookmarkStart w:id="36" w:name="_Toc26146"/>
      <w:bookmarkStart w:id="37" w:name="_Toc1208"/>
      <w:bookmarkStart w:id="38" w:name="_Toc86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w:t>
      </w:r>
      <w:r>
        <w:rPr>
          <w:rFonts w:hint="eastAsia" w:ascii="仿宋_GB2312" w:hAnsi="仿宋_GB2312" w:eastAsia="仿宋_GB2312" w:cs="仿宋_GB2312"/>
          <w:b/>
          <w:bCs/>
          <w:i w:val="0"/>
          <w:iCs w:val="0"/>
          <w:color w:val="auto"/>
          <w:sz w:val="28"/>
          <w:szCs w:val="28"/>
          <w:highlight w:val="none"/>
          <w:u w:val="none"/>
          <w:shd w:val="clear" w:color="auto" w:fill="auto"/>
        </w:rPr>
        <w:t>、项目概况</w:t>
      </w:r>
      <w:bookmarkEnd w:id="35"/>
      <w:bookmarkEnd w:id="36"/>
      <w:bookmarkEnd w:id="37"/>
      <w:bookmarkEnd w:id="38"/>
    </w:p>
    <w:p w14:paraId="1895457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rPr>
        <w:t>1.1项目名称：</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南京现代表面处理科技产业中心项目B地块工程</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本合同简称“本项目”</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p>
    <w:p w14:paraId="288E2E7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i w:val="0"/>
          <w:iCs w:val="0"/>
          <w:color w:val="auto"/>
          <w:sz w:val="28"/>
          <w:szCs w:val="28"/>
          <w:highlight w:val="none"/>
          <w:u w:val="single"/>
          <w:shd w:val="clear" w:color="auto" w:fill="auto"/>
        </w:rPr>
        <w:t>江苏省南京市六合区南京现代表面处理科技产业中心项目</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B</w:t>
      </w:r>
      <w:r>
        <w:rPr>
          <w:rFonts w:hint="eastAsia" w:ascii="仿宋_GB2312" w:hAnsi="仿宋_GB2312" w:eastAsia="仿宋_GB2312" w:cs="仿宋_GB2312"/>
          <w:i w:val="0"/>
          <w:iCs w:val="0"/>
          <w:color w:val="auto"/>
          <w:sz w:val="28"/>
          <w:szCs w:val="28"/>
          <w:highlight w:val="none"/>
          <w:u w:val="single"/>
          <w:shd w:val="clear" w:color="auto" w:fill="auto"/>
        </w:rPr>
        <w:t>地块甲方指定地点</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i w:val="0"/>
          <w:iCs w:val="0"/>
          <w:color w:val="auto"/>
          <w:sz w:val="28"/>
          <w:szCs w:val="28"/>
          <w:highlight w:val="none"/>
          <w:u w:val="single"/>
          <w:shd w:val="clear" w:color="auto" w:fill="auto"/>
        </w:rPr>
        <w:t xml:space="preserve"> </w:t>
      </w:r>
    </w:p>
    <w:p w14:paraId="257D01E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1.3本工程的甲供材料：</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无。 </w:t>
      </w:r>
    </w:p>
    <w:p w14:paraId="3394D9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150"/>
        <w:textAlignment w:val="auto"/>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w:t>
      </w:r>
      <w:r>
        <w:rPr>
          <w:rFonts w:hint="eastAsia" w:ascii="仿宋" w:hAnsi="仿宋" w:eastAsia="仿宋" w:cs="仿宋"/>
          <w:b w:val="0"/>
          <w:bCs w:val="0"/>
          <w:i w:val="0"/>
          <w:iCs w:val="0"/>
          <w:color w:val="auto"/>
          <w:sz w:val="28"/>
          <w:szCs w:val="28"/>
          <w:highlight w:val="none"/>
          <w:u w:val="single"/>
          <w:shd w:val="clear" w:color="auto" w:fill="auto"/>
          <w:lang w:val="en-US" w:eastAsia="zh-CN"/>
        </w:rPr>
        <w:t>水费、电费由甲方承担（水电接线由乙方负责）。</w:t>
      </w:r>
      <w:r>
        <w:rPr>
          <w:rFonts w:hint="eastAsia" w:ascii="仿宋" w:hAnsi="仿宋" w:eastAsia="仿宋" w:cs="仿宋"/>
          <w:b w:val="0"/>
          <w:bCs w:val="0"/>
          <w:i w:val="0"/>
          <w:iCs w:val="0"/>
          <w:color w:val="auto"/>
          <w:sz w:val="28"/>
          <w:szCs w:val="28"/>
          <w:highlight w:val="yellow"/>
          <w:u w:val="single"/>
          <w:shd w:val="clear" w:color="auto" w:fill="auto"/>
          <w:lang w:val="en-US" w:eastAsia="zh-CN"/>
        </w:rPr>
        <w:t>甲方可提供乙方现场施工人员的食宿条件（餐费乙方自负，住宿为活动板房或集装箱），生活电费由乙方承担</w:t>
      </w:r>
      <w:r>
        <w:rPr>
          <w:rFonts w:hint="eastAsia" w:ascii="仿宋" w:hAnsi="仿宋" w:eastAsia="仿宋" w:cs="仿宋"/>
          <w:b w:val="0"/>
          <w:bCs w:val="0"/>
          <w:i w:val="0"/>
          <w:iCs w:val="0"/>
          <w:color w:val="auto"/>
          <w:sz w:val="28"/>
          <w:szCs w:val="28"/>
          <w:highlight w:val="none"/>
          <w:u w:val="single"/>
          <w:shd w:val="clear" w:color="auto" w:fill="auto"/>
          <w:lang w:val="en-US" w:eastAsia="zh-CN"/>
        </w:rPr>
        <w:t>。</w:t>
      </w:r>
    </w:p>
    <w:p w14:paraId="7C176C46">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39" w:name="_Toc8676"/>
      <w:bookmarkStart w:id="40" w:name="_Toc2296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第二章、承包方式</w:t>
      </w:r>
      <w:bookmarkEnd w:id="39"/>
      <w:bookmarkEnd w:id="40"/>
    </w:p>
    <w:p w14:paraId="6980661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2.1乙方对本工程</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b w:val="0"/>
          <w:bCs w:val="0"/>
          <w:i w:val="0"/>
          <w:iCs w:val="0"/>
          <w:color w:val="auto"/>
          <w:sz w:val="28"/>
          <w:szCs w:val="28"/>
          <w:highlight w:val="none"/>
          <w:u w:val="none"/>
          <w:shd w:val="clear" w:color="auto" w:fill="auto"/>
          <w:lang w:val="en-US" w:eastAsia="zh-CN"/>
        </w:rPr>
        <w:t>包工包料/</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包工包部分材料（仅不含甲供材）/</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包工；</w:t>
      </w:r>
      <w:r>
        <w:rPr>
          <w:rFonts w:hint="eastAsia" w:ascii="仿宋" w:hAnsi="仿宋" w:eastAsia="仿宋" w:cs="仿宋"/>
          <w:b/>
          <w:bCs/>
          <w:i w:val="0"/>
          <w:iCs w:val="0"/>
          <w:color w:val="auto"/>
          <w:sz w:val="28"/>
          <w:szCs w:val="28"/>
          <w:highlight w:val="none"/>
          <w:u w:val="none"/>
          <w:shd w:val="clear" w:color="auto" w:fill="auto"/>
          <w:lang w:val="en-US" w:eastAsia="zh-CN"/>
        </w:rPr>
        <w:t>包深化设计</w:t>
      </w:r>
      <w:r>
        <w:rPr>
          <w:rFonts w:hint="eastAsia" w:ascii="仿宋" w:hAnsi="仿宋" w:eastAsia="仿宋" w:cs="仿宋"/>
          <w:b w:val="0"/>
          <w:bCs w:val="0"/>
          <w:i w:val="0"/>
          <w:iCs w:val="0"/>
          <w:color w:val="auto"/>
          <w:sz w:val="28"/>
          <w:szCs w:val="28"/>
          <w:highlight w:val="none"/>
          <w:u w:val="none"/>
          <w:shd w:val="clear" w:color="auto" w:fill="auto"/>
          <w:lang w:val="en-US" w:eastAsia="zh-CN"/>
        </w:rPr>
        <w:t>；详见招标清单内分包形式。</w:t>
      </w:r>
    </w:p>
    <w:p w14:paraId="7C03AC3B">
      <w:pPr>
        <w:keepNext w:val="0"/>
        <w:keepLines w:val="0"/>
        <w:pageBreakBefore w:val="0"/>
        <w:widowControl w:val="0"/>
        <w:tabs>
          <w:tab w:val="left" w:pos="6780"/>
        </w:tabs>
        <w:kinsoku/>
        <w:wordWrap/>
        <w:overflowPunct/>
        <w:topLinePunct w:val="0"/>
        <w:autoSpaceDE/>
        <w:autoSpaceDN/>
        <w:bidi w:val="0"/>
        <w:adjustRightInd w:val="0"/>
        <w:spacing w:line="360" w:lineRule="auto"/>
        <w:ind w:left="-197" w:leftChars="-94" w:right="0" w:rightChars="0" w:firstLine="560" w:firstLineChars="200"/>
        <w:textAlignment w:val="auto"/>
        <w:rPr>
          <w:rFonts w:hint="default"/>
          <w:highlight w:val="none"/>
          <w:lang w:val="en-US" w:eastAsia="zh-CN"/>
        </w:rPr>
      </w:pPr>
      <w:r>
        <w:rPr>
          <w:rFonts w:hint="eastAsia" w:ascii="仿宋" w:hAnsi="仿宋" w:eastAsia="仿宋" w:cs="仿宋"/>
          <w:color w:val="auto"/>
          <w:sz w:val="28"/>
          <w:szCs w:val="28"/>
          <w:highlight w:val="none"/>
          <w:lang w:val="en-US" w:eastAsia="zh-CN"/>
        </w:rPr>
        <w:t>2.2本工程竣工图由</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甲方绘制/</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乙方绘制。</w:t>
      </w:r>
    </w:p>
    <w:p w14:paraId="080BDED6">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41" w:name="_Toc27213"/>
      <w:bookmarkStart w:id="42" w:name="_Toc9670"/>
      <w:bookmarkStart w:id="43" w:name="_Toc27568"/>
      <w:bookmarkStart w:id="44" w:name="_Toc604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第三章、承包范围</w:t>
      </w:r>
      <w:bookmarkEnd w:id="41"/>
      <w:bookmarkEnd w:id="4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及主要工程内容</w:t>
      </w:r>
      <w:bookmarkEnd w:id="43"/>
      <w:bookmarkEnd w:id="44"/>
    </w:p>
    <w:p w14:paraId="43B2F0E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3.1</w:t>
      </w:r>
      <w:r>
        <w:rPr>
          <w:rFonts w:hint="eastAsia" w:ascii="仿宋" w:hAnsi="仿宋" w:eastAsia="仿宋" w:cs="仿宋"/>
          <w:color w:val="auto"/>
          <w:sz w:val="28"/>
          <w:szCs w:val="28"/>
          <w:highlight w:val="none"/>
          <w:lang w:val="en-US" w:eastAsia="zh-CN"/>
        </w:rPr>
        <w:t>本工程图纸</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即甲方确认的建学建筑工程设计所有限公司设计的2025年7月版本工程施工图</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 w:hAnsi="仿宋" w:eastAsia="仿宋" w:cs="仿宋"/>
          <w:color w:val="auto"/>
          <w:sz w:val="28"/>
          <w:szCs w:val="28"/>
          <w:highlight w:val="none"/>
          <w:lang w:val="en-US" w:eastAsia="zh-CN"/>
        </w:rPr>
        <w:t>及报价清单（详见附件）及经甲方权限领导审批的本工程与本项目其他专业施工界限文件（如有）</w:t>
      </w:r>
      <w:r>
        <w:rPr>
          <w:rFonts w:hint="eastAsia" w:ascii="仿宋_GB2312" w:hAnsi="仿宋_GB2312" w:eastAsia="仿宋_GB2312" w:cs="仿宋_GB2312"/>
          <w:b w:val="0"/>
          <w:bCs w:val="0"/>
          <w:i w:val="0"/>
          <w:iCs w:val="0"/>
          <w:color w:val="auto"/>
          <w:sz w:val="28"/>
          <w:szCs w:val="28"/>
          <w:highlight w:val="none"/>
          <w:u w:val="none"/>
          <w:shd w:val="clear" w:color="auto" w:fill="auto"/>
        </w:rPr>
        <w:t>内的</w:t>
      </w:r>
      <w:r>
        <w:rPr>
          <w:rFonts w:hint="eastAsia" w:ascii="仿宋_GB2312" w:hAnsi="仿宋_GB2312" w:eastAsia="仿宋_GB2312" w:cs="仿宋_GB2312"/>
          <w:b w:val="0"/>
          <w:bCs w:val="0"/>
          <w:i w:val="0"/>
          <w:iCs w:val="0"/>
          <w:color w:val="auto"/>
          <w:sz w:val="28"/>
          <w:szCs w:val="28"/>
          <w:highlight w:val="yellow"/>
          <w:u w:val="single"/>
          <w:shd w:val="clear" w:color="auto" w:fill="auto"/>
          <w:lang w:val="en-US" w:eastAsia="zh-CN"/>
        </w:rPr>
        <w:t xml:space="preserve"> 墙板、陶粒板</w:t>
      </w:r>
      <w:r>
        <w:rPr>
          <w:rFonts w:hint="eastAsia" w:ascii="仿宋_GB2312" w:hAnsi="仿宋_GB2312" w:eastAsia="仿宋_GB2312" w:cs="仿宋_GB2312"/>
          <w:b w:val="0"/>
          <w:bCs w:val="0"/>
          <w:i w:val="0"/>
          <w:iCs w:val="0"/>
          <w:color w:val="auto"/>
          <w:sz w:val="28"/>
          <w:szCs w:val="28"/>
          <w:highlight w:val="yellow"/>
          <w:u w:val="none"/>
          <w:shd w:val="clear" w:color="auto" w:fill="auto"/>
        </w:rPr>
        <w:t>由乙方</w:t>
      </w:r>
      <w:r>
        <w:rPr>
          <w:rFonts w:hint="eastAsia" w:ascii="仿宋_GB2312" w:hAnsi="仿宋_GB2312" w:eastAsia="仿宋_GB2312" w:cs="仿宋_GB2312"/>
          <w:b w:val="0"/>
          <w:bCs w:val="0"/>
          <w:i w:val="0"/>
          <w:iCs w:val="0"/>
          <w:color w:val="auto"/>
          <w:sz w:val="28"/>
          <w:szCs w:val="28"/>
          <w:highlight w:val="yellow"/>
          <w:u w:val="none"/>
          <w:shd w:val="clear" w:color="auto" w:fill="auto"/>
          <w:lang w:val="en-US" w:eastAsia="zh-CN"/>
        </w:rPr>
        <w:t>供应、</w:t>
      </w:r>
      <w:r>
        <w:rPr>
          <w:rFonts w:hint="eastAsia" w:ascii="仿宋_GB2312" w:hAnsi="仿宋_GB2312" w:eastAsia="仿宋_GB2312" w:cs="仿宋_GB2312"/>
          <w:b w:val="0"/>
          <w:bCs w:val="0"/>
          <w:i w:val="0"/>
          <w:iCs w:val="0"/>
          <w:color w:val="auto"/>
          <w:sz w:val="28"/>
          <w:szCs w:val="28"/>
          <w:highlight w:val="yellow"/>
          <w:u w:val="none"/>
          <w:shd w:val="clear" w:color="auto" w:fill="auto"/>
        </w:rPr>
        <w:t>施工（</w:t>
      </w:r>
      <w:r>
        <w:rPr>
          <w:rFonts w:hint="eastAsia" w:ascii="仿宋_GB2312" w:hAnsi="仿宋_GB2312" w:eastAsia="仿宋_GB2312" w:cs="仿宋_GB2312"/>
          <w:b/>
          <w:bCs/>
          <w:i w:val="0"/>
          <w:iCs w:val="0"/>
          <w:color w:val="auto"/>
          <w:sz w:val="28"/>
          <w:szCs w:val="28"/>
          <w:highlight w:val="yellow"/>
          <w:u w:val="none"/>
          <w:shd w:val="clear" w:color="auto" w:fill="auto"/>
        </w:rPr>
        <w:t>具体范围</w:t>
      </w:r>
      <w:r>
        <w:rPr>
          <w:rFonts w:hint="eastAsia" w:ascii="仿宋_GB2312" w:hAnsi="仿宋_GB2312" w:eastAsia="仿宋_GB2312" w:cs="仿宋_GB2312"/>
          <w:b/>
          <w:bCs/>
          <w:i w:val="0"/>
          <w:iCs w:val="0"/>
          <w:color w:val="auto"/>
          <w:sz w:val="28"/>
          <w:szCs w:val="28"/>
          <w:highlight w:val="yellow"/>
          <w:u w:val="none"/>
          <w:shd w:val="clear" w:color="auto" w:fill="auto"/>
          <w:lang w:val="en-US" w:eastAsia="zh-CN"/>
        </w:rPr>
        <w:t>按甲方</w:t>
      </w:r>
      <w:r>
        <w:rPr>
          <w:rFonts w:hint="eastAsia" w:ascii="仿宋_GB2312" w:hAnsi="仿宋_GB2312" w:eastAsia="仿宋_GB2312" w:cs="仿宋_GB2312"/>
          <w:b/>
          <w:bCs/>
          <w:i w:val="0"/>
          <w:iCs w:val="0"/>
          <w:color w:val="auto"/>
          <w:sz w:val="28"/>
          <w:szCs w:val="28"/>
          <w:highlight w:val="yellow"/>
          <w:u w:val="none"/>
          <w:shd w:val="clear" w:color="auto" w:fill="auto"/>
        </w:rPr>
        <w:t>要求</w:t>
      </w:r>
      <w:r>
        <w:rPr>
          <w:rFonts w:hint="eastAsia" w:ascii="仿宋_GB2312" w:hAnsi="仿宋_GB2312" w:eastAsia="仿宋_GB2312" w:cs="仿宋_GB2312"/>
          <w:b/>
          <w:bCs/>
          <w:i w:val="0"/>
          <w:iCs w:val="0"/>
          <w:color w:val="auto"/>
          <w:sz w:val="28"/>
          <w:szCs w:val="28"/>
          <w:highlight w:val="yellow"/>
          <w:u w:val="none"/>
          <w:shd w:val="clear" w:color="auto" w:fill="auto"/>
          <w:lang w:eastAsia="zh-CN"/>
        </w:rPr>
        <w:t>，本项目的叠合板深化设计、供应及安装不在乙方承包范围内</w:t>
      </w:r>
      <w:r>
        <w:rPr>
          <w:rFonts w:hint="eastAsia" w:ascii="仿宋_GB2312" w:hAnsi="仿宋_GB2312" w:eastAsia="仿宋_GB2312" w:cs="仿宋_GB2312"/>
          <w:b w:val="0"/>
          <w:bCs w:val="0"/>
          <w:i w:val="0"/>
          <w:iCs w:val="0"/>
          <w:color w:val="auto"/>
          <w:sz w:val="28"/>
          <w:szCs w:val="28"/>
          <w:highlight w:val="yellow"/>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rPr>
        <w:t>，过程中</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涉及</w:t>
      </w:r>
      <w:r>
        <w:rPr>
          <w:rFonts w:hint="eastAsia" w:ascii="仿宋_GB2312" w:hAnsi="仿宋_GB2312" w:eastAsia="仿宋_GB2312" w:cs="仿宋_GB2312"/>
          <w:b w:val="0"/>
          <w:bCs w:val="0"/>
          <w:i w:val="0"/>
          <w:iCs w:val="0"/>
          <w:color w:val="auto"/>
          <w:sz w:val="28"/>
          <w:szCs w:val="28"/>
          <w:highlight w:val="none"/>
          <w:u w:val="none"/>
          <w:shd w:val="clear" w:color="auto" w:fill="auto"/>
        </w:rPr>
        <w:t>的全部人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员</w:t>
      </w:r>
      <w:r>
        <w:rPr>
          <w:rFonts w:hint="eastAsia" w:ascii="仿宋_GB2312" w:hAnsi="仿宋_GB2312" w:eastAsia="仿宋_GB2312" w:cs="仿宋_GB2312"/>
          <w:b w:val="0"/>
          <w:bCs w:val="0"/>
          <w:i w:val="0"/>
          <w:iCs w:val="0"/>
          <w:color w:val="auto"/>
          <w:sz w:val="28"/>
          <w:szCs w:val="28"/>
          <w:highlight w:val="none"/>
          <w:u w:val="none"/>
          <w:shd w:val="clear" w:color="auto" w:fill="auto"/>
        </w:rPr>
        <w:t>报酬、材料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本合同约定的甲供材除外</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、机具、施工管理等由乙方解决</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2B4BBD9D">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rPr>
        <w:t>乙方负责的内容包括但不限于：</w:t>
      </w:r>
      <w:r>
        <w:rPr>
          <w:rFonts w:hint="eastAsia" w:ascii="仿宋_GB2312" w:hAnsi="仿宋_GB2312" w:eastAsia="仿宋_GB2312" w:cs="仿宋_GB2312"/>
          <w:b w:val="0"/>
          <w:bCs w:val="0"/>
          <w:i w:val="0"/>
          <w:iCs w:val="0"/>
          <w:color w:val="auto"/>
          <w:sz w:val="28"/>
          <w:szCs w:val="28"/>
          <w:highlight w:val="yellow"/>
          <w:u w:val="none"/>
          <w:shd w:val="clear" w:color="auto" w:fill="auto"/>
          <w:lang w:val="en-US" w:eastAsia="zh-CN"/>
        </w:rPr>
        <w:t>本工程图纸的深化设计（尤其是</w:t>
      </w:r>
      <w:r>
        <w:rPr>
          <w:rFonts w:hint="eastAsia" w:ascii="仿宋_GB2312" w:hAnsi="仿宋_GB2312" w:eastAsia="仿宋_GB2312" w:cs="仿宋_GB2312"/>
          <w:color w:val="auto"/>
          <w:sz w:val="28"/>
          <w:szCs w:val="28"/>
          <w:highlight w:val="yellow"/>
          <w:u w:val="none"/>
          <w:shd w:val="clear" w:color="auto" w:fill="auto"/>
        </w:rPr>
        <w:t>装配式部品部件</w:t>
      </w:r>
      <w:r>
        <w:rPr>
          <w:rFonts w:hint="eastAsia" w:ascii="仿宋_GB2312" w:hAnsi="仿宋_GB2312" w:eastAsia="仿宋_GB2312" w:cs="仿宋_GB2312"/>
          <w:color w:val="auto"/>
          <w:sz w:val="28"/>
          <w:szCs w:val="28"/>
          <w:highlight w:val="yellow"/>
          <w:u w:val="none"/>
          <w:shd w:val="clear" w:color="auto" w:fill="auto"/>
          <w:lang w:val="en-US" w:eastAsia="zh-CN"/>
        </w:rPr>
        <w:t>的</w:t>
      </w:r>
      <w:r>
        <w:rPr>
          <w:rFonts w:hint="eastAsia" w:ascii="仿宋_GB2312" w:hAnsi="仿宋_GB2312" w:eastAsia="仿宋_GB2312" w:cs="仿宋_GB2312"/>
          <w:color w:val="auto"/>
          <w:sz w:val="28"/>
          <w:szCs w:val="28"/>
          <w:highlight w:val="yellow"/>
          <w:u w:val="none"/>
          <w:shd w:val="clear" w:color="auto" w:fill="auto"/>
        </w:rPr>
        <w:t>深化设计</w:t>
      </w:r>
      <w:r>
        <w:rPr>
          <w:rFonts w:hint="eastAsia" w:ascii="仿宋_GB2312" w:hAnsi="仿宋_GB2312" w:eastAsia="仿宋_GB2312" w:cs="仿宋_GB2312"/>
          <w:color w:val="auto"/>
          <w:sz w:val="28"/>
          <w:szCs w:val="28"/>
          <w:highlight w:val="yellow"/>
          <w:u w:val="none"/>
          <w:shd w:val="clear" w:color="auto" w:fill="auto"/>
          <w:lang w:eastAsia="zh-CN"/>
        </w:rPr>
        <w:t>，</w:t>
      </w:r>
      <w:r>
        <w:rPr>
          <w:rFonts w:hint="eastAsia" w:ascii="仿宋_GB2312" w:hAnsi="仿宋_GB2312" w:eastAsia="仿宋_GB2312" w:cs="仿宋_GB2312"/>
          <w:color w:val="auto"/>
          <w:sz w:val="28"/>
          <w:szCs w:val="28"/>
          <w:highlight w:val="yellow"/>
          <w:u w:val="none"/>
          <w:shd w:val="clear" w:color="auto" w:fill="auto"/>
          <w:lang w:val="en-US" w:eastAsia="zh-CN"/>
        </w:rPr>
        <w:t>设计成果须经法定审图单位、</w:t>
      </w:r>
      <w:r>
        <w:rPr>
          <w:rFonts w:hint="eastAsia" w:ascii="仿宋_GB2312" w:hAnsi="仿宋_GB2312" w:eastAsia="仿宋_GB2312" w:cs="仿宋_GB2312"/>
          <w:color w:val="auto"/>
          <w:sz w:val="28"/>
          <w:szCs w:val="28"/>
          <w:highlight w:val="yellow"/>
          <w:u w:val="none"/>
          <w:shd w:val="clear" w:color="auto" w:fill="auto"/>
        </w:rPr>
        <w:t>建学建筑工程设计所有限公司</w:t>
      </w:r>
      <w:r>
        <w:rPr>
          <w:rFonts w:hint="eastAsia" w:ascii="仿宋_GB2312" w:hAnsi="仿宋_GB2312" w:eastAsia="仿宋_GB2312" w:cs="仿宋_GB2312"/>
          <w:b w:val="0"/>
          <w:bCs w:val="0"/>
          <w:i w:val="0"/>
          <w:iCs w:val="0"/>
          <w:color w:val="auto"/>
          <w:sz w:val="28"/>
          <w:szCs w:val="28"/>
          <w:highlight w:val="yellow"/>
          <w:u w:val="none"/>
          <w:shd w:val="clear" w:color="auto" w:fill="auto"/>
          <w:lang w:val="en-US" w:eastAsia="zh-CN"/>
        </w:rPr>
        <w:t>、建设单位、甲方审核通过并</w:t>
      </w:r>
      <w:r>
        <w:rPr>
          <w:rFonts w:hint="eastAsia" w:ascii="仿宋_GB2312" w:hAnsi="仿宋_GB2312" w:eastAsia="仿宋_GB2312" w:cs="仿宋_GB2312"/>
          <w:color w:val="auto"/>
          <w:sz w:val="28"/>
          <w:szCs w:val="28"/>
          <w:highlight w:val="yellow"/>
          <w:u w:val="none"/>
          <w:shd w:val="clear" w:color="auto" w:fill="auto"/>
          <w:lang w:val="en-US" w:eastAsia="zh-CN"/>
        </w:rPr>
        <w:t>签章同意</w:t>
      </w:r>
      <w:r>
        <w:rPr>
          <w:rFonts w:hint="eastAsia" w:ascii="仿宋_GB2312" w:hAnsi="仿宋_GB2312" w:eastAsia="仿宋_GB2312" w:cs="仿宋_GB2312"/>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，材料（尤其是装配式部品部件）的供应、安装</w:t>
      </w:r>
      <w:r>
        <w:rPr>
          <w:rFonts w:hint="eastAsia" w:ascii="仿宋_GB2312" w:hAnsi="仿宋_GB2312" w:eastAsia="仿宋_GB2312" w:cs="仿宋_GB2312"/>
          <w:b w:val="0"/>
          <w:bCs w:val="0"/>
          <w:i w:val="0"/>
          <w:iCs w:val="0"/>
          <w:color w:val="auto"/>
          <w:sz w:val="28"/>
          <w:szCs w:val="28"/>
          <w:highlight w:val="none"/>
          <w:u w:val="none"/>
          <w:shd w:val="clear" w:color="auto" w:fill="auto"/>
        </w:rPr>
        <w:t>等工作</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；本工程图纸内的漏项，错项，无重大工程量变更的图纸调整，图纸及清单未列明但属于本工程合理施工范围或基于完成本工程所需进行的施工范围等，均属于乙方负责的内容；乙方安排最少</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1 </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人配合二次结构轴线和标高测量放线，甲方仅由栋号施工员带队负责轴线和标高复查等</w:t>
      </w:r>
      <w:r>
        <w:rPr>
          <w:rFonts w:hint="eastAsia" w:ascii="仿宋_GB2312" w:hAnsi="仿宋_GB2312" w:eastAsia="仿宋_GB2312" w:cs="仿宋_GB2312"/>
          <w:b w:val="0"/>
          <w:bCs w:val="0"/>
          <w:i w:val="0"/>
          <w:iCs w:val="0"/>
          <w:color w:val="auto"/>
          <w:sz w:val="28"/>
          <w:szCs w:val="28"/>
          <w:highlight w:val="yellow"/>
          <w:u w:val="none"/>
          <w:shd w:val="clear" w:color="auto" w:fill="auto"/>
          <w:lang w:val="en-US" w:eastAsia="zh-CN"/>
        </w:rPr>
        <w:t>；乙方包本工程第三方检验、检测合格且承担所有费用。</w:t>
      </w:r>
    </w:p>
    <w:p w14:paraId="05C9704E">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上述所有内容涉及的各项费用均包含在</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合同总价内，不属于增加工程/内容，除非双方额外签证，否则甲方不因此另行支付费用。</w:t>
      </w:r>
    </w:p>
    <w:p w14:paraId="689C1C6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乙方自备</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u w:val="none"/>
          <w:shd w:val="clear" w:color="auto" w:fill="auto"/>
        </w:rPr>
        <w:t>施工材料</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strike w:val="0"/>
          <w:color w:val="auto"/>
          <w:sz w:val="28"/>
          <w:szCs w:val="28"/>
          <w:highlight w:val="none"/>
          <w:u w:val="single"/>
          <w:shd w:val="clear" w:color="auto" w:fill="auto"/>
          <w:lang w:val="en-US" w:eastAsia="zh-CN"/>
        </w:rPr>
        <w:t>除叠合板外的其他装配式材料及辅材</w:t>
      </w:r>
      <w:r>
        <w:rPr>
          <w:rFonts w:hint="eastAsia" w:ascii="仿宋_GB2312" w:hAnsi="仿宋_GB2312" w:eastAsia="仿宋_GB2312" w:cs="仿宋_GB2312"/>
          <w:b w:val="0"/>
          <w:bCs w:val="0"/>
          <w:i w:val="0"/>
          <w:iCs w:val="0"/>
          <w:strike w:val="0"/>
          <w:color w:val="auto"/>
          <w:sz w:val="28"/>
          <w:szCs w:val="28"/>
          <w:highlight w:val="none"/>
          <w:u w:val="none"/>
          <w:shd w:val="clear" w:color="auto" w:fill="auto"/>
        </w:rPr>
        <w:t>以及</w:t>
      </w:r>
      <w:r>
        <w:rPr>
          <w:rFonts w:hint="eastAsia" w:ascii="仿宋_GB2312" w:hAnsi="仿宋_GB2312" w:eastAsia="仿宋_GB2312" w:cs="仿宋_GB2312"/>
          <w:b w:val="0"/>
          <w:bCs w:val="0"/>
          <w:i w:val="0"/>
          <w:iCs w:val="0"/>
          <w:color w:val="auto"/>
          <w:sz w:val="28"/>
          <w:szCs w:val="28"/>
          <w:highlight w:val="none"/>
          <w:u w:val="none"/>
          <w:shd w:val="clear" w:color="auto" w:fill="auto"/>
        </w:rPr>
        <w:t>本工程所需全部材料（含整改返工部分），仅不含本合同约定的甲供材。</w:t>
      </w:r>
    </w:p>
    <w:p w14:paraId="5E828B0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both"/>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rPr>
        <w:t>乙方自备的施工机具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材料（如</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装配式部品部件等）运输（包括场内运输）、安装所需的机械设备工具，</w:t>
      </w:r>
      <w:r>
        <w:rPr>
          <w:rFonts w:hint="eastAsia" w:ascii="仿宋_GB2312" w:hAnsi="仿宋_GB2312" w:eastAsia="仿宋_GB2312" w:cs="仿宋_GB2312"/>
          <w:b w:val="0"/>
          <w:bCs w:val="0"/>
          <w:i w:val="0"/>
          <w:iCs w:val="0"/>
          <w:color w:val="auto"/>
          <w:sz w:val="28"/>
          <w:szCs w:val="28"/>
          <w:highlight w:val="none"/>
          <w:u w:val="none"/>
          <w:shd w:val="clear" w:color="auto" w:fill="auto"/>
        </w:rPr>
        <w:t>施工照明灯具和灯具电源线（约25</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米</w:t>
      </w:r>
      <w:r>
        <w:rPr>
          <w:rFonts w:hint="eastAsia" w:ascii="仿宋_GB2312" w:hAnsi="仿宋_GB2312" w:eastAsia="仿宋_GB2312" w:cs="仿宋_GB2312"/>
          <w:b w:val="0"/>
          <w:bCs w:val="0"/>
          <w:i w:val="0"/>
          <w:iCs w:val="0"/>
          <w:color w:val="auto"/>
          <w:sz w:val="28"/>
          <w:szCs w:val="28"/>
          <w:highlight w:val="none"/>
          <w:u w:val="none"/>
          <w:shd w:val="clear" w:color="auto" w:fill="auto"/>
        </w:rPr>
        <w:t>），配</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置</w:t>
      </w:r>
      <w:r>
        <w:rPr>
          <w:rFonts w:hint="eastAsia" w:ascii="仿宋_GB2312" w:hAnsi="仿宋_GB2312" w:eastAsia="仿宋_GB2312" w:cs="仿宋_GB2312"/>
          <w:b w:val="0"/>
          <w:bCs w:val="0"/>
          <w:i w:val="0"/>
          <w:iCs w:val="0"/>
          <w:color w:val="auto"/>
          <w:sz w:val="28"/>
          <w:szCs w:val="28"/>
          <w:highlight w:val="none"/>
          <w:u w:val="none"/>
          <w:shd w:val="clear" w:color="auto" w:fill="auto"/>
        </w:rPr>
        <w:t>一机一闸一漏开关箱等机具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开关箱、漏电保护器参数</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必须</w:t>
      </w:r>
      <w:r>
        <w:rPr>
          <w:rFonts w:hint="eastAsia" w:ascii="仿宋_GB2312" w:hAnsi="仿宋_GB2312" w:eastAsia="仿宋_GB2312" w:cs="仿宋_GB2312"/>
          <w:b w:val="0"/>
          <w:bCs w:val="0"/>
          <w:i w:val="0"/>
          <w:iCs w:val="0"/>
          <w:color w:val="auto"/>
          <w:sz w:val="28"/>
          <w:szCs w:val="28"/>
          <w:highlight w:val="none"/>
          <w:u w:val="none"/>
          <w:shd w:val="clear" w:color="auto" w:fill="auto"/>
        </w:rPr>
        <w:t>符</w:t>
      </w:r>
      <w:r>
        <w:rPr>
          <w:rFonts w:hint="eastAsia" w:ascii="仿宋_GB2312" w:hAnsi="仿宋_GB2312" w:eastAsia="仿宋_GB2312" w:cs="仿宋_GB2312"/>
          <w:i w:val="0"/>
          <w:iCs w:val="0"/>
          <w:color w:val="auto"/>
          <w:sz w:val="28"/>
          <w:szCs w:val="28"/>
          <w:highlight w:val="none"/>
          <w:u w:val="none"/>
          <w:shd w:val="clear" w:color="auto" w:fill="auto"/>
        </w:rPr>
        <w:t>合</w:t>
      </w:r>
      <w:r>
        <w:rPr>
          <w:rFonts w:hint="eastAsia" w:ascii="仿宋_GB2312" w:hAnsi="仿宋_GB2312" w:eastAsia="仿宋_GB2312" w:cs="仿宋_GB2312"/>
          <w:i w:val="0"/>
          <w:iCs w:val="0"/>
          <w:color w:val="auto"/>
          <w:sz w:val="28"/>
          <w:szCs w:val="28"/>
          <w:highlight w:val="none"/>
          <w:u w:val="none"/>
          <w:shd w:val="clear" w:color="auto" w:fill="auto"/>
          <w:lang w:eastAsia="zh-CN"/>
        </w:rPr>
        <w:t>《国家电气设备安全技术规范》GB19517-2009 等规范的要求），</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本工程施工、整改或返工所用机具（仅不含本合同明确的甲供机具）。</w:t>
      </w:r>
    </w:p>
    <w:p w14:paraId="195B856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5甲方提供的机具（详见附件《施工总平面布置图》）有：</w:t>
      </w:r>
      <w:r>
        <w:rPr>
          <w:rFonts w:hint="eastAsia" w:ascii="仿宋" w:hAnsi="仿宋" w:eastAsia="仿宋" w:cs="仿宋"/>
          <w:color w:val="auto"/>
          <w:sz w:val="28"/>
          <w:szCs w:val="28"/>
          <w:highlight w:val="none"/>
          <w:u w:val="single"/>
          <w:lang w:val="en-US" w:eastAsia="zh-CN"/>
        </w:rPr>
        <w:t xml:space="preserve"> 1 </w:t>
      </w:r>
      <w:r>
        <w:rPr>
          <w:rFonts w:hint="eastAsia" w:ascii="仿宋" w:hAnsi="仿宋" w:eastAsia="仿宋" w:cs="仿宋"/>
          <w:color w:val="auto"/>
          <w:sz w:val="28"/>
          <w:szCs w:val="28"/>
          <w:highlight w:val="none"/>
        </w:rPr>
        <w:t>台塔吊（该塔吊可能与其他楼栋共用）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提升机</w:t>
      </w:r>
      <w:r>
        <w:rPr>
          <w:rFonts w:hint="eastAsia" w:ascii="仿宋" w:hAnsi="仿宋" w:eastAsia="仿宋" w:cs="仿宋"/>
          <w:color w:val="auto"/>
          <w:sz w:val="28"/>
          <w:szCs w:val="28"/>
          <w:highlight w:val="none"/>
          <w:u w:val="single"/>
          <w:lang w:val="en-US" w:eastAsia="zh-CN"/>
        </w:rPr>
        <w:t xml:space="preserve"> 0 </w:t>
      </w:r>
      <w:r>
        <w:rPr>
          <w:rFonts w:hint="eastAsia" w:ascii="仿宋" w:hAnsi="仿宋" w:eastAsia="仿宋" w:cs="仿宋"/>
          <w:color w:val="auto"/>
          <w:sz w:val="28"/>
          <w:szCs w:val="28"/>
          <w:highlight w:val="none"/>
        </w:rPr>
        <w:t>台，人货</w:t>
      </w:r>
      <w:r>
        <w:rPr>
          <w:rFonts w:hint="eastAsia" w:ascii="仿宋" w:hAnsi="仿宋" w:eastAsia="仿宋" w:cs="仿宋"/>
          <w:color w:val="auto"/>
          <w:sz w:val="28"/>
          <w:szCs w:val="28"/>
          <w:highlight w:val="none"/>
          <w:lang w:val="en-US" w:eastAsia="zh-CN"/>
        </w:rPr>
        <w:t>施工</w:t>
      </w:r>
      <w:r>
        <w:rPr>
          <w:rFonts w:hint="eastAsia" w:ascii="仿宋" w:hAnsi="仿宋" w:eastAsia="仿宋" w:cs="仿宋"/>
          <w:color w:val="auto"/>
          <w:sz w:val="28"/>
          <w:szCs w:val="28"/>
          <w:highlight w:val="none"/>
        </w:rPr>
        <w:t>电梯每栋</w:t>
      </w:r>
      <w:r>
        <w:rPr>
          <w:rFonts w:hint="eastAsia" w:ascii="仿宋" w:hAnsi="仿宋" w:eastAsia="仿宋" w:cs="仿宋"/>
          <w:color w:val="auto"/>
          <w:sz w:val="28"/>
          <w:szCs w:val="28"/>
          <w:highlight w:val="none"/>
          <w:u w:val="single"/>
          <w:lang w:val="en-US" w:eastAsia="zh-CN"/>
        </w:rPr>
        <w:t xml:space="preserve"> 1 </w:t>
      </w:r>
      <w:r>
        <w:rPr>
          <w:rFonts w:hint="eastAsia" w:ascii="仿宋" w:hAnsi="仿宋" w:eastAsia="仿宋" w:cs="仿宋"/>
          <w:color w:val="auto"/>
          <w:sz w:val="28"/>
          <w:szCs w:val="28"/>
          <w:highlight w:val="none"/>
        </w:rPr>
        <w:t>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在甲供机具未</w:t>
      </w:r>
      <w:r>
        <w:rPr>
          <w:rFonts w:hint="eastAsia" w:ascii="仿宋" w:hAnsi="仿宋" w:eastAsia="仿宋" w:cs="仿宋"/>
          <w:color w:val="auto"/>
          <w:sz w:val="28"/>
          <w:szCs w:val="28"/>
          <w:highlight w:val="none"/>
          <w:lang w:eastAsia="zh-CN"/>
        </w:rPr>
        <w:t>覆盖</w:t>
      </w:r>
      <w:r>
        <w:rPr>
          <w:rFonts w:hint="eastAsia" w:ascii="仿宋" w:hAnsi="仿宋" w:eastAsia="仿宋" w:cs="仿宋"/>
          <w:color w:val="auto"/>
          <w:sz w:val="28"/>
          <w:szCs w:val="28"/>
          <w:highlight w:val="none"/>
          <w:lang w:val="en-US" w:eastAsia="zh-CN"/>
        </w:rPr>
        <w:t>范围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内，乙方完成本工程</w:t>
      </w:r>
      <w:r>
        <w:rPr>
          <w:rFonts w:hint="eastAsia" w:ascii="仿宋" w:hAnsi="仿宋" w:eastAsia="仿宋" w:cs="仿宋"/>
          <w:color w:val="auto"/>
          <w:sz w:val="28"/>
          <w:szCs w:val="28"/>
          <w:highlight w:val="none"/>
          <w:lang w:val="en-US" w:eastAsia="zh-CN"/>
        </w:rPr>
        <w:t>所需机具由乙方自行解决，相关费用已包含在</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合同单价/□合同总价内</w:t>
      </w:r>
      <w:r>
        <w:rPr>
          <w:rFonts w:hint="eastAsia" w:ascii="仿宋" w:hAnsi="仿宋" w:eastAsia="仿宋" w:cs="仿宋"/>
          <w:color w:val="auto"/>
          <w:sz w:val="28"/>
          <w:szCs w:val="28"/>
          <w:highlight w:val="none"/>
          <w:lang w:eastAsia="zh-CN"/>
        </w:rPr>
        <w:t>，甲方不另行付费给乙方。当土建总包工程进度</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使得</w:t>
      </w:r>
      <w:r>
        <w:rPr>
          <w:rFonts w:hint="eastAsia" w:ascii="仿宋" w:hAnsi="仿宋" w:eastAsia="仿宋" w:cs="仿宋"/>
          <w:color w:val="auto"/>
          <w:sz w:val="28"/>
          <w:szCs w:val="28"/>
          <w:highlight w:val="none"/>
          <w:lang w:val="en-US" w:eastAsia="zh-CN"/>
        </w:rPr>
        <w:t>甲供机具可</w:t>
      </w:r>
      <w:r>
        <w:rPr>
          <w:rFonts w:hint="eastAsia" w:ascii="仿宋" w:hAnsi="仿宋" w:eastAsia="仿宋" w:cs="仿宋"/>
          <w:color w:val="auto"/>
          <w:sz w:val="28"/>
          <w:szCs w:val="28"/>
          <w:highlight w:val="none"/>
          <w:lang w:eastAsia="zh-CN"/>
        </w:rPr>
        <w:t>拆除而乙方仍需使用时，乙方自行解决</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相应机具的使用需求</w:t>
      </w:r>
      <w:r>
        <w:rPr>
          <w:rFonts w:hint="eastAsia" w:ascii="仿宋" w:hAnsi="仿宋" w:eastAsia="仿宋" w:cs="仿宋"/>
          <w:color w:val="auto"/>
          <w:sz w:val="28"/>
          <w:szCs w:val="28"/>
          <w:highlight w:val="none"/>
          <w:lang w:eastAsia="zh-CN"/>
        </w:rPr>
        <w:t>，若甲方同意延迟拆除</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且供乙方使用</w:t>
      </w:r>
      <w:r>
        <w:rPr>
          <w:rFonts w:hint="eastAsia" w:ascii="仿宋" w:hAnsi="仿宋" w:eastAsia="仿宋" w:cs="仿宋"/>
          <w:color w:val="auto"/>
          <w:sz w:val="28"/>
          <w:szCs w:val="28"/>
          <w:highlight w:val="none"/>
          <w:lang w:eastAsia="zh-CN"/>
        </w:rPr>
        <w:t>，则乙方须支付因延期</w:t>
      </w:r>
      <w:r>
        <w:rPr>
          <w:rFonts w:hint="eastAsia" w:ascii="仿宋" w:hAnsi="仿宋" w:eastAsia="仿宋" w:cs="仿宋"/>
          <w:color w:val="auto"/>
          <w:sz w:val="28"/>
          <w:szCs w:val="28"/>
          <w:highlight w:val="none"/>
          <w:lang w:val="en-US" w:eastAsia="zh-CN"/>
        </w:rPr>
        <w:t>拆除</w:t>
      </w:r>
      <w:r>
        <w:rPr>
          <w:rFonts w:hint="eastAsia" w:ascii="仿宋" w:hAnsi="仿宋" w:eastAsia="仿宋" w:cs="仿宋"/>
          <w:color w:val="auto"/>
          <w:sz w:val="28"/>
          <w:szCs w:val="28"/>
          <w:highlight w:val="none"/>
          <w:lang w:eastAsia="zh-CN"/>
        </w:rPr>
        <w:t>所产生的全部费用给甲方</w:t>
      </w:r>
      <w:r>
        <w:rPr>
          <w:rFonts w:hint="eastAsia" w:ascii="仿宋" w:hAnsi="仿宋" w:eastAsia="仿宋" w:cs="仿宋"/>
          <w:color w:val="auto"/>
          <w:sz w:val="28"/>
          <w:szCs w:val="28"/>
          <w:highlight w:val="none"/>
        </w:rPr>
        <w:t>。</w:t>
      </w:r>
    </w:p>
    <w:p w14:paraId="2207360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u w:val="none"/>
          <w:shd w:val="clear" w:color="auto" w:fill="auto"/>
        </w:rPr>
        <w:t>乙方自行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负责</w:t>
      </w:r>
      <w:r>
        <w:rPr>
          <w:rFonts w:hint="eastAsia" w:ascii="仿宋_GB2312" w:hAnsi="仿宋_GB2312" w:eastAsia="仿宋_GB2312" w:cs="仿宋_GB2312"/>
          <w:i w:val="0"/>
          <w:iCs w:val="0"/>
          <w:color w:val="auto"/>
          <w:sz w:val="28"/>
          <w:szCs w:val="28"/>
          <w:highlight w:val="none"/>
          <w:u w:val="none"/>
          <w:shd w:val="clear" w:color="auto" w:fill="auto"/>
        </w:rPr>
        <w:t>施工管理，自行组织</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施工的</w:t>
      </w:r>
      <w:r>
        <w:rPr>
          <w:rFonts w:hint="eastAsia" w:ascii="仿宋_GB2312" w:hAnsi="仿宋_GB2312" w:eastAsia="仿宋_GB2312" w:cs="仿宋_GB2312"/>
          <w:i w:val="0"/>
          <w:iCs w:val="0"/>
          <w:color w:val="auto"/>
          <w:sz w:val="28"/>
          <w:szCs w:val="28"/>
          <w:highlight w:val="none"/>
          <w:shd w:val="clear" w:color="auto" w:fill="auto"/>
          <w:lang w:val="en-US" w:eastAsia="zh-CN"/>
        </w:rPr>
        <w:t>相</w:t>
      </w:r>
      <w:r>
        <w:rPr>
          <w:rFonts w:hint="eastAsia" w:ascii="仿宋_GB2312" w:hAnsi="仿宋_GB2312" w:eastAsia="仿宋_GB2312" w:cs="仿宋_GB2312"/>
          <w:i w:val="0"/>
          <w:iCs w:val="0"/>
          <w:color w:val="auto"/>
          <w:sz w:val="28"/>
          <w:szCs w:val="28"/>
          <w:highlight w:val="none"/>
          <w:u w:val="none"/>
          <w:shd w:val="clear" w:color="auto" w:fill="auto"/>
        </w:rPr>
        <w:t>关质量、安全、进度、成本等现场组织管理工作，梁、板、柱、墙砼浇筑方案以甲方确定</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u w:val="none"/>
          <w:shd w:val="clear" w:color="auto" w:fill="auto"/>
        </w:rPr>
        <w:t>为准。</w:t>
      </w:r>
    </w:p>
    <w:p w14:paraId="42356D5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u w:val="none"/>
          <w:shd w:val="clear" w:color="auto" w:fill="auto"/>
        </w:rPr>
        <w:t>乙方负责各种预留孔洞的施工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及安全封闭，封闭要求以《中泰建安文明施工标准化细则》为准，</w:t>
      </w:r>
      <w:r>
        <w:rPr>
          <w:rFonts w:hint="eastAsia" w:ascii="仿宋_GB2312" w:hAnsi="仿宋_GB2312" w:eastAsia="仿宋_GB2312" w:cs="仿宋_GB2312"/>
          <w:b w:val="0"/>
          <w:bCs w:val="0"/>
          <w:i w:val="0"/>
          <w:iCs w:val="0"/>
          <w:color w:val="auto"/>
          <w:sz w:val="28"/>
          <w:szCs w:val="28"/>
          <w:highlight w:val="none"/>
          <w:u w:val="none"/>
          <w:shd w:val="clear" w:color="auto" w:fill="auto"/>
        </w:rPr>
        <w:t>有关费用已经包含在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_GB2312" w:hAnsi="仿宋_GB2312" w:eastAsia="仿宋_GB2312" w:cs="仿宋_GB2312"/>
          <w:b w:val="0"/>
          <w:bCs w:val="0"/>
          <w:i w:val="0"/>
          <w:iCs w:val="0"/>
          <w:color w:val="auto"/>
          <w:sz w:val="28"/>
          <w:szCs w:val="28"/>
          <w:highlight w:val="none"/>
          <w:u w:val="none"/>
          <w:shd w:val="clear" w:color="auto" w:fill="auto"/>
        </w:rPr>
        <w:t>中，甲方无需另行支付费用给乙方</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288CF60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在</w:t>
      </w:r>
      <w:r>
        <w:rPr>
          <w:rFonts w:hint="eastAsia" w:ascii="仿宋_GB2312" w:hAnsi="仿宋_GB2312" w:eastAsia="仿宋_GB2312" w:cs="仿宋_GB2312"/>
          <w:i w:val="0"/>
          <w:iCs w:val="0"/>
          <w:color w:val="auto"/>
          <w:sz w:val="28"/>
          <w:szCs w:val="28"/>
          <w:highlight w:val="none"/>
          <w:u w:val="none"/>
          <w:shd w:val="clear" w:color="auto" w:fill="auto"/>
        </w:rPr>
        <w:t>隐蔽</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验收前把工作面有关材料、机具、垃圾清理到</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u w:val="none"/>
          <w:shd w:val="clear" w:color="auto" w:fill="auto"/>
        </w:rPr>
        <w:t>指定位置</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b/>
          <w:bCs/>
          <w:i w:val="0"/>
          <w:iCs w:val="0"/>
          <w:color w:val="auto"/>
          <w:sz w:val="28"/>
          <w:szCs w:val="28"/>
          <w:highlight w:val="none"/>
          <w:u w:val="none"/>
          <w:shd w:val="clear" w:color="auto" w:fill="auto"/>
        </w:rPr>
        <w:t>乙方把本工程范围内料具全部清理完成并运到甲方指定地点，楼面的垃圾清理、凿除（不含施工缝）由</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木工</w:t>
      </w:r>
      <w:r>
        <w:rPr>
          <w:rFonts w:hint="eastAsia" w:ascii="仿宋_GB2312" w:hAnsi="仿宋_GB2312" w:eastAsia="仿宋_GB2312" w:cs="仿宋_GB2312"/>
          <w:b/>
          <w:bCs/>
          <w:i w:val="0"/>
          <w:iCs w:val="0"/>
          <w:color w:val="auto"/>
          <w:sz w:val="28"/>
          <w:szCs w:val="28"/>
          <w:highlight w:val="none"/>
          <w:u w:val="none"/>
          <w:shd w:val="clear" w:color="auto" w:fill="auto"/>
        </w:rPr>
        <w:t>班</w:t>
      </w:r>
      <w:r>
        <w:rPr>
          <w:rFonts w:hint="eastAsia" w:ascii="仿宋_GB2312" w:hAnsi="仿宋_GB2312" w:eastAsia="仿宋_GB2312" w:cs="仿宋_GB2312"/>
          <w:b/>
          <w:bCs/>
          <w:i w:val="0"/>
          <w:iCs w:val="0"/>
          <w:color w:val="auto"/>
          <w:sz w:val="28"/>
          <w:szCs w:val="28"/>
          <w:highlight w:val="none"/>
          <w:u w:val="none"/>
          <w:shd w:val="clear" w:color="auto" w:fill="auto"/>
          <w:lang w:eastAsia="zh-CN"/>
        </w:rPr>
        <w:t>组</w:t>
      </w:r>
      <w:r>
        <w:rPr>
          <w:rFonts w:hint="eastAsia" w:ascii="仿宋_GB2312" w:hAnsi="仿宋_GB2312" w:eastAsia="仿宋_GB2312" w:cs="仿宋_GB2312"/>
          <w:b/>
          <w:bCs/>
          <w:i w:val="0"/>
          <w:iCs w:val="0"/>
          <w:color w:val="auto"/>
          <w:sz w:val="28"/>
          <w:szCs w:val="28"/>
          <w:highlight w:val="none"/>
          <w:u w:val="none"/>
          <w:shd w:val="clear" w:color="auto" w:fill="auto"/>
        </w:rPr>
        <w:t>和乙方分别承担</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50</w:t>
      </w:r>
      <w:r>
        <w:rPr>
          <w:rFonts w:hint="eastAsia" w:ascii="仿宋_GB2312" w:hAnsi="仿宋_GB2312" w:eastAsia="仿宋_GB2312" w:cs="仿宋_GB2312"/>
          <w:b/>
          <w:bCs/>
          <w:i w:val="0"/>
          <w:iCs w:val="0"/>
          <w:color w:val="auto"/>
          <w:sz w:val="28"/>
          <w:szCs w:val="28"/>
          <w:highlight w:val="none"/>
          <w:u w:val="none"/>
          <w:shd w:val="clear" w:color="auto" w:fill="auto"/>
        </w:rPr>
        <w:t>%并运到甲方指定地点</w:t>
      </w:r>
      <w:r>
        <w:rPr>
          <w:rFonts w:hint="eastAsia" w:ascii="仿宋_GB2312" w:hAnsi="仿宋_GB2312" w:eastAsia="仿宋_GB2312" w:cs="仿宋_GB2312"/>
          <w:b/>
          <w:bCs/>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相关费用已包含在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u w:val="none"/>
          <w:shd w:val="clear" w:color="auto" w:fill="auto"/>
        </w:rPr>
        <w:t>中，甲方无需另行支付费用给乙方。</w:t>
      </w:r>
    </w:p>
    <w:p w14:paraId="4692ED2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3.9本工程所涉材料、机具在本项目范围内的运输不另计费。材料进、出场时，乙方派工人上、下车，上下车费用包含在</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合同总价内（甲供材的卸车由乙方负责且费用已包含在</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合同总价中）。</w:t>
      </w:r>
    </w:p>
    <w:p w14:paraId="07E9236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3.10乙方负责</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相关施工机械及总分配电箱、电缆线进行维护、保养。甲方仅负责将配电箱接至乙方施工区域附近，乙方自行接至工作面开关箱</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并负责所需的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电线、电缆</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等材料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2BD15F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3.11</w:t>
      </w:r>
      <w:r>
        <w:rPr>
          <w:rFonts w:hint="default" w:ascii="仿宋_GB2312" w:hAnsi="仿宋_GB2312" w:eastAsia="仿宋_GB2312" w:cs="仿宋_GB2312"/>
          <w:i w:val="0"/>
          <w:iCs w:val="0"/>
          <w:color w:val="auto"/>
          <w:sz w:val="28"/>
          <w:szCs w:val="28"/>
          <w:highlight w:val="none"/>
          <w:u w:val="none"/>
          <w:shd w:val="clear" w:color="auto" w:fill="auto"/>
          <w:lang w:val="en-US" w:eastAsia="zh-CN"/>
        </w:rPr>
        <w:t>乙方负责协调、处理本工程涉及的各类关系（包括但不限于政府部门、周边居民等关系），确保进退场及施工过程中合法、合规、不扰民，相关费用已包含在各项合同单价内，不另行计取。</w:t>
      </w:r>
    </w:p>
    <w:p w14:paraId="0C79494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3.12其他要求：</w:t>
      </w:r>
    </w:p>
    <w:p w14:paraId="7D99B2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97" w:leftChars="-94"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bCs/>
          <w:i w:val="0"/>
          <w:iCs w:val="0"/>
          <w:color w:val="auto"/>
          <w:kern w:val="2"/>
          <w:sz w:val="28"/>
          <w:szCs w:val="28"/>
          <w:shd w:val="clear" w:fill="auto"/>
          <w:lang w:val="en-US" w:eastAsia="zh-CN" w:bidi="ar-SA"/>
        </w:rPr>
        <w:t>a.</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安装前基层报验。</w:t>
      </w:r>
    </w:p>
    <w:p w14:paraId="3A2A08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97" w:leftChars="-94" w:right="0" w:rightChars="0" w:firstLine="562" w:firstLineChars="200"/>
        <w:textAlignment w:val="auto"/>
        <w:rPr>
          <w:rFonts w:hint="default"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kern w:val="2"/>
          <w:sz w:val="28"/>
          <w:szCs w:val="28"/>
          <w:shd w:val="clear" w:fill="auto"/>
          <w:lang w:val="en-US" w:eastAsia="zh-CN" w:bidi="ar-SA"/>
        </w:rPr>
        <w:t>b</w:t>
      </w:r>
      <w:r>
        <w:rPr>
          <w:rFonts w:hint="default" w:ascii="仿宋_GB2312" w:hAnsi="仿宋_GB2312" w:eastAsia="仿宋_GB2312" w:cs="仿宋_GB2312"/>
          <w:b/>
          <w:bCs/>
          <w:i w:val="0"/>
          <w:iCs w:val="0"/>
          <w:color w:val="auto"/>
          <w:kern w:val="2"/>
          <w:sz w:val="28"/>
          <w:szCs w:val="28"/>
          <w:shd w:val="clear" w:fill="auto"/>
          <w:lang w:val="en-US" w:eastAsia="zh-CN" w:bidi="ar-SA"/>
        </w:rPr>
        <w:t>.</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隐蔽验收须报验收。</w:t>
      </w:r>
    </w:p>
    <w:p w14:paraId="7AC39A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97" w:leftChars="-94" w:right="0" w:rightChars="0" w:firstLine="562" w:firstLineChars="200"/>
        <w:textAlignment w:val="auto"/>
        <w:rPr>
          <w:rFonts w:hint="default"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kern w:val="2"/>
          <w:sz w:val="28"/>
          <w:szCs w:val="28"/>
          <w:shd w:val="clear" w:fill="auto"/>
          <w:lang w:val="en-US" w:eastAsia="zh-CN" w:bidi="ar-SA"/>
        </w:rPr>
        <w:t>c</w:t>
      </w:r>
      <w:r>
        <w:rPr>
          <w:rFonts w:hint="default" w:ascii="仿宋_GB2312" w:hAnsi="仿宋_GB2312" w:eastAsia="仿宋_GB2312" w:cs="仿宋_GB2312"/>
          <w:b/>
          <w:bCs/>
          <w:i w:val="0"/>
          <w:iCs w:val="0"/>
          <w:color w:val="auto"/>
          <w:kern w:val="2"/>
          <w:sz w:val="28"/>
          <w:szCs w:val="28"/>
          <w:shd w:val="clear" w:fill="auto"/>
          <w:lang w:val="en-US" w:eastAsia="zh-CN" w:bidi="ar-SA"/>
        </w:rPr>
        <w:t>.</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实行材料进场首件验收制。</w:t>
      </w:r>
    </w:p>
    <w:p w14:paraId="6C9B2C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97" w:leftChars="-94"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bCs/>
          <w:i w:val="0"/>
          <w:iCs w:val="0"/>
          <w:color w:val="auto"/>
          <w:kern w:val="2"/>
          <w:sz w:val="28"/>
          <w:szCs w:val="28"/>
          <w:shd w:val="clear" w:fill="auto"/>
          <w:lang w:val="en-US" w:eastAsia="zh-CN" w:bidi="ar-SA"/>
        </w:rPr>
        <w:t>d</w:t>
      </w:r>
      <w:r>
        <w:rPr>
          <w:rFonts w:hint="default" w:ascii="仿宋_GB2312" w:hAnsi="仿宋_GB2312" w:eastAsia="仿宋_GB2312" w:cs="仿宋_GB2312"/>
          <w:b/>
          <w:bCs/>
          <w:i w:val="0"/>
          <w:iCs w:val="0"/>
          <w:color w:val="auto"/>
          <w:kern w:val="2"/>
          <w:sz w:val="28"/>
          <w:szCs w:val="28"/>
          <w:shd w:val="clear" w:fill="auto"/>
          <w:lang w:val="en-US" w:eastAsia="zh-CN" w:bidi="ar-SA"/>
        </w:rPr>
        <w:t>.</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实行安装首件验收制。</w:t>
      </w:r>
    </w:p>
    <w:p w14:paraId="52981D4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45" w:name="_Toc28446"/>
      <w:bookmarkStart w:id="46" w:name="_Toc24973"/>
      <w:bookmarkStart w:id="47" w:name="_Toc15548"/>
      <w:bookmarkStart w:id="48" w:name="_Toc1546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第四章、工期</w:t>
      </w:r>
      <w:bookmarkEnd w:id="45"/>
      <w:bookmarkEnd w:id="46"/>
      <w:bookmarkEnd w:id="47"/>
      <w:bookmarkEnd w:id="48"/>
    </w:p>
    <w:p w14:paraId="1F1CD59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rPr>
      </w:pPr>
      <w:bookmarkStart w:id="49" w:name="_Toc9485"/>
      <w:bookmarkStart w:id="50" w:name="_Toc23943"/>
      <w:bookmarkStart w:id="51" w:name="_Toc25399"/>
      <w:bookmarkStart w:id="52" w:name="_Toc4737"/>
      <w:bookmarkStart w:id="53" w:name="_Toc3985"/>
      <w:bookmarkStart w:id="54" w:name="_Toc10830"/>
      <w:bookmarkStart w:id="55" w:name="_Toc9949"/>
      <w:bookmarkStart w:id="56" w:name="_Toc3146"/>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u w:val="none"/>
          <w:shd w:val="clear" w:color="auto" w:fill="auto"/>
        </w:rPr>
        <w:t>工期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详见下表</w:t>
      </w:r>
      <w:bookmarkEnd w:id="49"/>
      <w:bookmarkEnd w:id="50"/>
      <w:bookmarkEnd w:id="51"/>
      <w:bookmarkEnd w:id="52"/>
      <w:bookmarkEnd w:id="53"/>
      <w:bookmarkEnd w:id="54"/>
      <w:bookmarkEnd w:id="55"/>
      <w:bookmarkEnd w:id="56"/>
    </w:p>
    <w:tbl>
      <w:tblPr>
        <w:tblStyle w:val="16"/>
        <w:tblW w:w="49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2673"/>
        <w:gridCol w:w="1463"/>
        <w:gridCol w:w="2167"/>
        <w:gridCol w:w="2021"/>
      </w:tblGrid>
      <w:tr w14:paraId="55E2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362" w:type="pct"/>
            <w:tcBorders>
              <w:tl2br w:val="nil"/>
              <w:tr2bl w:val="nil"/>
            </w:tcBorders>
            <w:noWrap/>
            <w:tcMar>
              <w:top w:w="15" w:type="dxa"/>
              <w:left w:w="15" w:type="dxa"/>
              <w:right w:w="15" w:type="dxa"/>
            </w:tcMar>
            <w:vAlign w:val="center"/>
          </w:tcPr>
          <w:p w14:paraId="5D88FFA3">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序号</w:t>
            </w:r>
          </w:p>
        </w:tc>
        <w:tc>
          <w:tcPr>
            <w:tcW w:w="1489" w:type="pct"/>
            <w:tcBorders>
              <w:tl2br w:val="nil"/>
              <w:tr2bl w:val="nil"/>
            </w:tcBorders>
            <w:noWrap/>
            <w:tcMar>
              <w:top w:w="15" w:type="dxa"/>
              <w:left w:w="15" w:type="dxa"/>
              <w:right w:w="15" w:type="dxa"/>
            </w:tcMar>
            <w:vAlign w:val="center"/>
          </w:tcPr>
          <w:p w14:paraId="7D5E5183">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楼栋</w:t>
            </w:r>
          </w:p>
        </w:tc>
        <w:tc>
          <w:tcPr>
            <w:tcW w:w="815" w:type="pct"/>
            <w:tcBorders>
              <w:tl2br w:val="nil"/>
              <w:tr2bl w:val="nil"/>
            </w:tcBorders>
            <w:noWrap/>
            <w:tcMar>
              <w:top w:w="15" w:type="dxa"/>
              <w:left w:w="15" w:type="dxa"/>
              <w:right w:w="15" w:type="dxa"/>
            </w:tcMar>
            <w:vAlign w:val="center"/>
          </w:tcPr>
          <w:p w14:paraId="7B5788BF">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合同工期</w:t>
            </w:r>
          </w:p>
        </w:tc>
        <w:tc>
          <w:tcPr>
            <w:tcW w:w="1207" w:type="pct"/>
            <w:tcBorders>
              <w:tl2br w:val="nil"/>
              <w:tr2bl w:val="nil"/>
            </w:tcBorders>
            <w:noWrap/>
            <w:tcMar>
              <w:top w:w="15" w:type="dxa"/>
              <w:left w:w="15" w:type="dxa"/>
              <w:right w:w="15" w:type="dxa"/>
            </w:tcMar>
            <w:vAlign w:val="center"/>
          </w:tcPr>
          <w:p w14:paraId="73738352">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计划进场开工日期</w:t>
            </w:r>
          </w:p>
        </w:tc>
        <w:tc>
          <w:tcPr>
            <w:tcW w:w="1125" w:type="pct"/>
            <w:tcBorders>
              <w:tl2br w:val="nil"/>
              <w:tr2bl w:val="nil"/>
            </w:tcBorders>
            <w:noWrap/>
            <w:tcMar>
              <w:top w:w="15" w:type="dxa"/>
              <w:left w:w="15" w:type="dxa"/>
              <w:right w:w="15" w:type="dxa"/>
            </w:tcMar>
            <w:vAlign w:val="center"/>
          </w:tcPr>
          <w:p w14:paraId="2EB29058">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计划完工日期</w:t>
            </w:r>
          </w:p>
        </w:tc>
      </w:tr>
      <w:tr w14:paraId="070DC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362" w:type="pct"/>
            <w:tcBorders>
              <w:tl2br w:val="nil"/>
              <w:tr2bl w:val="nil"/>
            </w:tcBorders>
            <w:noWrap/>
            <w:tcMar>
              <w:top w:w="15" w:type="dxa"/>
              <w:left w:w="15" w:type="dxa"/>
              <w:right w:w="15" w:type="dxa"/>
            </w:tcMar>
            <w:vAlign w:val="center"/>
          </w:tcPr>
          <w:p w14:paraId="5E982ABE">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199" w:leftChars="-95"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1</w:t>
            </w:r>
          </w:p>
        </w:tc>
        <w:tc>
          <w:tcPr>
            <w:tcW w:w="1489" w:type="pct"/>
            <w:tcBorders>
              <w:tl2br w:val="nil"/>
              <w:tr2bl w:val="nil"/>
            </w:tcBorders>
            <w:noWrap/>
            <w:tcMar>
              <w:top w:w="15" w:type="dxa"/>
              <w:left w:w="15" w:type="dxa"/>
              <w:right w:w="15" w:type="dxa"/>
            </w:tcMar>
            <w:vAlign w:val="center"/>
          </w:tcPr>
          <w:p w14:paraId="57C12B02">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2"/>
                <w:szCs w:val="22"/>
                <w:highlight w:val="none"/>
                <w:shd w:val="clear" w:color="auto" w:fill="auto"/>
                <w:lang w:val="en-US" w:eastAsia="zh-CN"/>
              </w:rPr>
              <w:t>南京现代表面处理科技产业中心项目B地块工程综合楼装配式工程</w:t>
            </w:r>
          </w:p>
        </w:tc>
        <w:tc>
          <w:tcPr>
            <w:tcW w:w="815" w:type="pct"/>
            <w:tcBorders>
              <w:tl2br w:val="nil"/>
              <w:tr2bl w:val="nil"/>
            </w:tcBorders>
            <w:noWrap/>
            <w:tcMar>
              <w:top w:w="15" w:type="dxa"/>
              <w:left w:w="15" w:type="dxa"/>
              <w:right w:w="15" w:type="dxa"/>
            </w:tcMar>
            <w:vAlign w:val="center"/>
          </w:tcPr>
          <w:p w14:paraId="444BBA00">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262个日历天</w:t>
            </w:r>
          </w:p>
        </w:tc>
        <w:tc>
          <w:tcPr>
            <w:tcW w:w="2167" w:type="dxa"/>
            <w:tcBorders>
              <w:tl2br w:val="nil"/>
              <w:tr2bl w:val="nil"/>
            </w:tcBorders>
            <w:noWrap/>
            <w:tcMar>
              <w:top w:w="15" w:type="dxa"/>
              <w:left w:w="15" w:type="dxa"/>
              <w:right w:w="15" w:type="dxa"/>
            </w:tcMar>
            <w:vAlign w:val="center"/>
          </w:tcPr>
          <w:p w14:paraId="035FCDF9">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 xml:space="preserve"> 2025年11月10 日</w:t>
            </w:r>
          </w:p>
        </w:tc>
        <w:tc>
          <w:tcPr>
            <w:tcW w:w="2021" w:type="dxa"/>
            <w:tcBorders>
              <w:tl2br w:val="nil"/>
              <w:tr2bl w:val="nil"/>
            </w:tcBorders>
            <w:noWrap/>
            <w:tcMar>
              <w:top w:w="15" w:type="dxa"/>
              <w:left w:w="15" w:type="dxa"/>
              <w:right w:w="15" w:type="dxa"/>
            </w:tcMar>
            <w:vAlign w:val="center"/>
          </w:tcPr>
          <w:p w14:paraId="6914BCE6">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2026年7月30日</w:t>
            </w:r>
          </w:p>
        </w:tc>
      </w:tr>
    </w:tbl>
    <w:p w14:paraId="014C552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4.2乙方必须满足甲方的工期要求，配备符合本工程需求的熟练技术工人不少于</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20</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以满足</w:t>
      </w:r>
      <w:r>
        <w:rPr>
          <w:rFonts w:hint="eastAsia" w:ascii="仿宋" w:hAnsi="仿宋" w:eastAsia="仿宋" w:cs="仿宋"/>
          <w:color w:val="auto"/>
          <w:sz w:val="28"/>
          <w:szCs w:val="28"/>
          <w:highlight w:val="none"/>
          <w:lang w:val="en-US" w:eastAsia="zh-CN"/>
        </w:rPr>
        <w:t>甲方的</w:t>
      </w:r>
      <w:r>
        <w:rPr>
          <w:rFonts w:hint="eastAsia" w:ascii="仿宋" w:hAnsi="仿宋" w:eastAsia="仿宋" w:cs="仿宋"/>
          <w:color w:val="auto"/>
          <w:sz w:val="28"/>
          <w:szCs w:val="28"/>
          <w:highlight w:val="none"/>
        </w:rPr>
        <w:t>进度要求为准</w:t>
      </w:r>
      <w:r>
        <w:rPr>
          <w:rFonts w:hint="eastAsia" w:ascii="仿宋" w:hAnsi="仿宋" w:eastAsia="仿宋" w:cs="仿宋"/>
          <w:color w:val="auto"/>
          <w:sz w:val="28"/>
          <w:szCs w:val="28"/>
          <w:highlight w:val="none"/>
          <w:lang w:eastAsia="zh-CN"/>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，随时增加或减少乙方人员以满足本工程施工要求。</w:t>
      </w:r>
    </w:p>
    <w:p w14:paraId="0759346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rPr>
          <w:rFonts w:hint="default"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4.3乙方应根据项目进度计划的安排，提前28天以书面形式向甲方提交装配式部品部件生产计划。对甲方提出的合理意见和要求，乙方应自费修改完善。根据装配式部品部件生产的实际情况需要修改构件生产计划的，乙方应向甲方提交修改后的装配式部品部件生产计划。</w:t>
      </w:r>
    </w:p>
    <w:p w14:paraId="16E5853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7" w:name="_Toc17602"/>
      <w:bookmarkStart w:id="58" w:name="_Toc165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第五章、工程质量标准</w:t>
      </w:r>
      <w:bookmarkEnd w:id="57"/>
      <w:bookmarkEnd w:id="5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7A26CD1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5.1本工程质量标准：达到现行的国家、</w:t>
      </w:r>
      <w:r>
        <w:rPr>
          <w:rFonts w:hint="eastAsia" w:ascii="仿宋" w:hAnsi="仿宋" w:eastAsia="仿宋" w:cs="仿宋"/>
          <w:color w:val="auto"/>
          <w:sz w:val="28"/>
          <w:szCs w:val="28"/>
          <w:highlight w:val="none"/>
          <w:lang w:val="en-US" w:eastAsia="zh-CN"/>
        </w:rPr>
        <w:t>本工程所在地政府主管部门、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行业相关施工质量验收规范的</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优良</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标准，本合同另有约定的亦须同时符合该约定。</w:t>
      </w:r>
    </w:p>
    <w:p w14:paraId="224A78B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9" w:name="_Toc17532"/>
      <w:bookmarkStart w:id="60" w:name="_Toc16910"/>
      <w:bookmarkStart w:id="61" w:name="_Toc251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5.2质量要点</w:t>
      </w:r>
      <w:bookmarkEnd w:id="59"/>
      <w:bookmarkEnd w:id="60"/>
      <w:bookmarkEnd w:id="6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w:t>
      </w:r>
    </w:p>
    <w:p w14:paraId="1AD942D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5.2.1</w:t>
      </w:r>
      <w:r>
        <w:rPr>
          <w:rFonts w:hint="eastAsia" w:ascii="仿宋_GB2312" w:hAnsi="仿宋_GB2312" w:eastAsia="仿宋_GB2312" w:cs="仿宋_GB2312"/>
          <w:b w:val="0"/>
          <w:bCs w:val="0"/>
          <w:i w:val="0"/>
          <w:iCs w:val="0"/>
          <w:color w:val="auto"/>
          <w:sz w:val="28"/>
          <w:szCs w:val="28"/>
          <w:highlight w:val="yellow"/>
          <w:u w:val="single"/>
          <w:shd w:val="clear" w:color="auto" w:fill="auto"/>
          <w:lang w:val="en-US" w:eastAsia="zh-CN"/>
        </w:rPr>
        <w:t>装配式部品部件的原材料质量、钢筋和螺栓加工与连接的力学性能、混凝土强度、构件结构性能、防火性能、装饰材料、保温材料及拉结件的质量等均应按规定进行检查、检验和检测，结果应符合技术标准规定及设计要求，相关记录应完整留存给甲方。</w:t>
      </w:r>
    </w:p>
    <w:p w14:paraId="57E286F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5.2.2乙方须加强装配式部品部件生产过程中的质量控制，建立健全构件制作质量检验制度，对每一道隐蔽工程进行验收并形成书面记录、留存影像资料，完成后及时提交给甲方。</w:t>
      </w:r>
    </w:p>
    <w:p w14:paraId="35B3320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5.2.3</w:t>
      </w:r>
      <w:r>
        <w:rPr>
          <w:rFonts w:hint="default" w:ascii="仿宋_GB2312" w:hAnsi="仿宋_GB2312" w:eastAsia="仿宋_GB2312" w:cs="仿宋_GB2312"/>
          <w:b w:val="0"/>
          <w:bCs w:val="0"/>
          <w:i w:val="0"/>
          <w:iCs w:val="0"/>
          <w:color w:val="auto"/>
          <w:sz w:val="28"/>
          <w:szCs w:val="28"/>
          <w:highlight w:val="none"/>
          <w:u w:val="single"/>
          <w:shd w:val="clear" w:color="auto" w:fill="auto"/>
          <w:lang w:val="en-US" w:eastAsia="zh-CN"/>
        </w:rPr>
        <w:t>装配式部品部件的各检验项目的质量</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经甲方检验</w:t>
      </w:r>
      <w:r>
        <w:rPr>
          <w:rFonts w:hint="default" w:ascii="仿宋_GB2312" w:hAnsi="仿宋_GB2312" w:eastAsia="仿宋_GB2312" w:cs="仿宋_GB2312"/>
          <w:b w:val="0"/>
          <w:bCs w:val="0"/>
          <w:i w:val="0"/>
          <w:iCs w:val="0"/>
          <w:color w:val="auto"/>
          <w:sz w:val="28"/>
          <w:szCs w:val="28"/>
          <w:highlight w:val="none"/>
          <w:u w:val="single"/>
          <w:shd w:val="clear" w:color="auto" w:fill="auto"/>
          <w:lang w:val="en-US" w:eastAsia="zh-CN"/>
        </w:rPr>
        <w:t>合格</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后</w:t>
      </w:r>
      <w:r>
        <w:rPr>
          <w:rFonts w:hint="default" w:ascii="仿宋_GB2312" w:hAnsi="仿宋_GB2312" w:eastAsia="仿宋_GB2312" w:cs="仿宋_GB2312"/>
          <w:b w:val="0"/>
          <w:bCs w:val="0"/>
          <w:i w:val="0"/>
          <w:iCs w:val="0"/>
          <w:color w:val="auto"/>
          <w:sz w:val="28"/>
          <w:szCs w:val="28"/>
          <w:highlight w:val="none"/>
          <w:u w:val="single"/>
          <w:shd w:val="clear" w:color="auto" w:fill="auto"/>
          <w:lang w:val="en-US" w:eastAsia="zh-CN"/>
        </w:rPr>
        <w:t>，方可评定为合格产品。装配式部品部件经检查合格后，应设置标识。标识内容包括：工程名称、构件型号、生产日期、生产单位、合格标识。装配式部品部件出厂时，应出具产品合格证明书、混凝土强度检验报告及其他重要检验报告等出厂质量合格证明文件，有效期内的型式检验报告</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w:t>
      </w:r>
    </w:p>
    <w:p w14:paraId="43B4A2D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b w:val="0"/>
          <w:bCs w:val="0"/>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5.2.4甲方有权自行对全部工程内容及其施工工艺、材料、装配式部品部件和工程设备进行检查和检验。乙方应为甲方的检查和检验提供方便，包括到施工现场，或制造、加工地点，或合同约定的其他地方进行察看和查阅施工原始记录。乙方还应按甲方指示，进行施工现场的取样试验，工程复核测量和设备性能检测，提供试验样品、提交试验报告和测量成果以及甲方指示进行的其他工作。甲方的检查和检验，不免除乙方按合同约定应承担的责任、义务。</w:t>
      </w:r>
    </w:p>
    <w:p w14:paraId="07E08C51">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2" w:name="_Toc2041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第六章、合同价款</w:t>
      </w:r>
      <w:bookmarkEnd w:id="62"/>
    </w:p>
    <w:p w14:paraId="5FD1A17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6.1</w:t>
      </w:r>
      <w:r>
        <w:rPr>
          <w:rFonts w:hint="eastAsia" w:ascii="仿宋" w:hAnsi="仿宋" w:eastAsia="仿宋" w:cs="仿宋"/>
          <w:i w:val="0"/>
          <w:iCs w:val="0"/>
          <w:color w:val="auto"/>
          <w:sz w:val="28"/>
          <w:szCs w:val="28"/>
          <w:highlight w:val="none"/>
        </w:rPr>
        <w:t>乙方完成合同所述工作、实现</w:t>
      </w:r>
      <w:r>
        <w:rPr>
          <w:rFonts w:hint="eastAsia" w:ascii="仿宋" w:hAnsi="仿宋" w:eastAsia="仿宋" w:cs="仿宋"/>
          <w:i w:val="0"/>
          <w:iCs w:val="0"/>
          <w:color w:val="auto"/>
          <w:sz w:val="28"/>
          <w:szCs w:val="28"/>
          <w:highlight w:val="none"/>
          <w:lang w:val="en-US" w:eastAsia="zh-CN"/>
        </w:rPr>
        <w:t>合同</w:t>
      </w:r>
      <w:r>
        <w:rPr>
          <w:rFonts w:hint="eastAsia" w:ascii="仿宋" w:hAnsi="仿宋" w:eastAsia="仿宋" w:cs="仿宋"/>
          <w:i w:val="0"/>
          <w:iCs w:val="0"/>
          <w:color w:val="auto"/>
          <w:sz w:val="28"/>
          <w:szCs w:val="28"/>
          <w:highlight w:val="none"/>
        </w:rPr>
        <w:t>工期要求、质量要求及承担合同义务、责任、风险的费用已包括在下列合同价</w:t>
      </w:r>
      <w:r>
        <w:rPr>
          <w:rFonts w:hint="eastAsia" w:ascii="仿宋" w:hAnsi="仿宋" w:eastAsia="仿宋" w:cs="仿宋"/>
          <w:b w:val="0"/>
          <w:bCs w:val="0"/>
          <w:i w:val="0"/>
          <w:iCs w:val="0"/>
          <w:color w:val="auto"/>
          <w:sz w:val="28"/>
          <w:szCs w:val="28"/>
          <w:highlight w:val="none"/>
        </w:rPr>
        <w:t>中。</w:t>
      </w:r>
    </w:p>
    <w:p w14:paraId="19A6AC4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rPr>
      </w:pP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本合同为</w:t>
      </w:r>
      <w:r>
        <w:rPr>
          <w:rFonts w:hint="eastAsia" w:ascii="仿宋_GB2312" w:hAnsi="仿宋_GB2312" w:eastAsia="仿宋_GB2312" w:cs="仿宋_GB2312"/>
          <w:b/>
          <w:bCs/>
          <w:i w:val="0"/>
          <w:iCs w:val="0"/>
          <w:color w:val="auto"/>
          <w:sz w:val="28"/>
          <w:szCs w:val="28"/>
          <w:highlight w:val="none"/>
          <w:shd w:val="clear" w:color="auto" w:fill="auto"/>
          <w:lang w:val="en-US" w:eastAsia="zh-CN"/>
        </w:rPr>
        <w:t>固定单价合同，工程量按合同约定的计量规则计算</w:t>
      </w:r>
      <w:r>
        <w:rPr>
          <w:rFonts w:hint="eastAsia" w:ascii="仿宋_GB2312" w:hAnsi="仿宋_GB2312" w:eastAsia="仿宋_GB2312" w:cs="仿宋_GB2312"/>
          <w:b/>
          <w:bCs/>
          <w:i w:val="0"/>
          <w:iCs w:val="0"/>
          <w:color w:val="auto"/>
          <w:kern w:val="0"/>
          <w:sz w:val="28"/>
          <w:szCs w:val="28"/>
          <w:highlight w:val="none"/>
          <w:shd w:val="clear" w:color="auto" w:fill="auto"/>
          <w:lang w:val="en-US" w:eastAsia="zh-CN"/>
        </w:rPr>
        <w:t>。</w:t>
      </w:r>
      <w:r>
        <w:rPr>
          <w:rFonts w:hint="eastAsia" w:ascii="仿宋_GB2312" w:hAnsi="仿宋_GB2312" w:eastAsia="仿宋_GB2312" w:cs="仿宋_GB2312"/>
          <w:b/>
          <w:bCs/>
          <w:i w:val="0"/>
          <w:iCs w:val="0"/>
          <w:color w:val="auto"/>
          <w:sz w:val="28"/>
          <w:szCs w:val="28"/>
          <w:highlight w:val="none"/>
          <w:shd w:val="clear" w:color="auto" w:fill="auto"/>
          <w:lang w:val="en-US" w:eastAsia="zh-CN"/>
        </w:rPr>
        <w:t>合同单价（详见附件《报价清单》）为全费用固定综合单价（仅不含增值税），包含乙方完成合同附件所述内容的费用，除合同另有约定外，不做任何调整。乙方开具税率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%的增值税专用发票，税率按国家政策执行，如税率调整，税金随之调整。本合同暂定总价为人民币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，其中不含税暂定总价为人民币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元，增值税税金为人民币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元，此价仅供参考，不做结算用途。</w:t>
      </w:r>
    </w:p>
    <w:p w14:paraId="0E832F9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固定总价合同，合同总价为人民币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元整（详见附件），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此价含税，乙方开具税率</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p>
    <w:p w14:paraId="7E424C9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6.2在本合同对应的招投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128AD73C">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3" w:name="_Toc151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第七章、计量计价方式及结算方式</w:t>
      </w:r>
      <w:bookmarkEnd w:id="63"/>
    </w:p>
    <w:p w14:paraId="1894E08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64" w:name="_Toc17498"/>
      <w:bookmarkStart w:id="65" w:name="_Toc13623"/>
      <w:bookmarkStart w:id="66" w:name="_Toc6502"/>
      <w:bookmarkStart w:id="67" w:name="_Toc28497"/>
      <w:bookmarkStart w:id="68" w:name="_Toc19572"/>
      <w:bookmarkStart w:id="69" w:name="_Toc28113"/>
      <w:bookmarkStart w:id="70" w:name="_Toc5134"/>
      <w:r>
        <w:rPr>
          <w:rFonts w:hint="eastAsia" w:ascii="仿宋" w:hAnsi="仿宋" w:eastAsia="仿宋" w:cs="仿宋"/>
          <w:color w:val="auto"/>
          <w:sz w:val="28"/>
          <w:szCs w:val="28"/>
          <w:highlight w:val="none"/>
          <w:lang w:val="en-US" w:eastAsia="zh-CN"/>
        </w:rPr>
        <w:t>7.1工程量计算原则</w:t>
      </w:r>
      <w:bookmarkEnd w:id="64"/>
      <w:bookmarkEnd w:id="65"/>
      <w:bookmarkEnd w:id="66"/>
      <w:bookmarkEnd w:id="67"/>
      <w:bookmarkEnd w:id="68"/>
      <w:bookmarkEnd w:id="69"/>
      <w:bookmarkEnd w:id="70"/>
    </w:p>
    <w:p w14:paraId="7FBA844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固定总价合同：合同范围内的按合同约定的计算原则执行，合同无约定或合同范围外的签证、变更工程计量方式按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本合同相关条款</w:t>
      </w:r>
      <w:r>
        <w:rPr>
          <w:rFonts w:hint="eastAsia" w:ascii="仿宋" w:hAnsi="仿宋" w:eastAsia="仿宋" w:cs="仿宋"/>
          <w:i w:val="0"/>
          <w:iCs w:val="0"/>
          <w:color w:val="auto"/>
          <w:sz w:val="28"/>
          <w:szCs w:val="28"/>
          <w:highlight w:val="none"/>
          <w:u w:val="none"/>
          <w:shd w:val="clear" w:color="auto" w:fill="auto"/>
          <w:lang w:val="en-US" w:eastAsia="zh-CN"/>
        </w:rPr>
        <w:t>执行。</w:t>
      </w:r>
    </w:p>
    <w:p w14:paraId="6B83DD3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color w:val="auto"/>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u w:val="none"/>
          <w:shd w:val="clear" w:color="auto" w:fill="auto"/>
          <w:lang w:val="en-US" w:eastAsia="zh-CN"/>
        </w:rPr>
        <w:t>固定单价合同：合同范围内的按合同约定的计算原则执行，合同无约定或合同范围外的签证、变更工程计量计价方式按</w:t>
      </w:r>
      <w:r>
        <w:rPr>
          <w:rFonts w:hint="eastAsia" w:ascii="仿宋" w:hAnsi="仿宋" w:eastAsia="仿宋" w:cs="仿宋"/>
          <w:b w:val="0"/>
          <w:bCs w:val="0"/>
          <w:color w:val="auto"/>
          <w:sz w:val="28"/>
          <w:szCs w:val="28"/>
          <w:highlight w:val="none"/>
          <w:lang w:val="en-US" w:eastAsia="zh-CN"/>
        </w:rPr>
        <w:t>本合同7.2~7.3条款</w:t>
      </w:r>
      <w:r>
        <w:rPr>
          <w:rFonts w:hint="eastAsia" w:ascii="仿宋" w:hAnsi="仿宋" w:eastAsia="仿宋" w:cs="仿宋"/>
          <w:i w:val="0"/>
          <w:iCs w:val="0"/>
          <w:color w:val="auto"/>
          <w:sz w:val="28"/>
          <w:szCs w:val="28"/>
          <w:highlight w:val="none"/>
          <w:u w:val="none"/>
          <w:shd w:val="clear" w:color="auto" w:fill="auto"/>
          <w:lang w:val="en-US" w:eastAsia="zh-CN"/>
        </w:rPr>
        <w:t>执行。</w:t>
      </w:r>
    </w:p>
    <w:p w14:paraId="589C111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7.2工程量计量规则：</w:t>
      </w:r>
      <w:r>
        <w:rPr>
          <w:rFonts w:hint="eastAsia" w:ascii="仿宋" w:hAnsi="仿宋" w:eastAsia="仿宋" w:cs="仿宋"/>
          <w:color w:val="auto"/>
          <w:sz w:val="28"/>
          <w:szCs w:val="32"/>
          <w:highlight w:val="none"/>
          <w:shd w:val="clear" w:color="auto" w:fill="auto"/>
          <w:lang w:val="en-US" w:eastAsia="zh-CN"/>
        </w:rPr>
        <w:t>有竣工图纸部分，按建设单位签字确认的竣工图蓝图标注尺寸计算工程量，无图纸部分以甲方与建设单位签字确认的签证单工程量或按照甲方《分包单位签证管理制度》执行</w:t>
      </w:r>
      <w:r>
        <w:rPr>
          <w:rFonts w:hint="eastAsia" w:ascii="仿宋" w:hAnsi="仿宋" w:eastAsia="仿宋" w:cs="仿宋"/>
          <w:b w:val="0"/>
          <w:bCs w:val="0"/>
          <w:i w:val="0"/>
          <w:iCs w:val="0"/>
          <w:color w:val="auto"/>
          <w:sz w:val="28"/>
          <w:szCs w:val="28"/>
          <w:highlight w:val="none"/>
          <w:lang w:val="en-US" w:eastAsia="zh-CN"/>
        </w:rPr>
        <w:t>。</w:t>
      </w:r>
    </w:p>
    <w:p w14:paraId="276D78A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7.3计价依据（须完成施工并验收合格的方可作为计量依据）</w:t>
      </w:r>
    </w:p>
    <w:p w14:paraId="7F957E5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7.3.1合同范围内的工程，按合同单价执行；</w:t>
      </w:r>
    </w:p>
    <w:p w14:paraId="427442A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7.3.2合同范围外的签证变更价款的调整方法：</w:t>
      </w:r>
    </w:p>
    <w:p w14:paraId="489F98E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7.3.2.1合同中已有适用于变更工程的价格，按合同已有的价格执行；</w:t>
      </w:r>
    </w:p>
    <w:p w14:paraId="70ACCC3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7.3.2.2合同中只有类似于变更工程的价格，可在合理范围内参照类似价格执行；</w:t>
      </w:r>
    </w:p>
    <w:p w14:paraId="2E58B1B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7.3.2.3合同中没有适用或类似于变更工程的价格，由乙方按施工期间的市场价格合理报价给甲方，报价文件须提供相关证明文件（含材料的厂家、品牌、型号、规格等），按照甲方对分包单位《工程类单价认质认价管理制度》执行，经甲方确认的综合单价作为结算依据；</w:t>
      </w:r>
    </w:p>
    <w:p w14:paraId="1EBDD87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结算时，如乙方已请款部分开具的发票税率与合同约定不同时，须提供已请款金额及相应税率，且须甲方财务部签字确认</w:t>
      </w:r>
      <w:r>
        <w:rPr>
          <w:rFonts w:hint="eastAsia" w:ascii="仿宋" w:hAnsi="仿宋" w:eastAsia="仿宋" w:cs="仿宋"/>
          <w:b w:val="0"/>
          <w:bCs w:val="0"/>
          <w:color w:val="auto"/>
          <w:sz w:val="28"/>
          <w:szCs w:val="28"/>
          <w:highlight w:val="none"/>
          <w:lang w:val="en-US" w:eastAsia="zh-CN"/>
        </w:rPr>
        <w:t>，否则不予结算及付款。</w:t>
      </w:r>
    </w:p>
    <w:p w14:paraId="4462E93C">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71" w:name="_Toc1442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第八章、付款方式（每个组团独立付款）</w:t>
      </w:r>
      <w:bookmarkEnd w:id="71"/>
    </w:p>
    <w:p w14:paraId="0C46436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72" w:name="_Toc1876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8.1付款方式一 </w:t>
      </w:r>
    </w:p>
    <w:p w14:paraId="591266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8.1.1</w:t>
      </w:r>
      <w:r>
        <w:rPr>
          <w:rFonts w:hint="eastAsia" w:ascii="仿宋_GB2312" w:hAnsi="仿宋_GB2312" w:eastAsia="仿宋_GB2312" w:cs="仿宋_GB2312"/>
          <w:b w:val="0"/>
          <w:bCs w:val="0"/>
          <w:i w:val="0"/>
          <w:iCs w:val="0"/>
          <w:color w:val="auto"/>
          <w:sz w:val="28"/>
          <w:szCs w:val="28"/>
          <w:highlight w:val="none"/>
          <w:u w:val="none"/>
          <w:shd w:val="clear" w:color="auto" w:fill="auto"/>
        </w:rPr>
        <w:t>本合</w:t>
      </w:r>
      <w:r>
        <w:rPr>
          <w:rFonts w:hint="eastAsia" w:ascii="仿宋_GB2312" w:hAnsi="仿宋_GB2312" w:eastAsia="仿宋_GB2312" w:cs="仿宋_GB2312"/>
          <w:i w:val="0"/>
          <w:iCs w:val="0"/>
          <w:color w:val="auto"/>
          <w:sz w:val="28"/>
          <w:szCs w:val="28"/>
          <w:highlight w:val="none"/>
          <w:u w:val="none"/>
          <w:shd w:val="clear" w:color="auto" w:fill="auto"/>
        </w:rPr>
        <w:t>同生效之日</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起</w:t>
      </w:r>
      <w:r>
        <w:rPr>
          <w:rFonts w:hint="eastAsia" w:ascii="仿宋_GB2312" w:hAnsi="仿宋_GB2312" w:eastAsia="仿宋_GB2312" w:cs="仿宋_GB2312"/>
          <w:i w:val="0"/>
          <w:iCs w:val="0"/>
          <w:color w:val="auto"/>
          <w:sz w:val="28"/>
          <w:szCs w:val="28"/>
          <w:highlight w:val="none"/>
          <w:u w:val="none"/>
          <w:shd w:val="clear" w:color="auto" w:fill="auto"/>
        </w:rPr>
        <w:t>，每满</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两</w:t>
      </w:r>
      <w:r>
        <w:rPr>
          <w:rFonts w:hint="eastAsia" w:ascii="仿宋_GB2312" w:hAnsi="仿宋_GB2312" w:eastAsia="仿宋_GB2312" w:cs="仿宋_GB2312"/>
          <w:i w:val="0"/>
          <w:iCs w:val="0"/>
          <w:color w:val="auto"/>
          <w:sz w:val="28"/>
          <w:szCs w:val="28"/>
          <w:highlight w:val="none"/>
          <w:u w:val="none"/>
          <w:shd w:val="clear" w:color="auto" w:fill="auto"/>
        </w:rPr>
        <w:t>个</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自然</w:t>
      </w:r>
      <w:r>
        <w:rPr>
          <w:rFonts w:hint="eastAsia" w:ascii="仿宋_GB2312" w:hAnsi="仿宋_GB2312" w:eastAsia="仿宋_GB2312" w:cs="仿宋_GB2312"/>
          <w:i w:val="0"/>
          <w:iCs w:val="0"/>
          <w:color w:val="auto"/>
          <w:sz w:val="28"/>
          <w:szCs w:val="28"/>
          <w:highlight w:val="none"/>
          <w:u w:val="none"/>
          <w:shd w:val="clear" w:color="auto" w:fill="auto"/>
        </w:rPr>
        <w:t>月为一个计费周期</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乙方于次月10日前提供该周期内及次月</w:t>
      </w:r>
      <w:r>
        <w:rPr>
          <w:rFonts w:hint="eastAsia" w:ascii="仿宋" w:hAnsi="仿宋" w:eastAsia="仿宋" w:cs="仿宋"/>
          <w:color w:val="auto"/>
          <w:sz w:val="28"/>
          <w:szCs w:val="28"/>
          <w:highlight w:val="none"/>
          <w:lang w:val="en-US" w:eastAsia="zh-CN"/>
        </w:rPr>
        <w:t>实名制报备登记和打卡的《建筑工人工资表》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等相关进度款审批文件给甲方，甲方审核完成后支付该周期已</w:t>
      </w:r>
      <w:r>
        <w:rPr>
          <w:rFonts w:hint="eastAsia" w:ascii="仿宋_GB2312" w:hAnsi="仿宋_GB2312" w:eastAsia="仿宋_GB2312" w:cs="仿宋_GB2312"/>
          <w:i w:val="0"/>
          <w:iCs w:val="0"/>
          <w:color w:val="auto"/>
          <w:sz w:val="28"/>
          <w:szCs w:val="28"/>
          <w:highlight w:val="none"/>
          <w:u w:val="none"/>
          <w:shd w:val="clear" w:color="auto" w:fill="auto"/>
        </w:rPr>
        <w:t>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工合格工程量对应造价的70%（含甲方工人工资专用账户支付给乙方工人工资款额）。该进度款支付分配安排如下：</w:t>
      </w:r>
    </w:p>
    <w:p w14:paraId="2D7E02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每月的工人工资款项从甲方工人工资专用账户直接发放至工人本人的银行帐户上。对与甲方工人工资专用账户绑定的乙方工人本人银行卡，乙方及其他人员不得以任何理由扣押或者变相扣押。乙方申请节点款时须按甲方要求提交工人工资表等资料，例如：乙方申请3月份节点款时，须在4月10日前将3月份实名制报备登记和打卡的《建筑工人工资表》、3月份发放工人工资金额、4月份实名制报备登记和打卡的《建筑工人工资表》、4月份预计发放的工人工资金额作为附件资料提供给甲方项目部；4月份无节点款申请但有工人工资需发放的情况下，乙方须在5月10日前按上述提供工人工资发放资料，经甲方审核无误后2个工作日内乙方将同本次发放工资款金额一致的款项支付至甲方，由甲方统一通过工人工资户发放工人工资。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77FD2F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8.1.2</w:t>
      </w:r>
      <w:r>
        <w:rPr>
          <w:rFonts w:hint="eastAsia" w:ascii="仿宋_GB2312" w:hAnsi="仿宋_GB2312" w:eastAsia="仿宋_GB2312" w:cs="仿宋_GB2312"/>
          <w:i w:val="0"/>
          <w:iCs w:val="0"/>
          <w:color w:val="auto"/>
          <w:sz w:val="28"/>
          <w:szCs w:val="28"/>
          <w:highlight w:val="yellow"/>
          <w:u w:val="none"/>
          <w:shd w:val="clear" w:color="auto" w:fill="auto"/>
          <w:lang w:val="en-US" w:eastAsia="zh-CN"/>
        </w:rPr>
        <w:t>本工程的全部工作内容施工完成，乙方将所有检验、检测报告，所有工程竣工资料文件（需详列完整目录清单）移交甲方后，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甲方支付至本工程已完工合格工程量对应造价的80%（含甲方工人工资专用账户支付给乙方工人工资款额）。</w:t>
      </w:r>
    </w:p>
    <w:p w14:paraId="484BE0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8.1.3本工程的全部工作内容施工完成，经政府主管部门、建设单位、监理、甲方等竣工综合验收合格并移交建设单位，乙方</w:t>
      </w:r>
      <w:r>
        <w:rPr>
          <w:rFonts w:hint="eastAsia" w:ascii="仿宋_GB2312" w:hAnsi="仿宋_GB2312" w:eastAsia="仿宋_GB2312" w:cs="仿宋_GB2312"/>
          <w:color w:val="auto"/>
          <w:sz w:val="28"/>
          <w:szCs w:val="28"/>
          <w:highlight w:val="none"/>
          <w:u w:val="none"/>
          <w:shd w:val="clear" w:color="auto" w:fill="auto"/>
        </w:rPr>
        <w:t>将验收通过的政府主管部门文件、报告原件、所有工程资料、报告等（详列完整资料清单目录）移交甲方签收</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后，甲乙双方办理本工程结算，双方就结算金额达成书面一致且乙方开具金额等于结算总价100%的发票给甲方后，甲方付至结算总价的97％（含甲方工人工资专用账户支付给乙方工人工资款额）。</w:t>
      </w:r>
    </w:p>
    <w:p w14:paraId="381F77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8.1.4本工程结算总价的3％作为保修金，保修期满两年且乙方取得“保修合格证明”后，双方无息结清。</w:t>
      </w:r>
    </w:p>
    <w:bookmarkEnd w:id="72"/>
    <w:p w14:paraId="3323DFF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8.1付款方式二</w:t>
      </w:r>
    </w:p>
    <w:p w14:paraId="2EB4877C">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99" w:leftChars="-95" w:right="0" w:rightChars="0" w:firstLine="562" w:firstLineChars="200"/>
        <w:jc w:val="left"/>
        <w:textAlignment w:val="auto"/>
        <w:outlineLvl w:val="1"/>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bookmarkStart w:id="73" w:name="_Toc15307"/>
      <w:bookmarkStart w:id="74" w:name="_Toc426"/>
      <w:bookmarkStart w:id="75" w:name="_Toc13979"/>
      <w:bookmarkStart w:id="76" w:name="_Toc3540"/>
      <w:bookmarkStart w:id="77" w:name="_Toc1805"/>
      <w:bookmarkStart w:id="78" w:name="_Toc7467"/>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（如定标结果的付款方式与上述“8.1条付款方式一”不一致，则将定标结果的付款方式填写在此处作为合同付款方式。 ）</w:t>
      </w:r>
      <w:bookmarkEnd w:id="73"/>
      <w:bookmarkEnd w:id="74"/>
      <w:bookmarkEnd w:id="75"/>
      <w:bookmarkEnd w:id="76"/>
      <w:bookmarkEnd w:id="77"/>
      <w:bookmarkEnd w:id="78"/>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p>
    <w:p w14:paraId="6C452D1D">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0" w:firstLineChars="200"/>
        <w:jc w:val="both"/>
        <w:textAlignment w:val="auto"/>
        <w:outlineLvl w:val="1"/>
        <w:rPr>
          <w:rFonts w:hint="eastAsia" w:ascii="仿宋" w:hAnsi="仿宋" w:eastAsia="仿宋" w:cs="仿宋"/>
          <w:b w:val="0"/>
          <w:bCs w:val="0"/>
          <w:i w:val="0"/>
          <w:iCs w:val="0"/>
          <w:color w:val="auto"/>
          <w:sz w:val="28"/>
          <w:szCs w:val="28"/>
          <w:highlight w:val="none"/>
          <w:shd w:val="clear" w:color="auto" w:fill="auto"/>
          <w:lang w:val="en-US" w:eastAsia="zh-CN"/>
        </w:rPr>
      </w:pPr>
      <w:bookmarkStart w:id="79" w:name="_Toc167"/>
      <w:bookmarkStart w:id="80" w:name="_Toc32312"/>
      <w:r>
        <w:rPr>
          <w:rFonts w:hint="eastAsia" w:ascii="仿宋" w:hAnsi="仿宋" w:eastAsia="仿宋" w:cs="仿宋"/>
          <w:b w:val="0"/>
          <w:bCs w:val="0"/>
          <w:i w:val="0"/>
          <w:iCs w:val="0"/>
          <w:color w:val="auto"/>
          <w:sz w:val="28"/>
          <w:szCs w:val="28"/>
          <w:highlight w:val="none"/>
          <w:shd w:val="clear" w:color="auto" w:fill="auto"/>
          <w:lang w:val="en-US" w:eastAsia="zh-CN"/>
        </w:rPr>
        <w:t>8.2</w:t>
      </w:r>
      <w:r>
        <w:rPr>
          <w:rFonts w:hint="eastAsia" w:ascii="仿宋" w:hAnsi="仿宋" w:eastAsia="仿宋" w:cs="仿宋"/>
          <w:i w:val="0"/>
          <w:iCs w:val="0"/>
          <w:color w:val="auto"/>
          <w:sz w:val="28"/>
          <w:szCs w:val="28"/>
          <w:highlight w:val="none"/>
          <w:u w:val="none"/>
          <w:shd w:val="clear" w:color="auto" w:fill="auto"/>
          <w:lang w:val="en-US" w:eastAsia="zh-CN"/>
        </w:rPr>
        <w:t>对招标清单（详见合同附件）说明清单“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w:t>
      </w:r>
      <w:r>
        <w:rPr>
          <w:rFonts w:hint="eastAsia" w:ascii="仿宋" w:hAnsi="仿宋" w:eastAsia="仿宋" w:cs="仿宋"/>
          <w:b w:val="0"/>
          <w:bCs w:val="0"/>
          <w:i w:val="0"/>
          <w:iCs w:val="0"/>
          <w:color w:val="auto"/>
          <w:sz w:val="28"/>
          <w:szCs w:val="28"/>
          <w:highlight w:val="none"/>
          <w:lang w:val="en-US" w:eastAsia="zh-CN"/>
        </w:rPr>
        <w:t>不作调整</w:t>
      </w:r>
    </w:p>
    <w:p w14:paraId="791309F8">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0"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8.3合同履约保证金为人民币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壹万 </w:t>
      </w:r>
      <w:r>
        <w:rPr>
          <w:rFonts w:hint="eastAsia" w:ascii="仿宋" w:hAnsi="仿宋" w:eastAsia="仿宋" w:cs="仿宋"/>
          <w:b w:val="0"/>
          <w:bCs w:val="0"/>
          <w:i w:val="0"/>
          <w:iCs w:val="0"/>
          <w:color w:val="auto"/>
          <w:sz w:val="28"/>
          <w:szCs w:val="28"/>
          <w:highlight w:val="none"/>
          <w:shd w:val="clear" w:color="auto" w:fill="auto"/>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w:t>
      </w:r>
    </w:p>
    <w:p w14:paraId="327EB4D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第九章、双方责任和权利</w:t>
      </w:r>
      <w:bookmarkEnd w:id="79"/>
      <w:bookmarkEnd w:id="80"/>
    </w:p>
    <w:p w14:paraId="799746C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81" w:name="_Toc10834"/>
      <w:bookmarkStart w:id="82" w:name="_Toc32552"/>
      <w:bookmarkStart w:id="83" w:name="_Toc23428"/>
      <w:bookmarkStart w:id="84" w:name="_Toc22478"/>
      <w:bookmarkStart w:id="85" w:name="_Toc21507"/>
      <w:bookmarkStart w:id="86" w:name="_Toc9111"/>
      <w:r>
        <w:rPr>
          <w:rFonts w:hint="eastAsia" w:ascii="仿宋" w:hAnsi="仿宋" w:eastAsia="仿宋" w:cs="仿宋"/>
          <w:b/>
          <w:bCs/>
          <w:i w:val="0"/>
          <w:iCs w:val="0"/>
          <w:color w:val="auto"/>
          <w:sz w:val="28"/>
          <w:szCs w:val="28"/>
          <w:highlight w:val="none"/>
          <w:shd w:val="clear" w:color="auto" w:fill="auto"/>
          <w:lang w:eastAsia="zh-CN"/>
        </w:rPr>
        <w:t>9.</w:t>
      </w:r>
      <w:r>
        <w:rPr>
          <w:rFonts w:hint="eastAsia" w:ascii="仿宋" w:hAnsi="仿宋" w:eastAsia="仿宋" w:cs="仿宋"/>
          <w:b/>
          <w:bCs/>
          <w:i w:val="0"/>
          <w:iCs w:val="0"/>
          <w:color w:val="auto"/>
          <w:sz w:val="28"/>
          <w:szCs w:val="28"/>
          <w:highlight w:val="none"/>
          <w:shd w:val="clear" w:color="auto" w:fill="auto"/>
        </w:rPr>
        <w:t>1甲方责任和权利</w:t>
      </w:r>
      <w:bookmarkEnd w:id="81"/>
      <w:bookmarkEnd w:id="82"/>
      <w:bookmarkEnd w:id="83"/>
      <w:bookmarkEnd w:id="84"/>
      <w:bookmarkEnd w:id="85"/>
      <w:bookmarkEnd w:id="86"/>
    </w:p>
    <w:p w14:paraId="527701E6">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9.1.1提供给乙方签章电子版的施工图（含图纸变更通知、图纸会审记录等）。</w:t>
      </w:r>
    </w:p>
    <w:p w14:paraId="6EB6BBD7">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87" w:name="_Toc1879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第十章、甲供材料设备</w:t>
      </w:r>
      <w:bookmarkEnd w:id="87"/>
    </w:p>
    <w:p w14:paraId="05A3AAB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10.1乙方使用的甲供材料以甲方出入库单为准，乙方参加验收和签收与出库，甲供材</w:t>
      </w:r>
      <w:r>
        <w:rPr>
          <w:rFonts w:hint="eastAsia" w:ascii="仿宋" w:hAnsi="仿宋" w:eastAsia="仿宋" w:cs="仿宋"/>
          <w:b w:val="0"/>
          <w:bCs w:val="0"/>
          <w:i w:val="0"/>
          <w:iCs w:val="0"/>
          <w:color w:val="auto"/>
          <w:sz w:val="28"/>
          <w:szCs w:val="28"/>
          <w:highlight w:val="none"/>
          <w:u w:val="none"/>
          <w:lang w:val="en-US" w:eastAsia="zh-CN"/>
        </w:rPr>
        <w:t>损耗率不得超过</w:t>
      </w:r>
      <w:r>
        <w:rPr>
          <w:rFonts w:hint="eastAsia" w:ascii="仿宋" w:hAnsi="仿宋" w:eastAsia="仿宋" w:cs="仿宋"/>
          <w:b w:val="0"/>
          <w:bCs w:val="0"/>
          <w:i w:val="0"/>
          <w:iCs w:val="0"/>
          <w:color w:val="auto"/>
          <w:sz w:val="28"/>
          <w:szCs w:val="28"/>
          <w:highlight w:val="none"/>
          <w:u w:val="single"/>
          <w:lang w:val="en-US" w:eastAsia="zh-CN"/>
        </w:rPr>
        <w:t xml:space="preserve"> / </w:t>
      </w:r>
      <w:r>
        <w:rPr>
          <w:rFonts w:hint="eastAsia" w:ascii="仿宋" w:hAnsi="仿宋" w:eastAsia="仿宋" w:cs="仿宋"/>
          <w:b w:val="0"/>
          <w:bCs w:val="0"/>
          <w:i w:val="0"/>
          <w:iCs w:val="0"/>
          <w:color w:val="auto"/>
          <w:sz w:val="28"/>
          <w:szCs w:val="28"/>
          <w:highlight w:val="none"/>
          <w:u w:val="none"/>
          <w:lang w:val="en-US" w:eastAsia="zh-CN"/>
        </w:rPr>
        <w:t>%，</w:t>
      </w:r>
      <w:r>
        <w:rPr>
          <w:rFonts w:hint="eastAsia" w:ascii="仿宋" w:hAnsi="仿宋" w:eastAsia="仿宋" w:cs="仿宋"/>
          <w:i w:val="0"/>
          <w:iCs w:val="0"/>
          <w:color w:val="auto"/>
          <w:sz w:val="28"/>
          <w:szCs w:val="28"/>
          <w:highlight w:val="none"/>
          <w:lang w:val="en-US" w:eastAsia="zh-CN"/>
        </w:rPr>
        <w:t>如</w:t>
      </w:r>
      <w:r>
        <w:rPr>
          <w:rFonts w:hint="eastAsia" w:ascii="仿宋" w:hAnsi="仿宋" w:eastAsia="仿宋" w:cs="仿宋"/>
          <w:i w:val="0"/>
          <w:iCs w:val="0"/>
          <w:color w:val="auto"/>
          <w:sz w:val="28"/>
          <w:szCs w:val="28"/>
          <w:highlight w:val="none"/>
        </w:rPr>
        <w:t>超过，乙方对超出部分按施工当期</w:t>
      </w:r>
      <w:r>
        <w:rPr>
          <w:rFonts w:hint="eastAsia" w:ascii="仿宋" w:hAnsi="仿宋" w:eastAsia="仿宋" w:cs="仿宋"/>
          <w:b w:val="0"/>
          <w:bCs w:val="0"/>
          <w:i w:val="0"/>
          <w:iCs w:val="0"/>
          <w:color w:val="auto"/>
          <w:sz w:val="28"/>
          <w:szCs w:val="28"/>
          <w:highlight w:val="none"/>
          <w:lang w:val="en-US" w:eastAsia="zh-CN"/>
        </w:rPr>
        <w:t>同品牌、同品种、同级别、同规格</w:t>
      </w:r>
      <w:r>
        <w:rPr>
          <w:rFonts w:hint="eastAsia" w:ascii="仿宋" w:hAnsi="仿宋" w:eastAsia="仿宋" w:cs="仿宋"/>
          <w:b w:val="0"/>
          <w:bCs w:val="0"/>
          <w:i w:val="0"/>
          <w:iCs w:val="0"/>
          <w:color w:val="auto"/>
          <w:sz w:val="28"/>
          <w:szCs w:val="28"/>
          <w:highlight w:val="none"/>
          <w:u w:val="none"/>
          <w:lang w:val="en-US" w:eastAsia="zh-CN"/>
        </w:rPr>
        <w:t>材料</w:t>
      </w:r>
      <w:r>
        <w:rPr>
          <w:rFonts w:hint="eastAsia" w:ascii="仿宋" w:hAnsi="仿宋" w:eastAsia="仿宋" w:cs="仿宋"/>
          <w:b w:val="0"/>
          <w:bCs w:val="0"/>
          <w:i w:val="0"/>
          <w:iCs w:val="0"/>
          <w:color w:val="auto"/>
          <w:sz w:val="28"/>
          <w:szCs w:val="28"/>
          <w:highlight w:val="none"/>
        </w:rPr>
        <w:t>市场价格的</w:t>
      </w:r>
      <w:r>
        <w:rPr>
          <w:rFonts w:hint="eastAsia" w:ascii="仿宋" w:hAnsi="仿宋" w:eastAsia="仿宋" w:cs="仿宋"/>
          <w:b w:val="0"/>
          <w:bCs w:val="0"/>
          <w:i w:val="0"/>
          <w:iCs w:val="0"/>
          <w:color w:val="auto"/>
          <w:sz w:val="28"/>
          <w:szCs w:val="28"/>
          <w:highlight w:val="none"/>
          <w:lang w:val="en-US" w:eastAsia="zh-CN"/>
        </w:rPr>
        <w:t>20</w:t>
      </w:r>
      <w:r>
        <w:rPr>
          <w:rFonts w:hint="eastAsia" w:ascii="仿宋" w:hAnsi="仿宋" w:eastAsia="仿宋" w:cs="仿宋"/>
          <w:b w:val="0"/>
          <w:bCs w:val="0"/>
          <w:i w:val="0"/>
          <w:iCs w:val="0"/>
          <w:color w:val="auto"/>
          <w:sz w:val="28"/>
          <w:szCs w:val="28"/>
          <w:highlight w:val="none"/>
        </w:rPr>
        <w:t>0％赔偿甲方</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甲方有权在本工程结算时</w:t>
      </w:r>
      <w:r>
        <w:rPr>
          <w:rFonts w:hint="default" w:ascii="仿宋" w:hAnsi="仿宋" w:eastAsia="仿宋" w:cs="仿宋"/>
          <w:b w:val="0"/>
          <w:bCs w:val="0"/>
          <w:i w:val="0"/>
          <w:iCs w:val="0"/>
          <w:color w:val="auto"/>
          <w:sz w:val="28"/>
          <w:szCs w:val="28"/>
          <w:highlight w:val="none"/>
          <w:lang w:val="en-US" w:eastAsia="zh-CN"/>
        </w:rPr>
        <w:t>直接扣款</w:t>
      </w:r>
      <w:r>
        <w:rPr>
          <w:rFonts w:hint="eastAsia" w:ascii="仿宋" w:hAnsi="仿宋" w:eastAsia="仿宋" w:cs="仿宋"/>
          <w:b w:val="0"/>
          <w:bCs w:val="0"/>
          <w:i w:val="0"/>
          <w:iCs w:val="0"/>
          <w:color w:val="auto"/>
          <w:sz w:val="28"/>
          <w:szCs w:val="28"/>
          <w:highlight w:val="none"/>
        </w:rPr>
        <w:t>。</w:t>
      </w:r>
    </w:p>
    <w:p w14:paraId="4195119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10.2甲方供应材料损耗率计算公式：</w:t>
      </w:r>
      <w:r>
        <w:rPr>
          <w:rFonts w:hint="eastAsia" w:ascii="仿宋" w:hAnsi="仿宋" w:eastAsia="仿宋" w:cs="仿宋"/>
          <w:b w:val="0"/>
          <w:bCs w:val="0"/>
          <w:i w:val="0"/>
          <w:iCs w:val="0"/>
          <w:color w:val="auto"/>
          <w:sz w:val="28"/>
          <w:szCs w:val="28"/>
          <w:highlight w:val="none"/>
          <w:u w:val="single"/>
          <w:lang w:val="en-US" w:eastAsia="zh-CN"/>
        </w:rPr>
        <w:t xml:space="preserve">（实际使用量-图纸计量）/图纸计量*100% </w:t>
      </w:r>
      <w:r>
        <w:rPr>
          <w:rFonts w:hint="eastAsia" w:ascii="仿宋" w:hAnsi="仿宋" w:eastAsia="仿宋" w:cs="仿宋"/>
          <w:i w:val="0"/>
          <w:iCs w:val="0"/>
          <w:color w:val="auto"/>
          <w:sz w:val="28"/>
          <w:szCs w:val="28"/>
          <w:highlight w:val="none"/>
          <w:lang w:val="en-US" w:eastAsia="zh-CN"/>
        </w:rPr>
        <w:t>。</w:t>
      </w:r>
    </w:p>
    <w:p w14:paraId="47D414A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10.3乙方须自行单独向甲方申请，独立保存，独立管理甲方供应材料规格、数量，在签收和退还材料时，甲方乙方本合同执行人共同签名，作为损耗率结算依据。</w:t>
      </w:r>
    </w:p>
    <w:p w14:paraId="3E9E552B">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88" w:name="_Toc638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第十一章、验收及保修</w:t>
      </w:r>
      <w:bookmarkEnd w:id="88"/>
    </w:p>
    <w:p w14:paraId="4071D26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rPr>
      </w:pPr>
      <w:bookmarkStart w:id="89" w:name="_Toc15930"/>
      <w:bookmarkStart w:id="90" w:name="_Toc22218"/>
      <w:bookmarkStart w:id="91" w:name="_Toc6392"/>
      <w:bookmarkStart w:id="92" w:name="_Toc16075"/>
      <w:bookmarkStart w:id="93" w:name="_Toc24751"/>
      <w:bookmarkStart w:id="94" w:name="_Toc25181"/>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.1</w:t>
      </w:r>
      <w:bookmarkEnd w:id="89"/>
    </w:p>
    <w:p w14:paraId="2E59308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eastAsia="zh-CN"/>
        </w:rPr>
        <w:t>本</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任一</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组团/批次</w:t>
      </w:r>
      <w:r>
        <w:rPr>
          <w:rFonts w:hint="eastAsia" w:ascii="仿宋_GB2312" w:hAnsi="仿宋_GB2312" w:eastAsia="仿宋_GB2312" w:cs="仿宋_GB2312"/>
          <w:b w:val="0"/>
          <w:bCs w:val="0"/>
          <w:i w:val="0"/>
          <w:iCs w:val="0"/>
          <w:color w:val="auto"/>
          <w:sz w:val="28"/>
          <w:szCs w:val="28"/>
          <w:highlight w:val="none"/>
          <w:u w:val="none"/>
          <w:shd w:val="clear" w:color="auto" w:fill="auto"/>
        </w:rPr>
        <w:t>内容全部完工，乙方自检符合质量要求后提请甲方及</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组织验收，经</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建设行政主管部门、监理、</w:t>
      </w:r>
      <w:r>
        <w:rPr>
          <w:rFonts w:hint="eastAsia" w:ascii="仿宋_GB2312" w:hAnsi="仿宋_GB2312" w:eastAsia="仿宋_GB2312" w:cs="仿宋_GB2312"/>
          <w:b w:val="0"/>
          <w:bCs w:val="0"/>
          <w:i w:val="0"/>
          <w:iCs w:val="0"/>
          <w:color w:val="auto"/>
          <w:sz w:val="28"/>
          <w:szCs w:val="28"/>
          <w:highlight w:val="none"/>
          <w:u w:val="none"/>
          <w:shd w:val="clear" w:color="auto" w:fill="auto"/>
        </w:rPr>
        <w:t>甲方及</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验收合格后，移交给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使用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之</w:t>
      </w:r>
      <w:r>
        <w:rPr>
          <w:rFonts w:hint="eastAsia" w:ascii="仿宋_GB2312" w:hAnsi="仿宋_GB2312" w:eastAsia="仿宋_GB2312" w:cs="仿宋_GB2312"/>
          <w:b w:val="0"/>
          <w:bCs w:val="0"/>
          <w:i w:val="0"/>
          <w:iCs w:val="0"/>
          <w:color w:val="auto"/>
          <w:sz w:val="28"/>
          <w:szCs w:val="28"/>
          <w:highlight w:val="none"/>
          <w:u w:val="none"/>
          <w:shd w:val="clear" w:color="auto" w:fill="auto"/>
        </w:rPr>
        <w:t>日为</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该组团/批次</w:t>
      </w:r>
      <w:r>
        <w:rPr>
          <w:rFonts w:hint="eastAsia" w:ascii="仿宋_GB2312" w:hAnsi="仿宋_GB2312" w:eastAsia="仿宋_GB2312" w:cs="仿宋_GB2312"/>
          <w:b w:val="0"/>
          <w:bCs w:val="0"/>
          <w:i w:val="0"/>
          <w:iCs w:val="0"/>
          <w:color w:val="auto"/>
          <w:sz w:val="28"/>
          <w:szCs w:val="28"/>
          <w:highlight w:val="none"/>
          <w:u w:val="none"/>
          <w:shd w:val="clear" w:color="auto" w:fill="auto"/>
        </w:rPr>
        <w:t>内容</w:t>
      </w:r>
      <w:r>
        <w:rPr>
          <w:rFonts w:hint="eastAsia" w:ascii="仿宋_GB2312" w:hAnsi="仿宋_GB2312" w:eastAsia="仿宋_GB2312" w:cs="仿宋_GB2312"/>
          <w:i w:val="0"/>
          <w:iCs w:val="0"/>
          <w:color w:val="auto"/>
          <w:sz w:val="28"/>
          <w:szCs w:val="28"/>
          <w:highlight w:val="none"/>
          <w:u w:val="none"/>
          <w:shd w:val="clear" w:color="auto" w:fill="auto"/>
        </w:rPr>
        <w:t>完工</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之</w:t>
      </w:r>
      <w:r>
        <w:rPr>
          <w:rFonts w:hint="eastAsia" w:ascii="仿宋_GB2312" w:hAnsi="仿宋_GB2312" w:eastAsia="仿宋_GB2312" w:cs="仿宋_GB2312"/>
          <w:i w:val="0"/>
          <w:iCs w:val="0"/>
          <w:color w:val="auto"/>
          <w:sz w:val="28"/>
          <w:szCs w:val="28"/>
          <w:highlight w:val="none"/>
          <w:u w:val="none"/>
          <w:shd w:val="clear" w:color="auto" w:fill="auto"/>
        </w:rPr>
        <w:t>日</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eastAsia="zh-CN"/>
        </w:rPr>
        <w:t>保修期内，该组团</w:t>
      </w:r>
      <w:r>
        <w:rPr>
          <w:rFonts w:hint="eastAsia" w:ascii="仿宋" w:hAnsi="仿宋" w:eastAsia="仿宋" w:cs="仿宋"/>
          <w:i w:val="0"/>
          <w:iCs w:val="0"/>
          <w:color w:val="auto"/>
          <w:sz w:val="28"/>
          <w:szCs w:val="28"/>
          <w:highlight w:val="none"/>
          <w:shd w:val="clear" w:color="auto" w:fill="auto"/>
          <w:lang w:val="en-US" w:eastAsia="zh-CN"/>
        </w:rPr>
        <w:t>/批次</w:t>
      </w:r>
      <w:r>
        <w:rPr>
          <w:rFonts w:hint="eastAsia" w:ascii="仿宋" w:hAnsi="仿宋" w:eastAsia="仿宋" w:cs="仿宋"/>
          <w:i w:val="0"/>
          <w:iCs w:val="0"/>
          <w:color w:val="auto"/>
          <w:sz w:val="28"/>
          <w:szCs w:val="28"/>
          <w:highlight w:val="none"/>
          <w:shd w:val="clear" w:color="auto" w:fill="auto"/>
          <w:lang w:eastAsia="zh-CN"/>
        </w:rPr>
        <w:t>如出现较大质量缺陷，乙方履行保修义务至验收合格后，</w:t>
      </w:r>
      <w:r>
        <w:rPr>
          <w:rFonts w:hint="eastAsia" w:ascii="仿宋" w:hAnsi="仿宋" w:eastAsia="仿宋" w:cs="仿宋"/>
          <w:color w:val="auto"/>
          <w:sz w:val="28"/>
          <w:szCs w:val="28"/>
          <w:highlight w:val="none"/>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期自此时间开始顺延。</w:t>
      </w:r>
      <w:bookmarkEnd w:id="90"/>
      <w:bookmarkEnd w:id="91"/>
      <w:bookmarkEnd w:id="92"/>
      <w:bookmarkEnd w:id="93"/>
      <w:bookmarkEnd w:id="94"/>
    </w:p>
    <w:p w14:paraId="6BD7F37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eastAsia="zh-CN"/>
        </w:rPr>
        <w:t>本</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全部完工，乙方自检符合质量要求后提请甲方及</w:t>
      </w:r>
      <w:r>
        <w:rPr>
          <w:rFonts w:hint="eastAsia" w:ascii="仿宋_GB2312" w:hAnsi="仿宋_GB2312" w:eastAsia="仿宋_GB2312" w:cs="仿宋_GB2312"/>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组织验收，经</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政府主管部门、监理、</w:t>
      </w:r>
      <w:r>
        <w:rPr>
          <w:rFonts w:hint="eastAsia" w:ascii="仿宋_GB2312" w:hAnsi="仿宋_GB2312" w:eastAsia="仿宋_GB2312" w:cs="仿宋_GB2312"/>
          <w:i w:val="0"/>
          <w:iCs w:val="0"/>
          <w:color w:val="auto"/>
          <w:sz w:val="28"/>
          <w:szCs w:val="28"/>
          <w:highlight w:val="none"/>
          <w:u w:val="none"/>
          <w:shd w:val="clear" w:color="auto" w:fill="auto"/>
        </w:rPr>
        <w:t>甲方及</w:t>
      </w:r>
      <w:r>
        <w:rPr>
          <w:rFonts w:hint="eastAsia" w:ascii="仿宋_GB2312" w:hAnsi="仿宋_GB2312" w:eastAsia="仿宋_GB2312" w:cs="仿宋_GB2312"/>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验收合格后，以</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移交建设单位的书面记录日期为本工程完工日期</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14:paraId="5ABD1A4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.2</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保修期内，乙方对</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出现的质量问题免费进行维修或更换；</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保修内容</w:t>
      </w:r>
      <w:r>
        <w:rPr>
          <w:rFonts w:hint="eastAsia" w:ascii="仿宋_GB2312" w:hAnsi="仿宋_GB2312" w:eastAsia="仿宋_GB2312" w:cs="仿宋_GB2312"/>
          <w:i w:val="0"/>
          <w:iCs w:val="0"/>
          <w:color w:val="auto"/>
          <w:sz w:val="28"/>
          <w:szCs w:val="28"/>
          <w:highlight w:val="none"/>
          <w:u w:val="none"/>
          <w:shd w:val="clear" w:color="auto" w:fill="auto"/>
        </w:rPr>
        <w:t>包括合同价款所包含的工程项目、设计变更或修改、现场签证或双方或多方会议纪要约定的全部内容；凡因乙方原因造成的质量事故和缺陷，如</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各部位、部件、整体或单件的损坏、脱落、开裂、变形等，均由乙方无偿保修。</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rPr>
        <w:t>任一</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组团/批次内容</w:t>
      </w:r>
      <w:r>
        <w:rPr>
          <w:rFonts w:hint="eastAsia" w:ascii="仿宋_GB2312" w:hAnsi="仿宋_GB2312" w:eastAsia="仿宋_GB2312" w:cs="仿宋_GB2312"/>
          <w:b w:val="0"/>
          <w:bCs w:val="0"/>
          <w:i w:val="0"/>
          <w:iCs w:val="0"/>
          <w:color w:val="auto"/>
          <w:sz w:val="28"/>
          <w:szCs w:val="28"/>
          <w:highlight w:val="none"/>
          <w:u w:val="none"/>
          <w:shd w:val="clear" w:color="auto" w:fill="auto"/>
        </w:rPr>
        <w:t>的保修期为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二</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年</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 w:hAnsi="仿宋" w:eastAsia="仿宋" w:cs="仿宋"/>
          <w:b/>
          <w:bCs/>
          <w:color w:val="auto"/>
          <w:sz w:val="28"/>
          <w:szCs w:val="28"/>
          <w:highlight w:val="none"/>
        </w:rPr>
        <w:t>国家或甲方与建设单位另有更长</w:t>
      </w:r>
      <w:r>
        <w:rPr>
          <w:rFonts w:hint="eastAsia" w:ascii="仿宋" w:hAnsi="仿宋" w:eastAsia="仿宋" w:cs="仿宋"/>
          <w:b/>
          <w:bCs/>
          <w:color w:val="auto"/>
          <w:sz w:val="28"/>
          <w:szCs w:val="28"/>
          <w:highlight w:val="none"/>
          <w:lang w:val="en-US" w:eastAsia="zh-CN"/>
        </w:rPr>
        <w:t>保修</w:t>
      </w:r>
      <w:r>
        <w:rPr>
          <w:rFonts w:hint="eastAsia" w:ascii="仿宋" w:hAnsi="仿宋" w:eastAsia="仿宋" w:cs="仿宋"/>
          <w:b/>
          <w:bCs/>
          <w:color w:val="auto"/>
          <w:sz w:val="28"/>
          <w:szCs w:val="28"/>
          <w:highlight w:val="none"/>
        </w:rPr>
        <w:t>期限规定的，从其规定</w:t>
      </w:r>
      <w:r>
        <w:rPr>
          <w:rFonts w:hint="eastAsia" w:ascii="仿宋" w:hAnsi="仿宋" w:eastAsia="仿宋" w:cs="仿宋"/>
          <w:b/>
          <w:bCs/>
          <w:color w:val="auto"/>
          <w:sz w:val="28"/>
          <w:szCs w:val="28"/>
          <w:highlight w:val="none"/>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保修期</w:t>
      </w:r>
      <w:r>
        <w:rPr>
          <w:rFonts w:hint="eastAsia" w:ascii="仿宋_GB2312" w:hAnsi="仿宋_GB2312" w:eastAsia="仿宋_GB2312" w:cs="仿宋_GB2312"/>
          <w:b w:val="0"/>
          <w:bCs w:val="0"/>
          <w:i w:val="0"/>
          <w:iCs w:val="0"/>
          <w:color w:val="auto"/>
          <w:sz w:val="28"/>
          <w:szCs w:val="28"/>
          <w:highlight w:val="none"/>
          <w:u w:val="none"/>
          <w:shd w:val="clear" w:color="auto" w:fill="auto"/>
        </w:rPr>
        <w:t>从</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rPr>
        <w:t>该</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组团/批次内容/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全部</w:t>
      </w:r>
      <w:r>
        <w:rPr>
          <w:rFonts w:hint="eastAsia" w:ascii="仿宋_GB2312" w:hAnsi="仿宋_GB2312" w:eastAsia="仿宋_GB2312" w:cs="仿宋_GB2312"/>
          <w:b w:val="0"/>
          <w:bCs w:val="0"/>
          <w:i w:val="0"/>
          <w:iCs w:val="0"/>
          <w:color w:val="auto"/>
          <w:sz w:val="28"/>
          <w:szCs w:val="28"/>
          <w:highlight w:val="none"/>
          <w:u w:val="none"/>
          <w:shd w:val="clear" w:color="auto" w:fill="auto"/>
        </w:rPr>
        <w:t>内容经甲方及</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验收合格，移交</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使用之日起计。</w:t>
      </w:r>
    </w:p>
    <w:p w14:paraId="2E7B70B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default" w:ascii="仿宋_GB2312" w:hAnsi="仿宋_GB2312" w:eastAsia="仿宋_GB2312" w:cs="仿宋_GB2312"/>
          <w:b/>
          <w:bCs/>
          <w:i w:val="0"/>
          <w:iCs w:val="0"/>
          <w:color w:val="auto"/>
          <w:sz w:val="28"/>
          <w:szCs w:val="28"/>
          <w:highlight w:val="none"/>
          <w:u w:val="none"/>
          <w:shd w:val="clear" w:color="auto" w:fill="auto"/>
          <w:lang w:val="en-US" w:eastAsia="zh-CN"/>
        </w:rPr>
      </w:pPr>
      <w:bookmarkStart w:id="95" w:name="_Toc838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第十二章、其他</w:t>
      </w:r>
      <w:bookmarkEnd w:id="95"/>
    </w:p>
    <w:p w14:paraId="2C7B5B81">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96" w:name="_Toc11259"/>
      <w:bookmarkStart w:id="97" w:name="_Toc25550"/>
      <w:bookmarkStart w:id="98" w:name="_Toc1765"/>
      <w:bookmarkStart w:id="99" w:name="_Toc3368"/>
      <w:bookmarkStart w:id="100" w:name="_Toc15876"/>
      <w:bookmarkStart w:id="101" w:name="_Toc26023"/>
      <w:r>
        <w:rPr>
          <w:rFonts w:hint="eastAsia" w:ascii="仿宋_GB2312" w:hAnsi="仿宋_GB2312" w:eastAsia="仿宋_GB2312" w:cs="仿宋_GB2312"/>
          <w:i w:val="0"/>
          <w:iCs w:val="0"/>
          <w:color w:val="auto"/>
          <w:sz w:val="28"/>
          <w:szCs w:val="28"/>
          <w:highlight w:val="none"/>
          <w:u w:val="none"/>
          <w:shd w:val="clear" w:color="auto" w:fill="auto"/>
          <w:lang w:val="en-US" w:eastAsia="zh-CN"/>
        </w:rPr>
        <w:t>12.1甲乙双方联系人</w:t>
      </w:r>
      <w:bookmarkEnd w:id="96"/>
      <w:bookmarkEnd w:id="97"/>
      <w:bookmarkEnd w:id="98"/>
      <w:bookmarkEnd w:id="99"/>
      <w:bookmarkEnd w:id="100"/>
      <w:bookmarkEnd w:id="101"/>
    </w:p>
    <w:p w14:paraId="6F55E4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1.1甲方指定</w:t>
      </w:r>
      <w:r>
        <w:rPr>
          <w:rFonts w:hint="eastAsia" w:ascii="仿宋" w:hAnsi="仿宋" w:eastAsia="仿宋" w:cs="仿宋"/>
          <w:i w:val="0"/>
          <w:iCs w:val="0"/>
          <w:color w:val="auto"/>
          <w:sz w:val="28"/>
          <w:szCs w:val="28"/>
          <w:highlight w:val="none"/>
          <w:u w:val="single"/>
          <w:shd w:val="clear" w:color="auto" w:fill="auto"/>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 xml:space="preserve">彭善海 </w:t>
      </w:r>
      <w:r>
        <w:rPr>
          <w:rFonts w:hint="eastAsia" w:ascii="仿宋" w:hAnsi="仿宋" w:eastAsia="仿宋" w:cs="仿宋"/>
          <w:i w:val="0"/>
          <w:iCs w:val="0"/>
          <w:color w:val="auto"/>
          <w:sz w:val="28"/>
          <w:szCs w:val="28"/>
          <w:highlight w:val="none"/>
          <w:shd w:val="clear" w:color="auto" w:fill="auto"/>
        </w:rPr>
        <w:t>为本</w:t>
      </w:r>
      <w:r>
        <w:rPr>
          <w:rFonts w:hint="eastAsia" w:ascii="仿宋" w:hAnsi="仿宋" w:eastAsia="仿宋" w:cs="仿宋"/>
          <w:i w:val="0"/>
          <w:iCs w:val="0"/>
          <w:color w:val="auto"/>
          <w:sz w:val="28"/>
          <w:szCs w:val="28"/>
          <w:highlight w:val="none"/>
          <w:shd w:val="clear" w:color="auto" w:fill="auto"/>
          <w:lang w:val="en-US" w:eastAsia="zh-CN"/>
        </w:rPr>
        <w:t>项目</w:t>
      </w:r>
      <w:r>
        <w:rPr>
          <w:rFonts w:hint="eastAsia" w:ascii="仿宋" w:hAnsi="仿宋" w:eastAsia="仿宋" w:cs="仿宋"/>
          <w:b w:val="0"/>
          <w:bCs w:val="0"/>
          <w:i w:val="0"/>
          <w:iCs w:val="0"/>
          <w:color w:val="auto"/>
          <w:sz w:val="28"/>
          <w:szCs w:val="28"/>
          <w:highlight w:val="none"/>
          <w:shd w:val="clear" w:color="auto" w:fill="auto"/>
          <w:lang w:eastAsia="zh-CN"/>
        </w:rPr>
        <w:t>的负责人</w:t>
      </w:r>
      <w:r>
        <w:rPr>
          <w:rFonts w:hint="eastAsia" w:ascii="仿宋" w:hAnsi="仿宋" w:eastAsia="仿宋" w:cs="仿宋"/>
          <w:b w:val="0"/>
          <w:bCs w:val="0"/>
          <w:i w:val="0"/>
          <w:iCs w:val="0"/>
          <w:color w:val="auto"/>
          <w:sz w:val="28"/>
          <w:szCs w:val="28"/>
          <w:highlight w:val="none"/>
          <w:shd w:val="clear" w:color="auto" w:fill="auto"/>
          <w:lang w:val="en-US" w:eastAsia="zh-CN"/>
        </w:rPr>
        <w:t>及</w:t>
      </w:r>
      <w:r>
        <w:rPr>
          <w:rFonts w:hint="eastAsia" w:ascii="仿宋" w:hAnsi="仿宋" w:eastAsia="仿宋" w:cs="仿宋"/>
          <w:i w:val="0"/>
          <w:iCs w:val="0"/>
          <w:color w:val="auto"/>
          <w:sz w:val="28"/>
          <w:szCs w:val="28"/>
          <w:highlight w:val="none"/>
          <w:shd w:val="clear" w:color="auto" w:fill="auto"/>
        </w:rPr>
        <w:t>甲方</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执行联系人，联系电话</w:t>
      </w:r>
      <w:r>
        <w:rPr>
          <w:rFonts w:hint="eastAsia" w:ascii="仿宋" w:hAnsi="仿宋" w:eastAsia="仿宋" w:cs="仿宋"/>
          <w:i w:val="0"/>
          <w:iCs w:val="0"/>
          <w:color w:val="auto"/>
          <w:sz w:val="28"/>
          <w:szCs w:val="28"/>
          <w:highlight w:val="none"/>
          <w:u w:val="single"/>
          <w:shd w:val="clear" w:color="auto" w:fill="auto"/>
        </w:rPr>
        <w:t>：</w:t>
      </w:r>
      <w:r>
        <w:rPr>
          <w:rFonts w:hint="eastAsia" w:ascii="仿宋" w:hAnsi="仿宋" w:eastAsia="仿宋" w:cs="仿宋"/>
          <w:i w:val="0"/>
          <w:iCs w:val="0"/>
          <w:color w:val="auto"/>
          <w:sz w:val="28"/>
          <w:szCs w:val="28"/>
          <w:highlight w:val="none"/>
          <w:u w:val="single"/>
          <w:shd w:val="clear" w:color="auto" w:fill="auto"/>
          <w:lang w:val="en-US" w:eastAsia="zh-CN"/>
        </w:rPr>
        <w:t>13592796498</w:t>
      </w:r>
      <w:r>
        <w:rPr>
          <w:rFonts w:hint="eastAsia" w:ascii="仿宋" w:hAnsi="仿宋" w:eastAsia="仿宋" w:cs="仿宋"/>
          <w:i w:val="0"/>
          <w:iCs w:val="0"/>
          <w:color w:val="auto"/>
          <w:sz w:val="28"/>
          <w:szCs w:val="28"/>
          <w:highlight w:val="none"/>
          <w:u w:val="single"/>
          <w:shd w:val="clear" w:color="auto" w:fill="auto"/>
          <w:lang w:eastAsia="zh-CN"/>
        </w:rPr>
        <w:t>。</w:t>
      </w:r>
      <w:r>
        <w:rPr>
          <w:rFonts w:hint="eastAsia" w:ascii="仿宋" w:hAnsi="仿宋" w:eastAsia="仿宋" w:cs="仿宋"/>
          <w:i w:val="0"/>
          <w:iCs w:val="0"/>
          <w:color w:val="auto"/>
          <w:sz w:val="28"/>
          <w:szCs w:val="28"/>
          <w:highlight w:val="none"/>
          <w:shd w:val="clear" w:color="auto" w:fill="auto"/>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执行联系人签名并加盖</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项目章（样式详见附件）方为有效，否则为无效文件，仅盖章或者</w:t>
      </w:r>
      <w:r>
        <w:rPr>
          <w:rFonts w:hint="eastAsia" w:ascii="仿宋" w:hAnsi="仿宋" w:eastAsia="仿宋" w:cs="仿宋"/>
          <w:i w:val="0"/>
          <w:iCs w:val="0"/>
          <w:color w:val="auto"/>
          <w:sz w:val="28"/>
          <w:szCs w:val="28"/>
          <w:highlight w:val="none"/>
          <w:shd w:val="clear" w:color="auto" w:fill="auto"/>
          <w:lang w:val="en-US" w:eastAsia="zh-CN"/>
        </w:rPr>
        <w:t>仅</w:t>
      </w:r>
      <w:r>
        <w:rPr>
          <w:rFonts w:hint="eastAsia" w:ascii="仿宋" w:hAnsi="仿宋" w:eastAsia="仿宋" w:cs="仿宋"/>
          <w:i w:val="0"/>
          <w:iCs w:val="0"/>
          <w:color w:val="auto"/>
          <w:sz w:val="28"/>
          <w:szCs w:val="28"/>
          <w:highlight w:val="none"/>
          <w:shd w:val="clear" w:color="auto" w:fill="auto"/>
        </w:rPr>
        <w:t>签名的文件亦无效。甲方变更项目负责人、</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执行联系人的，将以书面形式通知乙方。</w:t>
      </w:r>
    </w:p>
    <w:p w14:paraId="6C6B64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1.2乙方指定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single"/>
          <w:lang w:val="en-US" w:eastAsia="zh-CN"/>
        </w:rPr>
        <w:t xml:space="preserve">微信号：       </w:t>
      </w:r>
      <w:r>
        <w:rPr>
          <w:rFonts w:hint="eastAsia" w:ascii="仿宋" w:hAnsi="仿宋" w:eastAsia="仿宋" w:cs="仿宋"/>
          <w:color w:val="auto"/>
          <w:sz w:val="28"/>
          <w:szCs w:val="28"/>
          <w:highlight w:val="none"/>
          <w:u w:val="none"/>
          <w:lang w:val="en-US" w:eastAsia="zh-CN"/>
        </w:rPr>
        <w:t>；电子邮箱：</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shd w:val="clear" w:color="auto" w:fill="auto"/>
        </w:rPr>
        <w:t>授权代表</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在</w:t>
      </w:r>
      <w:r>
        <w:rPr>
          <w:rFonts w:hint="eastAsia" w:ascii="仿宋" w:hAnsi="仿宋" w:eastAsia="仿宋" w:cs="仿宋"/>
          <w:b w:val="0"/>
          <w:bCs w:val="0"/>
          <w:i w:val="0"/>
          <w:iCs w:val="0"/>
          <w:color w:val="auto"/>
          <w:sz w:val="28"/>
          <w:szCs w:val="28"/>
          <w:highlight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u w:val="none"/>
          <w:shd w:val="clear" w:color="auto" w:fill="auto"/>
        </w:rPr>
        <w:t>乙</w:t>
      </w:r>
      <w:r>
        <w:rPr>
          <w:rFonts w:hint="eastAsia" w:ascii="仿宋" w:hAnsi="仿宋" w:eastAsia="仿宋" w:cs="仿宋"/>
          <w:b w:val="0"/>
          <w:bCs w:val="0"/>
          <w:i w:val="0"/>
          <w:iCs w:val="0"/>
          <w:color w:val="auto"/>
          <w:sz w:val="28"/>
          <w:szCs w:val="28"/>
          <w:highlight w:val="none"/>
          <w:shd w:val="clear" w:color="auto" w:fill="auto"/>
        </w:rPr>
        <w:t>方</w:t>
      </w:r>
      <w:r>
        <w:rPr>
          <w:rFonts w:hint="eastAsia" w:ascii="仿宋" w:hAnsi="仿宋" w:eastAsia="仿宋" w:cs="仿宋"/>
          <w:b w:val="0"/>
          <w:bCs w:val="0"/>
          <w:i w:val="0"/>
          <w:iCs w:val="0"/>
          <w:color w:val="auto"/>
          <w:sz w:val="28"/>
          <w:szCs w:val="28"/>
          <w:highlight w:val="none"/>
          <w:shd w:val="clear" w:color="auto" w:fill="auto"/>
          <w:lang w:val="en-US" w:eastAsia="zh-CN"/>
        </w:rPr>
        <w:t>授权</w:t>
      </w:r>
      <w:r>
        <w:rPr>
          <w:rFonts w:hint="eastAsia" w:ascii="仿宋" w:hAnsi="仿宋" w:eastAsia="仿宋" w:cs="仿宋"/>
          <w:b w:val="0"/>
          <w:bCs w:val="0"/>
          <w:i w:val="0"/>
          <w:iCs w:val="0"/>
          <w:color w:val="auto"/>
          <w:sz w:val="28"/>
          <w:szCs w:val="28"/>
          <w:highlight w:val="none"/>
          <w:shd w:val="clear" w:color="auto" w:fill="auto"/>
        </w:rPr>
        <w:t>处理与本合同</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rPr>
        <w:t>事项</w:t>
      </w:r>
      <w:r>
        <w:rPr>
          <w:rFonts w:hint="eastAsia" w:ascii="仿宋" w:hAnsi="仿宋" w:eastAsia="仿宋" w:cs="仿宋"/>
          <w:b w:val="0"/>
          <w:bCs w:val="0"/>
          <w:i w:val="0"/>
          <w:iCs w:val="0"/>
          <w:color w:val="auto"/>
          <w:sz w:val="28"/>
          <w:szCs w:val="28"/>
          <w:highlight w:val="none"/>
          <w:shd w:val="clear" w:color="auto" w:fill="auto"/>
          <w:lang w:val="en-US" w:eastAsia="zh-CN"/>
        </w:rPr>
        <w:t>的合同执行代表，负责与甲方公司总部办理</w:t>
      </w:r>
      <w:r>
        <w:rPr>
          <w:rFonts w:hint="eastAsia" w:ascii="仿宋" w:hAnsi="仿宋" w:eastAsia="仿宋" w:cs="仿宋"/>
          <w:b w:val="0"/>
          <w:bCs w:val="0"/>
          <w:i w:val="0"/>
          <w:iCs w:val="0"/>
          <w:color w:val="auto"/>
          <w:sz w:val="28"/>
          <w:szCs w:val="28"/>
          <w:highlight w:val="none"/>
          <w:shd w:val="clear" w:color="auto" w:fill="auto"/>
        </w:rPr>
        <w:t>相关事务（如负责双方来往</w:t>
      </w:r>
      <w:r>
        <w:rPr>
          <w:rFonts w:hint="eastAsia" w:ascii="仿宋" w:hAnsi="仿宋" w:eastAsia="仿宋" w:cs="仿宋"/>
          <w:b w:val="0"/>
          <w:bCs w:val="0"/>
          <w:i w:val="0"/>
          <w:iCs w:val="0"/>
          <w:color w:val="auto"/>
          <w:sz w:val="28"/>
          <w:szCs w:val="28"/>
          <w:highlight w:val="none"/>
          <w:shd w:val="clear" w:color="auto" w:fill="auto"/>
          <w:lang w:val="en-US" w:eastAsia="zh-CN"/>
        </w:rPr>
        <w:t>函件</w:t>
      </w:r>
      <w:r>
        <w:rPr>
          <w:rFonts w:hint="eastAsia" w:ascii="仿宋" w:hAnsi="仿宋" w:eastAsia="仿宋" w:cs="仿宋"/>
          <w:b w:val="0"/>
          <w:bCs w:val="0"/>
          <w:i w:val="0"/>
          <w:iCs w:val="0"/>
          <w:color w:val="auto"/>
          <w:sz w:val="28"/>
          <w:szCs w:val="28"/>
          <w:highlight w:val="none"/>
          <w:shd w:val="clear" w:color="auto" w:fill="auto"/>
        </w:rPr>
        <w:t>签收、签字、验收、确定增减</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rPr>
        <w:t>款、确定结算金额、领款、签收并签认甲方对乙方违约行为作出的处理通知等行为）</w:t>
      </w:r>
      <w:r>
        <w:rPr>
          <w:rFonts w:hint="eastAsia" w:ascii="仿宋" w:hAnsi="仿宋" w:eastAsia="仿宋" w:cs="仿宋"/>
          <w:b w:val="0"/>
          <w:bCs w:val="0"/>
          <w:i w:val="0"/>
          <w:iCs w:val="0"/>
          <w:color w:val="auto"/>
          <w:sz w:val="28"/>
          <w:szCs w:val="28"/>
          <w:highlight w:val="none"/>
          <w:shd w:val="clear" w:color="auto" w:fill="auto"/>
          <w:lang w:eastAsia="zh-CN"/>
        </w:rPr>
        <w:t>。</w:t>
      </w:r>
    </w:p>
    <w:p w14:paraId="27C8BC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12.1.3</w:t>
      </w:r>
      <w:r>
        <w:rPr>
          <w:rFonts w:hint="eastAsia" w:ascii="仿宋" w:hAnsi="仿宋" w:eastAsia="仿宋" w:cs="仿宋"/>
          <w:b w:val="0"/>
          <w:bCs w:val="0"/>
          <w:i w:val="0"/>
          <w:iCs w:val="0"/>
          <w:color w:val="auto"/>
          <w:sz w:val="28"/>
          <w:szCs w:val="28"/>
          <w:highlight w:val="none"/>
          <w:shd w:val="clear" w:color="auto" w:fill="auto"/>
        </w:rPr>
        <w:t>乙方指定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single"/>
          <w:lang w:val="en-US" w:eastAsia="zh-CN"/>
        </w:rPr>
        <w:t xml:space="preserve">微信号：       </w:t>
      </w:r>
      <w:r>
        <w:rPr>
          <w:rFonts w:hint="eastAsia" w:ascii="仿宋" w:hAnsi="仿宋" w:eastAsia="仿宋" w:cs="仿宋"/>
          <w:color w:val="auto"/>
          <w:sz w:val="28"/>
          <w:szCs w:val="28"/>
          <w:highlight w:val="none"/>
          <w:u w:val="none"/>
          <w:lang w:val="en-US" w:eastAsia="zh-CN"/>
        </w:rPr>
        <w:t>；电子邮箱：</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本合同的乙方现场负责人，在</w:t>
      </w:r>
      <w:r>
        <w:rPr>
          <w:rFonts w:hint="eastAsia" w:ascii="仿宋" w:hAnsi="仿宋" w:eastAsia="仿宋" w:cs="仿宋"/>
          <w:b w:val="0"/>
          <w:bCs w:val="0"/>
          <w:i w:val="0"/>
          <w:iCs w:val="0"/>
          <w:color w:val="auto"/>
          <w:sz w:val="28"/>
          <w:szCs w:val="28"/>
          <w:highlight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乙方授权处理本项目施工现场相关事项的合同执行代表，负责与甲方项目现场的工作签认、安排等全部事务。现场负责人必</w:t>
      </w:r>
      <w:r>
        <w:rPr>
          <w:rFonts w:hint="eastAsia" w:ascii="仿宋" w:hAnsi="仿宋" w:eastAsia="仿宋" w:cs="仿宋"/>
          <w:b w:val="0"/>
          <w:bCs w:val="0"/>
          <w:i w:val="0"/>
          <w:iCs w:val="0"/>
          <w:color w:val="auto"/>
          <w:sz w:val="28"/>
          <w:szCs w:val="28"/>
          <w:highlight w:val="none"/>
          <w:shd w:val="clear" w:color="auto" w:fill="auto"/>
        </w:rPr>
        <w:t>须常</w:t>
      </w:r>
      <w:r>
        <w:rPr>
          <w:rFonts w:hint="eastAsia" w:ascii="仿宋" w:hAnsi="仿宋" w:eastAsia="仿宋" w:cs="仿宋"/>
          <w:b w:val="0"/>
          <w:bCs w:val="0"/>
          <w:i w:val="0"/>
          <w:iCs w:val="0"/>
          <w:color w:val="auto"/>
          <w:sz w:val="28"/>
          <w:szCs w:val="28"/>
          <w:highlight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shd w:val="clear" w:color="auto" w:fill="auto"/>
        </w:rPr>
        <w:t>施工现场。</w:t>
      </w:r>
    </w:p>
    <w:p w14:paraId="286431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乙方对乙方授权代表及乙方现场负责人的行为均予认可并承担一切责任。乙方如需更换授权或现场负责人，须提前三个工作日书面报经甲方同意，否则不得更换。</w:t>
      </w:r>
    </w:p>
    <w:p w14:paraId="149B8D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221D0190">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乙方(盖章):  </w:t>
      </w:r>
    </w:p>
    <w:p w14:paraId="0A34864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65AA8C4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5CAD486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39005CE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52657C69">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地 址：广东省东莞市南城街道鸿福路        地  址：</w:t>
      </w:r>
    </w:p>
    <w:p w14:paraId="7709326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5C89F2C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p>
    <w:p w14:paraId="60C1D281">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p>
    <w:p w14:paraId="7F732D4A">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0" w:rightChars="0"/>
        <w:jc w:val="both"/>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bookmarkStart w:id="102" w:name="_Toc13232"/>
    </w:p>
    <w:p w14:paraId="01A76A2A">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合同通用条款</w:t>
      </w:r>
      <w:bookmarkEnd w:id="102"/>
    </w:p>
    <w:p w14:paraId="504BDF4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3" w:name="_Toc1570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第一章、承包方式</w:t>
      </w:r>
      <w:bookmarkEnd w:id="103"/>
    </w:p>
    <w:p w14:paraId="2A050D9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1.1包所有材料、人工、预留、预埋、安装等，包第三方检测合格且承担所有费用，包本工程图纸通过政府主管部门审查及所有费用，包所有机械设备（含进退场），包安全文明施工，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配合本项目竣工资料编制，包本工程所有资料（包各种形式的资料编写、收集、归档，并满足竣工验收要求及甲方与建设单位结算要求），包成品保护，包场地清理，包各种情形所要求的赶工措施及产生的费用，包因乙方原因引起的所有返工的人工、材料及机械费，包安全，包各种中间验收、各种隐蔽验收，包本工程政府主管部门的各种验收并取得政府主管部门验收通过或者验收合格等相关证书文件，包本合同履行期间上述各种验收所需的各种费用，包保修，包乙方人员生活电费，包管理，包利润，包税金，包物价上涨，包其他工种配合可能产生的降效及产生的费用，包本工程施工过程中涉及的一切风险因素、全部内容及费用。</w:t>
      </w:r>
    </w:p>
    <w:p w14:paraId="42B789DB">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4" w:name="_Toc1003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第二章、承包范围及主要工程内容</w:t>
      </w:r>
      <w:bookmarkEnd w:id="104"/>
    </w:p>
    <w:p w14:paraId="7EBDF67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w:t>
      </w:r>
      <w:r>
        <w:rPr>
          <w:rFonts w:hint="eastAsia" w:ascii="仿宋" w:hAnsi="仿宋" w:eastAsia="仿宋" w:cs="仿宋"/>
          <w:b w:val="0"/>
          <w:bCs w:val="0"/>
          <w:i w:val="0"/>
          <w:iCs w:val="0"/>
          <w:color w:val="auto"/>
          <w:sz w:val="28"/>
          <w:szCs w:val="28"/>
          <w:highlight w:val="none"/>
          <w:lang w:val="en-US" w:eastAsia="zh-CN"/>
        </w:rPr>
        <w:t>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b w:val="0"/>
          <w:bCs w:val="0"/>
          <w:color w:val="auto"/>
          <w:sz w:val="28"/>
          <w:szCs w:val="28"/>
          <w:highlight w:val="none"/>
          <w:lang w:eastAsia="zh-CN"/>
        </w:rPr>
        <w:t>文件</w:t>
      </w:r>
      <w:r>
        <w:rPr>
          <w:rFonts w:hint="eastAsia" w:ascii="仿宋" w:hAnsi="仿宋" w:eastAsia="仿宋" w:cs="仿宋"/>
          <w:b w:val="0"/>
          <w:bCs w:val="0"/>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本合同另有约定的除外。本工程由乙方编写施工方案及相关资料文件报甲方</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监理等单位审核</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审批</w:t>
      </w:r>
      <w:r>
        <w:rPr>
          <w:rFonts w:hint="eastAsia" w:ascii="仿宋" w:hAnsi="仿宋" w:eastAsia="仿宋" w:cs="仿宋"/>
          <w:b w:val="0"/>
          <w:bCs w:val="0"/>
          <w:i w:val="0"/>
          <w:iCs w:val="0"/>
          <w:color w:val="auto"/>
          <w:sz w:val="28"/>
          <w:szCs w:val="28"/>
          <w:highlight w:val="none"/>
          <w:shd w:val="clear" w:color="auto" w:fill="auto"/>
          <w:lang w:val="en-US" w:eastAsia="zh-CN"/>
        </w:rPr>
        <w:t>后</w:t>
      </w:r>
      <w:r>
        <w:rPr>
          <w:rFonts w:hint="eastAsia" w:ascii="仿宋" w:hAnsi="仿宋" w:eastAsia="仿宋" w:cs="仿宋"/>
          <w:b w:val="0"/>
          <w:bCs w:val="0"/>
          <w:i w:val="0"/>
          <w:iCs w:val="0"/>
          <w:color w:val="auto"/>
          <w:sz w:val="28"/>
          <w:szCs w:val="28"/>
          <w:highlight w:val="none"/>
          <w:shd w:val="clear" w:color="auto" w:fill="auto"/>
        </w:rPr>
        <w:t>方可实施。甲方</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监理对施工方案的审核</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审批不免除乙方</w:t>
      </w:r>
      <w:r>
        <w:rPr>
          <w:rFonts w:hint="eastAsia" w:ascii="仿宋" w:hAnsi="仿宋" w:eastAsia="仿宋" w:cs="仿宋"/>
          <w:b w:val="0"/>
          <w:bCs w:val="0"/>
          <w:i w:val="0"/>
          <w:iCs w:val="0"/>
          <w:color w:val="auto"/>
          <w:sz w:val="28"/>
          <w:szCs w:val="28"/>
          <w:highlight w:val="none"/>
          <w:shd w:val="clear" w:color="auto" w:fill="auto"/>
          <w:lang w:val="en-US" w:eastAsia="zh-CN"/>
        </w:rPr>
        <w:t>对实施</w:t>
      </w:r>
      <w:r>
        <w:rPr>
          <w:rFonts w:hint="eastAsia" w:ascii="仿宋" w:hAnsi="仿宋" w:eastAsia="仿宋" w:cs="仿宋"/>
          <w:b w:val="0"/>
          <w:bCs w:val="0"/>
          <w:i w:val="0"/>
          <w:iCs w:val="0"/>
          <w:color w:val="auto"/>
          <w:sz w:val="28"/>
          <w:szCs w:val="28"/>
          <w:highlight w:val="none"/>
          <w:shd w:val="clear" w:color="auto" w:fill="auto"/>
        </w:rPr>
        <w:t>该施工方案的所有责任和费用承担，甲方</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监理不因为对施工方案的审核</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审批而承担施工方案实施增加成本的责任。甲方有权调整乙方的承包范围及内容，乙方不得以任何理由拒绝，否则甲方有权单方解除合同。</w:t>
      </w:r>
    </w:p>
    <w:p w14:paraId="43186C0E">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2.2</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工完场清交接单》（格式详见附件）后方可进场施工；如乙方未签订《工完场清交接单》即施工的，视乙方认为适于施工并作为乙方施工前提，因该界面导致乙方施工内容不符合合同要求的，乙方自费返工至符合合同要求且不向甲方（或其他施工单位）索赔。</w:t>
      </w:r>
    </w:p>
    <w:p w14:paraId="3C42248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19F20BD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2.4</w:t>
      </w:r>
      <w:r>
        <w:rPr>
          <w:rFonts w:hint="eastAsia" w:ascii="仿宋_GB2312" w:hAnsi="仿宋_GB2312" w:eastAsia="仿宋_GB2312" w:cs="仿宋_GB2312"/>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i w:val="0"/>
          <w:iCs w:val="0"/>
          <w:color w:val="auto"/>
          <w:sz w:val="28"/>
          <w:szCs w:val="28"/>
          <w:highlight w:val="none"/>
          <w:u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u w:val="none"/>
          <w:shd w:val="clear" w:color="auto" w:fill="auto"/>
        </w:rPr>
        <w:t>按本合同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约定办理</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14:paraId="452473C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2.5</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施工现场内所需材料、机具的</w:t>
      </w:r>
      <w:r>
        <w:rPr>
          <w:rFonts w:hint="eastAsia" w:ascii="仿宋_GB2312" w:hAnsi="仿宋_GB2312" w:eastAsia="仿宋_GB2312" w:cs="仿宋_GB2312"/>
          <w:b w:val="0"/>
          <w:bCs w:val="0"/>
          <w:i w:val="0"/>
          <w:iCs w:val="0"/>
          <w:color w:val="auto"/>
          <w:sz w:val="28"/>
          <w:szCs w:val="28"/>
          <w:highlight w:val="none"/>
          <w:u w:val="none"/>
          <w:shd w:val="clear" w:color="auto" w:fill="auto"/>
        </w:rPr>
        <w:t>运输</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p>
    <w:p w14:paraId="37584ED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2.6</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材料、机具堆放场的文明施工工作。</w:t>
      </w:r>
    </w:p>
    <w:p w14:paraId="79EEF46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5" w:name="_Toc22918"/>
      <w:bookmarkStart w:id="106" w:name="_Toc22079"/>
      <w:bookmarkStart w:id="107" w:name="_Toc382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第三章、工期</w:t>
      </w:r>
      <w:bookmarkEnd w:id="105"/>
    </w:p>
    <w:p w14:paraId="7A4DCE7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本合同工期为计划工期，实际应开工、竣工时间以甲方书面通知为准，甲方书面通知形式包括不限于微信、短信、传真、电子邮件、纸质文件等。乙方收到甲方书面发出的《分包单位开工令》后方可进场，开工时间以开工令通知要求时间为准。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0497C2F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w:t>
      </w:r>
      <w:r>
        <w:rPr>
          <w:rFonts w:hint="eastAsia" w:ascii="仿宋_GB2312" w:hAnsi="仿宋_GB2312" w:eastAsia="仿宋_GB2312" w:cs="仿宋_GB2312"/>
          <w:i w:val="0"/>
          <w:iCs w:val="0"/>
          <w:color w:val="auto"/>
          <w:sz w:val="28"/>
          <w:szCs w:val="28"/>
          <w:highlight w:val="none"/>
          <w:shd w:val="clear" w:color="auto" w:fill="auto"/>
          <w:lang w:val="en-US" w:eastAsia="zh-CN"/>
        </w:rPr>
        <w:t>乙方提交的开工资料须满足甲方要求。且乙方在收到甲方项目经理签发并加盖甲方项目章的开工令（详见附件）后，按开工令要求进场。</w:t>
      </w:r>
    </w:p>
    <w:p w14:paraId="27C1781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3.3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5858CFB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3.4乙方须严格遵照甲方制订的施工进度计划施工及完成相关工作，接受甲方项目部施工任务安排，否则甲方可按合同对乙方予以扣款。</w:t>
      </w:r>
    </w:p>
    <w:p w14:paraId="422B0C9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373FB96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3.6本工程施工过程出现赶工、交叉作业、停工（包括建设单位原因造成的停工）及工人工资、材料费、机具费上涨等导致乙方成本、费用发生增加的，乙方不因此要求甲方对合同价格进行调整和另行增补费用。</w:t>
      </w:r>
    </w:p>
    <w:p w14:paraId="3792BF9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3.7春节、元旦、五一、十一、周末等法定节假日、休息日及技术要求或进度计划要求进行赶工、加班等费用已包含在本合同约定的☑合同单价/□合同总价内，甲方无需另行付费给乙方。</w:t>
      </w:r>
    </w:p>
    <w:p w14:paraId="405A63B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3C7CC67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1EDC391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3.10乙方须严格遵照甲方制订的施工进度计划开展具体施工工作，每</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必须到甲方项目部在《施工任务表》上签认施工任务并保证完成，否则主动接受相应的违约责任。</w:t>
      </w:r>
    </w:p>
    <w:p w14:paraId="748E9EA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p>
    <w:bookmarkEnd w:id="106"/>
    <w:bookmarkEnd w:id="107"/>
    <w:p w14:paraId="5E44EA8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8" w:name="_Toc960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第四章、工程质量标准</w:t>
      </w:r>
      <w:bookmarkEnd w:id="108"/>
    </w:p>
    <w:p w14:paraId="63D95E0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向</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val="en-US" w:eastAsia="zh-CN"/>
          <w14:textFill>
            <w14:solidFill>
              <w14:schemeClr w14:val="tx1"/>
            </w14:solidFill>
          </w14:textFill>
        </w:rPr>
        <w:t>承担违约金</w:t>
      </w:r>
      <w:r>
        <w:rPr>
          <w:rFonts w:hint="eastAsia" w:ascii="仿宋" w:hAnsi="仿宋" w:eastAsia="仿宋" w:cs="仿宋"/>
          <w:color w:val="auto"/>
          <w:sz w:val="28"/>
          <w:szCs w:val="28"/>
          <w:highlight w:val="none"/>
        </w:rPr>
        <w:t>贰仟至伍万元/次，整改二次以上的甲方有权对本工程按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val="en-US" w:eastAsia="zh-CN"/>
        </w:rPr>
        <w:t>单</w:t>
      </w:r>
      <w:r>
        <w:rPr>
          <w:rFonts w:hint="eastAsia" w:ascii="仿宋" w:hAnsi="仿宋" w:eastAsia="仿宋" w:cs="仿宋"/>
          <w:color w:val="auto"/>
          <w:sz w:val="28"/>
          <w:szCs w:val="28"/>
          <w:highlight w:val="none"/>
        </w:rPr>
        <w:t>价</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价下浮5%予以结算。</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7A56BC8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4.2由于乙方原因导致本工程任一部位质量达不到合同约定的质量标准或不符合施工规范的，该部位按相应的</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 w:hAnsi="仿宋" w:eastAsia="仿宋" w:cs="仿宋"/>
          <w:color w:val="auto"/>
          <w:sz w:val="28"/>
          <w:szCs w:val="28"/>
          <w:highlight w:val="none"/>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 w:hAnsi="仿宋" w:eastAsia="仿宋" w:cs="仿宋"/>
          <w:color w:val="auto"/>
          <w:sz w:val="28"/>
          <w:szCs w:val="28"/>
          <w:highlight w:val="none"/>
          <w:lang w:val="en-US" w:eastAsia="zh-CN"/>
        </w:rPr>
        <w:t>下调10％结算且乙方无条件完成整改，所发生的一切费用由乙方自行承担。</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3BC514C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4.3乙供材料收货验收流程及标准</w:t>
      </w:r>
    </w:p>
    <w:p w14:paraId="3545AFC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签订本合同后5日内，须将所有乙方承包范围内的、拟进入施工现场的材料、机械、仪表、设备等编制“分包单位订货进场计划申报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2DEF385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乙方选择运输材料、设备的机具、车辆时，须提前向甲方项目部安全员报备，选择适合的路线准时抵达，避免现场车辆拥堵，运输车辆总重不得超过现场道路限载，并服从甲方指挥，装卸时安全作业。</w:t>
      </w:r>
    </w:p>
    <w:p w14:paraId="7C06E06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施工周转材料和小型机具进场前应报甲方项目部进行检查，做好特殊标记，由备案人员进行清点后方可使用，无特殊标记的周转材料不得进场，私自进场的不得外运。</w:t>
      </w:r>
    </w:p>
    <w:p w14:paraId="2E2D63A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4.3.2甲方施工员在乙供材料、设备进场时，有权对品牌、规格、型号、质量等进行抽检并拍照留存。</w:t>
      </w:r>
    </w:p>
    <w:p w14:paraId="7BD0AF0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供材料质量如不符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13DC504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7050DAF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75C9585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4.4乙方须对甲供材料从外观等方面进行检查，发现异常情形当天即必须书面或微信（文字+图片或视频）报告甲方施工员和项目副经理。若乙方没有尽到上述责任、义务，导致施工成品质量不合格、不满足甲方要求或不满足合同约定的质量要求，则产生的损失和费用由乙方承担。 </w:t>
      </w:r>
    </w:p>
    <w:p w14:paraId="743CF19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4.10乙方必须以甲方验收合格为标准，无条件接受返工、整改，工期不得顺延。</w:t>
      </w:r>
      <w:r>
        <w:rPr>
          <w:rFonts w:hint="eastAsia" w:ascii="仿宋" w:hAnsi="仿宋" w:eastAsia="仿宋" w:cs="仿宋"/>
          <w:color w:val="auto"/>
          <w:sz w:val="28"/>
          <w:szCs w:val="28"/>
          <w:highlight w:val="none"/>
        </w:rPr>
        <w:t xml:space="preserve"> </w:t>
      </w:r>
    </w:p>
    <w:p w14:paraId="1B0CC5E4">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9" w:name="_Toc14746"/>
      <w:bookmarkStart w:id="110" w:name="_Toc2060"/>
      <w:bookmarkStart w:id="111" w:name="_Toc19252"/>
      <w:bookmarkStart w:id="112" w:name="_Toc1336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第五章、合同价款</w:t>
      </w:r>
      <w:bookmarkEnd w:id="109"/>
      <w:bookmarkEnd w:id="110"/>
      <w:bookmarkEnd w:id="111"/>
      <w:bookmarkEnd w:id="112"/>
    </w:p>
    <w:p w14:paraId="1B4D812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113" w:name="_Toc22213"/>
      <w:bookmarkStart w:id="114" w:name="_Toc2871"/>
      <w:bookmarkStart w:id="115" w:name="_Toc12707"/>
      <w:bookmarkStart w:id="116" w:name="_Toc4027"/>
      <w:bookmarkStart w:id="117" w:name="_Toc980"/>
      <w:bookmarkStart w:id="118" w:name="_Toc16265"/>
      <w:r>
        <w:rPr>
          <w:rFonts w:hint="eastAsia" w:ascii="仿宋_GB2312" w:hAnsi="仿宋_GB2312" w:eastAsia="仿宋_GB2312" w:cs="仿宋_GB2312"/>
          <w:i w:val="0"/>
          <w:iCs w:val="0"/>
          <w:color w:val="auto"/>
          <w:sz w:val="28"/>
          <w:szCs w:val="28"/>
          <w:highlight w:val="none"/>
          <w:u w:val="none"/>
          <w:shd w:val="clear" w:color="auto" w:fill="auto"/>
          <w:lang w:val="en-US" w:eastAsia="zh-CN"/>
        </w:rPr>
        <w:t>5.1</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包括乙方完成下述工作及应对下述情况的费用、风险的费用，甲方无需另行付费给乙方</w:t>
      </w:r>
      <w:r>
        <w:rPr>
          <w:rFonts w:hint="eastAsia" w:ascii="仿宋_GB2312" w:hAnsi="仿宋_GB2312" w:eastAsia="仿宋_GB2312" w:cs="仿宋_GB2312"/>
          <w:i w:val="0"/>
          <w:iCs w:val="0"/>
          <w:color w:val="auto"/>
          <w:sz w:val="28"/>
          <w:szCs w:val="28"/>
          <w:highlight w:val="none"/>
          <w:u w:val="none"/>
          <w:shd w:val="clear" w:color="auto" w:fill="auto"/>
        </w:rPr>
        <w:t>：</w:t>
      </w:r>
      <w:bookmarkEnd w:id="113"/>
      <w:bookmarkEnd w:id="114"/>
      <w:bookmarkEnd w:id="115"/>
      <w:bookmarkEnd w:id="116"/>
      <w:bookmarkEnd w:id="117"/>
      <w:bookmarkEnd w:id="118"/>
    </w:p>
    <w:p w14:paraId="0FC8BB4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6075C2B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）配备本工程所需电工、</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焊工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，且须持证上岗。甲方电工仅对乙方电工进行监督、检查、管理、指导。</w:t>
      </w:r>
    </w:p>
    <w:p w14:paraId="6CCF485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）春节、元旦、五一、十一、周末等法定节假日、</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休息日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及技术要求或进度计划要求进行赶工、加班。</w:t>
      </w:r>
    </w:p>
    <w:p w14:paraId="7FEC36A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）参与甲供材料（如</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有</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申报采购、验收和收货，其数量作为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甲供</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材料损耗率的核算依据</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之一</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7BA13AA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施工过程出现赶工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交叉作业</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停工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工人工资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材料费、机具费上涨等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导致乙方成本、费用发生</w:t>
      </w:r>
      <w:r>
        <w:rPr>
          <w:rFonts w:hint="eastAsia" w:ascii="仿宋_GB2312" w:hAnsi="仿宋_GB2312" w:eastAsia="仿宋_GB2312" w:cs="仿宋_GB2312"/>
          <w:b w:val="0"/>
          <w:bCs w:val="0"/>
          <w:i w:val="0"/>
          <w:iCs w:val="0"/>
          <w:color w:val="auto"/>
          <w:sz w:val="28"/>
          <w:szCs w:val="28"/>
          <w:highlight w:val="none"/>
          <w:u w:val="none"/>
          <w:shd w:val="clear" w:color="auto" w:fill="auto"/>
        </w:rPr>
        <w:t>增</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加</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的情况。</w:t>
      </w:r>
    </w:p>
    <w:p w14:paraId="7C7838A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5.2</w:t>
      </w:r>
      <w:bookmarkStart w:id="119" w:name="_Toc32757"/>
      <w:bookmarkStart w:id="120" w:name="_Toc9761"/>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已考虑突发疫情等流行疾病影响因素，乙方不以疫情防控为由要求甲方对合同价、合同结算办法及工期等合同条款进行调整，防疫措施的一切费用已包含在合同价内，不另计费。</w:t>
      </w:r>
    </w:p>
    <w:p w14:paraId="00C63A3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bookmarkEnd w:id="119"/>
    <w:bookmarkEnd w:id="120"/>
    <w:p w14:paraId="6F72D297">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1" w:name="_Toc17936"/>
      <w:bookmarkStart w:id="122" w:name="_Toc29136"/>
      <w:bookmarkStart w:id="123" w:name="_Toc1900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第六章、计量计价方式及结算方式</w:t>
      </w:r>
      <w:bookmarkEnd w:id="121"/>
      <w:bookmarkEnd w:id="122"/>
      <w:bookmarkEnd w:id="123"/>
    </w:p>
    <w:p w14:paraId="031B1E3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经甲方项目部验收合格的工程，按合同约定的计价方式结算。</w:t>
      </w:r>
    </w:p>
    <w:p w14:paraId="57A8688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color w:val="000000" w:themeColor="text1"/>
          <w:sz w:val="28"/>
          <w:szCs w:val="28"/>
          <w:highlight w:val="none"/>
          <w:lang w:val="en-US" w:eastAsia="zh-CN"/>
          <w14:textFill>
            <w14:solidFill>
              <w14:schemeClr w14:val="tx1"/>
            </w14:solidFill>
          </w14:textFill>
        </w:rPr>
        <w:t>固定单价合同结算方式：结算总价=完成并达到合同标准的工程量×合同单价-合同约定扣除费用。</w:t>
      </w:r>
    </w:p>
    <w:p w14:paraId="346A1AD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color w:val="000000" w:themeColor="text1"/>
          <w:sz w:val="28"/>
          <w:szCs w:val="28"/>
          <w:highlight w:val="none"/>
          <w:lang w:val="en-US" w:eastAsia="zh-CN"/>
          <w14:textFill>
            <w14:solidFill>
              <w14:schemeClr w14:val="tx1"/>
            </w14:solidFill>
          </w14:textFill>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6259C16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24" w:name="_Toc30942"/>
      <w:bookmarkStart w:id="125" w:name="_Toc17017"/>
      <w:bookmarkStart w:id="126" w:name="_Toc27642"/>
      <w:r>
        <w:rPr>
          <w:rFonts w:hint="eastAsia" w:ascii="仿宋" w:hAnsi="仿宋" w:eastAsia="仿宋" w:cs="仿宋"/>
          <w:color w:val="000000" w:themeColor="text1"/>
          <w:sz w:val="28"/>
          <w:szCs w:val="28"/>
          <w:highlight w:val="none"/>
          <w:lang w:val="en-US" w:eastAsia="zh-CN"/>
          <w14:textFill>
            <w14:solidFill>
              <w14:schemeClr w14:val="tx1"/>
            </w14:solidFill>
          </w14:textFill>
        </w:rPr>
        <w:t>6.2计量依据：（须完成施工并经甲方验收合格的方可作为计量依据）</w:t>
      </w:r>
      <w:bookmarkEnd w:id="124"/>
      <w:bookmarkEnd w:id="125"/>
      <w:bookmarkEnd w:id="126"/>
    </w:p>
    <w:p w14:paraId="1E2EC2B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27" w:name="_Toc9228"/>
      <w:bookmarkStart w:id="128" w:name="_Toc29385"/>
      <w:bookmarkStart w:id="129" w:name="_Toc17909"/>
      <w:r>
        <w:rPr>
          <w:rFonts w:hint="eastAsia" w:ascii="仿宋" w:hAnsi="仿宋" w:eastAsia="仿宋" w:cs="仿宋"/>
          <w:color w:val="000000" w:themeColor="text1"/>
          <w:sz w:val="28"/>
          <w:szCs w:val="28"/>
          <w:highlight w:val="none"/>
          <w:lang w:val="en-US" w:eastAsia="zh-CN"/>
          <w14:textFill>
            <w14:solidFill>
              <w14:schemeClr w14:val="tx1"/>
            </w14:solidFill>
          </w14:textFill>
        </w:rPr>
        <w:t>6.2.1甲方招标报价版施工图纸或甲方签认下发的施工图；</w:t>
      </w:r>
      <w:bookmarkEnd w:id="127"/>
      <w:bookmarkEnd w:id="128"/>
      <w:bookmarkEnd w:id="129"/>
    </w:p>
    <w:p w14:paraId="3AAA91F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30" w:name="_Toc14569"/>
      <w:bookmarkStart w:id="131" w:name="_Toc23167"/>
      <w:bookmarkStart w:id="132" w:name="_Toc17450"/>
      <w:r>
        <w:rPr>
          <w:rFonts w:hint="eastAsia" w:ascii="仿宋" w:hAnsi="仿宋" w:eastAsia="仿宋" w:cs="仿宋"/>
          <w:color w:val="000000" w:themeColor="text1"/>
          <w:sz w:val="28"/>
          <w:szCs w:val="28"/>
          <w:highlight w:val="none"/>
          <w:lang w:val="en-US" w:eastAsia="zh-CN"/>
          <w14:textFill>
            <w14:solidFill>
              <w14:schemeClr w14:val="tx1"/>
            </w14:solidFill>
          </w14:textFill>
        </w:rPr>
        <w:t>6.2.2设计变更、甲方与建设单位签认的交楼标准、联系单及签证单；</w:t>
      </w:r>
      <w:bookmarkEnd w:id="130"/>
      <w:bookmarkEnd w:id="131"/>
      <w:bookmarkEnd w:id="132"/>
    </w:p>
    <w:p w14:paraId="7FF6C38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33" w:name="_Toc8331"/>
      <w:bookmarkStart w:id="134" w:name="_Toc26513"/>
      <w:bookmarkStart w:id="135" w:name="_Toc26580"/>
      <w:r>
        <w:rPr>
          <w:rFonts w:hint="eastAsia" w:ascii="仿宋" w:hAnsi="仿宋" w:eastAsia="仿宋" w:cs="仿宋"/>
          <w:color w:val="000000" w:themeColor="text1"/>
          <w:sz w:val="28"/>
          <w:szCs w:val="28"/>
          <w:highlight w:val="none"/>
          <w:lang w:val="en-US" w:eastAsia="zh-CN"/>
          <w14:textFill>
            <w14:solidFill>
              <w14:schemeClr w14:val="tx1"/>
            </w14:solidFill>
          </w14:textFill>
        </w:rPr>
        <w:t>6.2.3甲方、建设单位、监理签认的竣工图；</w:t>
      </w:r>
      <w:bookmarkEnd w:id="133"/>
      <w:bookmarkEnd w:id="134"/>
      <w:bookmarkEnd w:id="135"/>
    </w:p>
    <w:p w14:paraId="63D02AF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36" w:name="_Toc26217"/>
      <w:bookmarkStart w:id="137" w:name="_Toc10040"/>
      <w:bookmarkStart w:id="138" w:name="_Toc12315"/>
      <w:r>
        <w:rPr>
          <w:rFonts w:hint="eastAsia" w:ascii="仿宋" w:hAnsi="仿宋" w:eastAsia="仿宋" w:cs="仿宋"/>
          <w:color w:val="000000" w:themeColor="text1"/>
          <w:sz w:val="28"/>
          <w:szCs w:val="28"/>
          <w:highlight w:val="none"/>
          <w:lang w:val="en-US" w:eastAsia="zh-CN"/>
          <w14:textFill>
            <w14:solidFill>
              <w14:schemeClr w14:val="tx1"/>
            </w14:solidFill>
          </w14:textFill>
        </w:rPr>
        <w:t>6.2.4图纸会审纪要；</w:t>
      </w:r>
      <w:bookmarkEnd w:id="136"/>
      <w:bookmarkEnd w:id="137"/>
      <w:bookmarkEnd w:id="138"/>
    </w:p>
    <w:p w14:paraId="52E706B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39" w:name="_Toc23688"/>
      <w:bookmarkStart w:id="140" w:name="_Toc1687"/>
      <w:bookmarkStart w:id="141" w:name="_Toc24482"/>
      <w:r>
        <w:rPr>
          <w:rFonts w:hint="eastAsia" w:ascii="仿宋" w:hAnsi="仿宋" w:eastAsia="仿宋" w:cs="仿宋"/>
          <w:color w:val="000000" w:themeColor="text1"/>
          <w:sz w:val="28"/>
          <w:szCs w:val="28"/>
          <w:highlight w:val="none"/>
          <w:lang w:val="en-US" w:eastAsia="zh-CN"/>
          <w14:textFill>
            <w14:solidFill>
              <w14:schemeClr w14:val="tx1"/>
            </w14:solidFill>
          </w14:textFill>
        </w:rPr>
        <w:t>6.2.5政府主管部门要求而图纸中没有且建设单位同意施工的内容；</w:t>
      </w:r>
      <w:bookmarkEnd w:id="139"/>
      <w:bookmarkEnd w:id="140"/>
      <w:bookmarkEnd w:id="141"/>
    </w:p>
    <w:p w14:paraId="52D40F5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42" w:name="_Toc21701"/>
      <w:bookmarkStart w:id="143" w:name="_Toc14849"/>
      <w:bookmarkStart w:id="144" w:name="_Toc4134"/>
      <w:r>
        <w:rPr>
          <w:rFonts w:hint="eastAsia" w:ascii="仿宋" w:hAnsi="仿宋" w:eastAsia="仿宋" w:cs="仿宋"/>
          <w:color w:val="000000" w:themeColor="text1"/>
          <w:sz w:val="28"/>
          <w:szCs w:val="28"/>
          <w:highlight w:val="none"/>
          <w:lang w:val="en-US" w:eastAsia="zh-CN"/>
          <w14:textFill>
            <w14:solidFill>
              <w14:schemeClr w14:val="tx1"/>
            </w14:solidFill>
          </w14:textFill>
        </w:rPr>
        <w:t>6.2.6建设单位、监理、甲方、乙方四方测量签字确认的原始场地标高图及场地完成后标高图（适用于土方工程）；</w:t>
      </w:r>
      <w:bookmarkEnd w:id="142"/>
      <w:bookmarkEnd w:id="143"/>
      <w:bookmarkEnd w:id="144"/>
    </w:p>
    <w:p w14:paraId="6C09306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45" w:name="_Toc29121"/>
      <w:bookmarkStart w:id="146" w:name="_Toc5770"/>
      <w:bookmarkStart w:id="147" w:name="_Toc330"/>
      <w:r>
        <w:rPr>
          <w:rFonts w:hint="eastAsia" w:ascii="仿宋" w:hAnsi="仿宋" w:eastAsia="仿宋" w:cs="仿宋"/>
          <w:color w:val="000000" w:themeColor="text1"/>
          <w:sz w:val="28"/>
          <w:szCs w:val="28"/>
          <w:highlight w:val="none"/>
          <w:lang w:val="en-US" w:eastAsia="zh-CN"/>
          <w14:textFill>
            <w14:solidFill>
              <w14:schemeClr w14:val="tx1"/>
            </w14:solidFill>
          </w14:textFill>
        </w:rPr>
        <w:t>6.2.7建设方、监理、甲方、乙方四方测量签字确认的打桩记录表、桩位编号图（适用于桩基工程、搅拌桩工程、钢板桩工程、旋挖桩、工法桩等全部桩基工程）；</w:t>
      </w:r>
      <w:bookmarkEnd w:id="145"/>
      <w:bookmarkEnd w:id="146"/>
      <w:bookmarkEnd w:id="147"/>
    </w:p>
    <w:p w14:paraId="6E36E5F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highlight w:val="none"/>
          <w:lang w:val="en-US" w:eastAsia="zh-CN"/>
        </w:rPr>
      </w:pPr>
      <w:bookmarkStart w:id="148" w:name="_Toc14918"/>
      <w:bookmarkStart w:id="149" w:name="_Toc23661"/>
      <w:bookmarkStart w:id="150" w:name="_Toc14524"/>
      <w:r>
        <w:rPr>
          <w:rFonts w:hint="eastAsia" w:ascii="仿宋" w:hAnsi="仿宋" w:eastAsia="仿宋" w:cs="仿宋"/>
          <w:color w:val="000000" w:themeColor="text1"/>
          <w:sz w:val="28"/>
          <w:szCs w:val="28"/>
          <w:highlight w:val="none"/>
          <w:lang w:val="en-US" w:eastAsia="zh-CN"/>
          <w14:textFill>
            <w14:solidFill>
              <w14:schemeClr w14:val="tx1"/>
            </w14:solidFill>
          </w14:textFill>
        </w:rPr>
        <w:t>6.2.8打拔钢板桩时间记录表（时间以建设单位签字确认的记录表为准）。</w:t>
      </w:r>
      <w:bookmarkEnd w:id="148"/>
      <w:bookmarkEnd w:id="149"/>
      <w:bookmarkEnd w:id="150"/>
    </w:p>
    <w:p w14:paraId="31D0069A">
      <w:pPr>
        <w:keepNext w:val="0"/>
        <w:keepLines w:val="0"/>
        <w:pageBreakBefore w:val="0"/>
        <w:widowControl w:val="0"/>
        <w:shd w:val="clear"/>
        <w:kinsoku/>
        <w:wordWrap/>
        <w:overflowPunct/>
        <w:topLinePunct w:val="0"/>
        <w:autoSpaceDE/>
        <w:autoSpaceDN/>
        <w:bidi w:val="0"/>
        <w:adjustRightInd w:val="0"/>
        <w:snapToGrid w:val="0"/>
        <w:spacing w:line="360" w:lineRule="auto"/>
        <w:ind w:left="279" w:leftChars="133" w:right="0" w:rightChars="0" w:firstLine="137" w:firstLineChars="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6.3签证工程管理制度</w:t>
      </w:r>
    </w:p>
    <w:p w14:paraId="7853CCCC">
      <w:pPr>
        <w:keepNext w:val="0"/>
        <w:keepLines w:val="0"/>
        <w:pageBreakBefore w:val="0"/>
        <w:widowControl w:val="0"/>
        <w:shd w:val="clear"/>
        <w:kinsoku/>
        <w:wordWrap/>
        <w:overflowPunct/>
        <w:topLinePunct w:val="0"/>
        <w:autoSpaceDE/>
        <w:autoSpaceDN/>
        <w:bidi w:val="0"/>
        <w:adjustRightInd w:val="0"/>
        <w:snapToGrid w:val="0"/>
        <w:spacing w:line="360" w:lineRule="auto"/>
        <w:ind w:left="279" w:leftChars="133" w:right="0" w:rightChars="0" w:firstLine="137" w:firstLineChars="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6.3.1签证必须包括的内容、资料及要求   </w:t>
      </w:r>
    </w:p>
    <w:p w14:paraId="26652D60">
      <w:pPr>
        <w:keepNext w:val="0"/>
        <w:keepLines w:val="0"/>
        <w:pageBreakBefore w:val="0"/>
        <w:widowControl w:val="0"/>
        <w:shd w:val="clear"/>
        <w:kinsoku/>
        <w:wordWrap/>
        <w:overflowPunct/>
        <w:topLinePunct w:val="0"/>
        <w:autoSpaceDE/>
        <w:autoSpaceDN/>
        <w:bidi w:val="0"/>
        <w:adjustRightInd w:val="0"/>
        <w:snapToGrid w:val="0"/>
        <w:spacing w:line="360" w:lineRule="auto"/>
        <w:ind w:left="279" w:leftChars="133" w:right="0" w:rightChars="0" w:firstLine="137" w:firstLineChars="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6.3.1.1签证单签发时间及编号。</w:t>
      </w:r>
    </w:p>
    <w:p w14:paraId="4958F3B8">
      <w:pPr>
        <w:keepNext w:val="0"/>
        <w:keepLines w:val="0"/>
        <w:pageBreakBefore w:val="0"/>
        <w:widowControl w:val="0"/>
        <w:shd w:val="clear"/>
        <w:kinsoku/>
        <w:wordWrap/>
        <w:overflowPunct/>
        <w:topLinePunct w:val="0"/>
        <w:autoSpaceDE/>
        <w:autoSpaceDN/>
        <w:bidi w:val="0"/>
        <w:adjustRightInd w:val="0"/>
        <w:snapToGrid w:val="0"/>
        <w:spacing w:line="360" w:lineRule="auto"/>
        <w:ind w:left="279" w:leftChars="133" w:right="0" w:rightChars="0" w:firstLine="137" w:firstLineChars="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6.3.1.2签证事实发生的原因、工作内容、完成的工程量。</w:t>
      </w:r>
    </w:p>
    <w:p w14:paraId="70B4F54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6.3.1.3签证单（含附件：①草签单，②通知单/联系单/设计变更文件，③影像资料等。由乙方按甲方规定的格式填写。）</w:t>
      </w:r>
    </w:p>
    <w:p w14:paraId="00080B5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6.3.1.4执行签证事实的依据：如建设单位签发的建设单位通知单、联系函、设计变更等文件。</w:t>
      </w:r>
    </w:p>
    <w:p w14:paraId="35C43BC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15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3154FDD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38485BF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30827C7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6.3.1.8乙方现场执行人签名、盖章、内容不清楚、不齐全的签证单或工程量计算单，甲方项目部有权拒收。</w:t>
      </w:r>
    </w:p>
    <w:p w14:paraId="77E1642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6.3.1.9</w:t>
      </w:r>
      <w:r>
        <w:rPr>
          <w:rFonts w:hint="eastAsia" w:ascii="仿宋" w:hAnsi="仿宋" w:eastAsia="仿宋" w:cs="仿宋"/>
          <w:color w:val="000000" w:themeColor="text1"/>
          <w:sz w:val="28"/>
          <w:szCs w:val="28"/>
          <w:highlight w:val="none"/>
          <w:lang w:val="en-US" w:eastAsia="zh-CN"/>
          <w14:textFill>
            <w14:solidFill>
              <w14:schemeClr w14:val="tx1"/>
            </w14:solidFill>
          </w14:textFill>
        </w:rPr>
        <w:t>对同一签证内容，如“</w:t>
      </w:r>
      <w:r>
        <w:rPr>
          <w:rFonts w:hint="eastAsia" w:ascii="仿宋" w:hAnsi="仿宋" w:eastAsia="仿宋" w:cs="仿宋"/>
          <w:b w:val="0"/>
          <w:bCs w:val="0"/>
          <w:i w:val="0"/>
          <w:iCs w:val="0"/>
          <w:color w:val="auto"/>
          <w:sz w:val="28"/>
          <w:szCs w:val="28"/>
          <w:highlight w:val="none"/>
          <w:lang w:val="en-US" w:eastAsia="zh-CN"/>
        </w:rPr>
        <w:t>甲方与乙方的签证”和“建设单位与甲方的签证”不一致，以较小的量、价对乙方签证确认。</w:t>
      </w:r>
    </w:p>
    <w:p w14:paraId="1CD29E6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6.3.1.10</w:t>
      </w:r>
      <w:r>
        <w:rPr>
          <w:rFonts w:hint="eastAsia" w:ascii="仿宋" w:hAnsi="仿宋" w:eastAsia="仿宋" w:cs="仿宋"/>
          <w:color w:val="000000" w:themeColor="text1"/>
          <w:sz w:val="28"/>
          <w:szCs w:val="28"/>
          <w:highlight w:val="none"/>
          <w:lang w:val="en-US" w:eastAsia="zh-CN"/>
          <w14:textFill>
            <w14:solidFill>
              <w14:schemeClr w14:val="tx1"/>
            </w14:solidFill>
          </w14:textFill>
        </w:rPr>
        <w:t>对同一签证内容，</w:t>
      </w:r>
      <w:r>
        <w:rPr>
          <w:rFonts w:hint="eastAsia" w:ascii="仿宋" w:hAnsi="仿宋" w:eastAsia="仿宋" w:cs="仿宋"/>
          <w:b w:val="0"/>
          <w:bCs w:val="0"/>
          <w:i w:val="0"/>
          <w:iCs w:val="0"/>
          <w:color w:val="auto"/>
          <w:sz w:val="28"/>
          <w:szCs w:val="28"/>
          <w:highlight w:val="none"/>
          <w:lang w:val="en-US" w:eastAsia="zh-CN"/>
        </w:rPr>
        <w:t>甲方与建设单位办理了签证单，而该签证单内容甲方又分给了多家施工单位完成的，乙方须提供甲乙双方确认的《签证单分包说明》（格式详见附件）作为乙方结算依据方可结算。</w:t>
      </w:r>
    </w:p>
    <w:p w14:paraId="019C6EA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6.3.1.11甲方与建设单位未办理签证单，但属于绿色文明施工范围内或因其它原因（如临时设施等）使得甲方确需与乙方办理签证的情况，则乙方须提供甲方签认的《分包签证确认单》方可作为结算依据。</w:t>
      </w:r>
    </w:p>
    <w:p w14:paraId="78D4FF15">
      <w:pPr>
        <w:keepNext w:val="0"/>
        <w:keepLines w:val="0"/>
        <w:pageBreakBefore w:val="0"/>
        <w:widowControl w:val="0"/>
        <w:kinsoku/>
        <w:wordWrap/>
        <w:overflowPunct/>
        <w:topLinePunct w:val="0"/>
        <w:autoSpaceDE/>
        <w:autoSpaceDN/>
        <w:bidi w:val="0"/>
        <w:adjustRightInd w:val="0"/>
        <w:spacing w:line="360" w:lineRule="auto"/>
        <w:ind w:left="-197" w:leftChars="-94" w:right="0" w:rightChars="0" w:firstLine="560" w:firstLineChars="200"/>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6.3.1.12</w:t>
      </w:r>
      <w:r>
        <w:rPr>
          <w:rFonts w:hint="eastAsia" w:ascii="仿宋" w:hAnsi="仿宋" w:eastAsia="仿宋" w:cs="仿宋"/>
          <w:color w:val="000000" w:themeColor="text1"/>
          <w:sz w:val="28"/>
          <w:szCs w:val="28"/>
          <w:highlight w:val="none"/>
          <w14:textFill>
            <w14:solidFill>
              <w14:schemeClr w14:val="tx1"/>
            </w14:solidFill>
          </w14:textFill>
        </w:rPr>
        <w:t>对于增加或变更工程，乙方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的口头指示、通知、电话通知、微信通知不作为结算依据。未经甲方盖章书面签证确认或乙方超出图纸、合同清单范围施工的工程量，不属于增加工程，不纳入结算</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21E1ED6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6.3.2乙方申报签证程序</w:t>
      </w:r>
    </w:p>
    <w:p w14:paraId="23920F3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22C4D6D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6.3.2.2草签单由甲方的施工员、成本管理员、副经理共同现场收方、见证完成并签名，乙方由合同约定的现场执行人签认。</w:t>
      </w:r>
    </w:p>
    <w:p w14:paraId="109D34B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6.3.2.3草签单须提供施工前、施工中、施工后的照片、签证预算书作为乙方向甲方办理“分包签证确认单”的必备附件。</w:t>
      </w:r>
    </w:p>
    <w:p w14:paraId="6AE2C22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6.3.3零星工时计价及相关规定</w:t>
      </w:r>
    </w:p>
    <w:p w14:paraId="7376A5A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6.3.3.1零星用工以分包签证确认单的方式结算，工程量以该签证单确认工程量计算。</w:t>
      </w:r>
    </w:p>
    <w:p w14:paraId="514CD57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6.3.3.2甲方范围内的零星用工单价：按 230 元/工日（含税）计取。</w:t>
      </w:r>
    </w:p>
    <w:p w14:paraId="41EE519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3B5691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6.3.4零星时工签证要求及申报程序按照本章第6.3条执行。</w:t>
      </w:r>
    </w:p>
    <w:p w14:paraId="1F71476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6.4甲方巡检发现存在质量问题或验收不合格的工程，工程量不予结算。</w:t>
      </w:r>
    </w:p>
    <w:p w14:paraId="1DE9305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6.5因合同中已有施工方案的变化引起的工程价款变化，结算时不再调整（合同中未明确的施工方案除外）。</w:t>
      </w:r>
    </w:p>
    <w:p w14:paraId="3229DCA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auto"/>
          <w:sz w:val="28"/>
          <w:szCs w:val="28"/>
          <w:highlight w:val="none"/>
          <w:lang w:val="en-US" w:eastAsia="zh-CN"/>
        </w:rPr>
        <w:t>6.6乙方未完成自身的工作（即较甲方要求的时间延误三天以上未完成的），甲方有权安排他人完成并按500元/工日/人计价且从应付给乙方的款项中直接扣款，如实际费用超出500元/工日/人，甲方按实际发生的费用从应付给乙方的款项中直接扣款。</w:t>
      </w:r>
    </w:p>
    <w:p w14:paraId="6BB6271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lang w:val="en-US" w:eastAsia="zh-CN"/>
        </w:rPr>
        <w:t>6.7</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详见附件）、分包签证确认单（签证单必须有甲方项目经理签名且加盖甲方项目章方为有效签证）、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r>
        <w:rPr>
          <w:rFonts w:hint="eastAsia" w:ascii="仿宋" w:hAnsi="仿宋" w:eastAsia="仿宋" w:cs="仿宋"/>
          <w:b w:val="0"/>
          <w:bCs w:val="0"/>
          <w:i w:val="0"/>
          <w:iCs w:val="0"/>
          <w:color w:val="auto"/>
          <w:sz w:val="28"/>
          <w:szCs w:val="28"/>
          <w:highlight w:val="none"/>
          <w:lang w:val="en-US" w:eastAsia="zh-CN"/>
        </w:rPr>
        <w:t>。</w:t>
      </w:r>
    </w:p>
    <w:p w14:paraId="5566B87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6.8双方办理结算时，乙方必须按甲方要求注明结算金额中的每个地块/组团/楼栋具体金额（以便甲方统计各地块/组团/楼栋的费用），否则甲方有权不结算且不承担任何违约责任。</w:t>
      </w:r>
    </w:p>
    <w:p w14:paraId="7C8DD59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082D855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与甲方的优惠，乙方自愿放弃主张该事项的权利和相关费用。</w:t>
      </w:r>
    </w:p>
    <w:p w14:paraId="7AB8E2C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6.11乙方办理工程进度款申请书、结算书时必须提供甲方主管施工员和项目经理签名的“工完场清交接单”，否则甲方有权不予付款及结算。</w:t>
      </w:r>
    </w:p>
    <w:p w14:paraId="094A5B1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6.12乙方须实事求是办理结算，不得虚报工程结算。</w:t>
      </w:r>
    </w:p>
    <w:p w14:paraId="118F158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承担违约金，甲方可在任意应付乙方的合同款中扣取违约金。</w:t>
      </w:r>
    </w:p>
    <w:p w14:paraId="55A7397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highlight w:val="none"/>
          <w:lang w:val="en-US" w:eastAsia="zh-CN"/>
        </w:rPr>
      </w:pPr>
      <w:r>
        <w:rPr>
          <w:rFonts w:hint="eastAsia" w:ascii="仿宋" w:hAnsi="仿宋" w:eastAsia="仿宋" w:cs="仿宋"/>
          <w:color w:val="auto"/>
          <w:sz w:val="28"/>
          <w:szCs w:val="32"/>
          <w:highlight w:val="none"/>
          <w:shd w:val="clear" w:color="auto" w:fill="auto"/>
          <w:lang w:val="en-US" w:eastAsia="zh-CN"/>
        </w:rPr>
        <w:t>6.14本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10%以上时，核减超过10%以外的金额乘以20%作为违约金在结算中一次性扣除。</w:t>
      </w:r>
    </w:p>
    <w:p w14:paraId="55E0540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51" w:name="_Toc6395"/>
      <w:bookmarkStart w:id="152" w:name="_Toc29467"/>
      <w:bookmarkStart w:id="153" w:name="_Toc5720"/>
      <w:r>
        <w:rPr>
          <w:rFonts w:hint="eastAsia" w:ascii="仿宋" w:hAnsi="仿宋" w:eastAsia="仿宋" w:cs="仿宋"/>
          <w:color w:val="000000" w:themeColor="text1"/>
          <w:sz w:val="28"/>
          <w:szCs w:val="28"/>
          <w:highlight w:val="none"/>
          <w:lang w:val="en-US" w:eastAsia="zh-CN"/>
          <w14:textFill>
            <w14:solidFill>
              <w14:schemeClr w14:val="tx1"/>
            </w14:solidFill>
          </w14:textFill>
        </w:rPr>
        <w:t>6.15本工程甲供材损耗率按本合同相关条款执行。</w:t>
      </w:r>
      <w:bookmarkEnd w:id="151"/>
      <w:bookmarkEnd w:id="152"/>
      <w:bookmarkEnd w:id="153"/>
    </w:p>
    <w:p w14:paraId="115C9E1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6.16乙方提交的结算资料须符合本合同要求（如附件《工程结算资料目录》等的要求），否则甲方有权不办理结算且不违约。</w:t>
      </w:r>
    </w:p>
    <w:p w14:paraId="4D6A37D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54" w:name="_Toc11671"/>
      <w:bookmarkStart w:id="155" w:name="_Toc16700"/>
      <w:bookmarkStart w:id="156" w:name="_Toc26012"/>
      <w:bookmarkStart w:id="157" w:name="_Toc2340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第七章、付款方式</w:t>
      </w:r>
      <w:bookmarkEnd w:id="154"/>
      <w:bookmarkEnd w:id="155"/>
      <w:bookmarkEnd w:id="156"/>
      <w:bookmarkEnd w:id="157"/>
    </w:p>
    <w:p w14:paraId="77A2652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518CA3C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乙方每月的工人工资款项从甲方工人工资专用账户直接发放至工人本人的银行帐户上。对与甲方工人工资专用账户绑定的乙方工人本人银行卡，乙方及其他人员不得以任何理由扣押或者变相扣押。乙方申请节点款时须按甲方要求提交工人工资表等资料，例如：乙方申请3月份节点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0BD1DAB8">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未达合同进度款支付节点所支付的工人工资约定如下：①应发＞5000元，暂发5000元；②应发≤5000元，暂发80%；③剩余工资于节点/完工时按合同约定付款方式处理；④每月发的工人工资总数不能超过其当月完成产值的60%；⑤甲方有权对该款追偿或在下一次工程款中直接扣除。若乙方当次申请的、达到付款条件的合同款金额支付当次待付工人工资后尚有余额，甲方有权根据乙方现场工人情况进行预留款项，预留款项甲方用于保障通过工人工资户代发乙方工人工资，甲方预留款项的行为不视为逾期付款，乙方不得以任何理由认定甲方违约，预留款项后仍有余额的、余额由甲方直接支付至乙方公司账户。</w:t>
      </w:r>
    </w:p>
    <w:p w14:paraId="467A0BD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须向甲方付清所有代付款、赔偿及违约金等所有应付款项，否则甲方有权不付款。凡甲方收取的款项（包括但不限于：各类押金、保证金、违约金、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E68E64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7.3付款形式：优先使用网银、银行承兑汇票等，支票、电汇视情况而定。甲方选择其中任意一种支付形式支付乙方合同款，均视为乙方收到该合同款。</w:t>
      </w:r>
    </w:p>
    <w:p w14:paraId="0BA6C30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乙方每次向甲方请款时，</w:t>
      </w:r>
      <w:r>
        <w:rPr>
          <w:rFonts w:hint="eastAsia" w:ascii="仿宋" w:hAnsi="仿宋" w:eastAsia="仿宋" w:cs="仿宋"/>
          <w:color w:val="auto"/>
          <w:sz w:val="28"/>
          <w:szCs w:val="28"/>
          <w:highlight w:val="none"/>
          <w:lang w:val="en-US" w:eastAsia="zh-CN"/>
        </w:rPr>
        <w:t>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3847F04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46BBA30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1A57430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7.7如甲乙双方对应付款金额、结算金额产生争议，甲方有权暂不付款且不违约，甲方无需向乙方支付违约金或利息，直至双方达成一致意见后方可按甲方相应流程办理付款手续。</w:t>
      </w:r>
    </w:p>
    <w:p w14:paraId="1048E1B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4A7C09F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67F6545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收取违约金</w:t>
      </w:r>
      <w:r>
        <w:rPr>
          <w:rFonts w:hint="eastAsia" w:ascii="仿宋" w:hAnsi="仿宋" w:eastAsia="仿宋" w:cs="仿宋"/>
          <w:color w:val="auto"/>
          <w:sz w:val="28"/>
          <w:szCs w:val="28"/>
          <w:highlight w:val="none"/>
          <w:lang w:val="en-US" w:eastAsia="zh-CN"/>
        </w:rPr>
        <w:t>。</w:t>
      </w:r>
    </w:p>
    <w:p w14:paraId="3EB759B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7.11如乙方申报了乙方不在本项目工作人员的工人工资，属于乙方违约，由此所导致的一切后果和全部责任均由乙方承担，同时甲方对乙方此违约行为按1000元/人/次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收取违约金</w:t>
      </w:r>
      <w:r>
        <w:rPr>
          <w:rFonts w:hint="eastAsia" w:ascii="仿宋" w:hAnsi="仿宋" w:eastAsia="仿宋" w:cs="仿宋"/>
          <w:color w:val="auto"/>
          <w:sz w:val="28"/>
          <w:szCs w:val="28"/>
          <w:highlight w:val="none"/>
          <w:lang w:val="en-US" w:eastAsia="zh-CN"/>
        </w:rPr>
        <w:t>。</w:t>
      </w:r>
    </w:p>
    <w:p w14:paraId="1ADBAF8B">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58" w:name="_Toc9906"/>
      <w:bookmarkStart w:id="159" w:name="_Toc5830"/>
      <w:bookmarkStart w:id="160" w:name="_Toc19473"/>
      <w:bookmarkStart w:id="161" w:name="_Toc2421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第八章、双方责任和权利</w:t>
      </w:r>
      <w:bookmarkEnd w:id="158"/>
      <w:bookmarkEnd w:id="159"/>
      <w:bookmarkEnd w:id="160"/>
      <w:bookmarkEnd w:id="161"/>
    </w:p>
    <w:p w14:paraId="494F4CD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62" w:name="_Toc31047"/>
      <w:bookmarkStart w:id="163" w:name="_Toc24769"/>
      <w:bookmarkStart w:id="164" w:name="_Toc6947"/>
      <w:bookmarkStart w:id="165" w:name="_Toc7257"/>
      <w:bookmarkStart w:id="166" w:name="_Toc12610"/>
      <w:bookmarkStart w:id="167" w:name="_Toc28803"/>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62"/>
      <w:bookmarkEnd w:id="163"/>
      <w:bookmarkEnd w:id="164"/>
      <w:bookmarkEnd w:id="165"/>
      <w:bookmarkEnd w:id="166"/>
      <w:bookmarkEnd w:id="167"/>
    </w:p>
    <w:p w14:paraId="4FD161E4">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08ECF6A7">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10949325">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8.1.3提供乙方施工工人在本项目现场住宿的设施，并向乙方收取费用。</w:t>
      </w:r>
    </w:p>
    <w:p w14:paraId="37BE368C">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02EF6EC7">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8.1.5为乙方员工办理人脸识别进场资料。</w:t>
      </w:r>
    </w:p>
    <w:p w14:paraId="3016A352">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8.1.6督促乙方及其工人遵章守纪、按章操作，强化现场安全防护工作。</w:t>
      </w:r>
    </w:p>
    <w:p w14:paraId="555F73E0">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6D112C76">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8.1.8对乙方在施工中出现的不符合设计图纸、违反施工规范和安全操作规程、材料浪费等违规行为强行制止，并要求乙方在规定时间内按要求整改，同时根据具体情况对乙方计取违约金。</w:t>
      </w:r>
    </w:p>
    <w:p w14:paraId="54BDAE9C">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8.1.9对乙方及其人员进行技术考核，考核不合格人员禁止上岗，且乙方按甲方要求调换合格人员接替上岗。</w:t>
      </w:r>
    </w:p>
    <w:p w14:paraId="37CF502C">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8.1.10</w:t>
      </w:r>
      <w:r>
        <w:rPr>
          <w:rFonts w:hint="eastAsia" w:ascii="仿宋_GB2312" w:hAnsi="仿宋_GB2312" w:eastAsia="仿宋_GB2312" w:cs="仿宋_GB2312"/>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费用并自甲方垫付之日起按一年期贷款市场报价利率（LPR）的4倍为标准支付利息给甲方。</w:t>
      </w:r>
    </w:p>
    <w:p w14:paraId="1AC62A89">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1FF482E3">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8.1.12</w:t>
      </w:r>
      <w:r>
        <w:rPr>
          <w:rFonts w:hint="eastAsia" w:ascii="仿宋_GB2312" w:hAnsi="仿宋_GB2312" w:eastAsia="仿宋_GB2312" w:cs="仿宋_GB2312"/>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78F87F11">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26D3381E">
      <w:pPr>
        <w:keepNext w:val="0"/>
        <w:keepLines w:val="0"/>
        <w:pageBreakBefore w:val="0"/>
        <w:widowControl w:val="0"/>
        <w:kinsoku/>
        <w:wordWrap/>
        <w:overflowPunct/>
        <w:topLinePunct w:val="0"/>
        <w:autoSpaceDE/>
        <w:autoSpaceDN/>
        <w:bidi w:val="0"/>
        <w:snapToGrid w:val="0"/>
        <w:spacing w:line="360" w:lineRule="auto"/>
        <w:ind w:right="0" w:rightChars="0" w:firstLine="280" w:firstLineChars="1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04C1C74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8.1.15对乙方不按合同约定时间向甲方申报其工人工资资料等行为，甲方有权对乙方收取违约金，每逾期一天的违约金不少于伍佰元/人（按乙方在本工程施工工人人数计）。</w:t>
      </w:r>
    </w:p>
    <w:p w14:paraId="57B448B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8.1.16若乙方原因导致其工人工资不能及时发放，工人发生停工或静坐、闹事等不良行为的，甲方有权按本合同相关条款（如本合同第二部分合同通用条款第十四章等）向乙方收取违约金。</w:t>
      </w:r>
    </w:p>
    <w:p w14:paraId="36E0BC0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7C1CC05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8.1.18按合同约定向乙方支付工程款。</w:t>
      </w:r>
    </w:p>
    <w:p w14:paraId="5D86B5F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8.1.19协调与建设单位、监理单位的关系。</w:t>
      </w:r>
    </w:p>
    <w:p w14:paraId="41990B6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outlineLvl w:val="2"/>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168" w:name="_Toc4199"/>
      <w:bookmarkStart w:id="169" w:name="_Toc142"/>
      <w:bookmarkStart w:id="170" w:name="_Toc1391"/>
      <w:bookmarkStart w:id="171" w:name="_Toc31817"/>
      <w:bookmarkStart w:id="172" w:name="_Toc3364"/>
      <w:bookmarkStart w:id="173" w:name="_Toc8464"/>
      <w:r>
        <w:rPr>
          <w:rFonts w:hint="eastAsia" w:ascii="仿宋_GB2312" w:hAnsi="仿宋_GB2312" w:eastAsia="仿宋_GB2312" w:cs="仿宋_GB2312"/>
          <w:b/>
          <w:bCs/>
          <w:i w:val="0"/>
          <w:iCs w:val="0"/>
          <w:color w:val="auto"/>
          <w:sz w:val="28"/>
          <w:szCs w:val="28"/>
          <w:highlight w:val="none"/>
          <w:shd w:val="clear" w:color="auto" w:fill="auto"/>
          <w:lang w:val="en-US" w:eastAsia="zh-CN"/>
        </w:rPr>
        <w:t>8.2乙方责任和权利</w:t>
      </w:r>
      <w:bookmarkEnd w:id="168"/>
      <w:bookmarkEnd w:id="169"/>
      <w:bookmarkEnd w:id="170"/>
      <w:bookmarkEnd w:id="171"/>
      <w:bookmarkEnd w:id="172"/>
      <w:bookmarkEnd w:id="173"/>
    </w:p>
    <w:p w14:paraId="0D6E467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8.2.1按设计图纸和施工规范施工，在每一道分项工序开始时，乙方先做出样板部位报甲方项目部确认后方可进入一下步施工，保证施工成品质量满足合同要求。因乙方原因导致的质量事故，由乙方赔偿甲方损失。</w:t>
      </w:r>
    </w:p>
    <w:p w14:paraId="280BD3F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8.2.2按时完成本工程阶段性施工任务，保证符合甲方工期要求，因乙方原因导致的工期延误及甲方遭受的损失均由乙方赔偿甲方。</w:t>
      </w:r>
    </w:p>
    <w:p w14:paraId="1A02D80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8.2.3遵守安全生产、文明施工法规。乙方违规操作发生的安全或质量事故所造成的甲方损失均由乙方赔偿甲方。</w:t>
      </w:r>
    </w:p>
    <w:p w14:paraId="1C2808C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8.2.4在施工过程中乙方指定专人认真做好施工记录，工程竣工后须及时将资料整理完整，移交甲方资料员。</w:t>
      </w:r>
    </w:p>
    <w:p w14:paraId="249F848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01B0183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8.2.6遵守甲方管理制度，服从甲方管理。</w:t>
      </w:r>
    </w:p>
    <w:p w14:paraId="775EF54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8.2.7乙方对完成的每一道工序及时、认真进行自检，自检合格后提请甲方验收。对甲方提出的问题按甲方要求彻底整改，每延误一天完成整改的，向甲方承担违约金壹仟元。</w:t>
      </w:r>
    </w:p>
    <w:p w14:paraId="79F9B11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8.2.8加强自身团队建设。乙方管理人员须经常对下属工人进行技术交底、安全教育，作业人员必须持证上岗。乙方管理人员必须坚守岗位，特殊情况需离开工地时，经甲方项目部批准后方能离开。</w:t>
      </w:r>
    </w:p>
    <w:p w14:paraId="1FCF07F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239343D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8.2.10在甲方的监督下办理工人工资发放专户，由银行代发乙方工人工资。</w:t>
      </w:r>
    </w:p>
    <w:p w14:paraId="3650561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8.2.11乙方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14:paraId="464AEAC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8.2.12乙方须如实主动申报及发放工人工资，甲方有权核对，如发现乙方弄虚作假，甲方暂停支付乙方合同款。</w:t>
      </w:r>
    </w:p>
    <w:p w14:paraId="3C81AEB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中，不另计价。</w:t>
      </w:r>
    </w:p>
    <w:p w14:paraId="061324B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4C46978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086535D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0E7D678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8.2.16合同履行过程中，如乙方中途自行退场，甲方不支付任何款项，因此造成的甲方损失由乙方赔偿。</w:t>
      </w:r>
    </w:p>
    <w:p w14:paraId="2B3CCF2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42DB24A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5E031CD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所有电费用及空调使用费，并按扣除后的金额申请进度款。</w:t>
      </w:r>
    </w:p>
    <w:p w14:paraId="06D5AE5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8.2.20对违章指挥，乙方有权拒绝服从。</w:t>
      </w:r>
    </w:p>
    <w:p w14:paraId="35099A6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4F13558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支付违约金壹万元。 </w:t>
      </w:r>
    </w:p>
    <w:p w14:paraId="7D95488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8.2.23乙方确保本工程的质量和进度一次性达到合同要求，否则造成的一切损失由乙方承担且每次向甲方承担违约金壹万元。</w:t>
      </w:r>
    </w:p>
    <w:p w14:paraId="0D920F2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8.2.24乙方签订本合同前已充分了解本工程现场实际情况，确定☑合同单价/□合同总价已包含处理现场各种因素导致的多次进退场、怠工、误工等不能正常开工情形的费用，甲方无需另行计费给乙方。</w:t>
      </w:r>
    </w:p>
    <w:p w14:paraId="64A90BC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7E52047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8.2.26本合同有效期内，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681F7CB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须支付违约金人民币壹万元给甲方，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4BDA616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8.2.28乙方原因导致的一切安全事故，属乙方责任，所有损失及费用由乙方承担。</w:t>
      </w:r>
    </w:p>
    <w:p w14:paraId="5873604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6257C32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8.2.30乙方人员（包括乙方家属、朋友等人员）发生的所有安全事故均与甲方无关，甲方不承担任何责任和费用，一切责任和费用均由乙方承担。</w:t>
      </w:r>
    </w:p>
    <w:p w14:paraId="2D1757A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1128E30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8.2.32乙方与第三人签订的劳动、租赁、买卖等一切合同，与甲方无关。乙方在合同有效期内产生的与第三方一切债务，由乙方自行全责处理并承担责任。</w:t>
      </w:r>
    </w:p>
    <w:p w14:paraId="16C8DD8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8.2.33</w:t>
      </w:r>
      <w:r>
        <w:rPr>
          <w:rFonts w:hint="default" w:ascii="仿宋_GB2312" w:hAnsi="仿宋_GB2312" w:eastAsia="仿宋_GB2312" w:cs="仿宋_GB2312"/>
          <w:i w:val="0"/>
          <w:iCs w:val="0"/>
          <w:color w:val="auto"/>
          <w:sz w:val="28"/>
          <w:szCs w:val="28"/>
          <w:highlight w:val="none"/>
          <w:u w:val="none"/>
          <w:shd w:val="clear" w:color="auto" w:fill="auto"/>
          <w:lang w:val="en-US" w:eastAsia="zh-CN"/>
        </w:rPr>
        <w:t>乙方与第三方发生的任何经济往来、债务纠纷均与甲方无关。乙方保证所供应材料无权属上的瑕疵</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也</w:t>
      </w:r>
      <w:r>
        <w:rPr>
          <w:rFonts w:hint="default" w:ascii="仿宋_GB2312" w:hAnsi="仿宋_GB2312" w:eastAsia="仿宋_GB2312" w:cs="仿宋_GB2312"/>
          <w:i w:val="0"/>
          <w:iCs w:val="0"/>
          <w:color w:val="auto"/>
          <w:sz w:val="28"/>
          <w:szCs w:val="28"/>
          <w:highlight w:val="none"/>
          <w:u w:val="none"/>
          <w:shd w:val="clear" w:color="auto" w:fill="auto"/>
          <w:lang w:val="en-US" w:eastAsia="zh-CN"/>
        </w:rPr>
        <w:t>无知识产权的争议，若因此对甲方造成损失，由乙方全责赔偿</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default" w:ascii="仿宋_GB2312" w:hAnsi="仿宋_GB2312" w:eastAsia="仿宋_GB2312" w:cs="仿宋_GB2312"/>
          <w:i w:val="0"/>
          <w:iCs w:val="0"/>
          <w:color w:val="auto"/>
          <w:sz w:val="28"/>
          <w:szCs w:val="28"/>
          <w:highlight w:val="none"/>
          <w:u w:val="none"/>
          <w:shd w:val="clear" w:color="auto" w:fill="auto"/>
          <w:lang w:val="en-US" w:eastAsia="zh-CN"/>
        </w:rPr>
        <w:t>。</w:t>
      </w:r>
    </w:p>
    <w:p w14:paraId="3B066BE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8.2.33</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组织施工人员进场时，须向甲方实名申报《技术工人素质承诺书》（格式详见附件），否则不得进场，并且须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7A0CB4B6">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74" w:name="_Toc807"/>
      <w:bookmarkStart w:id="175" w:name="_Toc22397"/>
      <w:bookmarkStart w:id="176" w:name="_Toc11160"/>
      <w:bookmarkStart w:id="177" w:name="_Toc2700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第九章、安全生产、文明施工要求</w:t>
      </w:r>
      <w:bookmarkEnd w:id="174"/>
      <w:bookmarkEnd w:id="175"/>
      <w:bookmarkEnd w:id="176"/>
      <w:bookmarkEnd w:id="177"/>
    </w:p>
    <w:p w14:paraId="1B925115">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78" w:name="_Toc3242"/>
      <w:bookmarkStart w:id="179" w:name="_Toc28637"/>
      <w:bookmarkStart w:id="180" w:name="_Toc5758"/>
      <w:bookmarkStart w:id="181" w:name="_Toc11389"/>
      <w:bookmarkStart w:id="182" w:name="_Toc29611"/>
      <w:bookmarkStart w:id="183" w:name="_Toc27493"/>
      <w:r>
        <w:rPr>
          <w:rFonts w:hint="eastAsia" w:ascii="仿宋_GB2312" w:hAnsi="仿宋_GB2312" w:eastAsia="仿宋_GB2312" w:cs="仿宋_GB2312"/>
          <w:i w:val="0"/>
          <w:iCs w:val="0"/>
          <w:color w:val="auto"/>
          <w:sz w:val="28"/>
          <w:szCs w:val="28"/>
          <w:highlight w:val="none"/>
          <w:u w:val="none"/>
          <w:shd w:val="clear" w:color="auto" w:fill="auto"/>
          <w:lang w:val="en-US" w:eastAsia="zh-CN"/>
        </w:rPr>
        <w:t>9.1甲方应对乙方进场的施工人员进行安全教育。</w:t>
      </w:r>
      <w:bookmarkEnd w:id="178"/>
      <w:bookmarkEnd w:id="179"/>
      <w:bookmarkEnd w:id="180"/>
      <w:bookmarkEnd w:id="181"/>
      <w:bookmarkEnd w:id="182"/>
      <w:bookmarkEnd w:id="183"/>
    </w:p>
    <w:p w14:paraId="63C8AC8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9.2甲方不得违反《建设工程安全生产管理条例》（按最新版执行）的规定要求乙方违章施工。因甲方指挥失误导致的安全事故由甲方承担相应责任和费用。</w:t>
      </w:r>
    </w:p>
    <w:p w14:paraId="0645903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按最新版执行</w:t>
      </w:r>
      <w:r>
        <w:rPr>
          <w:rFonts w:hint="eastAsia" w:ascii="仿宋" w:hAnsi="仿宋" w:eastAsia="仿宋" w:cs="仿宋"/>
          <w:color w:val="auto"/>
          <w:sz w:val="28"/>
          <w:szCs w:val="28"/>
          <w:highlight w:val="none"/>
          <w:lang w:val="en-US" w:eastAsia="zh-CN"/>
        </w:rPr>
        <w:t>）、《建设工程安全生产管理条例》（按最新版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78CFB8B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p>
    <w:p w14:paraId="778C9BCF">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84" w:name="_Toc18465"/>
      <w:bookmarkStart w:id="185" w:name="_Toc13923"/>
      <w:bookmarkStart w:id="186" w:name="_Toc7882"/>
      <w:bookmarkStart w:id="187" w:name="_Toc10948"/>
      <w:bookmarkStart w:id="188" w:name="_Toc5694"/>
      <w:bookmarkStart w:id="189" w:name="_Toc2085"/>
      <w:r>
        <w:rPr>
          <w:rFonts w:hint="eastAsia" w:ascii="仿宋_GB2312" w:hAnsi="仿宋_GB2312" w:eastAsia="仿宋_GB2312" w:cs="仿宋_GB2312"/>
          <w:i w:val="0"/>
          <w:iCs w:val="0"/>
          <w:color w:val="auto"/>
          <w:sz w:val="28"/>
          <w:szCs w:val="28"/>
          <w:highlight w:val="none"/>
          <w:u w:val="none"/>
          <w:shd w:val="clear" w:color="auto" w:fill="auto"/>
          <w:lang w:val="en-US" w:eastAsia="zh-CN"/>
        </w:rPr>
        <w:t>9.5其它事项：</w:t>
      </w:r>
      <w:bookmarkEnd w:id="184"/>
      <w:bookmarkEnd w:id="185"/>
      <w:bookmarkEnd w:id="186"/>
      <w:bookmarkEnd w:id="187"/>
      <w:bookmarkEnd w:id="188"/>
      <w:bookmarkEnd w:id="189"/>
    </w:p>
    <w:p w14:paraId="6A5B1C30">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9.5.1拆除时不得高空抛弃材料，必须通过机械或人工传递至地面；</w:t>
      </w:r>
    </w:p>
    <w:p w14:paraId="1303AFA7">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9.5.2必须正确佩戴安全帽及安全带；</w:t>
      </w:r>
    </w:p>
    <w:p w14:paraId="52BD0252">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9.5.3不许酒后上班；</w:t>
      </w:r>
    </w:p>
    <w:p w14:paraId="01497E2F">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9.5.4不许穿拖鞋、硬底鞋上班。</w:t>
      </w:r>
    </w:p>
    <w:p w14:paraId="358F0ABA">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90" w:name="_Toc26423"/>
      <w:bookmarkStart w:id="191" w:name="_Toc31665"/>
      <w:bookmarkStart w:id="192" w:name="_Toc12373"/>
      <w:bookmarkStart w:id="193" w:name="_Toc1208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w:t>
      </w:r>
      <w:bookmarkEnd w:id="190"/>
      <w:bookmarkEnd w:id="19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甲供材料设备</w:t>
      </w:r>
      <w:bookmarkEnd w:id="192"/>
      <w:bookmarkEnd w:id="193"/>
    </w:p>
    <w:p w14:paraId="5D63899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5174738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7FAA4F7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10.3本工程竣工之日起10个日历天内，乙方须到甲方仓库完成甲供材料和机具的退还手续，每延迟一日，向甲方承担违约金人民币伍佰元，且甲方有权不办理结算</w:t>
      </w:r>
      <w:r>
        <w:rPr>
          <w:rFonts w:hint="eastAsia" w:ascii="仿宋" w:hAnsi="仿宋" w:eastAsia="仿宋" w:cs="仿宋"/>
          <w:color w:val="000000" w:themeColor="text1"/>
          <w:sz w:val="28"/>
          <w:szCs w:val="28"/>
          <w:highlight w:val="none"/>
          <w:lang w:val="en-US" w:eastAsia="zh-CN"/>
          <w14:textFill>
            <w14:solidFill>
              <w14:schemeClr w14:val="tx1"/>
            </w14:solidFill>
          </w14:textFill>
        </w:rPr>
        <w:t>直至全部退还为止。</w:t>
      </w:r>
    </w:p>
    <w:p w14:paraId="6DF6AA4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十个工作日前报至甲方项目经理审批，经甲方项目经理审批后方可到甲方仓库领取，乙方每延迟申报一日，向甲方承担违约金伍佰元且不得要求延长工期。</w:t>
      </w:r>
    </w:p>
    <w:p w14:paraId="7B3059A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p>
    <w:p w14:paraId="2257A21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3583ACB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7E9083F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10.8劳保用品配置标准具体实施及费用收取标准、办法：</w:t>
      </w:r>
    </w:p>
    <w:p w14:paraId="7EAF992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10.8.1本工程配置黄色的安全帽、荧光黄色的反光背心，款式按甲方颁布的《劳保用品配置标准及司旗款式》（V2022）制度执行。</w:t>
      </w:r>
    </w:p>
    <w:p w14:paraId="7D2F039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10.8.2甲方提供安全帽20元/顶、反光背心15元/件，按乙方实际领取数量的对应金额在结算时进行扣除。</w:t>
      </w:r>
    </w:p>
    <w:p w14:paraId="08C41A91">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94" w:name="_Toc31919"/>
      <w:bookmarkStart w:id="195" w:name="_Toc28272"/>
      <w:bookmarkStart w:id="196" w:name="_Toc19806"/>
      <w:bookmarkStart w:id="197" w:name="_Toc2417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第十一章、验收及保修</w:t>
      </w:r>
      <w:bookmarkEnd w:id="194"/>
      <w:bookmarkEnd w:id="195"/>
      <w:bookmarkEnd w:id="196"/>
      <w:bookmarkEnd w:id="197"/>
    </w:p>
    <w:p w14:paraId="7120B8C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保修期内，</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如因</w:t>
      </w:r>
      <w:r>
        <w:rPr>
          <w:rFonts w:hint="eastAsia" w:ascii="仿宋_GB2312" w:hAnsi="仿宋_GB2312" w:eastAsia="仿宋_GB2312" w:cs="仿宋_GB2312"/>
          <w:i w:val="0"/>
          <w:iCs w:val="0"/>
          <w:color w:val="auto"/>
          <w:sz w:val="28"/>
          <w:szCs w:val="28"/>
          <w:highlight w:val="none"/>
          <w:u w:val="none"/>
          <w:shd w:val="clear" w:color="auto" w:fill="auto"/>
        </w:rPr>
        <w:t>乙方原因出现质量问题，乙方须在接到甲方通知</w:t>
      </w:r>
      <w:r>
        <w:rPr>
          <w:rFonts w:hint="eastAsia" w:ascii="仿宋_GB2312" w:hAnsi="仿宋_GB2312" w:eastAsia="仿宋_GB2312" w:cs="仿宋_GB2312"/>
          <w:i w:val="0"/>
          <w:iCs w:val="0"/>
          <w:color w:val="auto"/>
          <w:sz w:val="28"/>
          <w:szCs w:val="28"/>
          <w:highlight w:val="none"/>
          <w:u w:val="none"/>
          <w:shd w:val="clear" w:color="auto" w:fill="auto"/>
          <w:lang w:eastAsia="zh-CN"/>
        </w:rPr>
        <w:t>起</w:t>
      </w:r>
      <w:r>
        <w:rPr>
          <w:rFonts w:hint="eastAsia" w:ascii="仿宋_GB2312" w:hAnsi="仿宋_GB2312" w:eastAsia="仿宋_GB2312" w:cs="仿宋_GB2312"/>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责任</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并向甲方支付</w:t>
      </w:r>
      <w:r>
        <w:rPr>
          <w:rFonts w:hint="eastAsia" w:ascii="仿宋_GB2312" w:hAnsi="仿宋_GB2312" w:eastAsia="仿宋_GB2312" w:cs="仿宋_GB2312"/>
          <w:i w:val="0"/>
          <w:iCs w:val="0"/>
          <w:color w:val="auto"/>
          <w:sz w:val="28"/>
          <w:szCs w:val="28"/>
          <w:highlight w:val="none"/>
          <w:u w:val="none"/>
          <w:shd w:val="clear" w:color="auto" w:fill="auto"/>
        </w:rPr>
        <w:t>违约金一万元/次</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 w:hAnsi="仿宋" w:eastAsia="仿宋" w:cs="仿宋"/>
          <w:color w:val="auto"/>
          <w:sz w:val="28"/>
          <w:szCs w:val="28"/>
          <w:highlight w:val="none"/>
          <w:lang w:val="en-US" w:eastAsia="zh-CN"/>
        </w:rPr>
        <w:t>保修</w:t>
      </w:r>
      <w:r>
        <w:rPr>
          <w:rFonts w:hint="eastAsia" w:ascii="仿宋_GB2312" w:hAnsi="仿宋_GB2312" w:eastAsia="仿宋_GB2312" w:cs="仿宋_GB2312"/>
          <w:i w:val="0"/>
          <w:iCs w:val="0"/>
          <w:color w:val="auto"/>
          <w:sz w:val="28"/>
          <w:szCs w:val="28"/>
          <w:highlight w:val="none"/>
          <w:u w:val="none"/>
          <w:shd w:val="clear" w:color="auto" w:fill="auto"/>
        </w:rPr>
        <w:t>金中扣除，不足部分由乙方在甲方发出书面通知之日起10个日历天内支付</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如非乙方原因所致，乙方仍应提供维修服务，但费用经双方商定后由责任方承担。</w:t>
      </w:r>
    </w:p>
    <w:p w14:paraId="057CD78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 xml:space="preserve"> </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出现较大质量缺陷，乙方履行保修义务</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如返工、更换、维修等</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至验收合格后，工程</w:t>
      </w:r>
      <w:r>
        <w:rPr>
          <w:rFonts w:hint="eastAsia" w:ascii="仿宋" w:hAnsi="仿宋" w:eastAsia="仿宋" w:cs="仿宋"/>
          <w:color w:val="auto"/>
          <w:sz w:val="28"/>
          <w:szCs w:val="28"/>
          <w:highlight w:val="none"/>
          <w:lang w:val="en-US" w:eastAsia="zh-CN"/>
        </w:rPr>
        <w:t>保修</w:t>
      </w:r>
      <w:r>
        <w:rPr>
          <w:rFonts w:hint="eastAsia" w:ascii="仿宋" w:hAnsi="仿宋" w:eastAsia="仿宋" w:cs="仿宋"/>
          <w:i w:val="0"/>
          <w:iCs w:val="0"/>
          <w:color w:val="auto"/>
          <w:sz w:val="28"/>
          <w:szCs w:val="28"/>
          <w:highlight w:val="none"/>
          <w:shd w:val="clear" w:color="auto" w:fill="auto"/>
        </w:rPr>
        <w:t>期自</w:t>
      </w:r>
      <w:r>
        <w:rPr>
          <w:rFonts w:hint="eastAsia" w:ascii="仿宋" w:hAnsi="仿宋" w:eastAsia="仿宋" w:cs="仿宋"/>
          <w:i w:val="0"/>
          <w:iCs w:val="0"/>
          <w:color w:val="auto"/>
          <w:sz w:val="28"/>
          <w:szCs w:val="28"/>
          <w:highlight w:val="none"/>
          <w:shd w:val="clear" w:color="auto" w:fill="auto"/>
          <w:lang w:val="en-US" w:eastAsia="zh-CN"/>
        </w:rPr>
        <w:t>该次验收合格之日起</w:t>
      </w:r>
      <w:r>
        <w:rPr>
          <w:rFonts w:hint="eastAsia" w:ascii="仿宋" w:hAnsi="仿宋" w:eastAsia="仿宋" w:cs="仿宋"/>
          <w:i w:val="0"/>
          <w:iCs w:val="0"/>
          <w:color w:val="auto"/>
          <w:sz w:val="28"/>
          <w:szCs w:val="28"/>
          <w:highlight w:val="none"/>
          <w:shd w:val="clear" w:color="auto" w:fill="auto"/>
        </w:rPr>
        <w:t>顺延。</w:t>
      </w:r>
    </w:p>
    <w:p w14:paraId="38FC650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保修期满前，若出现质量问题需要进行鉴定的，相关费用由乙方负责。</w:t>
      </w:r>
    </w:p>
    <w:p w14:paraId="379C006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后，由甲方工程部组织主导乙方、物业管理单位（如有）、建设单位等相关单位人员验收，验收合格后由甲方工程部出具《保修验收合格报告》作为保修金支付凭证，若验收不通过，由乙方整改后另行验收，相关费用由乙方负责。本工程两次通过验收的，则保修期按乙方整改天数顺延，三次及以上验收合格的，保修期自整改验收合格之日起顺延一年。 </w:t>
      </w:r>
    </w:p>
    <w:p w14:paraId="21C5FB7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款项中直接扣款用于抵扣上述修复费用和损失。甲乙双方特别约定本条款不因本合同的终止而失效。</w:t>
      </w:r>
    </w:p>
    <w:p w14:paraId="628A86FC">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98" w:name="_Toc4352"/>
      <w:bookmarkStart w:id="199" w:name="_Toc1279"/>
      <w:bookmarkStart w:id="200" w:name="_Toc454"/>
      <w:bookmarkStart w:id="201" w:name="_Toc26808"/>
      <w:bookmarkStart w:id="202" w:name="_Toc397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第十二章、保险</w:t>
      </w:r>
      <w:bookmarkEnd w:id="198"/>
      <w:bookmarkEnd w:id="199"/>
      <w:bookmarkEnd w:id="200"/>
      <w:bookmarkEnd w:id="201"/>
      <w:bookmarkEnd w:id="202"/>
    </w:p>
    <w:p w14:paraId="7022670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临设工程因乙方原因出现损失、损害或损坏，乙方须立即修复、补救及更换或维修任何受破坏或损坏之部位，同时按甲方要求清理及弃置任何残骸。</w:t>
      </w:r>
    </w:p>
    <w:p w14:paraId="1F840B71">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中，甲方不承担任何责任和费用。</w:t>
      </w:r>
    </w:p>
    <w:p w14:paraId="553194F4">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中无需甲方另行支付给乙方。因各种原因导致乙方需要延长保险期所需增加的保险费由乙方自行承担，其费用已包含在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内，乙方人员或因乙方原因造成任何事故(包括第三方人员在内)导致的损失、赔偿、补偿等责任和费用由乙方承担。</w:t>
      </w:r>
    </w:p>
    <w:p w14:paraId="511305D1">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2DC0C5C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中甲方无需另行支付给乙方。乙方须自保险合同生效之日起5个日历天内将保险合同复印件（加盖乙方公章）提交甲方项目部留存。</w:t>
      </w:r>
    </w:p>
    <w:p w14:paraId="4CDE80AC">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5EF323C8">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03" w:name="_Toc8855"/>
      <w:bookmarkStart w:id="204" w:name="_Toc14887"/>
      <w:bookmarkStart w:id="205" w:name="_Toc12559"/>
      <w:bookmarkStart w:id="206" w:name="_Toc20713"/>
      <w:bookmarkStart w:id="207" w:name="_Toc15560"/>
      <w:bookmarkStart w:id="208" w:name="_Toc7926"/>
      <w:bookmarkStart w:id="209" w:name="_Toc9446"/>
      <w:bookmarkStart w:id="210" w:name="_Toc3081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第十三章、奖罚条款</w:t>
      </w:r>
      <w:bookmarkEnd w:id="203"/>
      <w:bookmarkEnd w:id="204"/>
      <w:bookmarkEnd w:id="205"/>
      <w:bookmarkEnd w:id="206"/>
      <w:bookmarkEnd w:id="207"/>
      <w:bookmarkEnd w:id="208"/>
      <w:bookmarkEnd w:id="209"/>
      <w:bookmarkEnd w:id="210"/>
    </w:p>
    <w:p w14:paraId="57ACE9FB">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211" w:name="_Toc31201"/>
      <w:bookmarkStart w:id="212" w:name="_Toc21565"/>
      <w:bookmarkStart w:id="213" w:name="_Toc9459"/>
      <w:bookmarkStart w:id="214" w:name="_Toc15014"/>
      <w:bookmarkStart w:id="215" w:name="_Toc32749"/>
      <w:bookmarkStart w:id="216" w:name="_Toc12323"/>
      <w:r>
        <w:rPr>
          <w:rFonts w:hint="eastAsia" w:ascii="仿宋_GB2312" w:hAnsi="仿宋_GB2312" w:eastAsia="仿宋_GB2312" w:cs="仿宋_GB2312"/>
          <w:i w:val="0"/>
          <w:iCs w:val="0"/>
          <w:color w:val="auto"/>
          <w:sz w:val="28"/>
          <w:szCs w:val="28"/>
          <w:highlight w:val="none"/>
          <w:u w:val="none"/>
          <w:shd w:val="clear" w:color="auto" w:fill="auto"/>
          <w:lang w:val="en-US" w:eastAsia="zh-CN"/>
        </w:rPr>
        <w:t>13.1奖励</w:t>
      </w:r>
      <w:bookmarkEnd w:id="211"/>
      <w:bookmarkEnd w:id="212"/>
      <w:bookmarkEnd w:id="213"/>
      <w:bookmarkEnd w:id="214"/>
      <w:bookmarkEnd w:id="215"/>
      <w:bookmarkEnd w:id="216"/>
    </w:p>
    <w:p w14:paraId="0A24E9D4">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65E02754">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13.1.1.1甲方组织的各类检查验收中，乙方组建的施工队伍被评为优质作业队。</w:t>
      </w:r>
    </w:p>
    <w:p w14:paraId="7ED25706">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13.1.1.2乙方负责施工的成品受到省、市有关部门表彰。</w:t>
      </w:r>
    </w:p>
    <w:p w14:paraId="476AD8B9">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13.1.1.3乙方负责施工的成品受到建设单位、监理好评。</w:t>
      </w:r>
    </w:p>
    <w:p w14:paraId="1030D8B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13.1.1.4特定情况下，由于乙方的主观努力使甲方避免遭受巨大损失。</w:t>
      </w:r>
    </w:p>
    <w:p w14:paraId="5DBE0782">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13.1.1.5乙方工人安全生产、文明施工、节约用料、质量优、进度快。</w:t>
      </w:r>
    </w:p>
    <w:p w14:paraId="54EE8D9C">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217" w:name="_Toc9505"/>
      <w:bookmarkStart w:id="218" w:name="_Toc22925"/>
      <w:bookmarkStart w:id="219" w:name="_Toc5991"/>
      <w:bookmarkStart w:id="220" w:name="_Toc19691"/>
      <w:bookmarkStart w:id="221" w:name="_Toc14079"/>
      <w:bookmarkStart w:id="222" w:name="_Toc22406"/>
      <w:r>
        <w:rPr>
          <w:rFonts w:hint="eastAsia" w:ascii="仿宋_GB2312" w:hAnsi="仿宋_GB2312" w:eastAsia="仿宋_GB2312" w:cs="仿宋_GB2312"/>
          <w:i w:val="0"/>
          <w:iCs w:val="0"/>
          <w:color w:val="auto"/>
          <w:sz w:val="28"/>
          <w:szCs w:val="28"/>
          <w:highlight w:val="none"/>
          <w:u w:val="none"/>
          <w:shd w:val="clear" w:color="auto" w:fill="auto"/>
          <w:lang w:val="en-US" w:eastAsia="zh-CN"/>
        </w:rPr>
        <w:t>13.2惩罚</w:t>
      </w:r>
      <w:bookmarkEnd w:id="217"/>
      <w:bookmarkEnd w:id="218"/>
      <w:bookmarkEnd w:id="219"/>
      <w:bookmarkEnd w:id="220"/>
      <w:bookmarkEnd w:id="221"/>
      <w:bookmarkEnd w:id="222"/>
    </w:p>
    <w:p w14:paraId="48F04AA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3B77FF2D">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13.2.1.1乙方在质量、进度、安全、管理等方面经甲方二次警告或扣款后仍不能明显改善；</w:t>
      </w:r>
    </w:p>
    <w:p w14:paraId="02E0795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13.2.1.2乙方将本工程以各种形式转包、分包给他人；</w:t>
      </w:r>
    </w:p>
    <w:p w14:paraId="51BBBF6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13.2.1.3乙方发生偷工减料、以次充好、弄虚作假等情形。</w:t>
      </w:r>
    </w:p>
    <w:p w14:paraId="36F434F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0B47B734">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①因乙方施工质量事故造成的损失；</w:t>
      </w:r>
    </w:p>
    <w:p w14:paraId="75344420">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②因乙方中途退场造成的损失；</w:t>
      </w:r>
    </w:p>
    <w:p w14:paraId="04314F49">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③乙方发生偷工减料、以次充好、弄虚作假等情形。</w:t>
      </w:r>
    </w:p>
    <w:p w14:paraId="3EB04D57">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54DD710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13.2.4乙方或其人员有下列情况之一的，造成甲方损失的由乙方全额赔偿甲方，同时甲方有权对乙方采取每人或每次收取违约金壹佰元至叁万元的措施：</w:t>
      </w:r>
    </w:p>
    <w:p w14:paraId="242A0471">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13.2.4.1隐蔽工程一次验收不合格；</w:t>
      </w:r>
    </w:p>
    <w:p w14:paraId="1BCFC77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13.2.4.2不能按甲方确定的周进度计划完成施工作业延误工期一天；</w:t>
      </w:r>
    </w:p>
    <w:p w14:paraId="22A00B29">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13.2.4.3出现因质量、安全不满足本合同约定需整改；</w:t>
      </w:r>
    </w:p>
    <w:p w14:paraId="7E73D750">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13.2.4.4聚众赌博，影响他人休息；</w:t>
      </w:r>
    </w:p>
    <w:p w14:paraId="085A35F2">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13.2.4.5聚众闹事、打人、打架、偷抢行为；</w:t>
      </w:r>
    </w:p>
    <w:p w14:paraId="4A14A7BE">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13.2.4.6容留非本工程现场人员在本项目宿舍住宿；</w:t>
      </w:r>
    </w:p>
    <w:p w14:paraId="075B5E6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13.2.4.7不按甲方要求加班或人员不足导致延误工期一天；</w:t>
      </w:r>
    </w:p>
    <w:p w14:paraId="047713FB">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13.2.4.8浪费材料、损坏机具或破坏其它设施及成品；</w:t>
      </w:r>
    </w:p>
    <w:p w14:paraId="00174D22">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13.2.4.9在生活区存放易燃易爆物品或其它危险品；</w:t>
      </w:r>
    </w:p>
    <w:p w14:paraId="5080D80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13.2.4.10收留、聘用未成年人；（甲方收取违约金的同时驱逐未成年人离开本项目）</w:t>
      </w:r>
    </w:p>
    <w:p w14:paraId="591973A9">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13.2.4.11在宿舍内做饭、使用大功率电器设备，如电磁炉、电饭煲、电热棒等。</w:t>
      </w:r>
    </w:p>
    <w:p w14:paraId="1FF3BA7F">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06D97FE5">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13.2.5.1管理人员未经甲方同意离开工地两天以内；</w:t>
      </w:r>
    </w:p>
    <w:p w14:paraId="1C218DEC">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13.2.5.2未戴好安全帽、穿拖鞋或赤脚、赤膊进入作业区；</w:t>
      </w:r>
    </w:p>
    <w:p w14:paraId="2348C21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13.2.5.3不戴工卡上岗；</w:t>
      </w:r>
    </w:p>
    <w:p w14:paraId="3DBA31C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13.2.5.4施工人员进场三天内不办理工作卡；</w:t>
      </w:r>
    </w:p>
    <w:p w14:paraId="17F2355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13.2.5.5未经甲方批准擅带家属及小孩进入施工现场或在宿舍居住；</w:t>
      </w:r>
    </w:p>
    <w:p w14:paraId="57BCBE5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13.2.5.6工棚内乱拉乱接电线，违反生活区管理制度；</w:t>
      </w:r>
    </w:p>
    <w:p w14:paraId="3C17E68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13.2.5.7宿舍卫生不合格；</w:t>
      </w:r>
    </w:p>
    <w:p w14:paraId="7932EAB9">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bookmarkStart w:id="223" w:name="_Toc28593"/>
      <w:bookmarkStart w:id="224" w:name="_Toc6486"/>
      <w:bookmarkStart w:id="225" w:name="_Toc16635"/>
    </w:p>
    <w:p w14:paraId="7B356E12">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13.2.5.9乙方人员、车辆不接受甲方门岗保卫检查。</w:t>
      </w:r>
    </w:p>
    <w:p w14:paraId="379EA11D">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13.3合同履行期间，乙方无条件执行甲方与建设单位签订的《江苏溢丰华创环保科技有限公司施工现场管理办法》，因乙方原因导致建设单位或其他部门对甲方进行处罚扣款的，乙方按该处罚金额的2倍向甲方承担违约金。</w:t>
      </w:r>
    </w:p>
    <w:p w14:paraId="4B770EF3">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26" w:name="_Toc30520"/>
      <w:bookmarkStart w:id="227" w:name="_Toc21006"/>
      <w:bookmarkStart w:id="228" w:name="_Toc27799"/>
      <w:bookmarkStart w:id="229" w:name="_Toc8716"/>
      <w:bookmarkStart w:id="230" w:name="_Toc67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第十四章、违约条款</w:t>
      </w:r>
      <w:bookmarkEnd w:id="223"/>
      <w:bookmarkEnd w:id="224"/>
      <w:bookmarkEnd w:id="225"/>
      <w:bookmarkEnd w:id="226"/>
      <w:bookmarkEnd w:id="227"/>
      <w:bookmarkEnd w:id="228"/>
      <w:bookmarkEnd w:id="229"/>
      <w:bookmarkEnd w:id="230"/>
    </w:p>
    <w:p w14:paraId="7498492F">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承担违约金人民币伍仟元，延迟超过三个日历天的，甲方有权单方解除合同，已完工工程无偿归甲方，甲方无需支付合同款并有权委托其他单位继续完成本工程；乙方同时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20%承担违约金并按甲方要求准时退场，每延迟一个日历天退场，乙方向甲方另行承担违约金人民币伍仟元，甲方的损失（包括但不限于因逾期而使得甲方需对建设单位承担的违约责任、损失赔偿责任等）由乙方赔偿。</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承担违约金人民币伍仟元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合同总价20%的违约金和赔偿甲方全部损失，已完工工程无偿归甲方，甲方无需支付合同款；②另行委托其他单位对本工程进行返修，乙方须无条件接受并配合，由此产生的一切费用乙方承担。</w:t>
      </w:r>
    </w:p>
    <w:p w14:paraId="25B9B8D7">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14.3经甲方验核达不到约定质量标准的检验批（分项或分部），甲方有权对乙方按相应检验批的工程量处以相当于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合同总价5%的违约金处理，如果甲方被政府部门或建设单位处分而需承担违约、赔偿责任或费用的，则由乙方全部承担，同时甲方保留对乙方追偿的权利。</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14.4合同履行期间，因乙方原因造成甲方或本工程或本项目被政府部门停工、整改导致扣分的，乙方按贰万元/分乙方支付违约金给甲方（甲方亦可从任意合同款中扣款）。</w:t>
      </w:r>
    </w:p>
    <w:p w14:paraId="38BE89A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14.5乙方及其人员、供应商不得以任何理由去政府部门上访、投诉，不得去建设单位投诉、静坐，否则视情节轻重由乙方向甲方支付违约金壹万至壹拾万元/次。</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.6乙方无正当理由停工或提出不履行合同或拖延工期或不能正常开展工作连续3天以上或无力将本工程顺利开展下去的，属乙方违约，甲方有权单方解除合同，且乙方按</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合同总价的20%</w:t>
      </w:r>
      <w:r>
        <w:rPr>
          <w:rFonts w:hint="eastAsia" w:ascii="仿宋" w:hAnsi="仿宋" w:eastAsia="仿宋" w:cs="仿宋"/>
          <w:b w:val="0"/>
          <w:bCs w:val="0"/>
          <w:i w:val="0"/>
          <w:iCs w:val="0"/>
          <w:color w:val="auto"/>
          <w:sz w:val="28"/>
          <w:szCs w:val="28"/>
          <w:highlight w:val="none"/>
          <w:shd w:val="clear" w:color="auto" w:fill="auto"/>
          <w:lang w:val="en-US" w:eastAsia="zh-CN"/>
        </w:rPr>
        <w:t>向甲方支付</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违约金，同时乙方按甲方要求限时退场，且</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的所有损失。</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bookmarkStart w:id="231" w:name="_Toc2734"/>
      <w:bookmarkStart w:id="232" w:name="_Toc21824"/>
      <w:bookmarkStart w:id="233" w:name="_Toc10430"/>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乙方未及时发放工人工资或及时支付货款，导致影响甲方或本项目或本工程的，甲方有权收取乙方违约金。无论乙方实际是否欠薪或欠货款，乙方人员或供应商每发起一次欠薪或欠货款纠纷，涉及甲方的，乙方均须向甲方支付违约金十万元/次；若因此导致媒体曝光或政府部门介入，乙方须另向甲方支付违约金十万元/次</w:t>
      </w:r>
      <w:r>
        <w:rPr>
          <w:rFonts w:hint="eastAsia" w:ascii="仿宋" w:hAnsi="仿宋" w:eastAsia="仿宋" w:cs="仿宋"/>
          <w:i w:val="0"/>
          <w:iCs w:val="0"/>
          <w:caps w:val="0"/>
          <w:color w:val="auto"/>
          <w:spacing w:val="0"/>
          <w:kern w:val="2"/>
          <w:sz w:val="28"/>
          <w:szCs w:val="28"/>
          <w:highlight w:val="none"/>
          <w:shd w:val="clear"/>
          <w:lang w:val="en-US" w:eastAsia="zh-CN" w:bidi="ar"/>
        </w:rPr>
        <w:t>。</w:t>
      </w:r>
    </w:p>
    <w:p w14:paraId="7F01294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.8凡乙方发生偷工减料行为，甲方视情节轻重计收乙方贰万至壹拾万元/次的违约金。</w:t>
      </w:r>
    </w:p>
    <w:p w14:paraId="1DF7C9C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五万元违约金。若因此导致甲方账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2F69F6D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23FD496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0986EFA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乙方不得因停工损失向甲方索赔，同意不追究甲方在本合同履行过程中因付款延迟、停工而产生的违约责任。</w:t>
      </w:r>
    </w:p>
    <w:p w14:paraId="7CCC2B7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6918D71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在本合同履行过程中，可能因乙方原因造成施工质量、安全文明</w:t>
      </w:r>
      <w:r>
        <w:rPr>
          <w:rFonts w:hint="eastAsia" w:ascii="仿宋" w:hAnsi="仿宋" w:eastAsia="仿宋" w:cs="仿宋"/>
          <w:b w:val="0"/>
          <w:bCs w:val="0"/>
          <w:i w:val="0"/>
          <w:iCs w:val="0"/>
          <w:color w:val="auto"/>
          <w:sz w:val="28"/>
          <w:szCs w:val="28"/>
          <w:highlight w:val="none"/>
          <w:shd w:val="clear" w:color="auto" w:fill="auto"/>
          <w:lang w:val="en-US" w:eastAsia="zh-CN"/>
        </w:rPr>
        <w:t>措施</w:t>
      </w:r>
      <w:r>
        <w:rPr>
          <w:rFonts w:hint="eastAsia" w:ascii="仿宋" w:hAnsi="仿宋" w:eastAsia="仿宋" w:cs="仿宋"/>
          <w:b w:val="0"/>
          <w:bCs w:val="0"/>
          <w:i w:val="0"/>
          <w:iCs w:val="0"/>
          <w:color w:val="auto"/>
          <w:sz w:val="28"/>
          <w:szCs w:val="28"/>
          <w:highlight w:val="none"/>
          <w:shd w:val="clear" w:color="auto" w:fill="auto"/>
          <w:lang w:eastAsia="zh-CN"/>
        </w:rPr>
        <w:t>等无法满足甲方及规范要求的，乙方须提供不属于其责任的证明并得到甲方的书面认可，否则视为乙方违约，全部责任及费用和损失由乙方承担。</w:t>
      </w:r>
    </w:p>
    <w:p w14:paraId="10D975D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的一切损失。若该永久质量问题无法满足设计及合同约定质量标准，而甲方和建设单位接受现状质量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向甲方支付</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支付</w:t>
      </w:r>
      <w:r>
        <w:rPr>
          <w:rFonts w:hint="eastAsia" w:ascii="仿宋" w:hAnsi="仿宋" w:eastAsia="仿宋" w:cs="仿宋"/>
          <w:b w:val="0"/>
          <w:bCs w:val="0"/>
          <w:i w:val="0"/>
          <w:iCs w:val="0"/>
          <w:color w:val="auto"/>
          <w:sz w:val="28"/>
          <w:szCs w:val="28"/>
          <w:highlight w:val="none"/>
          <w:shd w:val="clear" w:color="auto" w:fill="auto"/>
          <w:lang w:eastAsia="zh-CN"/>
        </w:rPr>
        <w:t>5000元以上的</w:t>
      </w:r>
      <w:r>
        <w:rPr>
          <w:rFonts w:hint="eastAsia" w:ascii="仿宋" w:hAnsi="仿宋" w:eastAsia="仿宋" w:cs="仿宋"/>
          <w:b w:val="0"/>
          <w:bCs w:val="0"/>
          <w:i w:val="0"/>
          <w:iCs w:val="0"/>
          <w:color w:val="auto"/>
          <w:sz w:val="28"/>
          <w:szCs w:val="28"/>
          <w:highlight w:val="none"/>
          <w:shd w:val="clear" w:color="auto" w:fill="auto"/>
          <w:lang w:val="en-US" w:eastAsia="zh-CN"/>
        </w:rPr>
        <w:t>违约金</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本条</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w:t>
      </w:r>
    </w:p>
    <w:p w14:paraId="1BC84827">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16乙方同意：</w:t>
      </w:r>
      <w:r>
        <w:rPr>
          <w:rFonts w:hint="eastAsia" w:ascii="仿宋" w:hAnsi="仿宋" w:eastAsia="仿宋" w:cs="仿宋"/>
          <w:b w:val="0"/>
          <w:bCs w:val="0"/>
          <w:i w:val="0"/>
          <w:iCs w:val="0"/>
          <w:color w:val="auto"/>
          <w:sz w:val="28"/>
          <w:szCs w:val="28"/>
          <w:highlight w:val="none"/>
          <w:shd w:val="clear" w:color="auto" w:fill="auto"/>
          <w:lang w:eastAsia="zh-CN"/>
        </w:rPr>
        <w:t>本项目如出现了可能因乙方原因导致的施工材料不合格或工程质量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eastAsia" w:ascii="仿宋" w:hAnsi="仿宋" w:eastAsia="仿宋" w:cs="仿宋"/>
          <w:b w:val="0"/>
          <w:bCs w:val="0"/>
          <w:i w:val="0"/>
          <w:iCs w:val="0"/>
          <w:color w:val="auto"/>
          <w:sz w:val="28"/>
          <w:szCs w:val="28"/>
          <w:highlight w:val="none"/>
          <w:shd w:val="clear" w:color="auto" w:fill="auto"/>
          <w:lang w:eastAsia="zh-CN"/>
        </w:rPr>
        <w:t>任</w:t>
      </w:r>
      <w:r>
        <w:rPr>
          <w:rFonts w:hint="eastAsia" w:ascii="仿宋" w:hAnsi="仿宋" w:eastAsia="仿宋" w:cs="仿宋"/>
          <w:b w:val="0"/>
          <w:bCs w:val="0"/>
          <w:i w:val="0"/>
          <w:iCs w:val="0"/>
          <w:color w:val="auto"/>
          <w:sz w:val="28"/>
          <w:szCs w:val="28"/>
          <w:highlight w:val="none"/>
          <w:shd w:val="clear" w:color="auto" w:fill="auto"/>
          <w:lang w:val="en-US" w:eastAsia="zh-CN"/>
        </w:rPr>
        <w:t>意</w:t>
      </w:r>
      <w:r>
        <w:rPr>
          <w:rFonts w:hint="eastAsia" w:ascii="仿宋" w:hAnsi="仿宋" w:eastAsia="仿宋" w:cs="仿宋"/>
          <w:b w:val="0"/>
          <w:bCs w:val="0"/>
          <w:i w:val="0"/>
          <w:iCs w:val="0"/>
          <w:color w:val="auto"/>
          <w:sz w:val="28"/>
          <w:szCs w:val="28"/>
          <w:highlight w:val="none"/>
          <w:shd w:val="clear" w:color="auto" w:fill="auto"/>
          <w:lang w:eastAsia="zh-CN"/>
        </w:rPr>
        <w:t>合同应付款项中暂扣，待责任及损失金额确定后，甲方无息返还非乙方责任的暂扣金额。</w:t>
      </w:r>
    </w:p>
    <w:p w14:paraId="42EC2CB2">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jc w:val="left"/>
        <w:textAlignment w:val="auto"/>
        <w:outlineLvl w:val="9"/>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17</w:t>
      </w:r>
      <w:r>
        <w:rPr>
          <w:rFonts w:hint="eastAsia" w:ascii="仿宋" w:hAnsi="仿宋" w:eastAsia="仿宋" w:cs="仿宋"/>
          <w:b w:val="0"/>
          <w:bCs w:val="0"/>
          <w:i w:val="0"/>
          <w:iCs w:val="0"/>
          <w:color w:val="auto"/>
          <w:sz w:val="28"/>
          <w:szCs w:val="28"/>
          <w:highlight w:val="none"/>
          <w:shd w:val="clear" w:color="auto" w:fill="auto"/>
          <w:lang w:eastAsia="zh-CN"/>
        </w:rPr>
        <w:t>乙方须对甲供材料进行质量检查，发现有质量问题或异常的材料，必须立即书面（包括但不限于微信、短信等方式）报告甲方</w:t>
      </w:r>
      <w:r>
        <w:rPr>
          <w:rFonts w:hint="eastAsia" w:ascii="仿宋" w:hAnsi="仿宋" w:eastAsia="仿宋" w:cs="仿宋"/>
          <w:b w:val="0"/>
          <w:bCs w:val="0"/>
          <w:i w:val="0"/>
          <w:iCs w:val="0"/>
          <w:color w:val="auto"/>
          <w:sz w:val="28"/>
          <w:szCs w:val="28"/>
          <w:highlight w:val="none"/>
          <w:shd w:val="clear" w:color="auto" w:fill="auto"/>
          <w:lang w:val="en-US" w:eastAsia="zh-CN"/>
        </w:rPr>
        <w:t>施工员和项目经理</w:t>
      </w:r>
      <w:r>
        <w:rPr>
          <w:rFonts w:hint="eastAsia" w:ascii="仿宋" w:hAnsi="仿宋" w:eastAsia="仿宋" w:cs="仿宋"/>
          <w:b w:val="0"/>
          <w:bCs w:val="0"/>
          <w:i w:val="0"/>
          <w:iCs w:val="0"/>
          <w:color w:val="auto"/>
          <w:sz w:val="28"/>
          <w:szCs w:val="28"/>
          <w:highlight w:val="none"/>
          <w:shd w:val="clear" w:color="auto" w:fill="auto"/>
          <w:lang w:eastAsia="zh-CN"/>
        </w:rPr>
        <w:t>，否则如乙方施工部分的甲供材料出现质量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，甲方有权扣除乙方在该施工部分的费用，如造成甲方损失，乙方须承担责任和损失。</w:t>
      </w:r>
    </w:p>
    <w:p w14:paraId="53CABDC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的特殊性，乙方已充分了解其施工责任并自愿承担相应风险，合同约定的违约金标准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5A73F64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34" w:name="_Toc14983"/>
      <w:bookmarkStart w:id="235" w:name="_Toc31952"/>
      <w:bookmarkStart w:id="236" w:name="_Toc9673"/>
      <w:bookmarkStart w:id="237" w:name="_Toc16038"/>
      <w:bookmarkStart w:id="238" w:name="_Toc1340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第十五章、廉洁条款</w:t>
      </w:r>
      <w:bookmarkEnd w:id="231"/>
      <w:bookmarkEnd w:id="232"/>
      <w:bookmarkEnd w:id="233"/>
      <w:bookmarkEnd w:id="234"/>
      <w:bookmarkEnd w:id="235"/>
      <w:bookmarkEnd w:id="236"/>
      <w:bookmarkEnd w:id="237"/>
      <w:bookmarkEnd w:id="238"/>
    </w:p>
    <w:p w14:paraId="5B7C531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15.1乙方在与甲方合作期间（包括本合同招标、签订、履行期间），不得向甲方职员提供请吃、送礼、旅游、色情服务、行贿、回扣或其他不正当利益，如有违反，乙方每次向甲方支付金额等于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合同总价10％的违约金（甲方可从任意合同款中扣款），造成甲方经济或其他损失的，乙方全额赔偿甲方。</w:t>
      </w:r>
    </w:p>
    <w:p w14:paraId="64A2B8B7">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收取乙方违约金并单方解除合同，对所发生的工程量/工作量不予结算及不支付费用。</w:t>
      </w:r>
    </w:p>
    <w:p w14:paraId="182F9B06">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15.3 如甲方发现乙方可能存在违反廉洁条款的行为时，甲方有权暂扣违约金/争议工程款等对应等额的合同款，直至调查完毕后根据调查结果再作处理，甲方暂不付款的行为不违约。</w:t>
      </w:r>
    </w:p>
    <w:p w14:paraId="48C5F3D4">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39" w:name="_Toc15001"/>
      <w:bookmarkStart w:id="240" w:name="_Toc7932"/>
      <w:bookmarkStart w:id="241" w:name="_Toc10092"/>
      <w:bookmarkStart w:id="242" w:name="_Toc7358"/>
      <w:bookmarkStart w:id="243" w:name="_Toc3557"/>
      <w:bookmarkStart w:id="244" w:name="_Toc10466"/>
      <w:bookmarkStart w:id="245" w:name="_Toc1486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第十六章、其他</w:t>
      </w:r>
      <w:bookmarkEnd w:id="239"/>
      <w:bookmarkEnd w:id="240"/>
      <w:bookmarkEnd w:id="241"/>
      <w:bookmarkEnd w:id="242"/>
      <w:bookmarkEnd w:id="243"/>
      <w:bookmarkEnd w:id="244"/>
      <w:bookmarkEnd w:id="24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502C103B">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16.1甲乙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双方确认，甲方项目章仅供甲方项目部与乙方联系工作和确认施工技术、资料之用。乙方知悉并同意，该项目章用于以下情形时无效：</w:t>
      </w:r>
    </w:p>
    <w:p w14:paraId="1232B95B">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①签订工程合同或工程分包合同及机械设备、周材租赁及材料采购类等合同；</w:t>
      </w:r>
    </w:p>
    <w:p w14:paraId="23C18E3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②任何类型的欠条或收据；</w:t>
      </w:r>
    </w:p>
    <w:p w14:paraId="11A0323F">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③任何形式的经济结算凭证；</w:t>
      </w:r>
    </w:p>
    <w:p w14:paraId="2BF09DA6">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④为他人或他单位提供任何形式的担保；</w:t>
      </w:r>
    </w:p>
    <w:p w14:paraId="21D7B1E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⑤确认任何形式的包含权利义务及责任承担的文件。</w:t>
      </w:r>
    </w:p>
    <w:p w14:paraId="21FAF0B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42E434AF">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16.3本合同有效期内，甲方制度文件及合同附件表格格式如有更新，按甲方最新版要求执行，甲方拥有最终解释权。</w:t>
      </w:r>
    </w:p>
    <w:p w14:paraId="04369D4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16.4本合同除《工完场清交接单》、《甲方项目章样式》、《签证单分包说明》、《施工图纸》外，其余合同附件在办理相关手续时，乙方须加盖公章且法人代表签章。</w:t>
      </w:r>
    </w:p>
    <w:p w14:paraId="740FA92A">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246" w:name="_Toc32294"/>
      <w:bookmarkStart w:id="247" w:name="_Toc5560"/>
      <w:bookmarkStart w:id="248" w:name="_Toc10212"/>
      <w:bookmarkStart w:id="249" w:name="_Toc10994"/>
      <w:bookmarkStart w:id="250" w:name="_Toc25353"/>
      <w:bookmarkStart w:id="251" w:name="_Toc11774"/>
      <w:r>
        <w:rPr>
          <w:rFonts w:hint="eastAsia" w:ascii="仿宋_GB2312" w:hAnsi="仿宋_GB2312" w:eastAsia="仿宋_GB2312" w:cs="仿宋_GB2312"/>
          <w:i w:val="0"/>
          <w:iCs w:val="0"/>
          <w:color w:val="auto"/>
          <w:sz w:val="28"/>
          <w:szCs w:val="28"/>
          <w:highlight w:val="none"/>
          <w:u w:val="none"/>
          <w:shd w:val="clear" w:color="auto" w:fill="auto"/>
          <w:lang w:val="en-US" w:eastAsia="zh-CN"/>
        </w:rPr>
        <w:t>16.5本合同条款互为矛盾的，按最有利于甲方的条款执行。</w:t>
      </w:r>
      <w:bookmarkEnd w:id="246"/>
      <w:bookmarkEnd w:id="247"/>
      <w:bookmarkEnd w:id="248"/>
      <w:bookmarkEnd w:id="249"/>
      <w:bookmarkEnd w:id="250"/>
      <w:bookmarkEnd w:id="251"/>
    </w:p>
    <w:p w14:paraId="5E59C494">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16.6本合同未尽事宜，须经甲乙双方协商一致后签订补充协议进行明确。补充协议与本合同具有同等法律效力。</w:t>
      </w:r>
    </w:p>
    <w:p w14:paraId="25FF8B8B">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5CDD9853">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16.8乙方违反本合同约定给甲方造成损失的，须按本合同约定承担违约责任外，甲方有权直接从应付给乙方的合同款中直接扣除乙方应承担的违约金费用，如所扣款额不足补偿甲方损失，乙方在甲方通知之日起七个日历天内补齐差额给甲方，且甲方向乙方追偿责任所产生的律师费、诉讼费、鉴定费、财产保全</w:t>
      </w:r>
      <w:r>
        <w:rPr>
          <w:rFonts w:hint="eastAsia" w:ascii="仿宋" w:hAnsi="仿宋" w:eastAsia="仿宋" w:cs="仿宋"/>
          <w:b w:val="0"/>
          <w:bCs w:val="0"/>
          <w:i w:val="0"/>
          <w:iCs w:val="0"/>
          <w:color w:val="auto"/>
          <w:sz w:val="28"/>
          <w:szCs w:val="28"/>
          <w:highlight w:val="none"/>
          <w:shd w:val="clear" w:color="auto" w:fill="auto"/>
          <w:lang w:val="en-US" w:eastAsia="zh-CN"/>
        </w:rPr>
        <w:t>及相关</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担保费等费用由乙方全额承担。</w:t>
      </w:r>
    </w:p>
    <w:p w14:paraId="6D981B9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21D341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16.10甲乙双方均确认已经审阅并理解本合同全部条款，且已经就条款相关的任何疑问得到满意的解释，并确认本合同的条款为双方本着诚信互利的原则友好协商一致的结果，不属于任何一方的格式条款。</w:t>
      </w:r>
    </w:p>
    <w:p w14:paraId="138F48E6">
      <w:pPr>
        <w:pStyle w:val="6"/>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700" w:firstLineChars="25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本合同一式三份，甲方执二份，乙方执一份，均具同等效力。</w:t>
      </w:r>
    </w:p>
    <w:p w14:paraId="07494C0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16.12以下文件均为合同有效组成部分，各文件互相解释，互为说明。当合同文件中出现不一致时，除合同另有约定外，以下排列顺序就是各合同文件的优先解释顺序：</w:t>
      </w:r>
    </w:p>
    <w:p w14:paraId="77D23C7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合同有效期内，双方法人代表或授权人签字并加盖公章的补充协议；</w:t>
      </w:r>
    </w:p>
    <w:p w14:paraId="77CCAC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本合同第一部分，合同专用条款；</w:t>
      </w:r>
    </w:p>
    <w:p w14:paraId="4EFB27A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本合同第二部分，合同专用条款；</w:t>
      </w:r>
    </w:p>
    <w:p w14:paraId="6B5CAAB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经甲方权限领导审批确认的方案及相关设计变更；</w:t>
      </w:r>
    </w:p>
    <w:p w14:paraId="6145C50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本工程招标文件（含相关答疑、补充通知等）；</w:t>
      </w:r>
    </w:p>
    <w:p w14:paraId="5835EE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乙方发出的、经甲方确认的本工程投标文件及相关澄清文件；</w:t>
      </w:r>
    </w:p>
    <w:p w14:paraId="726E0BD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 项目所在地现行的法律、法规、标准、规范。</w:t>
      </w:r>
    </w:p>
    <w:p w14:paraId="3682DCE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16.13本合同自甲乙双方签字并加盖公章（或合同章）之日起生效，双方履行完合同义务、责任之日，本合同自动终止。</w:t>
      </w:r>
    </w:p>
    <w:p w14:paraId="52D672D8">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【以下无正文】</w:t>
      </w:r>
    </w:p>
    <w:p w14:paraId="14B14F0E">
      <w:pPr>
        <w:pStyle w:val="6"/>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附件：</w:t>
      </w:r>
      <w:bookmarkStart w:id="252" w:name="_Toc20090"/>
      <w:bookmarkStart w:id="253" w:name="_Toc18756"/>
      <w:bookmarkStart w:id="254" w:name="_Toc9464"/>
      <w:bookmarkStart w:id="255" w:name="_Toc14601"/>
      <w:bookmarkStart w:id="256" w:name="_Toc20837"/>
      <w:bookmarkStart w:id="257" w:name="_Toc19939"/>
    </w:p>
    <w:bookmarkEnd w:id="252"/>
    <w:bookmarkEnd w:id="253"/>
    <w:bookmarkEnd w:id="254"/>
    <w:bookmarkEnd w:id="255"/>
    <w:bookmarkEnd w:id="256"/>
    <w:bookmarkEnd w:id="257"/>
    <w:p w14:paraId="03ACE4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58" w:name="_Toc23629"/>
      <w:bookmarkStart w:id="259" w:name="_Toc13374"/>
      <w:bookmarkStart w:id="260" w:name="_Toc20945"/>
      <w:bookmarkStart w:id="261" w:name="_Toc27829"/>
      <w:bookmarkStart w:id="262" w:name="_Toc7363"/>
      <w:bookmarkStart w:id="263" w:name="_Toc11189"/>
      <w:bookmarkStart w:id="264" w:name="_Toc18676"/>
      <w:bookmarkStart w:id="265" w:name="_Toc12074"/>
      <w:bookmarkStart w:id="266" w:name="_Toc7014"/>
      <w:bookmarkStart w:id="267" w:name="_Toc10798"/>
      <w:bookmarkStart w:id="268" w:name="_Toc14000"/>
      <w:bookmarkStart w:id="269" w:name="_Toc18080"/>
      <w:bookmarkStart w:id="270" w:name="_Toc13137"/>
      <w:bookmarkStart w:id="271" w:name="_Toc7880"/>
      <w:bookmarkStart w:id="272" w:name="_Toc26460"/>
      <w:bookmarkStart w:id="273" w:name="_Toc22736"/>
      <w:bookmarkStart w:id="274" w:name="_Toc6457"/>
      <w:bookmarkStart w:id="275" w:name="_Toc7245"/>
      <w:bookmarkStart w:id="276" w:name="_Toc23233"/>
      <w:bookmarkStart w:id="277" w:name="_Toc3404"/>
      <w:bookmarkStart w:id="278" w:name="_Toc26059"/>
      <w:bookmarkStart w:id="279" w:name="_Toc22492"/>
      <w:bookmarkStart w:id="280" w:name="_Toc28577"/>
      <w:bookmarkStart w:id="281" w:name="_Toc12795"/>
      <w:bookmarkStart w:id="282" w:name="_Toc31130"/>
      <w:bookmarkStart w:id="283" w:name="_Toc26912"/>
      <w:bookmarkStart w:id="284" w:name="_Toc4318"/>
      <w:bookmarkStart w:id="285" w:name="_Toc30985"/>
      <w:r>
        <w:rPr>
          <w:rFonts w:hint="eastAsia" w:ascii="仿宋" w:hAnsi="仿宋" w:eastAsia="仿宋" w:cs="仿宋"/>
          <w:color w:val="auto"/>
          <w:sz w:val="28"/>
          <w:szCs w:val="28"/>
          <w:highlight w:val="none"/>
          <w:lang w:val="en-US" w:eastAsia="zh-CN"/>
        </w:rPr>
        <w:t>附件一《分包单位开工令》格式；</w:t>
      </w:r>
      <w:bookmarkEnd w:id="258"/>
      <w:bookmarkEnd w:id="259"/>
      <w:bookmarkEnd w:id="260"/>
      <w:bookmarkEnd w:id="261"/>
      <w:bookmarkEnd w:id="262"/>
      <w:bookmarkEnd w:id="263"/>
      <w:bookmarkEnd w:id="264"/>
      <w:bookmarkEnd w:id="265"/>
    </w:p>
    <w:p w14:paraId="62ADDC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86" w:name="_Toc22678"/>
      <w:bookmarkStart w:id="287" w:name="_Toc25336"/>
      <w:bookmarkStart w:id="288" w:name="_Toc17284"/>
      <w:bookmarkStart w:id="289" w:name="_Toc29710"/>
      <w:bookmarkStart w:id="290" w:name="_Toc11604"/>
      <w:bookmarkStart w:id="291" w:name="_Toc4136"/>
      <w:bookmarkStart w:id="292" w:name="_Toc26373"/>
      <w:bookmarkStart w:id="293" w:name="_Toc4786"/>
      <w:bookmarkStart w:id="294" w:name="_Toc25490"/>
      <w:bookmarkStart w:id="295" w:name="_Toc27191"/>
      <w:bookmarkStart w:id="296" w:name="_Toc27040"/>
      <w:bookmarkStart w:id="297" w:name="_Toc29237"/>
      <w:bookmarkStart w:id="298" w:name="_Toc27699"/>
      <w:bookmarkStart w:id="299" w:name="_Toc31644"/>
      <w:bookmarkStart w:id="300" w:name="_Toc16598"/>
      <w:bookmarkStart w:id="301" w:name="_Toc11948"/>
      <w:bookmarkStart w:id="302" w:name="_Toc6961"/>
      <w:bookmarkStart w:id="303" w:name="_Toc3457"/>
      <w:bookmarkStart w:id="304" w:name="_Toc32302"/>
      <w:bookmarkStart w:id="305" w:name="_Toc23949"/>
      <w:bookmarkStart w:id="306" w:name="_Toc16448"/>
      <w:bookmarkStart w:id="307" w:name="_Toc4694"/>
      <w:bookmarkStart w:id="308" w:name="_Toc13862"/>
      <w:bookmarkStart w:id="309" w:name="_Toc12738"/>
      <w:bookmarkStart w:id="310" w:name="_Toc15971"/>
      <w:r>
        <w:rPr>
          <w:rFonts w:hint="eastAsia" w:ascii="仿宋" w:hAnsi="仿宋" w:eastAsia="仿宋" w:cs="仿宋"/>
          <w:color w:val="auto"/>
          <w:sz w:val="28"/>
          <w:szCs w:val="28"/>
          <w:highlight w:val="none"/>
          <w:lang w:val="en-US" w:eastAsia="zh-CN"/>
        </w:rPr>
        <w:t>附件二《分包签证确认单》</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Pr>
          <w:rFonts w:hint="eastAsia" w:ascii="仿宋" w:hAnsi="仿宋" w:eastAsia="仿宋" w:cs="仿宋"/>
          <w:color w:val="auto"/>
          <w:sz w:val="28"/>
          <w:szCs w:val="28"/>
          <w:highlight w:val="none"/>
          <w:lang w:val="en-US" w:eastAsia="zh-CN"/>
        </w:rPr>
        <w:t>格式；</w:t>
      </w:r>
      <w:bookmarkEnd w:id="306"/>
      <w:bookmarkEnd w:id="307"/>
      <w:bookmarkEnd w:id="308"/>
      <w:bookmarkEnd w:id="309"/>
      <w:bookmarkEnd w:id="310"/>
    </w:p>
    <w:p w14:paraId="100CA4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11" w:name="_Toc11696"/>
      <w:bookmarkStart w:id="312" w:name="_Toc3526"/>
      <w:bookmarkStart w:id="313" w:name="_Toc27842"/>
      <w:bookmarkStart w:id="314" w:name="_Toc28426"/>
      <w:bookmarkStart w:id="315" w:name="_Toc24903"/>
      <w:bookmarkStart w:id="316" w:name="_Toc19406"/>
      <w:bookmarkStart w:id="317" w:name="_Toc19825"/>
      <w:bookmarkStart w:id="318" w:name="_Toc25184"/>
      <w:bookmarkStart w:id="319" w:name="_Toc14829"/>
      <w:bookmarkStart w:id="320" w:name="_Toc26221"/>
      <w:bookmarkStart w:id="321" w:name="_Toc19810"/>
      <w:bookmarkStart w:id="322" w:name="_Toc30478"/>
      <w:bookmarkStart w:id="323" w:name="_Toc21727"/>
      <w:bookmarkStart w:id="324" w:name="_Toc5095"/>
      <w:bookmarkStart w:id="325" w:name="_Toc9220"/>
      <w:bookmarkStart w:id="326" w:name="_Toc21366"/>
      <w:bookmarkStart w:id="327" w:name="_Toc3046"/>
      <w:bookmarkStart w:id="328" w:name="_Toc4256"/>
      <w:bookmarkStart w:id="329" w:name="_Toc14339"/>
      <w:bookmarkStart w:id="330" w:name="_Toc3355"/>
      <w:bookmarkStart w:id="331" w:name="_Toc31647"/>
      <w:bookmarkStart w:id="332" w:name="_Toc11075"/>
      <w:bookmarkStart w:id="333" w:name="_Toc25120"/>
      <w:bookmarkStart w:id="334" w:name="_Toc9555"/>
      <w:bookmarkStart w:id="335" w:name="_Toc9344"/>
      <w:r>
        <w:rPr>
          <w:rFonts w:hint="eastAsia" w:ascii="仿宋" w:hAnsi="仿宋" w:eastAsia="仿宋" w:cs="仿宋"/>
          <w:color w:val="auto"/>
          <w:sz w:val="28"/>
          <w:szCs w:val="28"/>
          <w:highlight w:val="none"/>
          <w:lang w:val="en-US" w:eastAsia="zh-CN"/>
        </w:rPr>
        <w:t>附件三《分项工程/认质认价申报审批表》</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ascii="仿宋" w:hAnsi="仿宋" w:eastAsia="仿宋" w:cs="仿宋"/>
          <w:color w:val="auto"/>
          <w:sz w:val="28"/>
          <w:szCs w:val="28"/>
          <w:highlight w:val="none"/>
          <w:lang w:val="en-US" w:eastAsia="zh-CN"/>
        </w:rPr>
        <w:t>格式；</w:t>
      </w:r>
      <w:bookmarkEnd w:id="331"/>
      <w:bookmarkEnd w:id="332"/>
      <w:bookmarkEnd w:id="333"/>
      <w:bookmarkEnd w:id="334"/>
      <w:bookmarkEnd w:id="335"/>
    </w:p>
    <w:p w14:paraId="5C5889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336" w:name="_Toc8225"/>
      <w:bookmarkStart w:id="337" w:name="_Toc625"/>
      <w:bookmarkStart w:id="338" w:name="_Toc12708"/>
      <w:bookmarkStart w:id="339" w:name="_Toc4675"/>
      <w:bookmarkStart w:id="340" w:name="_Toc4124"/>
      <w:bookmarkStart w:id="341" w:name="_Toc32243"/>
      <w:bookmarkStart w:id="342" w:name="_Toc2953"/>
      <w:bookmarkStart w:id="343" w:name="_Toc29658"/>
      <w:bookmarkStart w:id="344" w:name="_Toc19908"/>
      <w:bookmarkStart w:id="345" w:name="_Toc21620"/>
      <w:bookmarkStart w:id="346" w:name="_Toc4351"/>
      <w:bookmarkStart w:id="347" w:name="_Toc24793"/>
      <w:bookmarkStart w:id="348" w:name="_Toc29231"/>
      <w:r>
        <w:rPr>
          <w:rFonts w:hint="eastAsia" w:ascii="仿宋" w:hAnsi="仿宋" w:eastAsia="仿宋" w:cs="仿宋"/>
          <w:color w:val="auto"/>
          <w:sz w:val="28"/>
          <w:szCs w:val="28"/>
          <w:highlight w:val="none"/>
          <w:lang w:val="en-US" w:eastAsia="zh-CN"/>
        </w:rPr>
        <w:t>附件四《签证单分包说明》</w:t>
      </w:r>
      <w:bookmarkEnd w:id="336"/>
      <w:bookmarkEnd w:id="337"/>
      <w:bookmarkEnd w:id="338"/>
      <w:bookmarkEnd w:id="339"/>
      <w:bookmarkEnd w:id="340"/>
      <w:bookmarkEnd w:id="341"/>
      <w:bookmarkEnd w:id="342"/>
      <w:bookmarkEnd w:id="343"/>
      <w:r>
        <w:rPr>
          <w:rFonts w:hint="eastAsia" w:ascii="仿宋" w:hAnsi="仿宋" w:eastAsia="仿宋" w:cs="仿宋"/>
          <w:color w:val="auto"/>
          <w:sz w:val="28"/>
          <w:szCs w:val="28"/>
          <w:highlight w:val="none"/>
          <w:lang w:val="en-US" w:eastAsia="zh-CN"/>
        </w:rPr>
        <w:t>格式；</w:t>
      </w:r>
      <w:bookmarkEnd w:id="344"/>
      <w:bookmarkEnd w:id="345"/>
      <w:bookmarkEnd w:id="346"/>
      <w:bookmarkEnd w:id="347"/>
      <w:bookmarkEnd w:id="348"/>
    </w:p>
    <w:p w14:paraId="68820C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49" w:name="_Toc2302"/>
      <w:bookmarkStart w:id="350" w:name="_Toc20516"/>
      <w:bookmarkStart w:id="351" w:name="_Toc4532"/>
      <w:bookmarkStart w:id="352" w:name="_Toc32363"/>
      <w:bookmarkStart w:id="353" w:name="_Toc18174"/>
      <w:bookmarkStart w:id="354" w:name="_Toc17895"/>
      <w:bookmarkStart w:id="355" w:name="_Toc5880"/>
      <w:bookmarkStart w:id="356" w:name="_Toc7977"/>
      <w:bookmarkStart w:id="357" w:name="_Toc1628"/>
      <w:bookmarkStart w:id="358" w:name="_Toc23449"/>
      <w:bookmarkStart w:id="359" w:name="_Toc7170"/>
      <w:bookmarkStart w:id="360" w:name="_Toc30595"/>
      <w:bookmarkStart w:id="361" w:name="_Toc12321"/>
      <w:bookmarkStart w:id="362" w:name="_Toc9015"/>
      <w:bookmarkStart w:id="363" w:name="_Toc14040"/>
      <w:bookmarkStart w:id="364" w:name="_Toc29501"/>
      <w:bookmarkStart w:id="365" w:name="_Toc26757"/>
      <w:bookmarkStart w:id="366" w:name="_Toc19765"/>
      <w:bookmarkStart w:id="367" w:name="_Toc13787"/>
      <w:bookmarkStart w:id="368" w:name="_Toc20020"/>
      <w:bookmarkStart w:id="369" w:name="_Toc25058"/>
      <w:bookmarkStart w:id="370" w:name="_Toc32510"/>
      <w:bookmarkStart w:id="371" w:name="_Toc4713"/>
      <w:bookmarkStart w:id="372" w:name="_Toc10216"/>
      <w:bookmarkStart w:id="373" w:name="_Toc20848"/>
      <w:r>
        <w:rPr>
          <w:rFonts w:hint="eastAsia" w:ascii="仿宋" w:hAnsi="仿宋" w:eastAsia="仿宋" w:cs="仿宋"/>
          <w:color w:val="auto"/>
          <w:sz w:val="28"/>
          <w:szCs w:val="28"/>
          <w:highlight w:val="none"/>
          <w:lang w:val="en-US" w:eastAsia="zh-CN"/>
        </w:rPr>
        <w:t>附件五《工程量现场草签记录表》</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hint="eastAsia" w:ascii="仿宋" w:hAnsi="仿宋" w:eastAsia="仿宋" w:cs="仿宋"/>
          <w:color w:val="auto"/>
          <w:sz w:val="28"/>
          <w:szCs w:val="28"/>
          <w:highlight w:val="none"/>
          <w:lang w:val="en-US" w:eastAsia="zh-CN"/>
        </w:rPr>
        <w:t>格式；</w:t>
      </w:r>
      <w:bookmarkEnd w:id="369"/>
      <w:bookmarkEnd w:id="370"/>
      <w:bookmarkEnd w:id="371"/>
      <w:bookmarkEnd w:id="372"/>
      <w:bookmarkEnd w:id="373"/>
    </w:p>
    <w:p w14:paraId="295B34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74" w:name="_Toc25421"/>
      <w:bookmarkStart w:id="375" w:name="_Toc25345"/>
      <w:bookmarkStart w:id="376" w:name="_Toc7073"/>
      <w:bookmarkStart w:id="377" w:name="_Toc15617"/>
      <w:bookmarkStart w:id="378" w:name="_Toc32730"/>
      <w:bookmarkStart w:id="379" w:name="_Toc9377"/>
      <w:bookmarkStart w:id="380" w:name="_Toc24739"/>
      <w:bookmarkStart w:id="381" w:name="_Toc5989"/>
      <w:bookmarkStart w:id="382" w:name="_Toc19655"/>
      <w:bookmarkStart w:id="383" w:name="_Toc15102"/>
      <w:bookmarkStart w:id="384" w:name="_Toc5662"/>
      <w:bookmarkStart w:id="385" w:name="_Toc11623"/>
      <w:bookmarkStart w:id="386" w:name="_Toc1613"/>
      <w:bookmarkStart w:id="387" w:name="_Toc27592"/>
      <w:bookmarkStart w:id="388" w:name="_Toc8957"/>
      <w:bookmarkStart w:id="389" w:name="_Toc29999"/>
      <w:bookmarkStart w:id="390" w:name="_Toc12149"/>
      <w:bookmarkStart w:id="391" w:name="_Toc2307"/>
      <w:bookmarkStart w:id="392" w:name="_Toc15998"/>
      <w:bookmarkStart w:id="393" w:name="_Toc22271"/>
      <w:bookmarkStart w:id="394" w:name="_Toc24504"/>
      <w:bookmarkStart w:id="395" w:name="_Toc21579"/>
      <w:bookmarkStart w:id="396" w:name="_Toc10298"/>
      <w:bookmarkStart w:id="397" w:name="_Toc5964"/>
      <w:bookmarkStart w:id="398" w:name="_Toc30772"/>
      <w:r>
        <w:rPr>
          <w:rFonts w:hint="eastAsia" w:ascii="仿宋" w:hAnsi="仿宋" w:eastAsia="仿宋" w:cs="仿宋"/>
          <w:color w:val="auto"/>
          <w:sz w:val="28"/>
          <w:szCs w:val="28"/>
          <w:highlight w:val="none"/>
          <w:lang w:val="en-US" w:eastAsia="zh-CN"/>
        </w:rPr>
        <w:t>附件六《工程结算支付证明单》</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hint="eastAsia" w:ascii="仿宋" w:hAnsi="仿宋" w:eastAsia="仿宋" w:cs="仿宋"/>
          <w:color w:val="auto"/>
          <w:sz w:val="28"/>
          <w:szCs w:val="28"/>
          <w:highlight w:val="none"/>
          <w:lang w:val="en-US" w:eastAsia="zh-CN"/>
        </w:rPr>
        <w:t>格式；</w:t>
      </w:r>
      <w:bookmarkEnd w:id="394"/>
      <w:bookmarkEnd w:id="395"/>
      <w:bookmarkEnd w:id="396"/>
      <w:bookmarkEnd w:id="397"/>
      <w:bookmarkEnd w:id="398"/>
    </w:p>
    <w:p w14:paraId="22FFF06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99" w:name="_Toc30156"/>
      <w:bookmarkStart w:id="400" w:name="_Toc17584"/>
      <w:bookmarkStart w:id="401" w:name="_Toc28993"/>
      <w:bookmarkStart w:id="402" w:name="_Toc16408"/>
      <w:bookmarkStart w:id="403" w:name="_Toc1935"/>
      <w:r>
        <w:rPr>
          <w:rFonts w:hint="eastAsia" w:ascii="仿宋" w:hAnsi="仿宋" w:eastAsia="仿宋" w:cs="仿宋"/>
          <w:color w:val="auto"/>
          <w:sz w:val="28"/>
          <w:szCs w:val="28"/>
          <w:highlight w:val="none"/>
          <w:lang w:val="en-US" w:eastAsia="zh-CN"/>
        </w:rPr>
        <w:t>附件七《工完场清交接单》</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rFonts w:hint="eastAsia" w:ascii="仿宋" w:hAnsi="仿宋" w:eastAsia="仿宋" w:cs="仿宋"/>
          <w:color w:val="auto"/>
          <w:sz w:val="28"/>
          <w:szCs w:val="28"/>
          <w:highlight w:val="none"/>
          <w:lang w:val="en-US" w:eastAsia="zh-CN"/>
        </w:rPr>
        <w:t>格式；</w:t>
      </w:r>
      <w:bookmarkEnd w:id="399"/>
      <w:bookmarkEnd w:id="400"/>
      <w:bookmarkEnd w:id="401"/>
      <w:bookmarkEnd w:id="402"/>
      <w:bookmarkEnd w:id="403"/>
    </w:p>
    <w:p w14:paraId="71C265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04" w:name="_Toc21391"/>
      <w:bookmarkStart w:id="405" w:name="_Toc15804"/>
      <w:bookmarkStart w:id="406" w:name="_Toc6059"/>
      <w:bookmarkStart w:id="407" w:name="_Toc10838"/>
      <w:bookmarkStart w:id="408" w:name="_Toc648"/>
      <w:bookmarkStart w:id="409" w:name="_Toc18543"/>
      <w:bookmarkStart w:id="410" w:name="_Toc28987"/>
      <w:r>
        <w:rPr>
          <w:rFonts w:hint="eastAsia" w:ascii="仿宋" w:hAnsi="仿宋" w:eastAsia="仿宋" w:cs="仿宋"/>
          <w:color w:val="auto"/>
          <w:sz w:val="28"/>
          <w:szCs w:val="28"/>
          <w:highlight w:val="none"/>
          <w:lang w:val="en-US" w:eastAsia="zh-CN"/>
        </w:rPr>
        <w:t>附件八《工程结算资料目录》格式</w:t>
      </w:r>
      <w:bookmarkEnd w:id="404"/>
      <w:bookmarkEnd w:id="405"/>
      <w:bookmarkEnd w:id="406"/>
      <w:bookmarkEnd w:id="407"/>
      <w:r>
        <w:rPr>
          <w:rFonts w:hint="eastAsia" w:ascii="仿宋" w:hAnsi="仿宋" w:eastAsia="仿宋" w:cs="仿宋"/>
          <w:color w:val="auto"/>
          <w:sz w:val="28"/>
          <w:szCs w:val="28"/>
          <w:highlight w:val="none"/>
          <w:lang w:val="en-US" w:eastAsia="zh-CN"/>
        </w:rPr>
        <w:t>；</w:t>
      </w:r>
      <w:bookmarkEnd w:id="408"/>
      <w:bookmarkEnd w:id="409"/>
      <w:bookmarkEnd w:id="410"/>
    </w:p>
    <w:p w14:paraId="788406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附件九《</w:t>
      </w:r>
      <w:r>
        <w:rPr>
          <w:rFonts w:hint="eastAsia" w:ascii="仿宋" w:hAnsi="仿宋" w:eastAsia="仿宋" w:cs="仿宋"/>
          <w:color w:val="auto"/>
          <w:sz w:val="28"/>
          <w:szCs w:val="28"/>
          <w:highlight w:val="none"/>
          <w:lang w:val="en-US" w:eastAsia="zh-CN"/>
        </w:rPr>
        <w:t>工人工资发放承诺书</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》格式；</w:t>
      </w:r>
    </w:p>
    <w:p w14:paraId="5F2867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11" w:name="_Toc24794"/>
      <w:bookmarkStart w:id="412" w:name="_Toc16561"/>
      <w:bookmarkStart w:id="413" w:name="_Toc1544"/>
      <w:bookmarkStart w:id="414" w:name="_Toc21989"/>
      <w:bookmarkStart w:id="415" w:name="_Toc764"/>
      <w:bookmarkStart w:id="416" w:name="_Toc6281"/>
      <w:bookmarkStart w:id="417" w:name="_Toc26774"/>
      <w:bookmarkStart w:id="418" w:name="_Toc23263"/>
      <w:bookmarkStart w:id="419" w:name="_Toc4534"/>
      <w:bookmarkStart w:id="420" w:name="_Toc22855"/>
      <w:bookmarkStart w:id="421" w:name="_Toc4480"/>
      <w:bookmarkStart w:id="422" w:name="_Toc17245"/>
      <w:bookmarkStart w:id="423" w:name="_Toc650"/>
      <w:bookmarkStart w:id="424" w:name="_Toc32640"/>
      <w:bookmarkStart w:id="425" w:name="_Toc21429"/>
      <w:bookmarkStart w:id="426" w:name="_Toc31779"/>
      <w:bookmarkStart w:id="427" w:name="_Toc3018"/>
      <w:bookmarkStart w:id="428" w:name="_Toc7916"/>
      <w:bookmarkStart w:id="429" w:name="_Toc15522"/>
      <w:bookmarkStart w:id="430" w:name="_Toc11236"/>
      <w:bookmarkStart w:id="431" w:name="_Toc29863"/>
      <w:bookmarkStart w:id="432" w:name="_Toc19079"/>
      <w:bookmarkStart w:id="433" w:name="_Toc25867"/>
      <w:bookmarkStart w:id="434" w:name="_Toc15983"/>
      <w:bookmarkStart w:id="435" w:name="_Toc7185"/>
      <w:r>
        <w:rPr>
          <w:rFonts w:hint="eastAsia" w:ascii="仿宋" w:hAnsi="仿宋" w:eastAsia="仿宋" w:cs="仿宋"/>
          <w:color w:val="auto"/>
          <w:sz w:val="28"/>
          <w:szCs w:val="28"/>
          <w:highlight w:val="none"/>
          <w:lang w:val="en-US" w:eastAsia="zh-CN"/>
        </w:rPr>
        <w:t>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承诺书（工人个人版）</w:t>
      </w:r>
      <w:r>
        <w:rPr>
          <w:rFonts w:hint="eastAsia" w:ascii="仿宋" w:hAnsi="仿宋" w:eastAsia="仿宋" w:cs="仿宋"/>
          <w:color w:val="auto"/>
          <w:sz w:val="28"/>
          <w:szCs w:val="28"/>
          <w:highlight w:val="none"/>
          <w:lang w:val="en-US" w:eastAsia="zh-CN"/>
        </w:rPr>
        <w:t>》</w:t>
      </w:r>
      <w:bookmarkEnd w:id="411"/>
      <w:bookmarkEnd w:id="412"/>
      <w:bookmarkEnd w:id="413"/>
      <w:bookmarkEnd w:id="414"/>
      <w:bookmarkEnd w:id="415"/>
      <w:bookmarkEnd w:id="416"/>
      <w:bookmarkEnd w:id="417"/>
      <w:bookmarkEnd w:id="418"/>
      <w:r>
        <w:rPr>
          <w:rFonts w:hint="eastAsia" w:ascii="仿宋" w:hAnsi="仿宋" w:eastAsia="仿宋" w:cs="仿宋"/>
          <w:color w:val="auto"/>
          <w:sz w:val="28"/>
          <w:szCs w:val="28"/>
          <w:highlight w:val="none"/>
          <w:lang w:val="en-US" w:eastAsia="zh-CN"/>
        </w:rPr>
        <w:t>格式；</w:t>
      </w:r>
      <w:bookmarkEnd w:id="419"/>
      <w:bookmarkEnd w:id="420"/>
      <w:bookmarkEnd w:id="421"/>
      <w:bookmarkEnd w:id="422"/>
      <w:bookmarkEnd w:id="423"/>
    </w:p>
    <w:p w14:paraId="484ECF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附件十一</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《技术工人素质承诺书》</w:t>
      </w:r>
      <w:r>
        <w:rPr>
          <w:rFonts w:hint="eastAsia" w:ascii="仿宋" w:hAnsi="仿宋" w:eastAsia="仿宋" w:cs="仿宋"/>
          <w:color w:val="000000" w:themeColor="text1"/>
          <w:sz w:val="28"/>
          <w:szCs w:val="28"/>
          <w:highlight w:val="none"/>
          <w:lang w:val="en-US" w:eastAsia="zh-CN"/>
          <w14:textFill>
            <w14:solidFill>
              <w14:schemeClr w14:val="tx1"/>
            </w14:solidFill>
          </w14:textFill>
        </w:rPr>
        <w:t>格式；</w:t>
      </w:r>
      <w:bookmarkEnd w:id="424"/>
      <w:bookmarkEnd w:id="425"/>
      <w:bookmarkEnd w:id="426"/>
      <w:bookmarkEnd w:id="427"/>
      <w:bookmarkEnd w:id="428"/>
      <w:bookmarkEnd w:id="429"/>
      <w:bookmarkEnd w:id="430"/>
      <w:bookmarkEnd w:id="431"/>
      <w:bookmarkEnd w:id="432"/>
      <w:bookmarkEnd w:id="433"/>
      <w:bookmarkEnd w:id="434"/>
      <w:bookmarkEnd w:id="435"/>
    </w:p>
    <w:p w14:paraId="66096E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36" w:name="_Toc32697"/>
      <w:bookmarkStart w:id="437" w:name="_Toc16929"/>
      <w:bookmarkStart w:id="438" w:name="_Toc22619"/>
      <w:bookmarkStart w:id="439" w:name="_Toc30940"/>
      <w:bookmarkStart w:id="440" w:name="_Toc26926"/>
      <w:bookmarkStart w:id="441" w:name="_Toc26887"/>
      <w:bookmarkStart w:id="442" w:name="_Toc18689"/>
      <w:bookmarkStart w:id="443" w:name="_Toc31017"/>
      <w:bookmarkStart w:id="444" w:name="_Toc3430"/>
      <w:bookmarkStart w:id="445" w:name="_Toc11973"/>
      <w:bookmarkStart w:id="446" w:name="_Toc21822"/>
      <w:bookmarkStart w:id="447" w:name="_Toc10168"/>
      <w:bookmarkStart w:id="448" w:name="_Toc7184"/>
      <w:bookmarkStart w:id="449" w:name="_Toc30233"/>
      <w:bookmarkStart w:id="450" w:name="_Toc26713"/>
      <w:bookmarkStart w:id="451" w:name="_Toc7371"/>
      <w:bookmarkStart w:id="452" w:name="_Toc18635"/>
      <w:bookmarkStart w:id="453" w:name="_Toc27917"/>
      <w:bookmarkStart w:id="454" w:name="_Toc27059"/>
      <w:bookmarkStart w:id="455" w:name="_Toc13230"/>
      <w:bookmarkStart w:id="456" w:name="_Toc12154"/>
      <w:bookmarkStart w:id="457" w:name="_Toc26891"/>
      <w:bookmarkStart w:id="458" w:name="_Toc3078"/>
      <w:bookmarkStart w:id="459" w:name="_Toc9097"/>
      <w:bookmarkStart w:id="460" w:name="_Toc21251"/>
      <w:r>
        <w:rPr>
          <w:rFonts w:hint="eastAsia" w:ascii="仿宋" w:hAnsi="仿宋" w:eastAsia="仿宋" w:cs="仿宋"/>
          <w:color w:val="auto"/>
          <w:sz w:val="28"/>
          <w:szCs w:val="28"/>
          <w:highlight w:val="none"/>
          <w:lang w:val="en-US" w:eastAsia="zh-CN"/>
        </w:rPr>
        <w:t>附件十二《出险声明函》</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hint="eastAsia" w:ascii="仿宋" w:hAnsi="仿宋" w:eastAsia="仿宋" w:cs="仿宋"/>
          <w:color w:val="auto"/>
          <w:sz w:val="28"/>
          <w:szCs w:val="28"/>
          <w:highlight w:val="none"/>
          <w:lang w:val="en-US" w:eastAsia="zh-CN"/>
        </w:rPr>
        <w:t>格式；</w:t>
      </w:r>
      <w:bookmarkEnd w:id="456"/>
      <w:bookmarkEnd w:id="457"/>
      <w:bookmarkEnd w:id="458"/>
      <w:bookmarkEnd w:id="459"/>
      <w:bookmarkEnd w:id="460"/>
    </w:p>
    <w:p w14:paraId="3B61BD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b/>
          <w:bCs w:val="0"/>
          <w:color w:val="auto"/>
          <w:sz w:val="40"/>
          <w:szCs w:val="40"/>
          <w:highlight w:val="none"/>
          <w:shd w:val="clear" w:color="auto" w:fill="auto"/>
          <w:lang w:val="en-US" w:eastAsia="zh-CN"/>
        </w:rPr>
      </w:pPr>
      <w:bookmarkStart w:id="461" w:name="_Toc12025"/>
      <w:r>
        <w:rPr>
          <w:rFonts w:hint="eastAsia" w:ascii="仿宋" w:hAnsi="仿宋" w:eastAsia="仿宋" w:cs="仿宋"/>
          <w:b w:val="0"/>
          <w:bCs w:val="0"/>
          <w:color w:val="auto"/>
          <w:sz w:val="28"/>
          <w:szCs w:val="28"/>
          <w:highlight w:val="none"/>
          <w:lang w:val="en-US" w:eastAsia="zh-CN"/>
        </w:rPr>
        <w:t>附件十三</w:t>
      </w:r>
      <w:r>
        <w:rPr>
          <w:rFonts w:hint="eastAsia" w:ascii="仿宋" w:hAnsi="仿宋" w:eastAsia="仿宋" w:cs="仿宋"/>
          <w:color w:val="auto"/>
          <w:sz w:val="28"/>
          <w:szCs w:val="28"/>
          <w:highlight w:val="none"/>
          <w:lang w:val="en-US" w:eastAsia="zh-CN"/>
        </w:rPr>
        <w:t>《甲方项目章》</w:t>
      </w:r>
      <w:bookmarkEnd w:id="461"/>
      <w:bookmarkStart w:id="462" w:name="_Toc8079"/>
      <w:bookmarkStart w:id="463" w:name="_Toc26371"/>
      <w:bookmarkStart w:id="464" w:name="_Toc6751"/>
      <w:bookmarkStart w:id="465" w:name="_Toc29240"/>
      <w:r>
        <w:rPr>
          <w:rFonts w:hint="eastAsia" w:ascii="仿宋" w:hAnsi="仿宋" w:eastAsia="仿宋" w:cs="仿宋"/>
          <w:color w:val="auto"/>
          <w:sz w:val="28"/>
          <w:szCs w:val="28"/>
          <w:highlight w:val="none"/>
          <w:lang w:val="en-US" w:eastAsia="zh-CN"/>
        </w:rPr>
        <w:t>样式</w:t>
      </w:r>
      <w:r>
        <w:rPr>
          <w:rFonts w:hint="eastAsia" w:ascii="仿宋" w:hAnsi="仿宋" w:eastAsia="仿宋" w:cs="仿宋"/>
          <w:b w:val="0"/>
          <w:bCs w:val="0"/>
          <w:color w:val="auto"/>
          <w:sz w:val="28"/>
          <w:szCs w:val="28"/>
          <w:highlight w:val="none"/>
          <w:lang w:val="en-US" w:eastAsia="zh-CN"/>
        </w:rPr>
        <w:t>；</w:t>
      </w:r>
    </w:p>
    <w:p w14:paraId="15EE51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66" w:name="_Toc28800"/>
      <w:bookmarkStart w:id="467" w:name="_Toc9934"/>
      <w:bookmarkStart w:id="468" w:name="_Toc1399"/>
      <w:bookmarkStart w:id="469" w:name="_Toc13738"/>
      <w:bookmarkStart w:id="470" w:name="_Toc21644"/>
      <w:bookmarkStart w:id="471" w:name="_Toc936"/>
      <w:r>
        <w:rPr>
          <w:rFonts w:hint="eastAsia" w:ascii="仿宋" w:hAnsi="仿宋" w:eastAsia="仿宋" w:cs="仿宋"/>
          <w:color w:val="auto"/>
          <w:sz w:val="28"/>
          <w:szCs w:val="28"/>
          <w:highlight w:val="none"/>
          <w:lang w:val="en-US" w:eastAsia="zh-CN"/>
        </w:rPr>
        <w:t>附件十四</w:t>
      </w:r>
      <w:r>
        <w:rPr>
          <w:rFonts w:hint="eastAsia" w:ascii="仿宋" w:hAnsi="仿宋" w:eastAsia="仿宋" w:cs="仿宋"/>
          <w:b w:val="0"/>
          <w:bCs w:val="0"/>
          <w:color w:val="auto"/>
          <w:sz w:val="28"/>
          <w:szCs w:val="28"/>
          <w:highlight w:val="none"/>
          <w:lang w:val="en-US" w:eastAsia="zh-CN"/>
        </w:rPr>
        <w:t>《乙方资质文件》（由中标单位提供）</w:t>
      </w:r>
      <w:r>
        <w:rPr>
          <w:rFonts w:hint="eastAsia" w:ascii="仿宋" w:hAnsi="仿宋" w:eastAsia="仿宋" w:cs="仿宋"/>
          <w:color w:val="auto"/>
          <w:sz w:val="28"/>
          <w:szCs w:val="28"/>
          <w:highlight w:val="none"/>
          <w:lang w:val="en-US" w:eastAsia="zh-CN"/>
        </w:rPr>
        <w:t>；</w:t>
      </w:r>
    </w:p>
    <w:p w14:paraId="6FED62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附件十五《报价清单》</w:t>
      </w:r>
      <w:bookmarkEnd w:id="466"/>
      <w:bookmarkEnd w:id="467"/>
      <w:bookmarkEnd w:id="468"/>
      <w:bookmarkEnd w:id="469"/>
      <w:bookmarkEnd w:id="470"/>
      <w:bookmarkEnd w:id="471"/>
      <w:r>
        <w:rPr>
          <w:rFonts w:hint="eastAsia" w:ascii="仿宋" w:hAnsi="仿宋" w:eastAsia="仿宋" w:cs="仿宋"/>
          <w:color w:val="auto"/>
          <w:sz w:val="28"/>
          <w:szCs w:val="28"/>
          <w:highlight w:val="none"/>
          <w:lang w:val="en-US" w:eastAsia="zh-CN"/>
        </w:rPr>
        <w:t>；</w:t>
      </w:r>
    </w:p>
    <w:p w14:paraId="17BD6BC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72" w:name="_Toc22382"/>
      <w:bookmarkStart w:id="473" w:name="_Toc20849"/>
      <w:bookmarkStart w:id="474" w:name="_Toc820"/>
      <w:bookmarkStart w:id="475" w:name="_Toc13056"/>
      <w:bookmarkStart w:id="476" w:name="_Toc23025"/>
      <w:bookmarkStart w:id="477" w:name="_Toc8731"/>
      <w:bookmarkStart w:id="478" w:name="_Toc16048"/>
      <w:bookmarkStart w:id="479" w:name="_Toc26292"/>
      <w:bookmarkStart w:id="480" w:name="_Toc21931"/>
      <w:bookmarkStart w:id="481" w:name="_Toc14081"/>
      <w:bookmarkStart w:id="482" w:name="_Toc1593"/>
      <w:bookmarkStart w:id="483" w:name="_Toc4390"/>
      <w:bookmarkStart w:id="484" w:name="_Toc8978"/>
      <w:bookmarkStart w:id="485" w:name="_Toc29191"/>
      <w:bookmarkStart w:id="486" w:name="_Toc29364"/>
      <w:bookmarkStart w:id="487" w:name="_Toc20750"/>
      <w:bookmarkStart w:id="488" w:name="_Toc3354"/>
      <w:bookmarkStart w:id="489" w:name="_Toc12247"/>
      <w:bookmarkStart w:id="490" w:name="_Toc9762"/>
      <w:bookmarkStart w:id="491" w:name="_Toc4984"/>
      <w:bookmarkStart w:id="492" w:name="_Toc22258"/>
      <w:bookmarkStart w:id="493" w:name="_Toc30202"/>
      <w:bookmarkStart w:id="494" w:name="_Toc25849"/>
      <w:bookmarkStart w:id="495" w:name="_Toc6905"/>
      <w:bookmarkStart w:id="496" w:name="_Toc19911"/>
      <w:r>
        <w:rPr>
          <w:rFonts w:hint="eastAsia" w:ascii="仿宋" w:hAnsi="仿宋" w:eastAsia="仿宋" w:cs="仿宋"/>
          <w:color w:val="auto"/>
          <w:sz w:val="28"/>
          <w:szCs w:val="28"/>
          <w:highlight w:val="none"/>
          <w:lang w:val="en-US" w:eastAsia="zh-CN"/>
        </w:rPr>
        <w:t>附件十六《图纸》</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hint="eastAsia" w:ascii="仿宋" w:hAnsi="仿宋" w:eastAsia="仿宋" w:cs="仿宋"/>
          <w:color w:val="auto"/>
          <w:sz w:val="28"/>
          <w:szCs w:val="28"/>
          <w:highlight w:val="none"/>
          <w:lang w:val="en-US" w:eastAsia="zh-CN"/>
        </w:rPr>
        <w:t>；</w:t>
      </w:r>
    </w:p>
    <w:p w14:paraId="5F17DD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附件十七《专项施工方案》。</w:t>
      </w:r>
    </w:p>
    <w:p w14:paraId="7E497F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b w:val="0"/>
          <w:bCs w:val="0"/>
          <w:color w:val="auto"/>
          <w:sz w:val="28"/>
          <w:szCs w:val="28"/>
          <w:highlight w:val="none"/>
          <w:lang w:val="en-US" w:eastAsia="zh-CN"/>
        </w:rPr>
      </w:pPr>
    </w:p>
    <w:p w14:paraId="79EBD8C2">
      <w:pPr>
        <w:pStyle w:val="2"/>
        <w:rPr>
          <w:rFonts w:hint="eastAsia" w:ascii="仿宋" w:hAnsi="仿宋" w:eastAsia="仿宋" w:cs="仿宋"/>
          <w:b/>
          <w:bCs w:val="0"/>
          <w:color w:val="auto"/>
          <w:sz w:val="40"/>
          <w:szCs w:val="40"/>
          <w:highlight w:val="none"/>
          <w:shd w:val="clear" w:color="auto" w:fill="auto"/>
          <w:lang w:val="en-US" w:eastAsia="zh-CN"/>
        </w:rPr>
      </w:pPr>
    </w:p>
    <w:p w14:paraId="12739562">
      <w:pPr>
        <w:pStyle w:val="2"/>
        <w:rPr>
          <w:rFonts w:hint="eastAsia" w:ascii="仿宋" w:hAnsi="仿宋" w:eastAsia="仿宋" w:cs="仿宋"/>
          <w:b/>
          <w:bCs w:val="0"/>
          <w:color w:val="auto"/>
          <w:sz w:val="40"/>
          <w:szCs w:val="40"/>
          <w:highlight w:val="none"/>
          <w:shd w:val="clear" w:color="auto" w:fill="auto"/>
          <w:lang w:val="en-US" w:eastAsia="zh-CN"/>
        </w:rPr>
      </w:pPr>
    </w:p>
    <w:p w14:paraId="065FBAAB">
      <w:pPr>
        <w:pStyle w:val="2"/>
        <w:rPr>
          <w:rFonts w:hint="eastAsia" w:ascii="仿宋" w:hAnsi="仿宋" w:eastAsia="仿宋" w:cs="仿宋"/>
          <w:b/>
          <w:bCs w:val="0"/>
          <w:color w:val="auto"/>
          <w:sz w:val="40"/>
          <w:szCs w:val="40"/>
          <w:highlight w:val="none"/>
          <w:shd w:val="clear" w:color="auto" w:fill="auto"/>
          <w:lang w:val="en-US" w:eastAsia="zh-CN"/>
        </w:rPr>
      </w:pPr>
    </w:p>
    <w:p w14:paraId="59CCA693">
      <w:pPr>
        <w:pStyle w:val="2"/>
        <w:rPr>
          <w:rFonts w:hint="eastAsia" w:ascii="仿宋" w:hAnsi="仿宋" w:eastAsia="仿宋" w:cs="仿宋"/>
          <w:b/>
          <w:bCs w:val="0"/>
          <w:color w:val="auto"/>
          <w:sz w:val="40"/>
          <w:szCs w:val="40"/>
          <w:highlight w:val="none"/>
          <w:shd w:val="clear" w:color="auto" w:fill="auto"/>
          <w:lang w:val="en-US" w:eastAsia="zh-CN"/>
        </w:rPr>
      </w:pPr>
    </w:p>
    <w:p w14:paraId="3902A0B9">
      <w:pPr>
        <w:pStyle w:val="2"/>
        <w:rPr>
          <w:rFonts w:hint="eastAsia" w:ascii="仿宋" w:hAnsi="仿宋" w:eastAsia="仿宋" w:cs="仿宋"/>
          <w:b/>
          <w:bCs w:val="0"/>
          <w:color w:val="auto"/>
          <w:sz w:val="40"/>
          <w:szCs w:val="40"/>
          <w:highlight w:val="none"/>
          <w:shd w:val="clear" w:color="auto" w:fill="auto"/>
          <w:lang w:val="en-US" w:eastAsia="zh-CN"/>
        </w:rPr>
        <w:sectPr>
          <w:footerReference r:id="rId5" w:type="default"/>
          <w:pgSz w:w="11906" w:h="16839"/>
          <w:pgMar w:top="1440" w:right="1286" w:bottom="1440" w:left="1600" w:header="0" w:footer="0" w:gutter="0"/>
          <w:pgNumType w:fmt="decimal" w:start="1"/>
          <w:cols w:space="720" w:num="1"/>
        </w:sectPr>
      </w:pPr>
    </w:p>
    <w:p w14:paraId="5A30592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497" w:name="_Toc21150"/>
      <w:bookmarkStart w:id="498" w:name="_Toc7516"/>
      <w:r>
        <w:rPr>
          <w:rFonts w:hint="eastAsia" w:ascii="仿宋" w:hAnsi="仿宋" w:eastAsia="仿宋" w:cs="仿宋"/>
          <w:b/>
          <w:bCs w:val="0"/>
          <w:color w:val="auto"/>
          <w:sz w:val="40"/>
          <w:szCs w:val="40"/>
          <w:highlight w:val="none"/>
          <w:shd w:val="clear" w:color="auto" w:fill="auto"/>
          <w:lang w:val="en-US" w:eastAsia="zh-CN"/>
        </w:rPr>
        <w:t>附件</w:t>
      </w:r>
      <w:bookmarkEnd w:id="462"/>
      <w:bookmarkEnd w:id="463"/>
      <w:bookmarkEnd w:id="464"/>
      <w:bookmarkEnd w:id="465"/>
      <w:bookmarkEnd w:id="497"/>
      <w:bookmarkEnd w:id="498"/>
      <w:r>
        <w:rPr>
          <w:rFonts w:hint="eastAsia" w:ascii="仿宋" w:hAnsi="仿宋" w:eastAsia="仿宋" w:cs="仿宋"/>
          <w:b/>
          <w:bCs w:val="0"/>
          <w:color w:val="auto"/>
          <w:sz w:val="40"/>
          <w:szCs w:val="40"/>
          <w:highlight w:val="none"/>
          <w:shd w:val="clear" w:color="auto" w:fill="auto"/>
          <w:lang w:val="en-US" w:eastAsia="zh-CN"/>
        </w:rPr>
        <w:t>一</w:t>
      </w:r>
    </w:p>
    <w:p w14:paraId="27678111">
      <w:pPr>
        <w:spacing w:after="156" w:afterLines="50"/>
        <w:ind w:right="0" w:rightChars="0"/>
        <w:jc w:val="center"/>
        <w:outlineLvl w:val="2"/>
        <w:rPr>
          <w:rFonts w:ascii="黑体" w:hAnsi="黑体" w:eastAsia="黑体"/>
          <w:color w:val="auto"/>
          <w:sz w:val="40"/>
          <w:szCs w:val="40"/>
          <w:highlight w:val="none"/>
        </w:rPr>
      </w:pPr>
      <w:bookmarkStart w:id="499" w:name="_Toc3327"/>
      <w:bookmarkStart w:id="500" w:name="_Toc14012"/>
      <w:bookmarkStart w:id="501" w:name="_Toc32477"/>
      <w:bookmarkStart w:id="502" w:name="_Toc17379"/>
      <w:bookmarkStart w:id="503" w:name="_Toc5979"/>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bookmarkEnd w:id="499"/>
      <w:bookmarkEnd w:id="500"/>
      <w:bookmarkEnd w:id="501"/>
      <w:bookmarkEnd w:id="502"/>
      <w:bookmarkEnd w:id="503"/>
    </w:p>
    <w:p w14:paraId="0A5B0280">
      <w:pPr>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74B970EC">
      <w:pPr>
        <w:spacing w:line="360" w:lineRule="auto"/>
        <w:ind w:right="0" w:rightChars="0"/>
        <w:rPr>
          <w:color w:val="auto"/>
          <w:highlight w:val="none"/>
        </w:rPr>
      </w:pPr>
      <w:r>
        <w:rPr>
          <w:rFonts w:hint="eastAsia"/>
          <w:color w:val="auto"/>
          <w:highlight w:val="none"/>
        </w:rPr>
        <w:t xml:space="preserve">合同编号：                           </w:t>
      </w:r>
    </w:p>
    <w:p w14:paraId="18088964">
      <w:pPr>
        <w:ind w:right="0" w:rightChars="0"/>
        <w:rPr>
          <w:color w:val="auto"/>
          <w:highlight w:val="none"/>
        </w:rPr>
      </w:pPr>
    </w:p>
    <w:tbl>
      <w:tblPr>
        <w:tblStyle w:val="16"/>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98"/>
      </w:tblGrid>
      <w:tr w14:paraId="6E478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1263CEAF">
            <w:pPr>
              <w:ind w:right="0" w:rightChars="0"/>
              <w:rPr>
                <w:rFonts w:ascii="宋体" w:hAnsi="宋体" w:eastAsia="宋体" w:cs="宋体"/>
                <w:color w:val="auto"/>
                <w:sz w:val="22"/>
                <w:szCs w:val="22"/>
                <w:highlight w:val="none"/>
              </w:rPr>
            </w:pPr>
          </w:p>
          <w:p w14:paraId="35CB14AF">
            <w:pPr>
              <w:spacing w:line="48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29D4CC92">
            <w:pPr>
              <w:spacing w:line="48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0277A257">
            <w:pPr>
              <w:spacing w:line="48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27BAA60E">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79CEB69">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6DEC898C">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348B3D26">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06459BE3">
            <w:pPr>
              <w:ind w:right="0" w:rightChars="0"/>
              <w:rPr>
                <w:rFonts w:ascii="宋体" w:hAnsi="宋体" w:eastAsia="宋体" w:cs="宋体"/>
                <w:color w:val="auto"/>
                <w:sz w:val="22"/>
                <w:szCs w:val="22"/>
                <w:highlight w:val="none"/>
              </w:rPr>
            </w:pPr>
          </w:p>
        </w:tc>
      </w:tr>
      <w:tr w14:paraId="3A92E3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38E975EE">
            <w:pPr>
              <w:ind w:right="0" w:rightChars="0"/>
              <w:rPr>
                <w:rFonts w:ascii="宋体" w:hAnsi="宋体" w:eastAsia="宋体" w:cs="宋体"/>
                <w:color w:val="auto"/>
                <w:sz w:val="22"/>
                <w:szCs w:val="22"/>
                <w:highlight w:val="none"/>
              </w:rPr>
            </w:pPr>
          </w:p>
          <w:p w14:paraId="367D6D82">
            <w:pPr>
              <w:pStyle w:val="2"/>
              <w:tabs>
                <w:tab w:val="clear" w:pos="-116"/>
                <w:tab w:val="clear" w:pos="420"/>
              </w:tabs>
              <w:ind w:right="0" w:rightChars="0"/>
              <w:rPr>
                <w:color w:val="auto"/>
                <w:highlight w:val="none"/>
              </w:rPr>
            </w:pPr>
          </w:p>
          <w:p w14:paraId="5C190B19">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224EEB3A">
            <w:pPr>
              <w:spacing w:line="360" w:lineRule="auto"/>
              <w:ind w:right="0" w:rightChars="0" w:firstLine="3520" w:firstLineChars="1600"/>
              <w:rPr>
                <w:rFonts w:ascii="宋体" w:hAnsi="宋体" w:eastAsia="宋体" w:cs="宋体"/>
                <w:color w:val="auto"/>
                <w:sz w:val="22"/>
                <w:szCs w:val="22"/>
                <w:highlight w:val="none"/>
              </w:rPr>
            </w:pPr>
          </w:p>
          <w:p w14:paraId="52CD2864">
            <w:pPr>
              <w:pStyle w:val="2"/>
              <w:tabs>
                <w:tab w:val="clear" w:pos="-116"/>
                <w:tab w:val="clear" w:pos="420"/>
              </w:tabs>
              <w:ind w:right="0" w:rightChars="0"/>
              <w:rPr>
                <w:color w:val="auto"/>
                <w:highlight w:val="none"/>
              </w:rPr>
            </w:pPr>
          </w:p>
          <w:p w14:paraId="31EAD290">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52CFE1A2">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11A4D385">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299417CE">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eastAsia" w:ascii="宋体" w:hAnsi="宋体" w:eastAsia="宋体" w:cs="宋体"/>
          <w:color w:val="auto"/>
          <w:sz w:val="24"/>
          <w:szCs w:val="24"/>
          <w:highlight w:val="none"/>
        </w:rPr>
      </w:pPr>
    </w:p>
    <w:p w14:paraId="48FEFB9F">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7C8C640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04" w:name="_Toc13080"/>
      <w:bookmarkStart w:id="505" w:name="_Toc26856"/>
      <w:bookmarkStart w:id="506" w:name="_Toc18518"/>
    </w:p>
    <w:p w14:paraId="241257C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7C4E457">
      <w:pPr>
        <w:pStyle w:val="2"/>
        <w:rPr>
          <w:rFonts w:hint="eastAsia" w:ascii="仿宋" w:hAnsi="仿宋" w:eastAsia="仿宋" w:cs="仿宋"/>
          <w:b/>
          <w:bCs w:val="0"/>
          <w:color w:val="auto"/>
          <w:sz w:val="40"/>
          <w:szCs w:val="40"/>
          <w:highlight w:val="none"/>
          <w:shd w:val="clear" w:color="auto" w:fill="auto"/>
          <w:lang w:val="en-US" w:eastAsia="zh-CN"/>
        </w:rPr>
      </w:pPr>
    </w:p>
    <w:p w14:paraId="586C4BA6">
      <w:pPr>
        <w:pStyle w:val="2"/>
        <w:rPr>
          <w:rFonts w:hint="eastAsia" w:ascii="仿宋" w:hAnsi="仿宋" w:eastAsia="仿宋" w:cs="仿宋"/>
          <w:b/>
          <w:bCs w:val="0"/>
          <w:color w:val="auto"/>
          <w:sz w:val="40"/>
          <w:szCs w:val="40"/>
          <w:highlight w:val="none"/>
          <w:shd w:val="clear" w:color="auto" w:fill="auto"/>
          <w:lang w:val="en-US" w:eastAsia="zh-CN"/>
        </w:rPr>
      </w:pPr>
    </w:p>
    <w:p w14:paraId="53BCFCE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2CB30D2">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07" w:name="_Toc2480"/>
      <w:bookmarkStart w:id="508" w:name="_Toc25753"/>
      <w:bookmarkStart w:id="509" w:name="_Toc4070"/>
      <w:bookmarkStart w:id="510" w:name="_Toc12620"/>
      <w:bookmarkStart w:id="511" w:name="_Toc25837"/>
      <w:bookmarkStart w:id="512" w:name="_Toc30362"/>
      <w:r>
        <w:rPr>
          <w:rFonts w:hint="eastAsia" w:ascii="仿宋" w:hAnsi="仿宋" w:eastAsia="仿宋" w:cs="仿宋"/>
          <w:b/>
          <w:bCs w:val="0"/>
          <w:color w:val="auto"/>
          <w:sz w:val="40"/>
          <w:szCs w:val="40"/>
          <w:highlight w:val="none"/>
          <w:shd w:val="clear" w:color="auto" w:fill="auto"/>
          <w:lang w:val="en-US" w:eastAsia="zh-CN"/>
        </w:rPr>
        <w:t>附件</w:t>
      </w:r>
      <w:bookmarkEnd w:id="507"/>
      <w:bookmarkEnd w:id="508"/>
      <w:bookmarkEnd w:id="509"/>
      <w:bookmarkEnd w:id="510"/>
      <w:bookmarkEnd w:id="511"/>
      <w:bookmarkEnd w:id="512"/>
      <w:r>
        <w:rPr>
          <w:rFonts w:hint="eastAsia" w:ascii="仿宋" w:hAnsi="仿宋" w:eastAsia="仿宋" w:cs="仿宋"/>
          <w:b/>
          <w:bCs w:val="0"/>
          <w:color w:val="auto"/>
          <w:sz w:val="40"/>
          <w:szCs w:val="40"/>
          <w:highlight w:val="none"/>
          <w:shd w:val="clear" w:color="auto" w:fill="auto"/>
          <w:lang w:val="en-US" w:eastAsia="zh-CN"/>
        </w:rPr>
        <w:t>二</w:t>
      </w:r>
    </w:p>
    <w:tbl>
      <w:tblPr>
        <w:tblStyle w:val="16"/>
        <w:tblW w:w="5575" w:type="pct"/>
        <w:tblInd w:w="-748" w:type="dxa"/>
        <w:tblLayout w:type="fixed"/>
        <w:tblCellMar>
          <w:top w:w="15" w:type="dxa"/>
          <w:left w:w="15" w:type="dxa"/>
          <w:bottom w:w="15" w:type="dxa"/>
          <w:right w:w="15" w:type="dxa"/>
        </w:tblCellMar>
      </w:tblPr>
      <w:tblGrid>
        <w:gridCol w:w="10091"/>
      </w:tblGrid>
      <w:tr w14:paraId="14F9C30D">
        <w:tblPrEx>
          <w:tblCellMar>
            <w:top w:w="15" w:type="dxa"/>
            <w:left w:w="15" w:type="dxa"/>
            <w:bottom w:w="15" w:type="dxa"/>
            <w:right w:w="15" w:type="dxa"/>
          </w:tblCellMar>
        </w:tblPrEx>
        <w:trPr>
          <w:trHeight w:val="13066" w:hRule="atLeast"/>
        </w:trPr>
        <w:tc>
          <w:tcPr>
            <w:tcW w:w="5000" w:type="pct"/>
            <w:noWrap w:val="0"/>
            <w:vAlign w:val="center"/>
          </w:tcPr>
          <w:p w14:paraId="12CEB77B">
            <w:pPr>
              <w:spacing w:before="90" w:line="226" w:lineRule="auto"/>
              <w:ind w:left="3175"/>
              <w:outlineLvl w:val="0"/>
              <w:rPr>
                <w:rFonts w:ascii="仿宋" w:hAnsi="仿宋" w:eastAsia="仿宋" w:cs="仿宋"/>
                <w:color w:val="auto"/>
                <w:sz w:val="31"/>
                <w:szCs w:val="31"/>
                <w:highlight w:val="none"/>
              </w:rPr>
            </w:pPr>
            <w:bookmarkStart w:id="513" w:name="_Toc1475"/>
            <w:bookmarkStart w:id="514" w:name="_Toc27546"/>
            <w:bookmarkStart w:id="515" w:name="_Toc27132"/>
            <w:bookmarkStart w:id="516" w:name="_Toc19511"/>
            <w:bookmarkStart w:id="517" w:name="_Toc27619"/>
            <w:bookmarkStart w:id="518" w:name="_Toc30618"/>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513"/>
            <w:bookmarkEnd w:id="514"/>
            <w:bookmarkEnd w:id="515"/>
            <w:bookmarkEnd w:id="516"/>
            <w:bookmarkEnd w:id="517"/>
            <w:bookmarkEnd w:id="518"/>
          </w:p>
          <w:tbl>
            <w:tblPr>
              <w:tblStyle w:val="33"/>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55F72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2DC50A4C">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111C9774">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6A56D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7D76DE8B">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4DA207EC">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7AC341C0">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26E84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7DCA65E5">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1B7AB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67684FE3">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188AD185">
                  <w:pPr>
                    <w:rPr>
                      <w:rFonts w:hint="eastAsia" w:ascii="仿宋" w:hAnsi="仿宋" w:eastAsia="仿宋" w:cs="仿宋"/>
                      <w:color w:val="auto"/>
                      <w:sz w:val="22"/>
                      <w:szCs w:val="22"/>
                      <w:highlight w:val="none"/>
                    </w:rPr>
                  </w:pPr>
                </w:p>
              </w:tc>
            </w:tr>
            <w:tr w14:paraId="7181C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0D5C31E0">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6CDD7846">
                  <w:pPr>
                    <w:rPr>
                      <w:rFonts w:hint="eastAsia" w:ascii="仿宋" w:hAnsi="仿宋" w:eastAsia="仿宋" w:cs="仿宋"/>
                      <w:color w:val="auto"/>
                      <w:sz w:val="22"/>
                      <w:szCs w:val="22"/>
                      <w:highlight w:val="none"/>
                    </w:rPr>
                  </w:pPr>
                </w:p>
              </w:tc>
            </w:tr>
            <w:tr w14:paraId="77A4D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0A1F7326">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5" name="图片 2"/>
                        <wp:cNvGraphicFramePr/>
                        <a:graphic xmlns:a="http://schemas.openxmlformats.org/drawingml/2006/main">
                          <a:graphicData uri="http://schemas.openxmlformats.org/drawingml/2006/picture">
                            <pic:pic xmlns:pic="http://schemas.openxmlformats.org/drawingml/2006/picture">
                              <pic:nvPicPr>
                                <pic:cNvPr id="5" name="图片 2"/>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62A42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02E4EE0C">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证情况说明 (签证原因、工作内容、完成工程量) ：</w:t>
                  </w:r>
                </w:p>
              </w:tc>
            </w:tr>
            <w:tr w14:paraId="26693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1BCF7EC7">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1D4BABF0">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148CA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4F5BF2F">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分包单位确认 (签字盖章) ：</w:t>
                  </w:r>
                </w:p>
              </w:tc>
              <w:tc>
                <w:tcPr>
                  <w:tcW w:w="4872" w:type="dxa"/>
                  <w:gridSpan w:val="2"/>
                  <w:noWrap w:val="0"/>
                  <w:vAlign w:val="top"/>
                </w:tcPr>
                <w:p w14:paraId="4032BA57">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495335B3">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5142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3CCF7280">
                  <w:pPr>
                    <w:rPr>
                      <w:rFonts w:hint="eastAsia" w:ascii="仿宋" w:hAnsi="仿宋" w:eastAsia="仿宋" w:cs="仿宋"/>
                      <w:color w:val="auto"/>
                      <w:sz w:val="22"/>
                      <w:szCs w:val="22"/>
                      <w:highlight w:val="none"/>
                    </w:rPr>
                  </w:pPr>
                </w:p>
              </w:tc>
              <w:tc>
                <w:tcPr>
                  <w:tcW w:w="4872" w:type="dxa"/>
                  <w:gridSpan w:val="2"/>
                  <w:noWrap w:val="0"/>
                  <w:vAlign w:val="top"/>
                </w:tcPr>
                <w:p w14:paraId="20C4FEA3">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1320C162">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3109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642B8C72">
                  <w:pPr>
                    <w:rPr>
                      <w:rFonts w:hint="eastAsia" w:ascii="仿宋" w:hAnsi="仿宋" w:eastAsia="仿宋" w:cs="仿宋"/>
                      <w:color w:val="auto"/>
                      <w:sz w:val="22"/>
                      <w:szCs w:val="22"/>
                      <w:highlight w:val="none"/>
                    </w:rPr>
                  </w:pPr>
                </w:p>
              </w:tc>
              <w:tc>
                <w:tcPr>
                  <w:tcW w:w="4872" w:type="dxa"/>
                  <w:gridSpan w:val="2"/>
                  <w:noWrap w:val="0"/>
                  <w:vAlign w:val="top"/>
                </w:tcPr>
                <w:p w14:paraId="30FBA999">
                  <w:pPr>
                    <w:spacing w:before="50" w:line="516" w:lineRule="exact"/>
                    <w:ind w:left="25"/>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 (对工作内容及工程量见证) ：</w:t>
                  </w:r>
                </w:p>
                <w:p w14:paraId="607B98B8">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91BB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298CD019">
                  <w:pPr>
                    <w:rPr>
                      <w:rFonts w:hint="eastAsia" w:ascii="仿宋" w:hAnsi="仿宋" w:eastAsia="仿宋" w:cs="仿宋"/>
                      <w:color w:val="auto"/>
                      <w:sz w:val="22"/>
                      <w:szCs w:val="22"/>
                      <w:highlight w:val="none"/>
                    </w:rPr>
                  </w:pPr>
                </w:p>
              </w:tc>
              <w:tc>
                <w:tcPr>
                  <w:tcW w:w="4872" w:type="dxa"/>
                  <w:gridSpan w:val="2"/>
                  <w:noWrap w:val="0"/>
                  <w:vAlign w:val="top"/>
                </w:tcPr>
                <w:p w14:paraId="19FFB57E">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53114F9F">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7B408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09D3A8EE">
                  <w:pPr>
                    <w:rPr>
                      <w:rFonts w:hint="eastAsia" w:ascii="仿宋" w:hAnsi="仿宋" w:eastAsia="仿宋" w:cs="仿宋"/>
                      <w:color w:val="auto"/>
                      <w:sz w:val="22"/>
                      <w:szCs w:val="22"/>
                      <w:highlight w:val="none"/>
                    </w:rPr>
                  </w:pPr>
                </w:p>
              </w:tc>
              <w:tc>
                <w:tcPr>
                  <w:tcW w:w="4872" w:type="dxa"/>
                  <w:gridSpan w:val="2"/>
                  <w:noWrap w:val="0"/>
                  <w:vAlign w:val="top"/>
                </w:tcPr>
                <w:p w14:paraId="1FADBB71">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2CCDB24B">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3609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597FC0D0">
                  <w:pPr>
                    <w:spacing w:before="49" w:line="231" w:lineRule="auto"/>
                    <w:ind w:left="32"/>
                    <w:rPr>
                      <w:rFonts w:hint="eastAsia" w:ascii="仿宋" w:hAnsi="仿宋" w:eastAsia="仿宋" w:cs="仿宋"/>
                      <w:color w:val="auto"/>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：1.通知单、工程变更(联系)单、工程量审核表、图像资料(事前、事中、事后)及其它相关依</w:t>
                  </w:r>
                </w:p>
                <w:p w14:paraId="3312AACB">
                  <w:pPr>
                    <w:spacing w:before="21" w:line="260" w:lineRule="exact"/>
                    <w:ind w:left="27"/>
                    <w:rPr>
                      <w:rFonts w:hint="eastAsia" w:ascii="仿宋" w:hAnsi="仿宋" w:eastAsia="仿宋" w:cs="仿宋"/>
                      <w:color w:val="auto"/>
                      <w:sz w:val="20"/>
                      <w:szCs w:val="20"/>
                      <w:highlight w:val="none"/>
                    </w:rPr>
                  </w:pP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79EFF11C">
                  <w:pPr>
                    <w:spacing w:line="258" w:lineRule="exact"/>
                    <w:ind w:left="123"/>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60E04F7A">
                  <w:pPr>
                    <w:spacing w:before="129" w:line="386" w:lineRule="auto"/>
                    <w:ind w:left="26" w:right="87" w:firstLine="98"/>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6F15D0DA">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02FF17DD">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附件三</w:t>
      </w:r>
    </w:p>
    <w:p w14:paraId="605ADAB9">
      <w:pPr>
        <w:pStyle w:val="2"/>
        <w:tabs>
          <w:tab w:val="clear" w:pos="-116"/>
          <w:tab w:val="clear" w:pos="420"/>
        </w:tabs>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03AD1F93">
      <w:pPr>
        <w:pStyle w:val="2"/>
        <w:tabs>
          <w:tab w:val="clear" w:pos="-116"/>
          <w:tab w:val="clear" w:pos="420"/>
        </w:tabs>
        <w:rPr>
          <w:rFonts w:hint="eastAsia"/>
          <w:color w:val="auto"/>
          <w:highlight w:val="none"/>
          <w:lang w:val="en-US" w:eastAsia="zh-CN"/>
        </w:rPr>
      </w:pPr>
    </w:p>
    <w:tbl>
      <w:tblPr>
        <w:tblStyle w:val="16"/>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7D58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4C0CBA08">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6079B7D8">
            <w:pPr>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02FE67B6">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0903C4F7">
            <w:pPr>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1ACC7FDE">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22033733">
            <w:pPr>
              <w:jc w:val="center"/>
              <w:rPr>
                <w:rFonts w:hint="eastAsia" w:ascii="仿宋" w:hAnsi="仿宋" w:eastAsia="仿宋" w:cs="仿宋"/>
                <w:b w:val="0"/>
                <w:bCs/>
                <w:color w:val="auto"/>
                <w:sz w:val="21"/>
                <w:szCs w:val="21"/>
                <w:highlight w:val="none"/>
                <w:lang w:eastAsia="zh-CN"/>
              </w:rPr>
            </w:pPr>
          </w:p>
        </w:tc>
      </w:tr>
      <w:tr w14:paraId="65BA6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FB877DE">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31EA5B9F">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0799538E">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17657D9C">
            <w:pPr>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7F6BEFA3">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6FF52B2D">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1EA5AE9B">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185A3CEC">
            <w:pPr>
              <w:jc w:val="center"/>
              <w:rPr>
                <w:rFonts w:hint="eastAsia" w:ascii="仿宋" w:hAnsi="仿宋" w:eastAsia="仿宋" w:cs="仿宋"/>
                <w:b w:val="0"/>
                <w:bCs/>
                <w:color w:val="auto"/>
                <w:sz w:val="21"/>
                <w:szCs w:val="21"/>
                <w:highlight w:val="none"/>
                <w:lang w:eastAsia="zh-CN"/>
              </w:rPr>
            </w:pPr>
          </w:p>
        </w:tc>
      </w:tr>
      <w:tr w14:paraId="7BAE6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1A51E09">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4D4010D9">
            <w:pPr>
              <w:jc w:val="left"/>
              <w:rPr>
                <w:rFonts w:hint="eastAsia" w:ascii="仿宋" w:hAnsi="仿宋" w:eastAsia="仿宋" w:cs="仿宋"/>
                <w:b w:val="0"/>
                <w:bCs/>
                <w:color w:val="auto"/>
                <w:sz w:val="21"/>
                <w:szCs w:val="21"/>
                <w:highlight w:val="none"/>
                <w:lang w:eastAsia="zh-CN"/>
              </w:rPr>
            </w:pPr>
          </w:p>
        </w:tc>
      </w:tr>
      <w:tr w14:paraId="0FED8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AFE3669">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072AB5DA">
            <w:pPr>
              <w:jc w:val="left"/>
              <w:rPr>
                <w:rFonts w:hint="eastAsia" w:ascii="仿宋" w:hAnsi="仿宋" w:eastAsia="仿宋" w:cs="仿宋"/>
                <w:b w:val="0"/>
                <w:bCs/>
                <w:color w:val="auto"/>
                <w:sz w:val="21"/>
                <w:szCs w:val="21"/>
                <w:highlight w:val="none"/>
                <w:lang w:eastAsia="zh-CN"/>
              </w:rPr>
            </w:pPr>
          </w:p>
        </w:tc>
      </w:tr>
      <w:tr w14:paraId="055D27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435B125">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68C6B1B2">
            <w:pPr>
              <w:jc w:val="left"/>
              <w:rPr>
                <w:rFonts w:hint="eastAsia" w:ascii="仿宋" w:hAnsi="仿宋" w:eastAsia="仿宋" w:cs="仿宋"/>
                <w:b w:val="0"/>
                <w:bCs/>
                <w:color w:val="auto"/>
                <w:sz w:val="21"/>
                <w:szCs w:val="21"/>
                <w:highlight w:val="none"/>
                <w:lang w:eastAsia="zh-CN"/>
              </w:rPr>
            </w:pPr>
          </w:p>
        </w:tc>
      </w:tr>
      <w:tr w14:paraId="61A3DD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832C673">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179062D7">
            <w:pPr>
              <w:jc w:val="left"/>
              <w:rPr>
                <w:rFonts w:hint="eastAsia" w:ascii="仿宋" w:hAnsi="仿宋" w:eastAsia="仿宋" w:cs="仿宋"/>
                <w:b w:val="0"/>
                <w:bCs/>
                <w:color w:val="auto"/>
                <w:sz w:val="21"/>
                <w:szCs w:val="21"/>
                <w:highlight w:val="none"/>
                <w:lang w:eastAsia="zh-CN"/>
              </w:rPr>
            </w:pPr>
          </w:p>
        </w:tc>
      </w:tr>
      <w:tr w14:paraId="2A9C85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12C5587">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4521E069">
            <w:pPr>
              <w:jc w:val="left"/>
              <w:rPr>
                <w:rFonts w:hint="eastAsia" w:ascii="仿宋" w:hAnsi="仿宋" w:eastAsia="仿宋" w:cs="仿宋"/>
                <w:b w:val="0"/>
                <w:bCs/>
                <w:color w:val="auto"/>
                <w:sz w:val="21"/>
                <w:szCs w:val="21"/>
                <w:highlight w:val="none"/>
                <w:lang w:eastAsia="zh-CN"/>
              </w:rPr>
            </w:pPr>
          </w:p>
        </w:tc>
      </w:tr>
      <w:tr w14:paraId="4A79C6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4DF0A0FC">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分项工程名称、主要工作内容、工程量及难易情况等信息(主合同外工程)</w:t>
            </w:r>
          </w:p>
        </w:tc>
        <w:tc>
          <w:tcPr>
            <w:tcW w:w="7910" w:type="dxa"/>
            <w:gridSpan w:val="10"/>
            <w:noWrap w:val="0"/>
            <w:vAlign w:val="center"/>
          </w:tcPr>
          <w:p w14:paraId="65B50F5B">
            <w:pPr>
              <w:ind w:right="284"/>
              <w:jc w:val="left"/>
              <w:rPr>
                <w:rFonts w:hint="eastAsia" w:ascii="仿宋" w:hAnsi="仿宋" w:eastAsia="仿宋" w:cs="仿宋"/>
                <w:b w:val="0"/>
                <w:bCs/>
                <w:color w:val="auto"/>
                <w:sz w:val="21"/>
                <w:szCs w:val="21"/>
                <w:highlight w:val="none"/>
              </w:rPr>
            </w:pPr>
          </w:p>
          <w:p w14:paraId="6404A657">
            <w:pPr>
              <w:ind w:right="284"/>
              <w:jc w:val="left"/>
              <w:rPr>
                <w:rFonts w:hint="eastAsia" w:ascii="仿宋" w:hAnsi="仿宋" w:eastAsia="仿宋" w:cs="仿宋"/>
                <w:b w:val="0"/>
                <w:bCs/>
                <w:color w:val="auto"/>
                <w:sz w:val="21"/>
                <w:szCs w:val="21"/>
                <w:highlight w:val="none"/>
              </w:rPr>
            </w:pPr>
          </w:p>
          <w:p w14:paraId="77E3FBB8">
            <w:pPr>
              <w:ind w:right="284"/>
              <w:jc w:val="left"/>
              <w:rPr>
                <w:rFonts w:hint="eastAsia" w:ascii="仿宋" w:hAnsi="仿宋" w:eastAsia="仿宋" w:cs="仿宋"/>
                <w:b w:val="0"/>
                <w:bCs/>
                <w:color w:val="auto"/>
                <w:sz w:val="21"/>
                <w:szCs w:val="21"/>
                <w:highlight w:val="none"/>
              </w:rPr>
            </w:pPr>
          </w:p>
          <w:p w14:paraId="5F933626">
            <w:pPr>
              <w:ind w:right="284"/>
              <w:jc w:val="left"/>
              <w:rPr>
                <w:rFonts w:hint="eastAsia" w:ascii="仿宋" w:hAnsi="仿宋" w:eastAsia="仿宋" w:cs="仿宋"/>
                <w:b w:val="0"/>
                <w:bCs/>
                <w:color w:val="auto"/>
                <w:sz w:val="21"/>
                <w:szCs w:val="21"/>
                <w:highlight w:val="none"/>
              </w:rPr>
            </w:pPr>
          </w:p>
          <w:p w14:paraId="6AB301A4">
            <w:pPr>
              <w:ind w:right="284"/>
              <w:jc w:val="left"/>
              <w:rPr>
                <w:rFonts w:hint="eastAsia" w:ascii="仿宋" w:hAnsi="仿宋" w:eastAsia="仿宋" w:cs="仿宋"/>
                <w:b w:val="0"/>
                <w:bCs/>
                <w:color w:val="auto"/>
                <w:sz w:val="21"/>
                <w:szCs w:val="21"/>
                <w:highlight w:val="none"/>
              </w:rPr>
            </w:pPr>
          </w:p>
          <w:p w14:paraId="0FC70F3E">
            <w:pPr>
              <w:ind w:right="284"/>
              <w:jc w:val="left"/>
              <w:rPr>
                <w:rFonts w:hint="eastAsia" w:ascii="仿宋" w:hAnsi="仿宋" w:eastAsia="仿宋" w:cs="仿宋"/>
                <w:b w:val="0"/>
                <w:bCs/>
                <w:color w:val="auto"/>
                <w:sz w:val="21"/>
                <w:szCs w:val="21"/>
                <w:highlight w:val="none"/>
              </w:rPr>
            </w:pPr>
          </w:p>
          <w:p w14:paraId="2D23C83D">
            <w:pPr>
              <w:ind w:right="284"/>
              <w:jc w:val="left"/>
              <w:rPr>
                <w:rFonts w:hint="eastAsia" w:ascii="仿宋" w:hAnsi="仿宋" w:eastAsia="仿宋" w:cs="仿宋"/>
                <w:b w:val="0"/>
                <w:bCs/>
                <w:color w:val="auto"/>
                <w:sz w:val="21"/>
                <w:szCs w:val="21"/>
                <w:highlight w:val="none"/>
              </w:rPr>
            </w:pPr>
          </w:p>
          <w:p w14:paraId="7A8E198E">
            <w:pPr>
              <w:ind w:right="284"/>
              <w:jc w:val="left"/>
              <w:rPr>
                <w:rFonts w:hint="eastAsia" w:ascii="仿宋" w:hAnsi="仿宋" w:eastAsia="仿宋" w:cs="仿宋"/>
                <w:b w:val="0"/>
                <w:bCs/>
                <w:color w:val="auto"/>
                <w:sz w:val="21"/>
                <w:szCs w:val="21"/>
                <w:highlight w:val="none"/>
              </w:rPr>
            </w:pPr>
          </w:p>
          <w:p w14:paraId="573B5F58">
            <w:pPr>
              <w:ind w:right="284"/>
              <w:jc w:val="left"/>
              <w:rPr>
                <w:rFonts w:hint="eastAsia" w:ascii="仿宋" w:hAnsi="仿宋" w:eastAsia="仿宋" w:cs="仿宋"/>
                <w:b w:val="0"/>
                <w:bCs/>
                <w:color w:val="auto"/>
                <w:sz w:val="21"/>
                <w:szCs w:val="21"/>
                <w:highlight w:val="none"/>
              </w:rPr>
            </w:pPr>
          </w:p>
          <w:p w14:paraId="0775DB9E">
            <w:pPr>
              <w:ind w:right="284"/>
              <w:jc w:val="left"/>
              <w:rPr>
                <w:rFonts w:hint="eastAsia" w:ascii="仿宋" w:hAnsi="仿宋" w:eastAsia="仿宋" w:cs="仿宋"/>
                <w:b w:val="0"/>
                <w:bCs/>
                <w:color w:val="auto"/>
                <w:sz w:val="21"/>
                <w:szCs w:val="21"/>
                <w:highlight w:val="none"/>
              </w:rPr>
            </w:pPr>
          </w:p>
          <w:p w14:paraId="19EB6C69">
            <w:pPr>
              <w:ind w:right="284"/>
              <w:jc w:val="left"/>
              <w:rPr>
                <w:rFonts w:hint="eastAsia" w:ascii="仿宋" w:hAnsi="仿宋" w:eastAsia="仿宋" w:cs="仿宋"/>
                <w:b w:val="0"/>
                <w:bCs/>
                <w:color w:val="auto"/>
                <w:sz w:val="21"/>
                <w:szCs w:val="21"/>
                <w:highlight w:val="none"/>
              </w:rPr>
            </w:pPr>
          </w:p>
          <w:p w14:paraId="1696C735">
            <w:pPr>
              <w:ind w:right="284"/>
              <w:jc w:val="left"/>
              <w:rPr>
                <w:rFonts w:hint="eastAsia" w:ascii="仿宋" w:hAnsi="仿宋" w:eastAsia="仿宋" w:cs="仿宋"/>
                <w:b w:val="0"/>
                <w:bCs/>
                <w:color w:val="auto"/>
                <w:sz w:val="21"/>
                <w:szCs w:val="21"/>
                <w:highlight w:val="none"/>
              </w:rPr>
            </w:pPr>
          </w:p>
          <w:p w14:paraId="079ACD23">
            <w:pPr>
              <w:ind w:right="284"/>
              <w:jc w:val="left"/>
              <w:rPr>
                <w:rFonts w:hint="eastAsia" w:ascii="仿宋" w:hAnsi="仿宋" w:eastAsia="仿宋" w:cs="仿宋"/>
                <w:b w:val="0"/>
                <w:bCs/>
                <w:color w:val="auto"/>
                <w:sz w:val="21"/>
                <w:szCs w:val="21"/>
                <w:highlight w:val="none"/>
              </w:rPr>
            </w:pPr>
          </w:p>
          <w:p w14:paraId="492A08B1">
            <w:pPr>
              <w:ind w:right="284"/>
              <w:jc w:val="left"/>
              <w:rPr>
                <w:rFonts w:hint="eastAsia" w:ascii="仿宋" w:hAnsi="仿宋" w:eastAsia="仿宋" w:cs="仿宋"/>
                <w:b w:val="0"/>
                <w:bCs/>
                <w:color w:val="auto"/>
                <w:sz w:val="21"/>
                <w:szCs w:val="21"/>
                <w:highlight w:val="none"/>
              </w:rPr>
            </w:pPr>
          </w:p>
          <w:p w14:paraId="0913D03E">
            <w:pPr>
              <w:ind w:right="284"/>
              <w:jc w:val="left"/>
              <w:rPr>
                <w:rFonts w:hint="eastAsia" w:ascii="仿宋" w:hAnsi="仿宋" w:eastAsia="仿宋" w:cs="仿宋"/>
                <w:b w:val="0"/>
                <w:bCs/>
                <w:color w:val="auto"/>
                <w:sz w:val="21"/>
                <w:szCs w:val="21"/>
                <w:highlight w:val="none"/>
              </w:rPr>
            </w:pPr>
          </w:p>
          <w:p w14:paraId="25938D87">
            <w:pPr>
              <w:ind w:right="284"/>
              <w:jc w:val="left"/>
              <w:rPr>
                <w:rFonts w:hint="eastAsia" w:ascii="仿宋" w:hAnsi="仿宋" w:eastAsia="仿宋" w:cs="仿宋"/>
                <w:b w:val="0"/>
                <w:bCs/>
                <w:color w:val="auto"/>
                <w:sz w:val="21"/>
                <w:szCs w:val="21"/>
                <w:highlight w:val="none"/>
              </w:rPr>
            </w:pPr>
          </w:p>
          <w:p w14:paraId="776A5DD8">
            <w:pPr>
              <w:ind w:right="284"/>
              <w:jc w:val="left"/>
              <w:rPr>
                <w:rFonts w:hint="eastAsia" w:ascii="仿宋" w:hAnsi="仿宋" w:eastAsia="仿宋" w:cs="仿宋"/>
                <w:b w:val="0"/>
                <w:bCs/>
                <w:color w:val="auto"/>
                <w:sz w:val="21"/>
                <w:szCs w:val="21"/>
                <w:highlight w:val="none"/>
              </w:rPr>
            </w:pPr>
          </w:p>
          <w:p w14:paraId="55B5AEBF">
            <w:pPr>
              <w:rPr>
                <w:rFonts w:hint="eastAsia" w:ascii="仿宋" w:hAnsi="仿宋" w:eastAsia="仿宋" w:cs="仿宋"/>
                <w:b w:val="0"/>
                <w:bCs/>
                <w:color w:val="auto"/>
                <w:sz w:val="21"/>
                <w:szCs w:val="21"/>
                <w:highlight w:val="none"/>
              </w:rPr>
            </w:pPr>
          </w:p>
          <w:p w14:paraId="204B280C">
            <w:pPr>
              <w:ind w:right="284"/>
              <w:jc w:val="left"/>
              <w:rPr>
                <w:rFonts w:hint="eastAsia" w:ascii="仿宋" w:hAnsi="仿宋" w:eastAsia="仿宋" w:cs="仿宋"/>
                <w:b w:val="0"/>
                <w:bCs/>
                <w:color w:val="auto"/>
                <w:sz w:val="21"/>
                <w:szCs w:val="21"/>
                <w:highlight w:val="none"/>
              </w:rPr>
            </w:pPr>
          </w:p>
        </w:tc>
      </w:tr>
      <w:tr w14:paraId="4955F0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F457084">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754078F6">
            <w:pPr>
              <w:ind w:right="284"/>
              <w:jc w:val="left"/>
              <w:rPr>
                <w:rFonts w:hint="eastAsia" w:ascii="仿宋" w:hAnsi="仿宋" w:eastAsia="仿宋" w:cs="仿宋"/>
                <w:b/>
                <w:color w:val="auto"/>
                <w:sz w:val="21"/>
                <w:szCs w:val="21"/>
                <w:highlight w:val="none"/>
              </w:rPr>
            </w:pPr>
          </w:p>
        </w:tc>
      </w:tr>
      <w:tr w14:paraId="70B02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224AB6B">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45D58455">
            <w:pPr>
              <w:ind w:right="284"/>
              <w:jc w:val="left"/>
              <w:rPr>
                <w:rFonts w:hint="eastAsia" w:ascii="仿宋" w:hAnsi="仿宋" w:eastAsia="仿宋" w:cs="仿宋"/>
                <w:b/>
                <w:color w:val="auto"/>
                <w:sz w:val="21"/>
                <w:szCs w:val="21"/>
                <w:highlight w:val="none"/>
              </w:rPr>
            </w:pPr>
          </w:p>
        </w:tc>
      </w:tr>
      <w:tr w14:paraId="193EC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4153017">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7308BDF3">
            <w:pPr>
              <w:ind w:right="284"/>
              <w:jc w:val="left"/>
              <w:rPr>
                <w:rFonts w:hint="eastAsia" w:ascii="仿宋" w:hAnsi="仿宋" w:eastAsia="仿宋" w:cs="仿宋"/>
                <w:b/>
                <w:color w:val="auto"/>
                <w:sz w:val="21"/>
                <w:szCs w:val="21"/>
                <w:highlight w:val="none"/>
              </w:rPr>
            </w:pPr>
          </w:p>
        </w:tc>
      </w:tr>
      <w:tr w14:paraId="45268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10C6C4E9">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10FBC8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8B789DC">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495DD55C">
            <w:pPr>
              <w:ind w:right="284"/>
              <w:jc w:val="left"/>
              <w:rPr>
                <w:rFonts w:hint="eastAsia" w:ascii="仿宋" w:hAnsi="仿宋" w:eastAsia="仿宋" w:cs="仿宋"/>
                <w:b/>
                <w:color w:val="auto"/>
                <w:sz w:val="21"/>
                <w:szCs w:val="21"/>
                <w:highlight w:val="none"/>
              </w:rPr>
            </w:pPr>
          </w:p>
        </w:tc>
      </w:tr>
      <w:tr w14:paraId="7A1CFD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5C94001">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07A30AD4">
            <w:pPr>
              <w:ind w:right="284"/>
              <w:jc w:val="left"/>
              <w:rPr>
                <w:rFonts w:hint="eastAsia" w:ascii="仿宋" w:hAnsi="仿宋" w:eastAsia="仿宋" w:cs="仿宋"/>
                <w:b/>
                <w:color w:val="auto"/>
                <w:sz w:val="21"/>
                <w:szCs w:val="21"/>
                <w:highlight w:val="none"/>
              </w:rPr>
            </w:pPr>
          </w:p>
        </w:tc>
      </w:tr>
      <w:tr w14:paraId="69688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1535504">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noWrap w:val="0"/>
            <w:vAlign w:val="center"/>
          </w:tcPr>
          <w:p w14:paraId="081172E9">
            <w:pPr>
              <w:ind w:right="284"/>
              <w:jc w:val="left"/>
              <w:rPr>
                <w:rFonts w:hint="eastAsia" w:ascii="仿宋" w:hAnsi="仿宋" w:eastAsia="仿宋" w:cs="仿宋"/>
                <w:b/>
                <w:color w:val="auto"/>
                <w:sz w:val="21"/>
                <w:szCs w:val="21"/>
                <w:highlight w:val="none"/>
              </w:rPr>
            </w:pPr>
          </w:p>
        </w:tc>
      </w:tr>
      <w:tr w14:paraId="3E38B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D736D2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11E78E60">
            <w:pPr>
              <w:ind w:right="284"/>
              <w:jc w:val="left"/>
              <w:rPr>
                <w:rFonts w:hint="eastAsia" w:ascii="仿宋" w:hAnsi="仿宋" w:eastAsia="仿宋" w:cs="仿宋"/>
                <w:b/>
                <w:color w:val="auto"/>
                <w:sz w:val="21"/>
                <w:szCs w:val="21"/>
                <w:highlight w:val="none"/>
              </w:rPr>
            </w:pPr>
          </w:p>
        </w:tc>
      </w:tr>
    </w:tbl>
    <w:p w14:paraId="5B47034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19" w:name="_Toc4037"/>
      <w:bookmarkStart w:id="520" w:name="_Toc13008"/>
      <w:bookmarkStart w:id="521" w:name="_Toc12654"/>
      <w:bookmarkStart w:id="522" w:name="_Toc9492"/>
      <w:bookmarkStart w:id="523" w:name="_Toc7094"/>
      <w:bookmarkStart w:id="524" w:name="_Toc13180"/>
      <w:r>
        <w:rPr>
          <w:rFonts w:hint="eastAsia" w:ascii="仿宋" w:hAnsi="仿宋" w:eastAsia="仿宋" w:cs="仿宋"/>
          <w:b/>
          <w:bCs w:val="0"/>
          <w:color w:val="auto"/>
          <w:sz w:val="40"/>
          <w:szCs w:val="40"/>
          <w:highlight w:val="none"/>
          <w:shd w:val="clear" w:color="auto" w:fill="auto"/>
          <w:lang w:val="en-US" w:eastAsia="zh-CN"/>
        </w:rPr>
        <w:t>附件</w:t>
      </w:r>
      <w:bookmarkEnd w:id="519"/>
      <w:bookmarkEnd w:id="520"/>
      <w:bookmarkEnd w:id="521"/>
      <w:bookmarkEnd w:id="522"/>
      <w:bookmarkEnd w:id="523"/>
      <w:bookmarkEnd w:id="524"/>
      <w:r>
        <w:rPr>
          <w:rFonts w:hint="eastAsia" w:ascii="仿宋" w:hAnsi="仿宋" w:eastAsia="仿宋" w:cs="仿宋"/>
          <w:b/>
          <w:bCs w:val="0"/>
          <w:color w:val="auto"/>
          <w:sz w:val="40"/>
          <w:szCs w:val="40"/>
          <w:highlight w:val="none"/>
          <w:shd w:val="clear" w:color="auto" w:fill="auto"/>
          <w:lang w:val="en-US" w:eastAsia="zh-CN"/>
        </w:rPr>
        <w:t>四</w:t>
      </w:r>
    </w:p>
    <w:p w14:paraId="62E2D849">
      <w:pPr>
        <w:pStyle w:val="2"/>
        <w:tabs>
          <w:tab w:val="clear" w:pos="-116"/>
          <w:tab w:val="clear" w:pos="420"/>
        </w:tabs>
        <w:ind w:firstLine="2409" w:firstLineChars="1000"/>
        <w:jc w:val="left"/>
        <w:rPr>
          <w:rFonts w:hint="eastAsia" w:ascii="仿宋" w:hAnsi="仿宋" w:eastAsia="仿宋" w:cs="仿宋"/>
          <w:b/>
          <w:color w:val="auto"/>
          <w:sz w:val="24"/>
          <w:szCs w:val="24"/>
          <w:highlight w:val="none"/>
          <w:lang w:eastAsia="zh-CN"/>
        </w:rPr>
      </w:pPr>
    </w:p>
    <w:p w14:paraId="4CA7F0DE">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7AAE100E">
      <w:pPr>
        <w:widowControl/>
        <w:kinsoku w:val="0"/>
        <w:autoSpaceDE w:val="0"/>
        <w:autoSpaceDN w:val="0"/>
        <w:adjustRightInd w:val="0"/>
        <w:snapToGrid w:val="0"/>
        <w:spacing w:line="193" w:lineRule="exact"/>
        <w:jc w:val="left"/>
        <w:textAlignment w:val="baseline"/>
        <w:rPr>
          <w:rFonts w:ascii="Arial" w:hAnsi="Arial" w:eastAsia="Arial" w:cs="Arial"/>
          <w:snapToGrid w:val="0"/>
          <w:color w:val="auto"/>
          <w:kern w:val="0"/>
          <w:szCs w:val="21"/>
          <w:highlight w:val="none"/>
        </w:rPr>
      </w:pPr>
    </w:p>
    <w:tbl>
      <w:tblPr>
        <w:tblStyle w:val="33"/>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64566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3A03CA85">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7E884B13">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6052B701">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1C2F06EA">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73BB3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26D4723E">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49FB3139">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 内容中，其中</w:t>
            </w:r>
          </w:p>
          <w:p w14:paraId="667BD9C5">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48FD8402">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672300D5">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2B44CC04">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4105034E">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78D7136E">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0DFC8599">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5A0D0C02">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002DEC2F">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4E686F74">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38FF8A2B">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7E8F6B6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69F5298A">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CC9E396">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1D033D69">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7A12C565">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3495DE0C">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006494DD">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2C129EDD">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4F55A67B">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7EC971FE">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4528C93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A8A13E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7B1E94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ECCE1A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9A5F3DB">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25" w:name="_Toc19333"/>
      <w:bookmarkStart w:id="526" w:name="_Toc32036"/>
      <w:bookmarkStart w:id="527" w:name="_Toc29498"/>
      <w:bookmarkStart w:id="528" w:name="_Toc17060"/>
      <w:bookmarkStart w:id="529" w:name="_Toc8118"/>
      <w:bookmarkStart w:id="530" w:name="_Toc8808"/>
      <w:r>
        <w:rPr>
          <w:rFonts w:hint="eastAsia" w:ascii="仿宋" w:hAnsi="仿宋" w:eastAsia="仿宋" w:cs="仿宋"/>
          <w:b/>
          <w:bCs w:val="0"/>
          <w:color w:val="auto"/>
          <w:sz w:val="40"/>
          <w:szCs w:val="40"/>
          <w:highlight w:val="none"/>
          <w:shd w:val="clear" w:color="auto" w:fill="auto"/>
          <w:lang w:val="en-US" w:eastAsia="zh-CN"/>
        </w:rPr>
        <w:t>附件</w:t>
      </w:r>
      <w:bookmarkEnd w:id="525"/>
      <w:bookmarkEnd w:id="526"/>
      <w:bookmarkEnd w:id="527"/>
      <w:bookmarkEnd w:id="528"/>
      <w:bookmarkEnd w:id="529"/>
      <w:bookmarkEnd w:id="530"/>
      <w:r>
        <w:rPr>
          <w:rFonts w:hint="eastAsia" w:ascii="仿宋" w:hAnsi="仿宋" w:eastAsia="仿宋" w:cs="仿宋"/>
          <w:b/>
          <w:bCs w:val="0"/>
          <w:color w:val="auto"/>
          <w:sz w:val="40"/>
          <w:szCs w:val="40"/>
          <w:highlight w:val="none"/>
          <w:shd w:val="clear" w:color="auto" w:fill="auto"/>
          <w:lang w:val="en-US" w:eastAsia="zh-CN"/>
        </w:rPr>
        <w:t>五</w:t>
      </w:r>
    </w:p>
    <w:p w14:paraId="34DB2F47">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43A581B0">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33"/>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07C6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7350B0F7">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47678D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CC7D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0CA4181A">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3A45553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26A13FCC">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173A7B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5988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37A658E">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43572D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7AE726CC">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34362A3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BF19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BCD1614">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668D8118">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08A3E326">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1DF78DF6">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09B861FF">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37C95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1BEE0C9">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7AB5F9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12304D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39F567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7E89ACE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50C9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31CC9E7">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74CB631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1999DA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C8B586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803EC5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5D26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4B9C924">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6DB64EF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09C9A0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CA7A3C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F3EED8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1961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84DF8D6">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6E7EAEA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85A9B6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AEF813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AEF0C9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CF0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562B184">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0A68665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B5AF73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D210B9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09121F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F765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1AF33C6">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2BFC92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914DFA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A4F50E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754A4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0D4F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32418BF6">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737EFA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67EE664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3E2260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037D4C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9DBC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3FB975B">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7C52DBA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79539C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997C2A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A3D04C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03B1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169AAA7">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39034BA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74C59B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F0F5B8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F4DBBE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1F75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6C454E1">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1C1DAEB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B1CCBF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D7A775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875D9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4859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7AAE3E3">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noWrap w:val="0"/>
            <w:vAlign w:val="top"/>
          </w:tcPr>
          <w:p w14:paraId="59F77A8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138CA3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8AD96E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C701F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7C1A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15E34AC8">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noWrap w:val="0"/>
            <w:vAlign w:val="top"/>
          </w:tcPr>
          <w:p w14:paraId="7F5588A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01F446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AE0609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97036A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967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751342C7">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0617D2EA">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78BA8609">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21D98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0B5979CC">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66E90EEE">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2EDA99C4">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75AA9E21">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168D2807">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rPr>
            </w:pPr>
          </w:p>
          <w:p w14:paraId="4F384DD6">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6C107264">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0E94D0BC">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42B1DB38">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41A10C7B">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75C8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339D0C56">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2AAAD153">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110CE92C">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16B4FB3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31" w:name="_Toc2501"/>
      <w:bookmarkStart w:id="532" w:name="_Toc19348"/>
      <w:bookmarkStart w:id="533" w:name="_Toc22173"/>
    </w:p>
    <w:p w14:paraId="5B7B424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34" w:name="_Toc25787"/>
      <w:bookmarkStart w:id="535" w:name="_Toc15781"/>
      <w:bookmarkStart w:id="536" w:name="_Toc26421"/>
      <w:r>
        <w:rPr>
          <w:rFonts w:hint="eastAsia" w:ascii="仿宋" w:hAnsi="仿宋" w:eastAsia="仿宋" w:cs="仿宋"/>
          <w:b/>
          <w:bCs w:val="0"/>
          <w:color w:val="auto"/>
          <w:sz w:val="40"/>
          <w:szCs w:val="40"/>
          <w:highlight w:val="none"/>
          <w:shd w:val="clear" w:color="auto" w:fill="auto"/>
          <w:lang w:val="en-US" w:eastAsia="zh-CN"/>
        </w:rPr>
        <w:t>附件</w:t>
      </w:r>
      <w:bookmarkEnd w:id="531"/>
      <w:bookmarkEnd w:id="532"/>
      <w:bookmarkEnd w:id="533"/>
      <w:bookmarkEnd w:id="534"/>
      <w:bookmarkEnd w:id="535"/>
      <w:bookmarkEnd w:id="536"/>
      <w:r>
        <w:rPr>
          <w:rFonts w:hint="eastAsia" w:ascii="仿宋" w:hAnsi="仿宋" w:eastAsia="仿宋" w:cs="仿宋"/>
          <w:b/>
          <w:bCs w:val="0"/>
          <w:color w:val="auto"/>
          <w:sz w:val="40"/>
          <w:szCs w:val="40"/>
          <w:highlight w:val="none"/>
          <w:shd w:val="clear" w:color="auto" w:fill="auto"/>
          <w:lang w:val="en-US" w:eastAsia="zh-CN"/>
        </w:rPr>
        <w:t>六</w:t>
      </w:r>
    </w:p>
    <w:p w14:paraId="65358908">
      <w:pPr>
        <w:jc w:val="center"/>
        <w:rPr>
          <w:rFonts w:hint="eastAsia"/>
          <w:b/>
          <w:bCs/>
          <w:color w:val="auto"/>
          <w:sz w:val="44"/>
          <w:szCs w:val="44"/>
          <w:highlight w:val="none"/>
        </w:rPr>
      </w:pP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14:paraId="0C7971A0">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71A7BF80">
      <w:pPr>
        <w:jc w:val="center"/>
        <w:rPr>
          <w:color w:val="auto"/>
          <w:sz w:val="32"/>
          <w:szCs w:val="32"/>
          <w:highlight w:val="none"/>
        </w:rPr>
      </w:pPr>
    </w:p>
    <w:tbl>
      <w:tblPr>
        <w:tblStyle w:val="17"/>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4BC9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0FD73A12">
            <w:pPr>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7B33BEA3">
            <w:pPr>
              <w:jc w:val="center"/>
              <w:rPr>
                <w:b/>
                <w:color w:val="auto"/>
                <w:sz w:val="30"/>
                <w:szCs w:val="30"/>
                <w:highlight w:val="none"/>
              </w:rPr>
            </w:pPr>
            <w:r>
              <w:rPr>
                <w:rFonts w:hint="eastAsia"/>
                <w:b/>
                <w:color w:val="auto"/>
                <w:sz w:val="30"/>
                <w:szCs w:val="30"/>
                <w:highlight w:val="none"/>
              </w:rPr>
              <w:t>结算明细</w:t>
            </w:r>
          </w:p>
        </w:tc>
      </w:tr>
      <w:tr w14:paraId="5967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A25761B">
            <w:pPr>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71219208">
            <w:pPr>
              <w:jc w:val="left"/>
              <w:rPr>
                <w:color w:val="auto"/>
                <w:sz w:val="30"/>
                <w:szCs w:val="30"/>
                <w:highlight w:val="none"/>
              </w:rPr>
            </w:pPr>
            <w:r>
              <w:rPr>
                <w:rFonts w:hint="eastAsia"/>
                <w:color w:val="auto"/>
                <w:sz w:val="28"/>
                <w:szCs w:val="28"/>
                <w:highlight w:val="none"/>
              </w:rPr>
              <w:t>工程名称：</w:t>
            </w:r>
          </w:p>
        </w:tc>
      </w:tr>
      <w:tr w14:paraId="3DB2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625B48A">
            <w:pPr>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1F08B74D">
            <w:pPr>
              <w:jc w:val="left"/>
              <w:rPr>
                <w:color w:val="auto"/>
                <w:sz w:val="28"/>
                <w:szCs w:val="28"/>
                <w:highlight w:val="none"/>
              </w:rPr>
            </w:pPr>
            <w:r>
              <w:rPr>
                <w:rFonts w:hint="eastAsia"/>
                <w:color w:val="auto"/>
                <w:sz w:val="28"/>
                <w:szCs w:val="28"/>
                <w:highlight w:val="none"/>
              </w:rPr>
              <w:t>单位名称：</w:t>
            </w:r>
          </w:p>
        </w:tc>
      </w:tr>
      <w:tr w14:paraId="234F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noWrap w:val="0"/>
            <w:vAlign w:val="top"/>
          </w:tcPr>
          <w:p w14:paraId="7229BCC9">
            <w:pPr>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60AF3067">
            <w:pPr>
              <w:jc w:val="left"/>
              <w:rPr>
                <w:color w:val="auto"/>
                <w:sz w:val="28"/>
                <w:szCs w:val="28"/>
                <w:highlight w:val="none"/>
              </w:rPr>
            </w:pPr>
            <w:r>
              <w:rPr>
                <w:rFonts w:hint="eastAsia"/>
                <w:color w:val="auto"/>
                <w:sz w:val="28"/>
                <w:szCs w:val="28"/>
                <w:highlight w:val="none"/>
              </w:rPr>
              <w:t>合同单位负责人:</w:t>
            </w:r>
          </w:p>
        </w:tc>
      </w:tr>
      <w:tr w14:paraId="222A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noWrap w:val="0"/>
            <w:vAlign w:val="top"/>
          </w:tcPr>
          <w:p w14:paraId="78B6D99C">
            <w:pPr>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42910647">
            <w:pPr>
              <w:jc w:val="left"/>
              <w:rPr>
                <w:rFonts w:hint="eastAsia"/>
                <w:color w:val="auto"/>
                <w:sz w:val="28"/>
                <w:szCs w:val="28"/>
                <w:highlight w:val="none"/>
              </w:rPr>
            </w:pPr>
            <w:r>
              <w:rPr>
                <w:rFonts w:hint="eastAsia"/>
                <w:color w:val="auto"/>
                <w:sz w:val="28"/>
                <w:szCs w:val="28"/>
                <w:highlight w:val="none"/>
              </w:rPr>
              <w:t>合同编号：</w:t>
            </w:r>
          </w:p>
        </w:tc>
      </w:tr>
      <w:tr w14:paraId="4778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5503212">
            <w:pPr>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14A96955">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3D3A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EA9A081">
            <w:pPr>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3FACA949">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1CBD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879DB71">
            <w:pPr>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669660BF">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5343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7013108">
            <w:pPr>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5B6F7D66">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6F13CCCB">
      <w:pPr>
        <w:jc w:val="center"/>
        <w:rPr>
          <w:color w:val="auto"/>
          <w:sz w:val="36"/>
          <w:szCs w:val="36"/>
          <w:highlight w:val="none"/>
        </w:rPr>
      </w:pPr>
    </w:p>
    <w:p w14:paraId="071744FB">
      <w:pPr>
        <w:jc w:val="center"/>
        <w:rPr>
          <w:rFonts w:ascii="宋体" w:hAnsi="宋体" w:cs="宋体"/>
          <w:color w:val="auto"/>
          <w:sz w:val="28"/>
          <w:szCs w:val="28"/>
          <w:highlight w:val="none"/>
        </w:rPr>
      </w:pPr>
    </w:p>
    <w:p w14:paraId="55DD3EB8">
      <w:pPr>
        <w:jc w:val="center"/>
        <w:rPr>
          <w:rFonts w:ascii="宋体" w:hAnsi="宋体" w:cs="宋体"/>
          <w:color w:val="auto"/>
          <w:sz w:val="28"/>
          <w:szCs w:val="28"/>
          <w:highlight w:val="none"/>
        </w:rPr>
      </w:pPr>
    </w:p>
    <w:p w14:paraId="01CC2DD6">
      <w:pPr>
        <w:jc w:val="center"/>
        <w:rPr>
          <w:rFonts w:ascii="宋体" w:hAnsi="宋体" w:cs="宋体"/>
          <w:color w:val="auto"/>
          <w:sz w:val="28"/>
          <w:szCs w:val="28"/>
          <w:highlight w:val="none"/>
        </w:rPr>
      </w:pPr>
    </w:p>
    <w:p w14:paraId="6E6214C6">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14:paraId="491491B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r>
        <w:rPr>
          <w:rFonts w:hint="eastAsia" w:ascii="宋体" w:hAnsi="宋体" w:cs="宋体"/>
          <w:color w:val="auto"/>
          <w:sz w:val="28"/>
          <w:szCs w:val="28"/>
          <w:highlight w:val="none"/>
        </w:rPr>
        <w:t xml:space="preserve">                                   </w:t>
      </w:r>
      <w:bookmarkStart w:id="537" w:name="_Toc14415"/>
      <w:bookmarkStart w:id="538" w:name="_Toc24448"/>
      <w:bookmarkStart w:id="539" w:name="_Toc3333"/>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bookmarkEnd w:id="537"/>
      <w:bookmarkEnd w:id="538"/>
      <w:bookmarkEnd w:id="539"/>
    </w:p>
    <w:p w14:paraId="5E2A581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3B3C038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91D391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D55B0A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494812D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1CBCADE">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CF9B7A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7B766B1F">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40" w:name="_Toc10221"/>
      <w:bookmarkStart w:id="541" w:name="_Toc22405"/>
      <w:bookmarkStart w:id="542" w:name="_Toc31052"/>
      <w:r>
        <w:rPr>
          <w:rFonts w:hint="eastAsia" w:ascii="仿宋" w:hAnsi="仿宋" w:eastAsia="仿宋" w:cs="仿宋"/>
          <w:b/>
          <w:bCs w:val="0"/>
          <w:color w:val="auto"/>
          <w:sz w:val="40"/>
          <w:szCs w:val="40"/>
          <w:highlight w:val="none"/>
          <w:shd w:val="clear" w:color="auto" w:fill="auto"/>
          <w:lang w:val="en-US" w:eastAsia="zh-CN"/>
        </w:rPr>
        <w:t>附件</w:t>
      </w:r>
      <w:bookmarkEnd w:id="504"/>
      <w:bookmarkEnd w:id="505"/>
      <w:bookmarkEnd w:id="506"/>
      <w:bookmarkEnd w:id="540"/>
      <w:bookmarkEnd w:id="541"/>
      <w:bookmarkEnd w:id="542"/>
      <w:r>
        <w:rPr>
          <w:rFonts w:hint="eastAsia" w:ascii="仿宋" w:hAnsi="仿宋" w:eastAsia="仿宋" w:cs="仿宋"/>
          <w:b/>
          <w:bCs w:val="0"/>
          <w:color w:val="auto"/>
          <w:sz w:val="40"/>
          <w:szCs w:val="40"/>
          <w:highlight w:val="none"/>
          <w:shd w:val="clear" w:color="auto" w:fill="auto"/>
          <w:lang w:val="en-US" w:eastAsia="zh-CN"/>
        </w:rPr>
        <w:t>七</w:t>
      </w:r>
    </w:p>
    <w:tbl>
      <w:tblPr>
        <w:tblStyle w:val="16"/>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3385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638A80A1">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仿宋_GB2312" w:hAnsi="仿宋_GB2312" w:eastAsia="仿宋_GB2312" w:cs="仿宋_GB2312"/>
                <w:b/>
                <w:bCs w:val="0"/>
                <w:color w:val="auto"/>
                <w:sz w:val="40"/>
                <w:szCs w:val="40"/>
                <w:highlight w:val="none"/>
                <w:shd w:val="clear" w:color="auto" w:fill="auto"/>
                <w:lang w:val="en-US" w:eastAsia="zh-CN"/>
              </w:rPr>
              <w:t>工完场清交接单</w:t>
            </w:r>
            <w:r>
              <w:rPr>
                <w:rFonts w:hint="eastAsia" w:ascii="宋体" w:hAnsi="宋体" w:eastAsia="宋体" w:cs="宋体"/>
                <w:b/>
                <w:bCs/>
                <w:i w:val="0"/>
                <w:iCs w:val="0"/>
                <w:color w:val="auto"/>
                <w:kern w:val="0"/>
                <w:sz w:val="40"/>
                <w:szCs w:val="40"/>
                <w:highlight w:val="none"/>
                <w:u w:val="none"/>
                <w:lang w:val="en-US" w:eastAsia="zh-CN" w:bidi="ar"/>
              </w:rPr>
              <w:t xml:space="preserve">                                                                                                            </w:t>
            </w:r>
          </w:p>
        </w:tc>
      </w:tr>
      <w:tr w14:paraId="6390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1044E8F0">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5A7F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088DC8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4451" w:type="dxa"/>
            <w:tcBorders>
              <w:top w:val="single" w:color="000000" w:sz="4" w:space="0"/>
              <w:left w:val="single" w:color="000000" w:sz="4" w:space="0"/>
              <w:bottom w:val="single" w:color="000000" w:sz="4" w:space="0"/>
              <w:right w:val="nil"/>
            </w:tcBorders>
            <w:noWrap/>
            <w:vAlign w:val="center"/>
          </w:tcPr>
          <w:p w14:paraId="52039F6C">
            <w:pP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6C5CA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ED73DA9">
            <w:pPr>
              <w:rPr>
                <w:rFonts w:hint="eastAsia" w:ascii="仿宋" w:hAnsi="仿宋" w:eastAsia="仿宋" w:cs="仿宋"/>
                <w:i w:val="0"/>
                <w:iCs w:val="0"/>
                <w:color w:val="auto"/>
                <w:sz w:val="24"/>
                <w:szCs w:val="24"/>
                <w:highlight w:val="none"/>
                <w:u w:val="none"/>
              </w:rPr>
            </w:pPr>
          </w:p>
        </w:tc>
      </w:tr>
      <w:tr w14:paraId="1DD3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607D0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1、移交合格内容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245657F3">
            <w:pPr>
              <w:jc w:val="center"/>
              <w:rPr>
                <w:rFonts w:hint="eastAsia" w:ascii="仿宋" w:hAnsi="仿宋" w:eastAsia="仿宋" w:cs="仿宋"/>
                <w:i w:val="0"/>
                <w:iCs w:val="0"/>
                <w:color w:val="auto"/>
                <w:sz w:val="24"/>
                <w:szCs w:val="24"/>
                <w:highlight w:val="none"/>
                <w:u w:val="none"/>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DCC1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1、甩项部位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2、甩项内容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2677C7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47BA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2E24A">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4D71C33">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56462">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02C647C3">
            <w:pPr>
              <w:jc w:val="center"/>
              <w:rPr>
                <w:rFonts w:hint="eastAsia" w:ascii="仿宋" w:hAnsi="仿宋" w:eastAsia="仿宋" w:cs="仿宋"/>
                <w:i w:val="0"/>
                <w:iCs w:val="0"/>
                <w:color w:val="auto"/>
                <w:sz w:val="24"/>
                <w:szCs w:val="24"/>
                <w:highlight w:val="none"/>
                <w:u w:val="none"/>
              </w:rPr>
            </w:pPr>
          </w:p>
        </w:tc>
      </w:tr>
      <w:tr w14:paraId="4535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8B9F5">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17A1F48">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F878A">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9786155">
            <w:pPr>
              <w:jc w:val="center"/>
              <w:rPr>
                <w:rFonts w:hint="eastAsia" w:ascii="仿宋" w:hAnsi="仿宋" w:eastAsia="仿宋" w:cs="仿宋"/>
                <w:i w:val="0"/>
                <w:iCs w:val="0"/>
                <w:color w:val="auto"/>
                <w:sz w:val="24"/>
                <w:szCs w:val="24"/>
                <w:highlight w:val="none"/>
                <w:u w:val="none"/>
              </w:rPr>
            </w:pPr>
          </w:p>
        </w:tc>
      </w:tr>
      <w:tr w14:paraId="432D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27F34">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4C4D5F4">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BB923">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59558B3">
            <w:pPr>
              <w:jc w:val="center"/>
              <w:rPr>
                <w:rFonts w:hint="eastAsia" w:ascii="仿宋" w:hAnsi="仿宋" w:eastAsia="仿宋" w:cs="仿宋"/>
                <w:i w:val="0"/>
                <w:iCs w:val="0"/>
                <w:color w:val="auto"/>
                <w:sz w:val="24"/>
                <w:szCs w:val="24"/>
                <w:highlight w:val="none"/>
                <w:u w:val="none"/>
              </w:rPr>
            </w:pPr>
          </w:p>
        </w:tc>
      </w:tr>
      <w:tr w14:paraId="10B2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6E697">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8CB2123">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E310C">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C599733">
            <w:pPr>
              <w:jc w:val="center"/>
              <w:rPr>
                <w:rFonts w:hint="eastAsia" w:ascii="仿宋" w:hAnsi="仿宋" w:eastAsia="仿宋" w:cs="仿宋"/>
                <w:i w:val="0"/>
                <w:iCs w:val="0"/>
                <w:color w:val="auto"/>
                <w:sz w:val="24"/>
                <w:szCs w:val="24"/>
                <w:highlight w:val="none"/>
                <w:u w:val="none"/>
              </w:rPr>
            </w:pPr>
          </w:p>
        </w:tc>
      </w:tr>
      <w:tr w14:paraId="40BB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3F52B">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6669CD5">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618F8">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479DC94">
            <w:pPr>
              <w:jc w:val="center"/>
              <w:rPr>
                <w:rFonts w:hint="eastAsia" w:ascii="仿宋" w:hAnsi="仿宋" w:eastAsia="仿宋" w:cs="仿宋"/>
                <w:i w:val="0"/>
                <w:iCs w:val="0"/>
                <w:color w:val="auto"/>
                <w:sz w:val="24"/>
                <w:szCs w:val="24"/>
                <w:highlight w:val="none"/>
                <w:u w:val="none"/>
              </w:rPr>
            </w:pPr>
          </w:p>
        </w:tc>
      </w:tr>
      <w:tr w14:paraId="26F0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438AC">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903A5C6">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CD411">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C9832E5">
            <w:pPr>
              <w:jc w:val="center"/>
              <w:rPr>
                <w:rFonts w:hint="eastAsia" w:ascii="仿宋" w:hAnsi="仿宋" w:eastAsia="仿宋" w:cs="仿宋"/>
                <w:i w:val="0"/>
                <w:iCs w:val="0"/>
                <w:color w:val="auto"/>
                <w:sz w:val="24"/>
                <w:szCs w:val="24"/>
                <w:highlight w:val="none"/>
                <w:u w:val="none"/>
              </w:rPr>
            </w:pPr>
          </w:p>
        </w:tc>
      </w:tr>
      <w:tr w14:paraId="5B07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1D692">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4E1D321">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88783">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6402F22">
            <w:pPr>
              <w:jc w:val="center"/>
              <w:rPr>
                <w:rFonts w:hint="eastAsia" w:ascii="仿宋" w:hAnsi="仿宋" w:eastAsia="仿宋" w:cs="仿宋"/>
                <w:i w:val="0"/>
                <w:iCs w:val="0"/>
                <w:color w:val="auto"/>
                <w:sz w:val="24"/>
                <w:szCs w:val="24"/>
                <w:highlight w:val="none"/>
                <w:u w:val="none"/>
              </w:rPr>
            </w:pPr>
          </w:p>
        </w:tc>
      </w:tr>
      <w:tr w14:paraId="24B9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4152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4451" w:type="dxa"/>
            <w:tcBorders>
              <w:top w:val="nil"/>
              <w:left w:val="single" w:color="000000" w:sz="4" w:space="0"/>
              <w:bottom w:val="single" w:color="000000" w:sz="4" w:space="0"/>
              <w:right w:val="single" w:color="000000" w:sz="4" w:space="0"/>
            </w:tcBorders>
            <w:noWrap/>
            <w:vAlign w:val="center"/>
          </w:tcPr>
          <w:p w14:paraId="5DC0A7FE">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4CC81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1DC1DD8">
            <w:pPr>
              <w:jc w:val="center"/>
              <w:rPr>
                <w:rFonts w:hint="eastAsia" w:ascii="仿宋" w:hAnsi="仿宋" w:eastAsia="仿宋" w:cs="仿宋"/>
                <w:i w:val="0"/>
                <w:iCs w:val="0"/>
                <w:color w:val="auto"/>
                <w:sz w:val="24"/>
                <w:szCs w:val="24"/>
                <w:highlight w:val="none"/>
                <w:u w:val="none"/>
              </w:rPr>
            </w:pPr>
          </w:p>
        </w:tc>
      </w:tr>
      <w:tr w14:paraId="0DE5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8DD6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48384697">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8CD33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67F12A1E">
            <w:pPr>
              <w:jc w:val="center"/>
              <w:rPr>
                <w:rFonts w:hint="eastAsia" w:ascii="仿宋" w:hAnsi="仿宋" w:eastAsia="仿宋" w:cs="仿宋"/>
                <w:i w:val="0"/>
                <w:iCs w:val="0"/>
                <w:color w:val="auto"/>
                <w:sz w:val="24"/>
                <w:szCs w:val="24"/>
                <w:highlight w:val="none"/>
                <w:u w:val="none"/>
              </w:rPr>
            </w:pPr>
          </w:p>
        </w:tc>
      </w:tr>
      <w:tr w14:paraId="13EA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C701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43050515">
            <w:pPr>
              <w:jc w:val="center"/>
              <w:rPr>
                <w:rFonts w:hint="eastAsia" w:ascii="仿宋" w:hAnsi="仿宋" w:eastAsia="仿宋" w:cs="仿宋"/>
                <w:i w:val="0"/>
                <w:iCs w:val="0"/>
                <w:color w:val="auto"/>
                <w:sz w:val="24"/>
                <w:szCs w:val="24"/>
                <w:highlight w:val="none"/>
                <w:u w:val="none"/>
              </w:rPr>
            </w:pPr>
          </w:p>
        </w:tc>
      </w:tr>
      <w:tr w14:paraId="1D92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2B2A3BC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注：1、本表一式三份交接单位及项目部各执一份，本表格签字完善后作为分包单位申请工程进度款的依据。2、移交人和接收人均为合同约定现场负责人。</w:t>
            </w:r>
          </w:p>
        </w:tc>
      </w:tr>
      <w:tr w14:paraId="5553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0EBAC7A5">
            <w:pPr>
              <w:jc w:val="left"/>
              <w:rPr>
                <w:rFonts w:hint="eastAsia" w:ascii="仿宋" w:hAnsi="仿宋" w:eastAsia="仿宋" w:cs="仿宋"/>
                <w:i w:val="0"/>
                <w:iCs w:val="0"/>
                <w:color w:val="auto"/>
                <w:sz w:val="24"/>
                <w:szCs w:val="24"/>
                <w:highlight w:val="none"/>
                <w:u w:val="none"/>
              </w:rPr>
            </w:pPr>
          </w:p>
        </w:tc>
      </w:tr>
    </w:tbl>
    <w:p w14:paraId="54D29189">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3206821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43" w:name="_Toc16390"/>
      <w:bookmarkStart w:id="544" w:name="_Toc18261"/>
      <w:bookmarkStart w:id="545" w:name="_Toc5270"/>
    </w:p>
    <w:p w14:paraId="5BF18B1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191C13B">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46" w:name="_Toc10211"/>
      <w:bookmarkStart w:id="547" w:name="_Toc31140"/>
      <w:bookmarkStart w:id="548" w:name="_Toc27382"/>
    </w:p>
    <w:p w14:paraId="1FFE645E">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0C57C49">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49" w:name="_Toc25464"/>
      <w:bookmarkStart w:id="550" w:name="_Toc11264"/>
      <w:bookmarkStart w:id="551" w:name="_Toc32679"/>
      <w:r>
        <w:rPr>
          <w:rFonts w:hint="eastAsia" w:ascii="仿宋" w:hAnsi="仿宋" w:eastAsia="仿宋" w:cs="仿宋"/>
          <w:b/>
          <w:bCs w:val="0"/>
          <w:color w:val="auto"/>
          <w:sz w:val="40"/>
          <w:szCs w:val="40"/>
          <w:highlight w:val="none"/>
          <w:shd w:val="clear" w:color="auto" w:fill="auto"/>
          <w:lang w:val="en-US" w:eastAsia="zh-CN"/>
        </w:rPr>
        <w:t>附件</w:t>
      </w:r>
      <w:bookmarkEnd w:id="546"/>
      <w:bookmarkEnd w:id="547"/>
      <w:bookmarkEnd w:id="548"/>
      <w:bookmarkEnd w:id="549"/>
      <w:bookmarkEnd w:id="550"/>
      <w:bookmarkEnd w:id="551"/>
      <w:r>
        <w:rPr>
          <w:rFonts w:hint="eastAsia" w:ascii="仿宋" w:hAnsi="仿宋" w:eastAsia="仿宋" w:cs="仿宋"/>
          <w:b/>
          <w:bCs w:val="0"/>
          <w:color w:val="auto"/>
          <w:sz w:val="40"/>
          <w:szCs w:val="40"/>
          <w:highlight w:val="none"/>
          <w:shd w:val="clear" w:color="auto" w:fill="auto"/>
          <w:lang w:val="en-US" w:eastAsia="zh-CN"/>
        </w:rPr>
        <w:t>八</w:t>
      </w:r>
    </w:p>
    <w:p w14:paraId="4A565F34">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auto"/>
          <w:spacing w:val="-4"/>
          <w:position w:val="21"/>
          <w:sz w:val="32"/>
          <w:szCs w:val="32"/>
          <w:highlight w:val="none"/>
          <w:lang w:val="en-US" w:eastAsia="zh-CN"/>
        </w:rPr>
      </w:pPr>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188163F7">
      <w:pPr>
        <w:ind w:firstLine="880" w:firstLineChars="40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6"/>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6A9BC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1014" w:type="dxa"/>
            <w:gridSpan w:val="2"/>
            <w:tcBorders>
              <w:top w:val="single" w:color="auto" w:sz="12" w:space="0"/>
              <w:bottom w:val="single" w:color="auto" w:sz="12" w:space="0"/>
            </w:tcBorders>
            <w:noWrap w:val="0"/>
            <w:vAlign w:val="center"/>
          </w:tcPr>
          <w:p w14:paraId="75FB2D8E">
            <w:pPr>
              <w:spacing w:line="440" w:lineRule="atLeast"/>
              <w:jc w:val="center"/>
              <w:rPr>
                <w:rFonts w:hint="eastAsia"/>
                <w:b/>
                <w:color w:val="auto"/>
                <w:sz w:val="24"/>
                <w:highlight w:val="none"/>
              </w:rPr>
            </w:pPr>
            <w:r>
              <w:rPr>
                <w:rFonts w:hint="eastAsia"/>
                <w:b/>
                <w:color w:val="auto"/>
                <w:sz w:val="24"/>
                <w:highlight w:val="none"/>
              </w:rPr>
              <w:t>序号</w:t>
            </w:r>
          </w:p>
        </w:tc>
        <w:tc>
          <w:tcPr>
            <w:tcW w:w="4407" w:type="dxa"/>
            <w:gridSpan w:val="2"/>
            <w:tcBorders>
              <w:top w:val="single" w:color="auto" w:sz="12" w:space="0"/>
              <w:bottom w:val="single" w:color="auto" w:sz="12" w:space="0"/>
            </w:tcBorders>
            <w:noWrap w:val="0"/>
            <w:vAlign w:val="center"/>
          </w:tcPr>
          <w:p w14:paraId="5F406682">
            <w:pPr>
              <w:spacing w:line="440" w:lineRule="atLeast"/>
              <w:jc w:val="center"/>
              <w:rPr>
                <w:rFonts w:hint="eastAsia"/>
                <w:b/>
                <w:color w:val="auto"/>
                <w:sz w:val="24"/>
                <w:highlight w:val="none"/>
              </w:rPr>
            </w:pPr>
            <w:r>
              <w:rPr>
                <w:rFonts w:hint="eastAsia"/>
                <w:b/>
                <w:color w:val="auto"/>
                <w:sz w:val="24"/>
                <w:highlight w:val="none"/>
              </w:rPr>
              <w:t>资料目录及内容</w:t>
            </w:r>
          </w:p>
        </w:tc>
        <w:tc>
          <w:tcPr>
            <w:tcW w:w="760" w:type="dxa"/>
            <w:tcBorders>
              <w:top w:val="single" w:color="auto" w:sz="12" w:space="0"/>
              <w:bottom w:val="single" w:color="auto" w:sz="12" w:space="0"/>
            </w:tcBorders>
            <w:noWrap w:val="0"/>
            <w:vAlign w:val="center"/>
          </w:tcPr>
          <w:p w14:paraId="70DC2C18">
            <w:pPr>
              <w:spacing w:line="440" w:lineRule="atLeast"/>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32" w:type="dxa"/>
            <w:tcBorders>
              <w:top w:val="single" w:color="auto" w:sz="12" w:space="0"/>
              <w:bottom w:val="single" w:color="auto" w:sz="12" w:space="0"/>
            </w:tcBorders>
            <w:noWrap w:val="0"/>
            <w:vAlign w:val="center"/>
          </w:tcPr>
          <w:p w14:paraId="0E463F21">
            <w:pPr>
              <w:spacing w:line="440" w:lineRule="atLeast"/>
              <w:jc w:val="center"/>
              <w:rPr>
                <w:rFonts w:hint="eastAsia"/>
                <w:b/>
                <w:color w:val="auto"/>
                <w:sz w:val="24"/>
                <w:highlight w:val="none"/>
              </w:rPr>
            </w:pPr>
            <w:r>
              <w:rPr>
                <w:rFonts w:hint="eastAsia"/>
                <w:b/>
                <w:color w:val="auto"/>
                <w:sz w:val="24"/>
                <w:highlight w:val="none"/>
              </w:rPr>
              <w:t>备       注</w:t>
            </w:r>
          </w:p>
        </w:tc>
      </w:tr>
      <w:tr w14:paraId="0E659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8913" w:type="dxa"/>
            <w:gridSpan w:val="6"/>
            <w:tcBorders>
              <w:top w:val="single" w:color="auto" w:sz="12" w:space="0"/>
              <w:bottom w:val="single" w:color="auto" w:sz="8" w:space="0"/>
            </w:tcBorders>
            <w:noWrap w:val="0"/>
            <w:vAlign w:val="center"/>
          </w:tcPr>
          <w:p w14:paraId="1A14C94D">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成本管理部提供（正副本各一份）</w:t>
            </w:r>
          </w:p>
        </w:tc>
      </w:tr>
      <w:tr w14:paraId="48196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1014" w:type="dxa"/>
            <w:gridSpan w:val="2"/>
            <w:tcBorders>
              <w:top w:val="single" w:color="auto" w:sz="8" w:space="0"/>
              <w:bottom w:val="single" w:color="auto" w:sz="8" w:space="0"/>
            </w:tcBorders>
            <w:noWrap w:val="0"/>
            <w:vAlign w:val="center"/>
          </w:tcPr>
          <w:p w14:paraId="630FF05E">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07" w:type="dxa"/>
            <w:gridSpan w:val="2"/>
            <w:tcBorders>
              <w:top w:val="single" w:color="auto" w:sz="8" w:space="0"/>
              <w:bottom w:val="single" w:color="auto" w:sz="8" w:space="0"/>
            </w:tcBorders>
            <w:noWrap w:val="0"/>
            <w:vAlign w:val="center"/>
          </w:tcPr>
          <w:p w14:paraId="2C5DF8F0">
            <w:pPr>
              <w:spacing w:line="440" w:lineRule="atLeast"/>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60" w:type="dxa"/>
            <w:tcBorders>
              <w:top w:val="single" w:color="auto" w:sz="8" w:space="0"/>
              <w:bottom w:val="single" w:color="auto" w:sz="8" w:space="0"/>
            </w:tcBorders>
            <w:noWrap w:val="0"/>
            <w:vAlign w:val="center"/>
          </w:tcPr>
          <w:p w14:paraId="20E87E68">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32" w:type="dxa"/>
            <w:tcBorders>
              <w:top w:val="single" w:color="auto" w:sz="8" w:space="0"/>
              <w:bottom w:val="single" w:color="auto" w:sz="8" w:space="0"/>
            </w:tcBorders>
            <w:noWrap w:val="0"/>
            <w:vAlign w:val="center"/>
          </w:tcPr>
          <w:p w14:paraId="5C2BBA89">
            <w:pPr>
              <w:spacing w:line="440" w:lineRule="atLeast"/>
              <w:jc w:val="center"/>
              <w:rPr>
                <w:rFonts w:hint="eastAsia" w:eastAsia="宋体"/>
                <w:b/>
                <w:color w:val="auto"/>
                <w:sz w:val="24"/>
                <w:highlight w:val="none"/>
                <w:lang w:val="en-US" w:eastAsia="zh-CN"/>
              </w:rPr>
            </w:pPr>
          </w:p>
        </w:tc>
      </w:tr>
      <w:tr w14:paraId="22735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single" w:color="auto" w:sz="8" w:space="0"/>
            </w:tcBorders>
            <w:noWrap w:val="0"/>
            <w:vAlign w:val="center"/>
          </w:tcPr>
          <w:p w14:paraId="0E89B09E">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2</w:t>
            </w:r>
          </w:p>
        </w:tc>
        <w:tc>
          <w:tcPr>
            <w:tcW w:w="4407" w:type="dxa"/>
            <w:gridSpan w:val="2"/>
            <w:tcBorders>
              <w:top w:val="single" w:color="auto" w:sz="8" w:space="0"/>
            </w:tcBorders>
            <w:noWrap w:val="0"/>
            <w:vAlign w:val="center"/>
          </w:tcPr>
          <w:p w14:paraId="4820C313">
            <w:pPr>
              <w:spacing w:line="440" w:lineRule="atLeast"/>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60" w:type="dxa"/>
            <w:tcBorders>
              <w:top w:val="single" w:color="auto" w:sz="8" w:space="0"/>
            </w:tcBorders>
            <w:noWrap w:val="0"/>
            <w:vAlign w:val="center"/>
          </w:tcPr>
          <w:p w14:paraId="1B13F079">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single" w:color="auto" w:sz="8" w:space="0"/>
            </w:tcBorders>
            <w:noWrap w:val="0"/>
            <w:vAlign w:val="center"/>
          </w:tcPr>
          <w:p w14:paraId="682D6953">
            <w:pPr>
              <w:spacing w:line="440" w:lineRule="atLeast"/>
              <w:jc w:val="center"/>
              <w:rPr>
                <w:rFonts w:hint="eastAsia"/>
                <w:color w:val="auto"/>
                <w:sz w:val="24"/>
                <w:highlight w:val="none"/>
                <w:lang w:eastAsia="zh-CN"/>
              </w:rPr>
            </w:pPr>
          </w:p>
        </w:tc>
      </w:tr>
      <w:tr w14:paraId="1DF9A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nil"/>
            </w:tcBorders>
            <w:noWrap w:val="0"/>
            <w:vAlign w:val="center"/>
          </w:tcPr>
          <w:p w14:paraId="123E96D5">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3</w:t>
            </w:r>
          </w:p>
        </w:tc>
        <w:tc>
          <w:tcPr>
            <w:tcW w:w="4407" w:type="dxa"/>
            <w:gridSpan w:val="2"/>
            <w:tcBorders>
              <w:top w:val="nil"/>
            </w:tcBorders>
            <w:noWrap w:val="0"/>
            <w:vAlign w:val="center"/>
          </w:tcPr>
          <w:p w14:paraId="06AD3F52">
            <w:pPr>
              <w:spacing w:line="440" w:lineRule="atLeast"/>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60" w:type="dxa"/>
            <w:tcBorders>
              <w:top w:val="nil"/>
            </w:tcBorders>
            <w:noWrap w:val="0"/>
            <w:vAlign w:val="center"/>
          </w:tcPr>
          <w:p w14:paraId="3A46EA9B">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nil"/>
            </w:tcBorders>
            <w:noWrap w:val="0"/>
            <w:vAlign w:val="center"/>
          </w:tcPr>
          <w:p w14:paraId="129BE574">
            <w:pPr>
              <w:spacing w:line="440" w:lineRule="atLeast"/>
              <w:jc w:val="center"/>
              <w:rPr>
                <w:rFonts w:hint="eastAsia"/>
                <w:color w:val="auto"/>
                <w:sz w:val="24"/>
                <w:highlight w:val="none"/>
                <w:lang w:eastAsia="zh-CN"/>
              </w:rPr>
            </w:pPr>
          </w:p>
        </w:tc>
      </w:tr>
      <w:tr w14:paraId="2E908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nil"/>
            </w:tcBorders>
            <w:noWrap w:val="0"/>
            <w:vAlign w:val="center"/>
          </w:tcPr>
          <w:p w14:paraId="13DD8194">
            <w:pPr>
              <w:spacing w:line="440" w:lineRule="atLeast"/>
              <w:jc w:val="center"/>
              <w:rPr>
                <w:rFonts w:hint="eastAsia"/>
                <w:color w:val="auto"/>
                <w:sz w:val="24"/>
                <w:highlight w:val="none"/>
                <w:lang w:val="en-US" w:eastAsia="zh-CN"/>
              </w:rPr>
            </w:pPr>
            <w:r>
              <w:rPr>
                <w:rFonts w:hint="eastAsia"/>
                <w:color w:val="auto"/>
                <w:sz w:val="24"/>
                <w:highlight w:val="none"/>
                <w:lang w:val="en-US" w:eastAsia="zh-CN"/>
              </w:rPr>
              <w:t>4</w:t>
            </w:r>
          </w:p>
          <w:p w14:paraId="338598F1">
            <w:pPr>
              <w:spacing w:line="440" w:lineRule="atLeast"/>
              <w:jc w:val="center"/>
              <w:rPr>
                <w:rFonts w:hint="eastAsia"/>
                <w:color w:val="auto"/>
                <w:sz w:val="24"/>
                <w:highlight w:val="none"/>
                <w:lang w:val="en-US" w:eastAsia="zh-CN"/>
              </w:rPr>
            </w:pPr>
          </w:p>
          <w:p w14:paraId="344C16D4">
            <w:pPr>
              <w:spacing w:line="440" w:lineRule="atLeast"/>
              <w:jc w:val="center"/>
              <w:rPr>
                <w:rFonts w:hint="default"/>
                <w:color w:val="auto"/>
                <w:sz w:val="24"/>
                <w:highlight w:val="none"/>
                <w:lang w:val="en-US" w:eastAsia="zh-CN"/>
              </w:rPr>
            </w:pPr>
          </w:p>
        </w:tc>
        <w:tc>
          <w:tcPr>
            <w:tcW w:w="4407" w:type="dxa"/>
            <w:gridSpan w:val="2"/>
            <w:tcBorders>
              <w:top w:val="nil"/>
            </w:tcBorders>
            <w:noWrap w:val="0"/>
            <w:vAlign w:val="center"/>
          </w:tcPr>
          <w:p w14:paraId="1BB15130">
            <w:pPr>
              <w:spacing w:line="440" w:lineRule="atLeast"/>
              <w:rPr>
                <w:rFonts w:hint="eastAsia"/>
                <w:color w:val="auto"/>
                <w:sz w:val="24"/>
                <w:highlight w:val="none"/>
                <w:lang w:val="en-US" w:eastAsia="zh-CN"/>
              </w:rPr>
            </w:pPr>
            <w:r>
              <w:rPr>
                <w:rFonts w:hint="eastAsia"/>
                <w:color w:val="auto"/>
                <w:sz w:val="24"/>
                <w:highlight w:val="none"/>
                <w:lang w:val="en-US" w:eastAsia="zh-CN"/>
              </w:rPr>
              <w:t>审核结算书</w:t>
            </w:r>
          </w:p>
        </w:tc>
        <w:tc>
          <w:tcPr>
            <w:tcW w:w="760" w:type="dxa"/>
            <w:tcBorders>
              <w:top w:val="nil"/>
            </w:tcBorders>
            <w:noWrap w:val="0"/>
            <w:vAlign w:val="center"/>
          </w:tcPr>
          <w:p w14:paraId="01040EE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03C25AE">
            <w:pPr>
              <w:spacing w:line="440" w:lineRule="atLeast"/>
              <w:jc w:val="center"/>
              <w:rPr>
                <w:rFonts w:hint="eastAsia"/>
                <w:color w:val="auto"/>
                <w:sz w:val="24"/>
                <w:highlight w:val="none"/>
                <w:lang w:eastAsia="zh-CN"/>
              </w:rPr>
            </w:pPr>
          </w:p>
        </w:tc>
      </w:tr>
      <w:tr w14:paraId="353C0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8913" w:type="dxa"/>
            <w:gridSpan w:val="6"/>
            <w:tcBorders>
              <w:top w:val="nil"/>
            </w:tcBorders>
            <w:noWrap w:val="0"/>
            <w:vAlign w:val="center"/>
          </w:tcPr>
          <w:p w14:paraId="409DEF69">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45449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restart"/>
            <w:tcBorders>
              <w:top w:val="nil"/>
            </w:tcBorders>
            <w:noWrap w:val="0"/>
            <w:vAlign w:val="center"/>
          </w:tcPr>
          <w:p w14:paraId="2A31477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0" w:type="dxa"/>
            <w:tcBorders>
              <w:top w:val="nil"/>
            </w:tcBorders>
            <w:noWrap w:val="0"/>
            <w:vAlign w:val="center"/>
          </w:tcPr>
          <w:p w14:paraId="6A3AC12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4407" w:type="dxa"/>
            <w:gridSpan w:val="2"/>
            <w:tcBorders>
              <w:top w:val="nil"/>
            </w:tcBorders>
            <w:noWrap w:val="0"/>
            <w:vAlign w:val="center"/>
          </w:tcPr>
          <w:p w14:paraId="55D35EAE">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60" w:type="dxa"/>
            <w:tcBorders>
              <w:top w:val="nil"/>
            </w:tcBorders>
            <w:noWrap w:val="0"/>
            <w:vAlign w:val="center"/>
          </w:tcPr>
          <w:p w14:paraId="4358E143">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6C84ACB4">
            <w:pPr>
              <w:spacing w:line="440" w:lineRule="atLeast"/>
              <w:jc w:val="center"/>
              <w:rPr>
                <w:rFonts w:hint="default"/>
                <w:color w:val="auto"/>
                <w:sz w:val="24"/>
                <w:highlight w:val="none"/>
                <w:lang w:val="en-US" w:eastAsia="zh-CN"/>
              </w:rPr>
            </w:pPr>
          </w:p>
        </w:tc>
      </w:tr>
      <w:tr w14:paraId="1546E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41AC3E68">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60C3D7E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2</w:t>
            </w:r>
          </w:p>
        </w:tc>
        <w:tc>
          <w:tcPr>
            <w:tcW w:w="4407" w:type="dxa"/>
            <w:gridSpan w:val="2"/>
            <w:tcBorders>
              <w:top w:val="nil"/>
            </w:tcBorders>
            <w:noWrap w:val="0"/>
            <w:vAlign w:val="center"/>
          </w:tcPr>
          <w:p w14:paraId="42D5DEF4">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目录</w:t>
            </w:r>
          </w:p>
        </w:tc>
        <w:tc>
          <w:tcPr>
            <w:tcW w:w="760" w:type="dxa"/>
            <w:tcBorders>
              <w:top w:val="nil"/>
            </w:tcBorders>
            <w:noWrap w:val="0"/>
            <w:vAlign w:val="center"/>
          </w:tcPr>
          <w:p w14:paraId="0A55E01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1B48CA1">
            <w:pPr>
              <w:spacing w:line="440" w:lineRule="atLeast"/>
              <w:jc w:val="center"/>
              <w:rPr>
                <w:rFonts w:hint="eastAsia"/>
                <w:color w:val="auto"/>
                <w:sz w:val="24"/>
                <w:highlight w:val="none"/>
                <w:lang w:val="en-US" w:eastAsia="zh-CN"/>
              </w:rPr>
            </w:pPr>
          </w:p>
        </w:tc>
      </w:tr>
      <w:tr w14:paraId="2E4AD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ED1CC13">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1AE46E0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3</w:t>
            </w:r>
          </w:p>
        </w:tc>
        <w:tc>
          <w:tcPr>
            <w:tcW w:w="4407" w:type="dxa"/>
            <w:gridSpan w:val="2"/>
            <w:tcBorders>
              <w:top w:val="nil"/>
            </w:tcBorders>
            <w:noWrap w:val="0"/>
            <w:vAlign w:val="center"/>
          </w:tcPr>
          <w:p w14:paraId="16B1B10C">
            <w:pPr>
              <w:tabs>
                <w:tab w:val="left" w:pos="1138"/>
              </w:tabs>
              <w:spacing w:line="440" w:lineRule="atLeast"/>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60" w:type="dxa"/>
            <w:tcBorders>
              <w:top w:val="nil"/>
            </w:tcBorders>
            <w:noWrap w:val="0"/>
            <w:vAlign w:val="center"/>
          </w:tcPr>
          <w:p w14:paraId="3A7ED277">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175960EF">
            <w:pPr>
              <w:spacing w:line="440" w:lineRule="atLeast"/>
              <w:jc w:val="center"/>
              <w:rPr>
                <w:rFonts w:hint="eastAsia" w:eastAsia="宋体"/>
                <w:color w:val="auto"/>
                <w:kern w:val="2"/>
                <w:sz w:val="24"/>
                <w:highlight w:val="none"/>
                <w:lang w:val="en-US" w:eastAsia="zh-CN"/>
              </w:rPr>
            </w:pPr>
          </w:p>
        </w:tc>
      </w:tr>
      <w:tr w14:paraId="4488A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0F4E7DE9">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35E8E32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4</w:t>
            </w:r>
          </w:p>
        </w:tc>
        <w:tc>
          <w:tcPr>
            <w:tcW w:w="4407" w:type="dxa"/>
            <w:gridSpan w:val="2"/>
            <w:tcBorders>
              <w:top w:val="nil"/>
            </w:tcBorders>
            <w:noWrap w:val="0"/>
            <w:vAlign w:val="center"/>
          </w:tcPr>
          <w:p w14:paraId="4687E435">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60" w:type="dxa"/>
            <w:tcBorders>
              <w:top w:val="nil"/>
            </w:tcBorders>
            <w:noWrap w:val="0"/>
            <w:vAlign w:val="center"/>
          </w:tcPr>
          <w:p w14:paraId="1A50333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9A984BA">
            <w:pPr>
              <w:spacing w:line="440" w:lineRule="atLeast"/>
              <w:jc w:val="center"/>
              <w:rPr>
                <w:rFonts w:hint="eastAsia"/>
                <w:color w:val="auto"/>
                <w:sz w:val="24"/>
                <w:highlight w:val="none"/>
                <w:lang w:val="en-US" w:eastAsia="zh-CN"/>
              </w:rPr>
            </w:pPr>
          </w:p>
        </w:tc>
      </w:tr>
      <w:tr w14:paraId="13126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8CEDF9D">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38E4BA5">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5</w:t>
            </w:r>
          </w:p>
        </w:tc>
        <w:tc>
          <w:tcPr>
            <w:tcW w:w="4407" w:type="dxa"/>
            <w:gridSpan w:val="2"/>
            <w:tcBorders>
              <w:top w:val="nil"/>
            </w:tcBorders>
            <w:noWrap w:val="0"/>
            <w:vAlign w:val="center"/>
          </w:tcPr>
          <w:p w14:paraId="55FBC287">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送审承诺书</w:t>
            </w:r>
          </w:p>
        </w:tc>
        <w:tc>
          <w:tcPr>
            <w:tcW w:w="760" w:type="dxa"/>
            <w:tcBorders>
              <w:top w:val="nil"/>
            </w:tcBorders>
            <w:noWrap w:val="0"/>
            <w:vAlign w:val="center"/>
          </w:tcPr>
          <w:p w14:paraId="32BC1638">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150D8A61">
            <w:pPr>
              <w:spacing w:line="440" w:lineRule="atLeast"/>
              <w:jc w:val="center"/>
              <w:rPr>
                <w:rFonts w:hint="eastAsia" w:eastAsia="宋体"/>
                <w:color w:val="auto"/>
                <w:kern w:val="2"/>
                <w:sz w:val="24"/>
                <w:highlight w:val="none"/>
                <w:lang w:val="en-US" w:eastAsia="zh-CN"/>
              </w:rPr>
            </w:pPr>
          </w:p>
        </w:tc>
      </w:tr>
      <w:tr w14:paraId="4B831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3495C3A1">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1CBB28B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6</w:t>
            </w:r>
          </w:p>
        </w:tc>
        <w:tc>
          <w:tcPr>
            <w:tcW w:w="4407" w:type="dxa"/>
            <w:gridSpan w:val="2"/>
            <w:tcBorders>
              <w:top w:val="nil"/>
            </w:tcBorders>
            <w:noWrap w:val="0"/>
            <w:vAlign w:val="center"/>
          </w:tcPr>
          <w:p w14:paraId="0C862369">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结算承诺书</w:t>
            </w:r>
          </w:p>
        </w:tc>
        <w:tc>
          <w:tcPr>
            <w:tcW w:w="760" w:type="dxa"/>
            <w:tcBorders>
              <w:top w:val="nil"/>
            </w:tcBorders>
            <w:noWrap w:val="0"/>
            <w:vAlign w:val="center"/>
          </w:tcPr>
          <w:p w14:paraId="5CA50AD9">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049E1DC">
            <w:pPr>
              <w:spacing w:line="440" w:lineRule="atLeast"/>
              <w:jc w:val="center"/>
              <w:rPr>
                <w:rFonts w:hint="eastAsia" w:eastAsia="宋体"/>
                <w:color w:val="auto"/>
                <w:kern w:val="2"/>
                <w:sz w:val="24"/>
                <w:highlight w:val="none"/>
                <w:lang w:val="en-US" w:eastAsia="zh-CN"/>
              </w:rPr>
            </w:pPr>
          </w:p>
        </w:tc>
      </w:tr>
      <w:tr w14:paraId="72940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504" w:type="dxa"/>
            <w:vMerge w:val="continue"/>
            <w:noWrap w:val="0"/>
            <w:vAlign w:val="center"/>
          </w:tcPr>
          <w:p w14:paraId="7151E568">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621B05C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7</w:t>
            </w:r>
          </w:p>
        </w:tc>
        <w:tc>
          <w:tcPr>
            <w:tcW w:w="4407" w:type="dxa"/>
            <w:gridSpan w:val="2"/>
            <w:tcBorders>
              <w:top w:val="nil"/>
            </w:tcBorders>
            <w:noWrap w:val="0"/>
            <w:vAlign w:val="center"/>
          </w:tcPr>
          <w:p w14:paraId="658F6868">
            <w:pPr>
              <w:spacing w:line="440" w:lineRule="atLeas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6997CF7B">
            <w:pPr>
              <w:tabs>
                <w:tab w:val="left" w:pos="1138"/>
              </w:tabs>
              <w:spacing w:line="440" w:lineRule="atLeast"/>
              <w:rPr>
                <w:rFonts w:hint="eastAsia"/>
                <w:color w:val="auto"/>
                <w:sz w:val="24"/>
                <w:highlight w:val="none"/>
                <w:lang w:val="en-US" w:eastAsia="zh-CN"/>
              </w:rPr>
            </w:pPr>
          </w:p>
        </w:tc>
        <w:tc>
          <w:tcPr>
            <w:tcW w:w="760" w:type="dxa"/>
            <w:tcBorders>
              <w:top w:val="nil"/>
            </w:tcBorders>
            <w:noWrap w:val="0"/>
            <w:vAlign w:val="center"/>
          </w:tcPr>
          <w:p w14:paraId="6AB6A70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34340E3">
            <w:pPr>
              <w:spacing w:line="440" w:lineRule="atLeast"/>
              <w:jc w:val="center"/>
              <w:rPr>
                <w:rFonts w:hint="eastAsia"/>
                <w:color w:val="auto"/>
                <w:sz w:val="24"/>
                <w:highlight w:val="none"/>
                <w:lang w:val="en-US" w:eastAsia="zh-CN"/>
              </w:rPr>
            </w:pPr>
          </w:p>
        </w:tc>
      </w:tr>
      <w:tr w14:paraId="413AB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E66F6EA">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09CC423">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8</w:t>
            </w:r>
          </w:p>
        </w:tc>
        <w:tc>
          <w:tcPr>
            <w:tcW w:w="4407" w:type="dxa"/>
            <w:gridSpan w:val="2"/>
            <w:tcBorders>
              <w:top w:val="nil"/>
            </w:tcBorders>
            <w:noWrap w:val="0"/>
            <w:vAlign w:val="center"/>
          </w:tcPr>
          <w:p w14:paraId="636E0FD6">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分包情况说明</w:t>
            </w:r>
          </w:p>
        </w:tc>
        <w:tc>
          <w:tcPr>
            <w:tcW w:w="760" w:type="dxa"/>
            <w:tcBorders>
              <w:top w:val="nil"/>
            </w:tcBorders>
            <w:noWrap w:val="0"/>
            <w:vAlign w:val="center"/>
          </w:tcPr>
          <w:p w14:paraId="461769AB">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078704F2">
            <w:pPr>
              <w:spacing w:line="440" w:lineRule="atLeast"/>
              <w:jc w:val="center"/>
              <w:rPr>
                <w:rFonts w:hint="eastAsia" w:eastAsia="宋体"/>
                <w:color w:val="auto"/>
                <w:kern w:val="2"/>
                <w:sz w:val="24"/>
                <w:highlight w:val="none"/>
                <w:lang w:val="en-US" w:eastAsia="zh-CN"/>
              </w:rPr>
            </w:pPr>
          </w:p>
        </w:tc>
      </w:tr>
      <w:tr w14:paraId="432C4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26EE9195">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753E239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9</w:t>
            </w:r>
          </w:p>
        </w:tc>
        <w:tc>
          <w:tcPr>
            <w:tcW w:w="4407" w:type="dxa"/>
            <w:gridSpan w:val="2"/>
            <w:tcBorders>
              <w:top w:val="nil"/>
            </w:tcBorders>
            <w:noWrap w:val="0"/>
            <w:vAlign w:val="center"/>
          </w:tcPr>
          <w:p w14:paraId="03F4BC7D">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60" w:type="dxa"/>
            <w:tcBorders>
              <w:top w:val="nil"/>
            </w:tcBorders>
            <w:noWrap w:val="0"/>
            <w:vAlign w:val="center"/>
          </w:tcPr>
          <w:p w14:paraId="45ED8BFB">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1277F954">
            <w:pPr>
              <w:spacing w:line="440" w:lineRule="atLeast"/>
              <w:jc w:val="center"/>
              <w:rPr>
                <w:rFonts w:hint="eastAsia" w:eastAsia="宋体"/>
                <w:color w:val="auto"/>
                <w:kern w:val="2"/>
                <w:sz w:val="24"/>
                <w:highlight w:val="none"/>
                <w:lang w:val="en-US" w:eastAsia="zh-CN"/>
              </w:rPr>
            </w:pPr>
          </w:p>
        </w:tc>
      </w:tr>
      <w:tr w14:paraId="4EA26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67864F6B">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C70D3E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10</w:t>
            </w:r>
          </w:p>
        </w:tc>
        <w:tc>
          <w:tcPr>
            <w:tcW w:w="4407" w:type="dxa"/>
            <w:gridSpan w:val="2"/>
            <w:tcBorders>
              <w:top w:val="nil"/>
            </w:tcBorders>
            <w:noWrap w:val="0"/>
            <w:vAlign w:val="center"/>
          </w:tcPr>
          <w:p w14:paraId="78564FF1">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60" w:type="dxa"/>
            <w:tcBorders>
              <w:top w:val="nil"/>
            </w:tcBorders>
            <w:noWrap w:val="0"/>
            <w:vAlign w:val="center"/>
          </w:tcPr>
          <w:p w14:paraId="384EFDF6">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6973BBDB">
            <w:pPr>
              <w:spacing w:line="440" w:lineRule="atLeast"/>
              <w:jc w:val="center"/>
              <w:rPr>
                <w:rFonts w:hint="eastAsia"/>
                <w:color w:val="auto"/>
                <w:sz w:val="24"/>
                <w:highlight w:val="none"/>
                <w:lang w:eastAsia="zh-CN"/>
              </w:rPr>
            </w:pPr>
          </w:p>
        </w:tc>
      </w:tr>
      <w:tr w14:paraId="0E581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504" w:type="dxa"/>
            <w:vMerge w:val="continue"/>
            <w:noWrap w:val="0"/>
            <w:vAlign w:val="center"/>
          </w:tcPr>
          <w:p w14:paraId="40012777">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005283B1">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11</w:t>
            </w:r>
          </w:p>
        </w:tc>
        <w:tc>
          <w:tcPr>
            <w:tcW w:w="4407" w:type="dxa"/>
            <w:gridSpan w:val="2"/>
            <w:tcBorders>
              <w:top w:val="nil"/>
            </w:tcBorders>
            <w:noWrap w:val="0"/>
            <w:vAlign w:val="center"/>
          </w:tcPr>
          <w:p w14:paraId="5A67809D">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60" w:type="dxa"/>
            <w:tcBorders>
              <w:top w:val="nil"/>
            </w:tcBorders>
            <w:noWrap w:val="0"/>
            <w:vAlign w:val="center"/>
          </w:tcPr>
          <w:p w14:paraId="466F2B96">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F7C479C">
            <w:pPr>
              <w:spacing w:line="440" w:lineRule="atLeast"/>
              <w:jc w:val="center"/>
              <w:rPr>
                <w:rFonts w:hint="eastAsia" w:eastAsia="宋体"/>
                <w:color w:val="auto"/>
                <w:kern w:val="2"/>
                <w:sz w:val="24"/>
                <w:highlight w:val="none"/>
                <w:lang w:val="en-US" w:eastAsia="zh-CN"/>
              </w:rPr>
            </w:pPr>
          </w:p>
        </w:tc>
      </w:tr>
      <w:tr w14:paraId="39B00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continue"/>
            <w:noWrap w:val="0"/>
            <w:vAlign w:val="center"/>
          </w:tcPr>
          <w:p w14:paraId="63131A0B">
            <w:pPr>
              <w:spacing w:line="440" w:lineRule="atLeast"/>
              <w:jc w:val="center"/>
              <w:rPr>
                <w:rFonts w:hint="default"/>
                <w:color w:val="auto"/>
                <w:sz w:val="24"/>
                <w:highlight w:val="none"/>
                <w:lang w:val="en-US" w:eastAsia="zh-CN"/>
              </w:rPr>
            </w:pPr>
          </w:p>
        </w:tc>
        <w:tc>
          <w:tcPr>
            <w:tcW w:w="510" w:type="dxa"/>
            <w:noWrap w:val="0"/>
            <w:vAlign w:val="center"/>
          </w:tcPr>
          <w:p w14:paraId="3CDA8EE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12</w:t>
            </w:r>
          </w:p>
        </w:tc>
        <w:tc>
          <w:tcPr>
            <w:tcW w:w="4407" w:type="dxa"/>
            <w:gridSpan w:val="2"/>
            <w:noWrap w:val="0"/>
            <w:vAlign w:val="center"/>
          </w:tcPr>
          <w:p w14:paraId="7ACB5037">
            <w:pPr>
              <w:tabs>
                <w:tab w:val="left" w:pos="1289"/>
              </w:tabs>
              <w:spacing w:line="440" w:lineRule="atLeast"/>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60" w:type="dxa"/>
            <w:noWrap w:val="0"/>
            <w:vAlign w:val="center"/>
          </w:tcPr>
          <w:p w14:paraId="7A296766">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noWrap w:val="0"/>
            <w:vAlign w:val="center"/>
          </w:tcPr>
          <w:p w14:paraId="03698223">
            <w:pPr>
              <w:spacing w:line="440" w:lineRule="atLeast"/>
              <w:jc w:val="center"/>
              <w:rPr>
                <w:rFonts w:hint="eastAsia" w:eastAsia="宋体"/>
                <w:color w:val="auto"/>
                <w:kern w:val="2"/>
                <w:sz w:val="24"/>
                <w:highlight w:val="none"/>
                <w:lang w:val="en-US" w:eastAsia="zh-CN"/>
              </w:rPr>
            </w:pPr>
          </w:p>
        </w:tc>
      </w:tr>
      <w:tr w14:paraId="00FB3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continue"/>
            <w:noWrap w:val="0"/>
            <w:vAlign w:val="center"/>
          </w:tcPr>
          <w:p w14:paraId="390FEB87">
            <w:pPr>
              <w:spacing w:line="440" w:lineRule="atLeast"/>
              <w:jc w:val="center"/>
              <w:rPr>
                <w:rFonts w:hint="default"/>
                <w:color w:val="auto"/>
                <w:sz w:val="24"/>
                <w:highlight w:val="none"/>
                <w:lang w:val="en-US" w:eastAsia="zh-CN"/>
              </w:rPr>
            </w:pPr>
          </w:p>
        </w:tc>
        <w:tc>
          <w:tcPr>
            <w:tcW w:w="510" w:type="dxa"/>
            <w:noWrap w:val="0"/>
            <w:vAlign w:val="center"/>
          </w:tcPr>
          <w:p w14:paraId="7ABA326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13</w:t>
            </w:r>
          </w:p>
        </w:tc>
        <w:tc>
          <w:tcPr>
            <w:tcW w:w="4407" w:type="dxa"/>
            <w:gridSpan w:val="2"/>
            <w:noWrap w:val="0"/>
            <w:vAlign w:val="center"/>
          </w:tcPr>
          <w:p w14:paraId="4836B30B">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60" w:type="dxa"/>
            <w:noWrap w:val="0"/>
            <w:vAlign w:val="center"/>
          </w:tcPr>
          <w:p w14:paraId="14231445">
            <w:pPr>
              <w:spacing w:line="440" w:lineRule="atLeast"/>
              <w:jc w:val="center"/>
              <w:rPr>
                <w:rFonts w:hint="default" w:eastAsia="宋体"/>
                <w:color w:val="auto"/>
                <w:kern w:val="2"/>
                <w:sz w:val="24"/>
                <w:highlight w:val="none"/>
                <w:lang w:val="en-US" w:eastAsia="zh-CN"/>
              </w:rPr>
            </w:pPr>
          </w:p>
        </w:tc>
        <w:tc>
          <w:tcPr>
            <w:tcW w:w="2732" w:type="dxa"/>
            <w:noWrap w:val="0"/>
            <w:vAlign w:val="center"/>
          </w:tcPr>
          <w:p w14:paraId="70598F40">
            <w:pPr>
              <w:spacing w:line="440" w:lineRule="atLeast"/>
              <w:jc w:val="center"/>
              <w:rPr>
                <w:rFonts w:hint="eastAsia" w:eastAsia="宋体"/>
                <w:color w:val="auto"/>
                <w:kern w:val="2"/>
                <w:sz w:val="24"/>
                <w:highlight w:val="none"/>
                <w:lang w:val="en-US" w:eastAsia="zh-CN"/>
              </w:rPr>
            </w:pPr>
          </w:p>
        </w:tc>
      </w:tr>
      <w:tr w14:paraId="1CC36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1014" w:type="dxa"/>
            <w:gridSpan w:val="2"/>
            <w:vMerge w:val="restart"/>
            <w:noWrap w:val="0"/>
            <w:vAlign w:val="center"/>
          </w:tcPr>
          <w:p w14:paraId="3A1BEA9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14</w:t>
            </w:r>
          </w:p>
        </w:tc>
        <w:tc>
          <w:tcPr>
            <w:tcW w:w="1739" w:type="dxa"/>
            <w:vMerge w:val="restart"/>
            <w:noWrap w:val="0"/>
            <w:vAlign w:val="center"/>
          </w:tcPr>
          <w:p w14:paraId="22B44041">
            <w:pPr>
              <w:spacing w:line="440" w:lineRule="atLeast"/>
              <w:jc w:val="center"/>
              <w:rPr>
                <w:rFonts w:hint="eastAsia"/>
                <w:color w:val="auto"/>
                <w:sz w:val="24"/>
                <w:highlight w:val="none"/>
              </w:rPr>
            </w:pPr>
            <w:r>
              <w:rPr>
                <w:rFonts w:hint="eastAsia"/>
                <w:color w:val="auto"/>
                <w:sz w:val="24"/>
                <w:highlight w:val="none"/>
              </w:rPr>
              <w:t>总结意见</w:t>
            </w:r>
          </w:p>
        </w:tc>
        <w:tc>
          <w:tcPr>
            <w:tcW w:w="2668" w:type="dxa"/>
            <w:noWrap w:val="0"/>
            <w:vAlign w:val="center"/>
          </w:tcPr>
          <w:p w14:paraId="16F657E5">
            <w:pPr>
              <w:spacing w:line="440" w:lineRule="atLeast"/>
              <w:jc w:val="center"/>
              <w:rPr>
                <w:rFonts w:hint="eastAsia"/>
                <w:color w:val="auto"/>
                <w:sz w:val="24"/>
                <w:highlight w:val="none"/>
              </w:rPr>
            </w:pPr>
            <w:r>
              <w:rPr>
                <w:rFonts w:hint="eastAsia"/>
                <w:color w:val="auto"/>
                <w:sz w:val="24"/>
                <w:highlight w:val="none"/>
              </w:rPr>
              <w:t>个人</w:t>
            </w:r>
          </w:p>
        </w:tc>
        <w:tc>
          <w:tcPr>
            <w:tcW w:w="760" w:type="dxa"/>
            <w:noWrap w:val="0"/>
            <w:vAlign w:val="center"/>
          </w:tcPr>
          <w:p w14:paraId="0608AB8B">
            <w:pPr>
              <w:spacing w:line="240" w:lineRule="auto"/>
              <w:jc w:val="center"/>
              <w:rPr>
                <w:rFonts w:hint="eastAsia"/>
                <w:color w:val="auto"/>
                <w:sz w:val="24"/>
                <w:highlight w:val="none"/>
              </w:rPr>
            </w:pPr>
          </w:p>
        </w:tc>
        <w:tc>
          <w:tcPr>
            <w:tcW w:w="2732" w:type="dxa"/>
            <w:noWrap w:val="0"/>
            <w:vAlign w:val="center"/>
          </w:tcPr>
          <w:p w14:paraId="1CC8BD52">
            <w:pPr>
              <w:spacing w:line="440" w:lineRule="atLeast"/>
              <w:jc w:val="center"/>
              <w:rPr>
                <w:rFonts w:hint="eastAsia"/>
                <w:color w:val="auto"/>
                <w:sz w:val="24"/>
                <w:highlight w:val="none"/>
              </w:rPr>
            </w:pPr>
          </w:p>
        </w:tc>
      </w:tr>
      <w:tr w14:paraId="68861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trPr>
        <w:tc>
          <w:tcPr>
            <w:tcW w:w="1014" w:type="dxa"/>
            <w:gridSpan w:val="2"/>
            <w:vMerge w:val="continue"/>
            <w:noWrap w:val="0"/>
            <w:vAlign w:val="center"/>
          </w:tcPr>
          <w:p w14:paraId="3A9756AD">
            <w:pPr>
              <w:spacing w:line="440" w:lineRule="atLeast"/>
              <w:jc w:val="center"/>
              <w:rPr>
                <w:rFonts w:hint="eastAsia"/>
                <w:color w:val="auto"/>
                <w:sz w:val="24"/>
                <w:highlight w:val="none"/>
              </w:rPr>
            </w:pPr>
          </w:p>
        </w:tc>
        <w:tc>
          <w:tcPr>
            <w:tcW w:w="1739" w:type="dxa"/>
            <w:vMerge w:val="continue"/>
            <w:noWrap w:val="0"/>
            <w:vAlign w:val="center"/>
          </w:tcPr>
          <w:p w14:paraId="071C3E9E">
            <w:pPr>
              <w:spacing w:line="440" w:lineRule="atLeast"/>
              <w:jc w:val="center"/>
              <w:rPr>
                <w:rFonts w:hint="eastAsia"/>
                <w:color w:val="auto"/>
                <w:sz w:val="24"/>
                <w:highlight w:val="none"/>
              </w:rPr>
            </w:pPr>
          </w:p>
        </w:tc>
        <w:tc>
          <w:tcPr>
            <w:tcW w:w="2668" w:type="dxa"/>
            <w:noWrap w:val="0"/>
            <w:vAlign w:val="center"/>
          </w:tcPr>
          <w:p w14:paraId="52266D93">
            <w:pPr>
              <w:spacing w:line="440" w:lineRule="atLeast"/>
              <w:jc w:val="center"/>
              <w:rPr>
                <w:rFonts w:hint="eastAsia"/>
                <w:color w:val="auto"/>
                <w:sz w:val="24"/>
                <w:highlight w:val="none"/>
              </w:rPr>
            </w:pPr>
            <w:r>
              <w:rPr>
                <w:rFonts w:hint="eastAsia"/>
                <w:color w:val="auto"/>
                <w:sz w:val="24"/>
                <w:highlight w:val="none"/>
              </w:rPr>
              <w:t>部门</w:t>
            </w:r>
          </w:p>
        </w:tc>
        <w:tc>
          <w:tcPr>
            <w:tcW w:w="760" w:type="dxa"/>
            <w:noWrap w:val="0"/>
            <w:vAlign w:val="center"/>
          </w:tcPr>
          <w:p w14:paraId="0ACB6E35">
            <w:pPr>
              <w:spacing w:line="440" w:lineRule="atLeast"/>
              <w:jc w:val="center"/>
              <w:rPr>
                <w:rFonts w:hint="eastAsia"/>
                <w:color w:val="auto"/>
                <w:sz w:val="24"/>
                <w:highlight w:val="none"/>
              </w:rPr>
            </w:pPr>
          </w:p>
        </w:tc>
        <w:tc>
          <w:tcPr>
            <w:tcW w:w="2732" w:type="dxa"/>
            <w:noWrap w:val="0"/>
            <w:vAlign w:val="center"/>
          </w:tcPr>
          <w:p w14:paraId="163BDEC5">
            <w:pPr>
              <w:spacing w:line="440" w:lineRule="atLeast"/>
              <w:jc w:val="center"/>
              <w:rPr>
                <w:rFonts w:hint="eastAsia"/>
                <w:color w:val="auto"/>
                <w:sz w:val="24"/>
                <w:highlight w:val="none"/>
              </w:rPr>
            </w:pPr>
          </w:p>
        </w:tc>
      </w:tr>
    </w:tbl>
    <w:p w14:paraId="79533E53">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left"/>
        <w:textAlignment w:val="baseline"/>
        <w:rPr>
          <w:rFonts w:hint="eastAsia" w:ascii="宋体" w:hAnsi="宋体" w:eastAsia="宋体" w:cs="宋体"/>
          <w:color w:val="191F25"/>
          <w:spacing w:val="-2"/>
          <w:sz w:val="21"/>
          <w:szCs w:val="21"/>
          <w:highlight w:val="none"/>
        </w:rPr>
        <w:sectPr>
          <w:footerReference r:id="rId6" w:type="default"/>
          <w:pgSz w:w="11906" w:h="16839"/>
          <w:pgMar w:top="1440" w:right="1286" w:bottom="1440" w:left="1600" w:header="0" w:footer="0" w:gutter="0"/>
          <w:pgNumType w:fmt="decimal" w:start="1"/>
          <w:cols w:space="720" w:num="1"/>
        </w:sectPr>
      </w:pPr>
    </w:p>
    <w:p w14:paraId="7442D6B5">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52" w:name="_Toc15382"/>
      <w:bookmarkStart w:id="553" w:name="_Toc31168"/>
      <w:bookmarkStart w:id="554" w:name="_Toc6009"/>
      <w:bookmarkStart w:id="555" w:name="_Toc29676"/>
      <w:bookmarkStart w:id="556" w:name="_Toc5352"/>
      <w:r>
        <w:rPr>
          <w:rFonts w:hint="eastAsia" w:ascii="仿宋" w:hAnsi="仿宋" w:eastAsia="仿宋" w:cs="仿宋"/>
          <w:b/>
          <w:bCs w:val="0"/>
          <w:color w:val="auto"/>
          <w:sz w:val="40"/>
          <w:szCs w:val="40"/>
          <w:highlight w:val="none"/>
          <w:shd w:val="clear" w:color="auto" w:fill="auto"/>
          <w:lang w:val="en-US" w:eastAsia="zh-CN"/>
        </w:rPr>
        <w:t>附件</w:t>
      </w:r>
      <w:bookmarkEnd w:id="552"/>
      <w:bookmarkEnd w:id="553"/>
      <w:bookmarkEnd w:id="554"/>
      <w:bookmarkEnd w:id="555"/>
      <w:bookmarkEnd w:id="556"/>
      <w:r>
        <w:rPr>
          <w:rFonts w:hint="eastAsia" w:ascii="仿宋" w:hAnsi="仿宋" w:eastAsia="仿宋" w:cs="仿宋"/>
          <w:b/>
          <w:bCs w:val="0"/>
          <w:color w:val="auto"/>
          <w:sz w:val="40"/>
          <w:szCs w:val="40"/>
          <w:highlight w:val="none"/>
          <w:shd w:val="clear" w:color="auto" w:fill="auto"/>
          <w:lang w:val="en-US" w:eastAsia="zh-CN"/>
        </w:rPr>
        <w:t>九</w:t>
      </w:r>
    </w:p>
    <w:p w14:paraId="5D266096">
      <w:pPr>
        <w:keepNext w:val="0"/>
        <w:keepLines w:val="0"/>
        <w:pageBreakBefore w:val="0"/>
        <w:wordWrap/>
        <w:overflowPunct/>
        <w:topLinePunct w:val="0"/>
        <w:bidi w:val="0"/>
        <w:spacing w:before="241" w:line="192" w:lineRule="auto"/>
        <w:ind w:left="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t>工人工资发放</w:t>
      </w:r>
      <w:r>
        <w:rPr>
          <w:rFonts w:hint="eastAsia" w:ascii="仿宋" w:hAnsi="仿宋" w:eastAsia="仿宋" w:cs="仿宋"/>
          <w:b/>
          <w:bCs/>
          <w:color w:val="000000" w:themeColor="text1"/>
          <w:spacing w:val="-4"/>
          <w:position w:val="21"/>
          <w:sz w:val="32"/>
          <w:szCs w:val="32"/>
          <w:highlight w:val="none"/>
          <w14:textFill>
            <w14:solidFill>
              <w14:schemeClr w14:val="tx1"/>
            </w14:solidFill>
          </w14:textFill>
        </w:rPr>
        <w:t>承诺书</w:t>
      </w:r>
    </w:p>
    <w:p w14:paraId="07DB2EEB">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lang w:eastAsia="zh-CN"/>
        </w:rPr>
        <w:t>致：</w:t>
      </w:r>
      <w:r>
        <w:rPr>
          <w:rFonts w:hint="eastAsia" w:ascii="仿宋" w:hAnsi="仿宋" w:eastAsia="仿宋" w:cs="仿宋"/>
          <w:b/>
          <w:bCs/>
          <w:color w:val="000000"/>
          <w:sz w:val="22"/>
          <w:szCs w:val="22"/>
          <w:highlight w:val="none"/>
          <w:lang w:val="en-US" w:eastAsia="zh-CN"/>
        </w:rPr>
        <w:t>**********</w:t>
      </w:r>
      <w:r>
        <w:rPr>
          <w:rFonts w:hint="eastAsia" w:ascii="仿宋" w:hAnsi="仿宋" w:eastAsia="仿宋" w:cs="仿宋"/>
          <w:b/>
          <w:bCs/>
          <w:color w:val="000000"/>
          <w:sz w:val="22"/>
          <w:szCs w:val="22"/>
          <w:highlight w:val="none"/>
        </w:rPr>
        <w:t>有限公司</w:t>
      </w:r>
    </w:p>
    <w:p w14:paraId="639C8FB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768EF69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380590B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5486F133">
      <w:pPr>
        <w:keepNext w:val="0"/>
        <w:keepLines w:val="0"/>
        <w:pageBreakBefore w:val="0"/>
        <w:numPr>
          <w:ilvl w:val="0"/>
          <w:numId w:val="3"/>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7B543C05">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我司承诺将无条件负责相应的善后工作及消除对贵司造成的不良影响。</w:t>
      </w:r>
    </w:p>
    <w:p w14:paraId="79623269">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5015C8D6">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四、特别约定：</w:t>
      </w:r>
    </w:p>
    <w:p w14:paraId="74C66BB8">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i w:val="0"/>
          <w:iCs w:val="0"/>
          <w:caps w:val="0"/>
          <w:color w:val="auto"/>
          <w:spacing w:val="0"/>
          <w:sz w:val="22"/>
          <w:szCs w:val="22"/>
          <w:highlight w:val="none"/>
          <w:shd w:val="clear" w:fill="FFFFFF"/>
          <w:lang w:val="en-US" w:eastAsia="zh-CN"/>
        </w:rPr>
      </w:pPr>
      <w:r>
        <w:rPr>
          <w:rFonts w:hint="eastAsia" w:ascii="仿宋" w:hAnsi="仿宋" w:eastAsia="仿宋" w:cs="仿宋"/>
          <w:i w:val="0"/>
          <w:iCs w:val="0"/>
          <w:caps w:val="0"/>
          <w:color w:val="auto"/>
          <w:spacing w:val="0"/>
          <w:sz w:val="22"/>
          <w:szCs w:val="22"/>
          <w:highlight w:val="none"/>
          <w:shd w:val="clear" w:fill="FFFFFF"/>
          <w:lang w:val="en-US" w:eastAsia="zh-CN"/>
        </w:rPr>
        <w:t>******公司法定代表人 **** （身份证号： ****** ）、实际控制人**** （身</w:t>
      </w:r>
    </w:p>
    <w:p w14:paraId="63F2C639">
      <w:pPr>
        <w:keepNext w:val="0"/>
        <w:keepLines w:val="0"/>
        <w:pageBreakBefore w:val="0"/>
        <w:widowControl/>
        <w:numPr>
          <w:ilvl w:val="0"/>
          <w:numId w:val="0"/>
        </w:numPr>
        <w:kinsoku/>
        <w:wordWrap/>
        <w:overflowPunct/>
        <w:topLinePunct w:val="0"/>
        <w:autoSpaceDE/>
        <w:autoSpaceDN/>
        <w:bidi w:val="0"/>
        <w:adjustRightInd w:val="0"/>
        <w:snapToGrid w:val="0"/>
        <w:spacing w:before="120" w:line="192" w:lineRule="auto"/>
        <w:ind w:left="218" w:leftChars="104" w:right="238" w:rightChars="0" w:firstLine="0" w:firstLineChars="0"/>
        <w:jc w:val="both"/>
        <w:textAlignment w:val="auto"/>
        <w:rPr>
          <w:rFonts w:hint="eastAsia" w:ascii="仿宋" w:hAnsi="仿宋" w:eastAsia="仿宋" w:cs="仿宋"/>
          <w:i w:val="0"/>
          <w:iCs w:val="0"/>
          <w:caps w:val="0"/>
          <w:color w:val="auto"/>
          <w:spacing w:val="0"/>
          <w:sz w:val="22"/>
          <w:szCs w:val="22"/>
          <w:highlight w:val="none"/>
          <w:shd w:val="clear" w:fill="FFFFFF"/>
          <w:lang w:val="en-US" w:eastAsia="zh-CN"/>
        </w:rPr>
      </w:pPr>
      <w:r>
        <w:rPr>
          <w:rFonts w:hint="eastAsia" w:ascii="仿宋" w:hAnsi="仿宋" w:eastAsia="仿宋" w:cs="仿宋"/>
          <w:i w:val="0"/>
          <w:iCs w:val="0"/>
          <w:caps w:val="0"/>
          <w:color w:val="auto"/>
          <w:spacing w:val="0"/>
          <w:sz w:val="22"/>
          <w:szCs w:val="22"/>
          <w:highlight w:val="none"/>
          <w:shd w:val="clear" w:fill="FFFFFF"/>
          <w:lang w:val="en-US" w:eastAsia="zh-CN"/>
        </w:rPr>
        <w:t>份证号： ****** ）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合理费用。</w:t>
      </w:r>
    </w:p>
    <w:p w14:paraId="370B08F7">
      <w:pPr>
        <w:keepNext w:val="0"/>
        <w:keepLines w:val="0"/>
        <w:pageBreakBefore w:val="0"/>
        <w:widowControl/>
        <w:numPr>
          <w:ilvl w:val="0"/>
          <w:numId w:val="0"/>
        </w:numPr>
        <w:kinsoku/>
        <w:wordWrap/>
        <w:overflowPunct/>
        <w:topLinePunct w:val="0"/>
        <w:autoSpaceDE/>
        <w:autoSpaceDN/>
        <w:bidi w:val="0"/>
        <w:adjustRightInd w:val="0"/>
        <w:snapToGrid w:val="0"/>
        <w:spacing w:before="120" w:line="192" w:lineRule="auto"/>
        <w:ind w:left="630" w:leftChars="0" w:right="238" w:rightChars="0" w:firstLine="220" w:firstLineChars="100"/>
        <w:jc w:val="both"/>
        <w:textAlignment w:val="auto"/>
        <w:rPr>
          <w:rFonts w:hint="eastAsia" w:ascii="仿宋" w:hAnsi="仿宋" w:eastAsia="仿宋" w:cs="仿宋"/>
          <w:i w:val="0"/>
          <w:iCs w:val="0"/>
          <w:caps w:val="0"/>
          <w:color w:val="auto"/>
          <w:spacing w:val="0"/>
          <w:sz w:val="22"/>
          <w:szCs w:val="22"/>
          <w:highlight w:val="none"/>
          <w:shd w:val="clear" w:fill="FFFFFF"/>
          <w:lang w:val="en-US" w:eastAsia="zh-CN"/>
        </w:rPr>
      </w:pPr>
      <w:r>
        <w:rPr>
          <w:rFonts w:hint="eastAsia" w:ascii="仿宋" w:hAnsi="仿宋" w:eastAsia="仿宋" w:cs="仿宋"/>
          <w:i w:val="0"/>
          <w:iCs w:val="0"/>
          <w:caps w:val="0"/>
          <w:color w:val="auto"/>
          <w:spacing w:val="0"/>
          <w:sz w:val="22"/>
          <w:szCs w:val="22"/>
          <w:highlight w:val="none"/>
          <w:shd w:val="clear" w:fill="FFFFFF"/>
          <w:lang w:val="en-US" w:eastAsia="zh-CN"/>
        </w:rPr>
        <w:t>特此承诺！</w:t>
      </w:r>
    </w:p>
    <w:p w14:paraId="4183621A">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附件1：《建筑工人工资表》（样表）；</w:t>
      </w:r>
    </w:p>
    <w:p w14:paraId="4D963979">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附件2：各连带清偿人身份证正反面复印件。</w:t>
      </w:r>
    </w:p>
    <w:p w14:paraId="7CD0B82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0A008F8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236" w:firstLineChars="10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37CF5A5B">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5F2D58FC">
      <w:pPr>
        <w:pStyle w:val="7"/>
        <w:keepNext w:val="0"/>
        <w:keepLines w:val="0"/>
        <w:pageBreakBefore w:val="0"/>
        <w:widowControl/>
        <w:kinsoku w:val="0"/>
        <w:wordWrap/>
        <w:overflowPunct/>
        <w:topLinePunct w:val="0"/>
        <w:autoSpaceDE w:val="0"/>
        <w:autoSpaceDN w:val="0"/>
        <w:bidi w:val="0"/>
        <w:adjustRightInd w:val="0"/>
        <w:snapToGrid w:val="0"/>
        <w:spacing w:before="92" w:line="192" w:lineRule="auto"/>
        <w:jc w:val="right"/>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日   期：****年**月**日</w:t>
      </w:r>
    </w:p>
    <w:tbl>
      <w:tblPr>
        <w:tblStyle w:val="16"/>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3023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57988390">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649EF888">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785D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421E93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0ADEFC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7F9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9A7B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F60E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8240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76A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30F05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B4B85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9D00F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A3E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2EADA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78A68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3930B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DF126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262A7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714D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E2F9B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1A5D9BF">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FF1F0B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037F5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47F70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36EC02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7699A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671B18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F2CCAB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04D14B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B5E93B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4584BB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2488F9">
            <w:pPr>
              <w:jc w:val="center"/>
              <w:rPr>
                <w:rFonts w:hint="eastAsia" w:ascii="宋体" w:hAnsi="宋体" w:eastAsia="宋体" w:cs="宋体"/>
                <w:i w:val="0"/>
                <w:iCs w:val="0"/>
                <w:color w:val="auto"/>
                <w:sz w:val="20"/>
                <w:szCs w:val="20"/>
                <w:highlight w:val="none"/>
                <w:u w:val="none"/>
              </w:rPr>
            </w:pPr>
          </w:p>
        </w:tc>
      </w:tr>
      <w:tr w14:paraId="0E86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90B71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27F824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59875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2C2A0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A7C5B8">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5EFD61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CBF72A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08D8BD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55FEF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C926C5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DE56D5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B915D8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5B59872">
            <w:pPr>
              <w:jc w:val="center"/>
              <w:rPr>
                <w:rFonts w:hint="eastAsia" w:ascii="宋体" w:hAnsi="宋体" w:eastAsia="宋体" w:cs="宋体"/>
                <w:i w:val="0"/>
                <w:iCs w:val="0"/>
                <w:color w:val="auto"/>
                <w:sz w:val="20"/>
                <w:szCs w:val="20"/>
                <w:highlight w:val="none"/>
                <w:u w:val="none"/>
              </w:rPr>
            </w:pPr>
          </w:p>
        </w:tc>
      </w:tr>
      <w:tr w14:paraId="2B05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DF046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242188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2D9EFB">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B299F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7BDD3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CAC0E62">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E8964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CBDD4E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0D2FA7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9C2790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54770F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74DC22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2567A71">
            <w:pPr>
              <w:jc w:val="center"/>
              <w:rPr>
                <w:rFonts w:hint="eastAsia" w:ascii="宋体" w:hAnsi="宋体" w:eastAsia="宋体" w:cs="宋体"/>
                <w:i w:val="0"/>
                <w:iCs w:val="0"/>
                <w:color w:val="auto"/>
                <w:sz w:val="20"/>
                <w:szCs w:val="20"/>
                <w:highlight w:val="none"/>
                <w:u w:val="none"/>
              </w:rPr>
            </w:pPr>
          </w:p>
        </w:tc>
      </w:tr>
      <w:tr w14:paraId="6E11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B712D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43A5EE">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D4C379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500A1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37559A">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363402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0208BC">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43F42F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D3A67A4">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522EEC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5CD516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8FC33E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9184429">
            <w:pPr>
              <w:jc w:val="center"/>
              <w:rPr>
                <w:rFonts w:hint="eastAsia" w:ascii="宋体" w:hAnsi="宋体" w:eastAsia="宋体" w:cs="宋体"/>
                <w:i w:val="0"/>
                <w:iCs w:val="0"/>
                <w:color w:val="auto"/>
                <w:sz w:val="20"/>
                <w:szCs w:val="20"/>
                <w:highlight w:val="none"/>
                <w:u w:val="none"/>
              </w:rPr>
            </w:pPr>
          </w:p>
        </w:tc>
      </w:tr>
      <w:tr w14:paraId="319B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DD752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852F1C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A0A84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BF5BF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9ED68E">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5076B7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F8E63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3A0BBB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30C22F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B2934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83BA44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CBD574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CCC568">
            <w:pPr>
              <w:jc w:val="center"/>
              <w:rPr>
                <w:rFonts w:hint="eastAsia" w:ascii="宋体" w:hAnsi="宋体" w:eastAsia="宋体" w:cs="宋体"/>
                <w:i w:val="0"/>
                <w:iCs w:val="0"/>
                <w:color w:val="auto"/>
                <w:sz w:val="20"/>
                <w:szCs w:val="20"/>
                <w:highlight w:val="none"/>
                <w:u w:val="none"/>
              </w:rPr>
            </w:pPr>
          </w:p>
        </w:tc>
      </w:tr>
      <w:tr w14:paraId="12E9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C4829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3AE906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1F469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9F6ED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47DEAA">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E2B1C7C">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8FD869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82A6C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3C36719">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620AF4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C56883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706BD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D29B58">
            <w:pPr>
              <w:jc w:val="center"/>
              <w:rPr>
                <w:rFonts w:hint="eastAsia" w:ascii="宋体" w:hAnsi="宋体" w:eastAsia="宋体" w:cs="宋体"/>
                <w:i w:val="0"/>
                <w:iCs w:val="0"/>
                <w:color w:val="auto"/>
                <w:sz w:val="20"/>
                <w:szCs w:val="20"/>
                <w:highlight w:val="none"/>
                <w:u w:val="none"/>
              </w:rPr>
            </w:pPr>
          </w:p>
        </w:tc>
      </w:tr>
      <w:tr w14:paraId="1ECD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7A150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3C919F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33CB9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645FB0">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B5B8B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D14F65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4C1B0E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5E53B69">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C5306E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1E5D61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5EE147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141972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EC70665">
            <w:pPr>
              <w:jc w:val="center"/>
              <w:rPr>
                <w:rFonts w:hint="eastAsia" w:ascii="宋体" w:hAnsi="宋体" w:eastAsia="宋体" w:cs="宋体"/>
                <w:i w:val="0"/>
                <w:iCs w:val="0"/>
                <w:color w:val="auto"/>
                <w:sz w:val="20"/>
                <w:szCs w:val="20"/>
                <w:highlight w:val="none"/>
                <w:u w:val="none"/>
              </w:rPr>
            </w:pPr>
          </w:p>
        </w:tc>
      </w:tr>
      <w:tr w14:paraId="41DC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4D32C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35D163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9E644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B8B695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531DB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E15840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54836BB">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DACD7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581CBB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366D65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3B542F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F7A113E">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083658">
            <w:pPr>
              <w:jc w:val="center"/>
              <w:rPr>
                <w:rFonts w:hint="eastAsia" w:ascii="宋体" w:hAnsi="宋体" w:eastAsia="宋体" w:cs="宋体"/>
                <w:i w:val="0"/>
                <w:iCs w:val="0"/>
                <w:color w:val="auto"/>
                <w:sz w:val="20"/>
                <w:szCs w:val="20"/>
                <w:highlight w:val="none"/>
                <w:u w:val="none"/>
              </w:rPr>
            </w:pPr>
          </w:p>
        </w:tc>
      </w:tr>
      <w:tr w14:paraId="585C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A37E0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F2052B2">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887AA2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4532D2">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575BC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25589A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FA4284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8E2CFA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941B1D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CDF748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EE55CF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77A6AA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576105E">
            <w:pPr>
              <w:jc w:val="center"/>
              <w:rPr>
                <w:rFonts w:hint="eastAsia" w:ascii="宋体" w:hAnsi="宋体" w:eastAsia="宋体" w:cs="宋体"/>
                <w:i w:val="0"/>
                <w:iCs w:val="0"/>
                <w:color w:val="auto"/>
                <w:sz w:val="20"/>
                <w:szCs w:val="20"/>
                <w:highlight w:val="none"/>
                <w:u w:val="none"/>
              </w:rPr>
            </w:pPr>
          </w:p>
        </w:tc>
      </w:tr>
      <w:tr w14:paraId="68DC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B0193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27D583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D2F96C1">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98915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FB0A4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742E77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205886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D6FBF2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950D85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E64ED2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C81308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472117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22F56E">
            <w:pPr>
              <w:jc w:val="center"/>
              <w:rPr>
                <w:rFonts w:hint="eastAsia" w:ascii="宋体" w:hAnsi="宋体" w:eastAsia="宋体" w:cs="宋体"/>
                <w:i w:val="0"/>
                <w:iCs w:val="0"/>
                <w:color w:val="auto"/>
                <w:sz w:val="20"/>
                <w:szCs w:val="20"/>
                <w:highlight w:val="none"/>
                <w:u w:val="none"/>
              </w:rPr>
            </w:pPr>
          </w:p>
        </w:tc>
      </w:tr>
      <w:tr w14:paraId="66B3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F0A1B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919F2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782F9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1E023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A59B2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DBE36E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382072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317FD6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CF23C8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EE319B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BCB860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36F1ACE">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FB1DEE8">
            <w:pPr>
              <w:jc w:val="center"/>
              <w:rPr>
                <w:rFonts w:hint="eastAsia" w:ascii="宋体" w:hAnsi="宋体" w:eastAsia="宋体" w:cs="宋体"/>
                <w:i w:val="0"/>
                <w:iCs w:val="0"/>
                <w:color w:val="auto"/>
                <w:sz w:val="20"/>
                <w:szCs w:val="20"/>
                <w:highlight w:val="none"/>
                <w:u w:val="none"/>
              </w:rPr>
            </w:pPr>
          </w:p>
        </w:tc>
      </w:tr>
      <w:tr w14:paraId="561E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3AD88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314946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C6A93F">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B923E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0EB3A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441F9AD">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10FEAA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6697E8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738DE7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A49847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4947A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8ADD6E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96A1282">
            <w:pPr>
              <w:jc w:val="center"/>
              <w:rPr>
                <w:rFonts w:hint="eastAsia" w:ascii="宋体" w:hAnsi="宋体" w:eastAsia="宋体" w:cs="宋体"/>
                <w:i w:val="0"/>
                <w:iCs w:val="0"/>
                <w:color w:val="auto"/>
                <w:sz w:val="20"/>
                <w:szCs w:val="20"/>
                <w:highlight w:val="none"/>
                <w:u w:val="none"/>
              </w:rPr>
            </w:pPr>
          </w:p>
        </w:tc>
      </w:tr>
      <w:tr w14:paraId="2458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CA3CB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E3940A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526926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85DEA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2981B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F8F5BC6">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5D549F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901DB39">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B49CD8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4B410B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9AC371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A1DBCE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A6B4043">
            <w:pPr>
              <w:jc w:val="center"/>
              <w:rPr>
                <w:rFonts w:hint="eastAsia" w:ascii="宋体" w:hAnsi="宋体" w:eastAsia="宋体" w:cs="宋体"/>
                <w:i w:val="0"/>
                <w:iCs w:val="0"/>
                <w:color w:val="auto"/>
                <w:sz w:val="20"/>
                <w:szCs w:val="20"/>
                <w:highlight w:val="none"/>
                <w:u w:val="none"/>
              </w:rPr>
            </w:pPr>
          </w:p>
        </w:tc>
      </w:tr>
      <w:tr w14:paraId="6B3C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F4A0C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18283A0">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E8DD0B8">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860BA0">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2F3BF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E1CC74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33FDD9">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CC7BC3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AC0911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7E2866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EAB672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564527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2D7787">
            <w:pPr>
              <w:jc w:val="center"/>
              <w:rPr>
                <w:rFonts w:hint="eastAsia" w:ascii="宋体" w:hAnsi="宋体" w:eastAsia="宋体" w:cs="宋体"/>
                <w:i w:val="0"/>
                <w:iCs w:val="0"/>
                <w:color w:val="auto"/>
                <w:sz w:val="20"/>
                <w:szCs w:val="20"/>
                <w:highlight w:val="none"/>
                <w:u w:val="none"/>
              </w:rPr>
            </w:pPr>
          </w:p>
        </w:tc>
      </w:tr>
      <w:tr w14:paraId="7B40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6255D9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7E55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03F466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711E13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413F8194">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7BC6B477">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47C87B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0E1BEDF4">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7E05A0A3">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0190EA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52CF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4D6276E7">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5C6D9E8D">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4316E224">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70E95533">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0B8E442D">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4003F875">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351CABBF">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9CB12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5A2D3E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5CC8B102">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color w:val="auto"/>
          <w:spacing w:val="8"/>
          <w:sz w:val="24"/>
          <w:szCs w:val="24"/>
          <w:highlight w:val="none"/>
          <w:lang w:val="en-US" w:eastAsia="zh-CN"/>
        </w:rPr>
      </w:pPr>
    </w:p>
    <w:p w14:paraId="071C4667">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13D70109">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112F2078">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18CBF9E8">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670F76FF">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708D683D">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7CFA895F">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default" w:ascii="仿宋" w:hAnsi="仿宋" w:eastAsia="仿宋" w:cs="仿宋"/>
          <w:b/>
          <w:bCs/>
          <w:color w:val="191F25"/>
          <w:spacing w:val="-2"/>
          <w:sz w:val="40"/>
          <w:szCs w:val="40"/>
          <w:highlight w:val="none"/>
          <w:lang w:val="en-US" w:eastAsia="zh-CN"/>
        </w:rPr>
      </w:pPr>
      <w:r>
        <w:rPr>
          <w:rFonts w:hint="eastAsia" w:ascii="仿宋" w:hAnsi="仿宋" w:eastAsia="仿宋" w:cs="仿宋"/>
          <w:b/>
          <w:bCs/>
          <w:color w:val="191F25"/>
          <w:spacing w:val="-2"/>
          <w:sz w:val="40"/>
          <w:szCs w:val="40"/>
          <w:highlight w:val="none"/>
          <w:lang w:val="en-US" w:eastAsia="zh-CN"/>
        </w:rPr>
        <w:t>附件十</w:t>
      </w:r>
    </w:p>
    <w:p w14:paraId="5F4BB27C">
      <w:pPr>
        <w:keepNext w:val="0"/>
        <w:keepLines w:val="0"/>
        <w:pageBreakBefore w:val="0"/>
        <w:wordWrap/>
        <w:overflowPunct/>
        <w:topLinePunct w:val="0"/>
        <w:bidi w:val="0"/>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承诺书</w:t>
      </w:r>
    </w:p>
    <w:p w14:paraId="581765CF">
      <w:pPr>
        <w:keepNext w:val="0"/>
        <w:keepLines w:val="0"/>
        <w:pageBreakBefore w:val="0"/>
        <w:wordWrap/>
        <w:overflowPunct/>
        <w:topLinePunct w:val="0"/>
        <w:bidi w:val="0"/>
        <w:spacing w:line="360" w:lineRule="auto"/>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p>
    <w:p w14:paraId="17EEDEB9">
      <w:pPr>
        <w:keepNext w:val="0"/>
        <w:keepLines w:val="0"/>
        <w:pageBreakBefore w:val="0"/>
        <w:wordWrap/>
        <w:overflowPunct/>
        <w:topLinePunct w:val="0"/>
        <w:bidi w:val="0"/>
        <w:spacing w:line="360" w:lineRule="auto"/>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东莞市中泰建安工程有限公司</w:t>
      </w:r>
    </w:p>
    <w:p w14:paraId="0A6C14BE">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lang w:val="en-US" w:eastAsia="zh-CN"/>
        </w:rPr>
        <w:t>XXX</w:t>
      </w:r>
      <w:r>
        <w:rPr>
          <w:rFonts w:hint="eastAsia" w:ascii="仿宋" w:hAnsi="仿宋" w:eastAsia="仿宋" w:cs="仿宋"/>
          <w:sz w:val="28"/>
          <w:szCs w:val="28"/>
          <w:highlight w:val="none"/>
        </w:rPr>
        <w:t>(姓名)</w:t>
      </w:r>
      <w:r>
        <w:rPr>
          <w:rFonts w:hint="eastAsia" w:ascii="仿宋" w:hAnsi="仿宋" w:eastAsia="仿宋" w:cs="仿宋"/>
          <w:sz w:val="28"/>
          <w:szCs w:val="28"/>
          <w:highlight w:val="none"/>
          <w:lang w:val="en-US" w:eastAsia="zh-CN"/>
        </w:rPr>
        <w:t>,身份证号：</w:t>
      </w:r>
      <w:r>
        <w:rPr>
          <w:rFonts w:hint="eastAsia" w:ascii="仿宋" w:hAnsi="仿宋" w:eastAsia="仿宋" w:cs="仿宋"/>
          <w:sz w:val="28"/>
          <w:szCs w:val="28"/>
          <w:highlight w:val="none"/>
          <w:u w:val="single"/>
          <w:lang w:val="en-US" w:eastAsia="zh-CN"/>
        </w:rPr>
        <w:t>XXXXXXXXXXXXXXXXXX</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公司的员工，</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日期间</w:t>
      </w:r>
      <w:r>
        <w:rPr>
          <w:rFonts w:hint="eastAsia" w:ascii="仿宋" w:hAnsi="仿宋" w:eastAsia="仿宋" w:cs="仿宋"/>
          <w:sz w:val="28"/>
          <w:szCs w:val="28"/>
          <w:highlight w:val="none"/>
          <w:lang w:val="en-US" w:eastAsia="zh-CN"/>
        </w:rPr>
        <w:t>被</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公司安排</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总包单位为</w:t>
      </w:r>
      <w:r>
        <w:rPr>
          <w:rFonts w:hint="eastAsia" w:ascii="仿宋" w:hAnsi="仿宋" w:eastAsia="仿宋" w:cs="仿宋"/>
          <w:b w:val="0"/>
          <w:bCs w:val="0"/>
          <w:sz w:val="28"/>
          <w:szCs w:val="28"/>
          <w:highlight w:val="none"/>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5440D169">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现</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待</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r>
        <w:rPr>
          <w:rFonts w:hint="eastAsia" w:ascii="仿宋" w:hAnsi="仿宋" w:eastAsia="仿宋" w:cs="仿宋"/>
          <w:sz w:val="28"/>
          <w:szCs w:val="28"/>
          <w:highlight w:val="none"/>
          <w:lang w:val="en-US" w:eastAsia="zh-CN"/>
        </w:rPr>
        <w:t>或</w:t>
      </w:r>
      <w:r>
        <w:rPr>
          <w:rFonts w:hint="eastAsia" w:ascii="仿宋" w:hAnsi="仿宋" w:eastAsia="仿宋" w:cs="仿宋"/>
          <w:b w:val="0"/>
          <w:bCs w:val="0"/>
          <w:sz w:val="28"/>
          <w:szCs w:val="28"/>
          <w:highlight w:val="none"/>
          <w:lang w:val="en-US" w:eastAsia="zh-CN"/>
        </w:rPr>
        <w:t>东莞市中泰建安工程有限公司</w:t>
      </w:r>
      <w:r>
        <w:rPr>
          <w:rFonts w:hint="eastAsia" w:ascii="仿宋" w:hAnsi="仿宋" w:eastAsia="仿宋" w:cs="仿宋"/>
          <w:sz w:val="28"/>
          <w:szCs w:val="28"/>
          <w:highlight w:val="none"/>
          <w:lang w:val="en-US" w:eastAsia="zh-CN"/>
        </w:rPr>
        <w:t>将本人在本项目</w:t>
      </w:r>
      <w:r>
        <w:rPr>
          <w:rFonts w:hint="eastAsia" w:ascii="仿宋" w:hAnsi="仿宋" w:eastAsia="仿宋" w:cs="仿宋"/>
          <w:sz w:val="28"/>
          <w:szCs w:val="28"/>
          <w:highlight w:val="none"/>
        </w:rPr>
        <w:t>所有剩余工资</w:t>
      </w:r>
      <w:r>
        <w:rPr>
          <w:rFonts w:hint="eastAsia" w:ascii="仿宋" w:hAnsi="仿宋" w:eastAsia="仿宋" w:cs="仿宋"/>
          <w:sz w:val="28"/>
          <w:szCs w:val="28"/>
          <w:highlight w:val="none"/>
          <w:lang w:val="en-US" w:eastAsia="zh-CN"/>
        </w:rPr>
        <w:t>汇</w:t>
      </w:r>
      <w:r>
        <w:rPr>
          <w:rFonts w:hint="eastAsia" w:ascii="仿宋" w:hAnsi="仿宋" w:eastAsia="仿宋" w:cs="仿宋"/>
          <w:sz w:val="28"/>
          <w:szCs w:val="28"/>
          <w:highlight w:val="none"/>
        </w:rPr>
        <w:t>入</w:t>
      </w:r>
      <w:r>
        <w:rPr>
          <w:rFonts w:hint="eastAsia" w:ascii="仿宋" w:hAnsi="仿宋" w:eastAsia="仿宋" w:cs="仿宋"/>
          <w:sz w:val="28"/>
          <w:szCs w:val="28"/>
          <w:highlight w:val="none"/>
          <w:lang w:val="en-US" w:eastAsia="zh-CN"/>
        </w:rPr>
        <w:t>本人指定收款账户</w:t>
      </w:r>
      <w:r>
        <w:rPr>
          <w:rFonts w:hint="eastAsia" w:ascii="仿宋" w:hAnsi="仿宋" w:eastAsia="仿宋" w:cs="仿宋"/>
          <w:sz w:val="28"/>
          <w:szCs w:val="28"/>
          <w:highlight w:val="none"/>
        </w:rPr>
        <w:t>后，本人</w:t>
      </w:r>
      <w:r>
        <w:rPr>
          <w:rFonts w:hint="eastAsia" w:ascii="仿宋" w:hAnsi="仿宋" w:eastAsia="仿宋" w:cs="仿宋"/>
          <w:sz w:val="28"/>
          <w:szCs w:val="28"/>
          <w:highlight w:val="none"/>
          <w:lang w:val="en-US" w:eastAsia="zh-CN"/>
        </w:rPr>
        <w:t>在本项目</w:t>
      </w:r>
      <w:r>
        <w:rPr>
          <w:rFonts w:hint="eastAsia" w:ascii="仿宋" w:hAnsi="仿宋" w:eastAsia="仿宋" w:cs="仿宋"/>
          <w:sz w:val="28"/>
          <w:szCs w:val="28"/>
          <w:highlight w:val="none"/>
        </w:rPr>
        <w:t>工资</w:t>
      </w:r>
      <w:r>
        <w:rPr>
          <w:rFonts w:hint="eastAsia" w:ascii="仿宋" w:hAnsi="仿宋" w:eastAsia="仿宋" w:cs="仿宋"/>
          <w:sz w:val="28"/>
          <w:szCs w:val="28"/>
          <w:highlight w:val="none"/>
          <w:lang w:val="en-US" w:eastAsia="zh-CN"/>
        </w:rPr>
        <w:t>即</w:t>
      </w:r>
      <w:r>
        <w:rPr>
          <w:rFonts w:hint="eastAsia" w:ascii="仿宋" w:hAnsi="仿宋" w:eastAsia="仿宋" w:cs="仿宋"/>
          <w:sz w:val="28"/>
          <w:szCs w:val="28"/>
          <w:highlight w:val="none"/>
        </w:rPr>
        <w:t>全部结清。若后期再次</w:t>
      </w:r>
      <w:r>
        <w:rPr>
          <w:rFonts w:hint="eastAsia" w:ascii="仿宋" w:hAnsi="仿宋" w:eastAsia="仿宋" w:cs="仿宋"/>
          <w:sz w:val="28"/>
          <w:szCs w:val="28"/>
          <w:highlight w:val="none"/>
          <w:lang w:val="en-US" w:eastAsia="zh-CN"/>
        </w:rPr>
        <w:t>以本项目为由</w:t>
      </w:r>
      <w:r>
        <w:rPr>
          <w:rFonts w:hint="eastAsia" w:ascii="仿宋" w:hAnsi="仿宋" w:eastAsia="仿宋" w:cs="仿宋"/>
          <w:sz w:val="28"/>
          <w:szCs w:val="28"/>
          <w:highlight w:val="none"/>
        </w:rPr>
        <w:t>索要工资，均可视为恶意讨薪行为，我本人愿意为此承担一切法律责任和经济后果</w:t>
      </w:r>
      <w:r>
        <w:rPr>
          <w:rFonts w:hint="eastAsia" w:ascii="仿宋" w:hAnsi="仿宋" w:eastAsia="仿宋" w:cs="仿宋"/>
          <w:sz w:val="28"/>
          <w:szCs w:val="28"/>
          <w:highlight w:val="none"/>
          <w:lang w:eastAsia="zh-CN"/>
        </w:rPr>
        <w:t>。</w:t>
      </w:r>
    </w:p>
    <w:p w14:paraId="438FC9DC">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本人指定收款账户信息如下</w:t>
      </w:r>
      <w:r>
        <w:rPr>
          <w:rFonts w:hint="eastAsia" w:ascii="仿宋" w:hAnsi="仿宋" w:eastAsia="仿宋" w:cs="仿宋"/>
          <w:sz w:val="28"/>
          <w:szCs w:val="28"/>
          <w:highlight w:val="none"/>
        </w:rPr>
        <w:t>:</w:t>
      </w:r>
    </w:p>
    <w:p w14:paraId="0BC253C1">
      <w:pPr>
        <w:keepNext w:val="0"/>
        <w:keepLines w:val="0"/>
        <w:pageBreakBefore w:val="0"/>
        <w:wordWrap/>
        <w:overflowPunct/>
        <w:topLinePunct w:val="0"/>
        <w:bidi w:val="0"/>
        <w:spacing w:line="360" w:lineRule="auto"/>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银行名称：</w:t>
      </w:r>
      <w:r>
        <w:rPr>
          <w:rFonts w:hint="eastAsia" w:ascii="仿宋" w:hAnsi="仿宋" w:eastAsia="仿宋" w:cs="仿宋"/>
          <w:sz w:val="28"/>
          <w:szCs w:val="28"/>
          <w:highlight w:val="none"/>
          <w:u w:val="none"/>
          <w:lang w:val="en-US" w:eastAsia="zh-CN"/>
        </w:rPr>
        <w:t>XX银行XX支行</w:t>
      </w:r>
    </w:p>
    <w:p w14:paraId="3CE43EA7">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账    号：XXXXXX</w:t>
      </w:r>
    </w:p>
    <w:p w14:paraId="22D4003B">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户    名：XXX</w:t>
      </w:r>
    </w:p>
    <w:p w14:paraId="7620C942">
      <w:pPr>
        <w:keepNext w:val="0"/>
        <w:keepLines w:val="0"/>
        <w:pageBreakBefore w:val="0"/>
        <w:wordWrap/>
        <w:overflowPunct/>
        <w:topLinePunct w:val="0"/>
        <w:bidi w:val="0"/>
        <w:spacing w:line="360" w:lineRule="auto"/>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特此承诺。</w:t>
      </w:r>
    </w:p>
    <w:p w14:paraId="1181027C">
      <w:pPr>
        <w:keepNext w:val="0"/>
        <w:keepLines w:val="0"/>
        <w:pageBreakBefore w:val="0"/>
        <w:wordWrap/>
        <w:overflowPunct/>
        <w:topLinePunct w:val="0"/>
        <w:bidi w:val="0"/>
        <w:spacing w:line="360" w:lineRule="auto"/>
        <w:ind w:firstLine="5880" w:firstLineChars="2100"/>
        <w:rPr>
          <w:rFonts w:hint="eastAsia" w:ascii="仿宋" w:hAnsi="仿宋" w:eastAsia="仿宋" w:cs="仿宋"/>
          <w:sz w:val="28"/>
          <w:szCs w:val="28"/>
          <w:highlight w:val="none"/>
        </w:rPr>
      </w:pPr>
    </w:p>
    <w:p w14:paraId="76B3D8C4">
      <w:pPr>
        <w:keepNext w:val="0"/>
        <w:keepLines w:val="0"/>
        <w:pageBreakBefore w:val="0"/>
        <w:wordWrap/>
        <w:overflowPunct/>
        <w:topLinePunct w:val="0"/>
        <w:bidi w:val="0"/>
        <w:spacing w:line="360" w:lineRule="auto"/>
        <w:ind w:firstLine="4760" w:firstLineChars="17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rPr>
        <w:t>承诺人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签名按指纹）</w:t>
      </w:r>
      <w:r>
        <w:rPr>
          <w:rFonts w:hint="eastAsia" w:ascii="仿宋" w:hAnsi="仿宋" w:eastAsia="仿宋" w:cs="仿宋"/>
          <w:sz w:val="28"/>
          <w:szCs w:val="28"/>
          <w:highlight w:val="none"/>
        </w:rPr>
        <w:t>:</w:t>
      </w:r>
      <w:r>
        <w:rPr>
          <w:rFonts w:hint="eastAsia" w:ascii="仿宋" w:hAnsi="仿宋" w:eastAsia="仿宋" w:cs="仿宋"/>
          <w:sz w:val="28"/>
          <w:szCs w:val="28"/>
          <w:highlight w:val="none"/>
          <w:u w:val="none"/>
          <w:lang w:val="en-US" w:eastAsia="zh-CN"/>
        </w:rPr>
        <w:t>XXX</w:t>
      </w:r>
    </w:p>
    <w:p w14:paraId="45AE1204">
      <w:pPr>
        <w:pStyle w:val="7"/>
        <w:keepNext w:val="0"/>
        <w:keepLines w:val="0"/>
        <w:pageBreakBefore w:val="0"/>
        <w:widowControl/>
        <w:kinsoku w:val="0"/>
        <w:wordWrap/>
        <w:overflowPunct/>
        <w:topLinePunct w:val="0"/>
        <w:autoSpaceDE w:val="0"/>
        <w:autoSpaceDN w:val="0"/>
        <w:bidi w:val="0"/>
        <w:adjustRightInd w:val="0"/>
        <w:snapToGrid w:val="0"/>
        <w:spacing w:before="92" w:line="360" w:lineRule="auto"/>
        <w:jc w:val="right"/>
        <w:textAlignment w:val="baseline"/>
        <w:rPr>
          <w:rFonts w:hint="default" w:ascii="仿宋" w:hAnsi="仿宋" w:eastAsia="仿宋" w:cs="仿宋"/>
          <w:b/>
          <w:bCs/>
          <w:color w:val="191F25"/>
          <w:spacing w:val="-2"/>
          <w:sz w:val="40"/>
          <w:szCs w:val="40"/>
          <w:highlight w:val="none"/>
          <w:lang w:val="en-US" w:eastAsia="zh-CN"/>
        </w:rPr>
      </w:pPr>
      <w:r>
        <w:rPr>
          <w:rFonts w:hint="eastAsia" w:ascii="仿宋" w:hAnsi="仿宋" w:eastAsia="仿宋" w:cs="仿宋"/>
          <w:sz w:val="28"/>
          <w:szCs w:val="28"/>
          <w:highlight w:val="none"/>
          <w:u w:val="none"/>
          <w:lang w:val="en-US" w:eastAsia="zh-CN"/>
        </w:rPr>
        <w:t>日 期：XXXX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X月X</w:t>
      </w:r>
      <w:r>
        <w:rPr>
          <w:rFonts w:hint="eastAsia" w:ascii="仿宋" w:hAnsi="仿宋" w:eastAsia="仿宋" w:cs="仿宋"/>
          <w:sz w:val="28"/>
          <w:szCs w:val="28"/>
          <w:highlight w:val="none"/>
        </w:rPr>
        <w:t>日</w:t>
      </w:r>
    </w:p>
    <w:p w14:paraId="5C91DFFE">
      <w:pPr>
        <w:jc w:val="center"/>
        <w:rPr>
          <w:rFonts w:hint="eastAsia"/>
          <w:b/>
          <w:bCs/>
          <w:sz w:val="32"/>
          <w:szCs w:val="32"/>
          <w:highlight w:val="none"/>
          <w:lang w:val="en-US" w:eastAsia="zh-CN"/>
        </w:rPr>
      </w:pPr>
    </w:p>
    <w:p w14:paraId="3E65BA9C">
      <w:pPr>
        <w:jc w:val="center"/>
        <w:rPr>
          <w:rFonts w:hint="eastAsia"/>
          <w:b/>
          <w:bCs/>
          <w:sz w:val="32"/>
          <w:szCs w:val="32"/>
          <w:highlight w:val="none"/>
          <w:lang w:val="en-US" w:eastAsia="zh-CN"/>
        </w:rPr>
      </w:pPr>
    </w:p>
    <w:p w14:paraId="26B22CE6">
      <w:pPr>
        <w:jc w:val="both"/>
        <w:rPr>
          <w:rFonts w:hint="eastAsia"/>
          <w:b/>
          <w:bCs/>
          <w:sz w:val="32"/>
          <w:szCs w:val="32"/>
          <w:highlight w:val="none"/>
          <w:lang w:val="en-US" w:eastAsia="zh-CN"/>
        </w:rPr>
      </w:pPr>
    </w:p>
    <w:p w14:paraId="5B3774FA">
      <w:pPr>
        <w:jc w:val="right"/>
        <w:rPr>
          <w:rFonts w:hint="default"/>
          <w:b/>
          <w:bCs/>
          <w:sz w:val="32"/>
          <w:szCs w:val="32"/>
          <w:highlight w:val="none"/>
          <w:lang w:val="en-US" w:eastAsia="zh-CN"/>
        </w:rPr>
      </w:pPr>
      <w:r>
        <w:rPr>
          <w:rFonts w:hint="eastAsia"/>
          <w:b/>
          <w:bCs/>
          <w:sz w:val="32"/>
          <w:szCs w:val="32"/>
          <w:highlight w:val="none"/>
          <w:lang w:val="en-US" w:eastAsia="zh-CN"/>
        </w:rPr>
        <w:t>附件十一</w:t>
      </w:r>
    </w:p>
    <w:p w14:paraId="52701BC3">
      <w:pPr>
        <w:jc w:val="center"/>
        <w:rPr>
          <w:rFonts w:hint="eastAsia"/>
          <w:b/>
          <w:bCs/>
          <w:sz w:val="28"/>
          <w:szCs w:val="28"/>
          <w:highlight w:val="none"/>
          <w:lang w:val="en-US" w:eastAsia="zh-CN"/>
        </w:rPr>
      </w:pPr>
      <w:r>
        <w:rPr>
          <w:rFonts w:hint="eastAsia"/>
          <w:b/>
          <w:bCs/>
          <w:sz w:val="32"/>
          <w:szCs w:val="32"/>
          <w:highlight w:val="none"/>
          <w:lang w:val="en-US" w:eastAsia="zh-CN"/>
        </w:rPr>
        <w:t>技术工人素质承诺书</w:t>
      </w:r>
    </w:p>
    <w:p w14:paraId="2B31E6D9">
      <w:pPr>
        <w:jc w:val="both"/>
        <w:rPr>
          <w:rFonts w:hint="eastAsia"/>
          <w:b w:val="0"/>
          <w:bCs w:val="0"/>
          <w:sz w:val="24"/>
          <w:szCs w:val="24"/>
          <w:highlight w:val="none"/>
          <w:lang w:val="en-US" w:eastAsia="zh-CN"/>
        </w:rPr>
      </w:pPr>
      <w:r>
        <w:rPr>
          <w:rFonts w:hint="eastAsia"/>
          <w:b w:val="0"/>
          <w:bCs w:val="0"/>
          <w:sz w:val="24"/>
          <w:szCs w:val="24"/>
          <w:highlight w:val="none"/>
          <w:lang w:val="en-US" w:eastAsia="zh-CN"/>
        </w:rPr>
        <w:t>致东莞市中泰建安工程有限公司</w:t>
      </w:r>
      <w:r>
        <w:rPr>
          <w:rFonts w:hint="eastAsia" w:ascii="宋体" w:hAnsi="宋体" w:eastAsia="宋体" w:cs="宋体"/>
          <w:sz w:val="24"/>
          <w:szCs w:val="24"/>
          <w:highlight w:val="none"/>
          <w:lang w:val="en-US" w:eastAsia="zh-CN"/>
        </w:rPr>
        <w:t>（以下简称“甲方”）</w:t>
      </w:r>
      <w:r>
        <w:rPr>
          <w:rFonts w:hint="eastAsia"/>
          <w:b w:val="0"/>
          <w:bCs w:val="0"/>
          <w:sz w:val="24"/>
          <w:szCs w:val="24"/>
          <w:highlight w:val="none"/>
          <w:lang w:val="en-US" w:eastAsia="zh-CN"/>
        </w:rPr>
        <w:t>：</w:t>
      </w:r>
    </w:p>
    <w:p w14:paraId="44E80FB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cs="宋体"/>
          <w:sz w:val="24"/>
          <w:szCs w:val="24"/>
          <w:highlight w:val="none"/>
          <w:u w:val="none"/>
          <w:lang w:val="en-US" w:eastAsia="zh-CN"/>
        </w:rPr>
      </w:pPr>
      <w:r>
        <w:rPr>
          <w:rFonts w:hint="eastAsia"/>
          <w:b w:val="0"/>
          <w:bCs w:val="0"/>
          <w:sz w:val="24"/>
          <w:szCs w:val="24"/>
          <w:highlight w:val="none"/>
          <w:lang w:val="en-US" w:eastAsia="zh-CN"/>
        </w:rPr>
        <w:t>由我司承接甲方的</w:t>
      </w:r>
      <w:r>
        <w:rPr>
          <w:rFonts w:hint="eastAsia" w:ascii="宋体" w:hAnsi="宋体" w:eastAsia="宋体" w:cs="宋体"/>
          <w:b w:val="0"/>
          <w:bCs w:val="0"/>
          <w:sz w:val="24"/>
          <w:szCs w:val="24"/>
          <w:highlight w:val="none"/>
          <w:u w:val="single"/>
        </w:rPr>
        <w:t xml:space="preserve"> </w:t>
      </w:r>
      <w:r>
        <w:rPr>
          <w:rFonts w:hint="eastAsia" w:ascii="宋体" w:hAnsi="宋体" w:cs="宋体"/>
          <w:b w:val="0"/>
          <w:bCs w:val="0"/>
          <w:sz w:val="24"/>
          <w:szCs w:val="24"/>
          <w:highlight w:val="none"/>
          <w:u w:val="single"/>
          <w:lang w:val="en-US" w:eastAsia="zh-CN"/>
        </w:rPr>
        <w:t xml:space="preserve">    </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u w:val="single"/>
          <w:lang w:eastAsia="zh-CN"/>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以下简称“本项目”</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color w:val="auto"/>
          <w:sz w:val="24"/>
          <w:szCs w:val="24"/>
          <w:highlight w:val="none"/>
          <w:u w:val="single"/>
          <w:lang w:eastAsia="zh-CN"/>
        </w:rPr>
        <w:t>分项工程</w:t>
      </w:r>
      <w:r>
        <w:rPr>
          <w:rFonts w:hint="eastAsia" w:ascii="宋体" w:hAnsi="宋体" w:eastAsia="宋体" w:cs="宋体"/>
          <w:color w:val="auto"/>
          <w:sz w:val="24"/>
          <w:szCs w:val="24"/>
          <w:highlight w:val="none"/>
          <w:u w:val="single"/>
        </w:rPr>
        <w:t>名称）</w:t>
      </w:r>
      <w:r>
        <w:rPr>
          <w:rFonts w:hint="eastAsia" w:ascii="宋体" w:hAnsi="宋体" w:cs="宋体"/>
          <w:color w:val="auto"/>
          <w:sz w:val="24"/>
          <w:szCs w:val="24"/>
          <w:highlight w:val="none"/>
          <w:lang w:eastAsia="zh-CN"/>
        </w:rPr>
        <w:t>涉及</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（工种名称）</w:t>
      </w:r>
      <w:r>
        <w:rPr>
          <w:rFonts w:hint="eastAsia" w:ascii="宋体" w:hAnsi="宋体" w:cs="宋体"/>
          <w:sz w:val="24"/>
          <w:szCs w:val="24"/>
          <w:highlight w:val="none"/>
          <w:u w:val="none"/>
          <w:lang w:val="en-US" w:eastAsia="zh-CN"/>
        </w:rPr>
        <w:t>等</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个工种，关于每个工种工人的技术素质能力，我司在此郑重承诺：</w:t>
      </w:r>
    </w:p>
    <w:p w14:paraId="7239AE08">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4506D9C1">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我司进场的技术工人均具备优秀的专业技术能力，熟练掌握</w:t>
      </w:r>
      <w:r>
        <w:rPr>
          <w:rFonts w:hint="eastAsia" w:ascii="宋体" w:hAnsi="宋体" w:cs="宋体"/>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各自工种的具体</w:t>
      </w:r>
      <w:r>
        <w:rPr>
          <w:rFonts w:hint="eastAsia" w:ascii="宋体" w:hAnsi="宋体" w:cs="宋体"/>
          <w:sz w:val="24"/>
          <w:szCs w:val="24"/>
          <w:highlight w:val="none"/>
          <w:u w:val="none"/>
          <w:lang w:val="en-US" w:eastAsia="zh-CN"/>
        </w:rPr>
        <w:t>施工工艺流程和技术要领，熟练操作、使用各自工种涉及的相关工、器具，特种作业人员（如架子工、电工）必须持证上岗。</w:t>
      </w:r>
    </w:p>
    <w:p w14:paraId="2B8C5058">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我司保证满足甲方工期要求，计划配备熟练技术工人不少于</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人（涉及多个工种时，需分别列出），并随时增加或减少我司人员以满足工程施工工期要求。如有增加人员，我司承诺必定满足前述第1、2点之条件。</w:t>
      </w:r>
    </w:p>
    <w:p w14:paraId="58A2788B">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color w:val="auto"/>
          <w:sz w:val="24"/>
          <w:szCs w:val="24"/>
          <w:highlight w:val="none"/>
          <w:u w:val="none"/>
          <w:lang w:val="en-US" w:eastAsia="zh-CN"/>
        </w:rPr>
      </w:pPr>
      <w:r>
        <w:rPr>
          <w:rFonts w:hint="eastAsia" w:ascii="宋体" w:hAnsi="宋体" w:cs="宋体"/>
          <w:sz w:val="24"/>
          <w:szCs w:val="24"/>
          <w:highlight w:val="none"/>
          <w:u w:val="none"/>
          <w:lang w:val="en-US" w:eastAsia="zh-CN"/>
        </w:rPr>
        <w:t>我司严格执行甲方的工人施工样板制度，凡进场的每个技术工人（普工除外）均须先在本项目现场做样板，样板经甲方项目部样板管理组验收通过后，相</w:t>
      </w:r>
      <w:r>
        <w:rPr>
          <w:rFonts w:hint="eastAsia" w:ascii="宋体" w:hAnsi="宋体" w:cs="宋体"/>
          <w:color w:val="auto"/>
          <w:sz w:val="24"/>
          <w:szCs w:val="24"/>
          <w:highlight w:val="none"/>
          <w:u w:val="none"/>
          <w:lang w:val="en-US" w:eastAsia="zh-CN"/>
        </w:rPr>
        <w:t>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05E5D563">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4BDF35EF">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both"/>
        <w:textAlignment w:val="auto"/>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我司进场人员均须具备良好安全意识，按规定穿戴安全防护用具，严格遵守国家及甲方各项安全规则和操作规范，确保自身和他人的安全。</w:t>
      </w:r>
    </w:p>
    <w:p w14:paraId="4CC4274E">
      <w:pPr>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特别约定：</w:t>
      </w:r>
    </w:p>
    <w:p w14:paraId="39DDFDF5">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jc w:val="both"/>
        <w:textAlignment w:val="auto"/>
        <w:rPr>
          <w:rFonts w:hint="default" w:ascii="宋体" w:hAnsi="宋体" w:cs="宋体"/>
          <w:color w:val="auto"/>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 xml:space="preserve">*******公司法定代表人 **** （身份证号： </w:t>
      </w:r>
      <w:r>
        <w:rPr>
          <w:rFonts w:hint="eastAsia" w:ascii="宋体" w:hAnsi="宋体" w:eastAsia="宋体" w:cs="宋体"/>
          <w:color w:val="auto"/>
          <w:sz w:val="24"/>
          <w:szCs w:val="24"/>
          <w:highlight w:val="none"/>
          <w:u w:val="none"/>
          <w:shd w:val="clear" w:color="auto" w:fill="auto"/>
          <w:lang w:val="en-US" w:eastAsia="zh-CN"/>
        </w:rPr>
        <w:t>******</w:t>
      </w:r>
      <w:r>
        <w:rPr>
          <w:rFonts w:hint="eastAsia" w:ascii="宋体" w:hAnsi="宋体" w:eastAsia="宋体" w:cs="宋体"/>
          <w:color w:val="auto"/>
          <w:spacing w:val="0"/>
          <w:sz w:val="24"/>
          <w:szCs w:val="24"/>
          <w:highlight w:val="none"/>
          <w:u w:val="none"/>
          <w:lang w:val="en-US" w:eastAsia="zh-CN"/>
        </w:rPr>
        <w:t xml:space="preserve"> ）、实际控制人**** （身份证号： </w:t>
      </w:r>
      <w:r>
        <w:rPr>
          <w:rFonts w:hint="eastAsia" w:ascii="宋体" w:hAnsi="宋体" w:eastAsia="宋体" w:cs="宋体"/>
          <w:color w:val="auto"/>
          <w:sz w:val="24"/>
          <w:szCs w:val="24"/>
          <w:highlight w:val="none"/>
          <w:u w:val="none"/>
          <w:shd w:val="clear" w:color="auto" w:fill="auto"/>
          <w:lang w:val="en-US" w:eastAsia="zh-CN"/>
        </w:rPr>
        <w:t>******</w:t>
      </w:r>
      <w:r>
        <w:rPr>
          <w:rFonts w:hint="eastAsia" w:ascii="宋体" w:hAnsi="宋体" w:eastAsia="宋体" w:cs="宋体"/>
          <w:color w:val="auto"/>
          <w:spacing w:val="0"/>
          <w:sz w:val="24"/>
          <w:szCs w:val="24"/>
          <w:highlight w:val="none"/>
          <w:u w:val="none"/>
          <w:lang w:val="en-US" w:eastAsia="zh-CN"/>
        </w:rPr>
        <w:t xml:space="preserve"> ）就本《</w:t>
      </w:r>
      <w:r>
        <w:rPr>
          <w:rFonts w:hint="eastAsia" w:ascii="宋体" w:hAnsi="宋体" w:cs="宋体"/>
          <w:b w:val="0"/>
          <w:bCs w:val="0"/>
          <w:color w:val="auto"/>
          <w:sz w:val="24"/>
          <w:szCs w:val="24"/>
          <w:highlight w:val="none"/>
          <w:u w:val="none"/>
          <w:lang w:val="en-US" w:eastAsia="zh-CN"/>
        </w:rPr>
        <w:t>技术工人素质</w:t>
      </w:r>
      <w:r>
        <w:rPr>
          <w:rFonts w:hint="eastAsia" w:ascii="宋体" w:hAnsi="宋体" w:eastAsia="宋体" w:cs="宋体"/>
          <w:color w:val="auto"/>
          <w:spacing w:val="0"/>
          <w:sz w:val="24"/>
          <w:szCs w:val="24"/>
          <w:highlight w:val="none"/>
          <w:u w:val="none"/>
          <w:lang w:val="en-US" w:eastAsia="zh-CN"/>
        </w:rPr>
        <w:t>承诺书》列明之全部公司责任后果，同意无条件向贵司承担连带清偿责任，并同意承担贵司为实现债权而产生的诉讼费、财产保全费、保全担保费、证据保全公证费、律师代理费、差旅费等合理费用</w:t>
      </w:r>
      <w:r>
        <w:rPr>
          <w:rFonts w:hint="default" w:ascii="宋体" w:hAnsi="宋体" w:cs="宋体"/>
          <w:color w:val="auto"/>
          <w:sz w:val="24"/>
          <w:szCs w:val="24"/>
          <w:highlight w:val="none"/>
          <w:u w:val="none"/>
          <w:lang w:val="en-US" w:eastAsia="zh-CN"/>
        </w:rPr>
        <w:t>。</w:t>
      </w:r>
    </w:p>
    <w:p w14:paraId="77BC7D9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特此承诺！</w:t>
      </w:r>
    </w:p>
    <w:p w14:paraId="4832480A">
      <w:pPr>
        <w:pStyle w:val="2"/>
        <w:tabs>
          <w:tab w:val="clear" w:pos="-116"/>
          <w:tab w:val="clear" w:pos="420"/>
        </w:tabs>
        <w:rPr>
          <w:rFonts w:hint="default"/>
          <w:color w:val="auto"/>
          <w:sz w:val="20"/>
          <w:szCs w:val="21"/>
          <w:highlight w:val="none"/>
          <w:lang w:val="en-US" w:eastAsia="zh-CN"/>
        </w:rPr>
      </w:pPr>
      <w:r>
        <w:rPr>
          <w:rFonts w:hint="default"/>
          <w:color w:val="auto"/>
          <w:sz w:val="24"/>
          <w:szCs w:val="24"/>
          <w:highlight w:val="none"/>
          <w:lang w:val="en-US" w:eastAsia="zh-CN"/>
        </w:rPr>
        <w:t>【以下无正文】</w:t>
      </w:r>
    </w:p>
    <w:p w14:paraId="388BFA2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附件：</w:t>
      </w:r>
      <w:r>
        <w:rPr>
          <w:rFonts w:hint="eastAsia" w:ascii="宋体" w:hAnsi="宋体" w:cs="宋体"/>
          <w:color w:val="auto"/>
          <w:sz w:val="24"/>
          <w:szCs w:val="24"/>
          <w:highlight w:val="none"/>
          <w:u w:val="none"/>
          <w:lang w:val="en-US" w:eastAsia="zh-CN"/>
        </w:rPr>
        <w:t>连带清偿责任</w:t>
      </w:r>
      <w:r>
        <w:rPr>
          <w:rFonts w:hint="default" w:ascii="宋体" w:hAnsi="宋体" w:cs="宋体"/>
          <w:color w:val="auto"/>
          <w:sz w:val="24"/>
          <w:szCs w:val="24"/>
          <w:highlight w:val="none"/>
          <w:u w:val="none"/>
          <w:lang w:val="en-US" w:eastAsia="zh-CN"/>
        </w:rPr>
        <w:t>人身份证正反面复印件</w:t>
      </w:r>
    </w:p>
    <w:p w14:paraId="7C245A4E">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cs="宋体"/>
          <w:color w:val="auto"/>
          <w:sz w:val="24"/>
          <w:szCs w:val="24"/>
          <w:highlight w:val="none"/>
          <w:u w:val="none"/>
          <w:lang w:val="en-US" w:eastAsia="zh-CN"/>
        </w:rPr>
      </w:pPr>
    </w:p>
    <w:p w14:paraId="67774438">
      <w:pPr>
        <w:keepNext w:val="0"/>
        <w:keepLines w:val="0"/>
        <w:pageBreakBefore w:val="0"/>
        <w:widowControl w:val="0"/>
        <w:kinsoku/>
        <w:wordWrap/>
        <w:overflowPunct/>
        <w:topLinePunct w:val="0"/>
        <w:autoSpaceDE/>
        <w:autoSpaceDN/>
        <w:bidi w:val="0"/>
        <w:adjustRightInd/>
        <w:snapToGrid/>
        <w:ind w:firstLine="4560" w:firstLineChars="1900"/>
        <w:jc w:val="both"/>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承诺单位（盖章）：×××公司</w:t>
      </w:r>
    </w:p>
    <w:p w14:paraId="245BECB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 xml:space="preserve">                 </w:t>
      </w:r>
      <w:r>
        <w:rPr>
          <w:rFonts w:hint="default"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 xml:space="preserve">        连带清偿责任</w:t>
      </w:r>
      <w:r>
        <w:rPr>
          <w:rFonts w:hint="default" w:ascii="宋体" w:hAnsi="宋体" w:cs="宋体"/>
          <w:color w:val="auto"/>
          <w:sz w:val="24"/>
          <w:szCs w:val="24"/>
          <w:highlight w:val="none"/>
          <w:u w:val="none"/>
          <w:lang w:val="en-US" w:eastAsia="zh-CN"/>
        </w:rPr>
        <w:t>人</w:t>
      </w:r>
      <w:r>
        <w:rPr>
          <w:rFonts w:hint="eastAsia" w:ascii="宋体" w:hAnsi="宋体" w:cs="宋体"/>
          <w:color w:val="auto"/>
          <w:sz w:val="24"/>
          <w:szCs w:val="24"/>
          <w:highlight w:val="none"/>
          <w:u w:val="none"/>
          <w:lang w:val="en-US" w:eastAsia="zh-CN"/>
        </w:rPr>
        <w:t>（签名）</w:t>
      </w:r>
      <w:r>
        <w:rPr>
          <w:rFonts w:hint="default" w:ascii="宋体" w:hAnsi="宋体" w:cs="宋体"/>
          <w:color w:val="auto"/>
          <w:sz w:val="24"/>
          <w:szCs w:val="24"/>
          <w:highlight w:val="none"/>
          <w:u w:val="none"/>
          <w:lang w:val="en-US" w:eastAsia="zh-CN"/>
        </w:rPr>
        <w:t>：</w:t>
      </w:r>
    </w:p>
    <w:p w14:paraId="128CFDA7">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val="0"/>
          <w:color w:val="auto"/>
          <w:sz w:val="40"/>
          <w:szCs w:val="40"/>
          <w:highlight w:val="none"/>
          <w:shd w:val="clear" w:color="auto" w:fill="auto"/>
          <w:lang w:val="en-US" w:eastAsia="zh-CN"/>
        </w:rPr>
      </w:pPr>
      <w:bookmarkStart w:id="557" w:name="_Toc26395"/>
      <w:bookmarkStart w:id="558" w:name="_Toc14126"/>
      <w:r>
        <w:rPr>
          <w:rFonts w:hint="eastAsia" w:ascii="宋体" w:hAnsi="宋体" w:cs="宋体"/>
          <w:color w:val="auto"/>
          <w:sz w:val="24"/>
          <w:szCs w:val="24"/>
          <w:highlight w:val="none"/>
          <w:u w:val="none"/>
          <w:lang w:val="en-US" w:eastAsia="zh-CN"/>
        </w:rPr>
        <w:t xml:space="preserve">                                  </w:t>
      </w:r>
      <w:bookmarkStart w:id="559" w:name="_Toc30954"/>
      <w:r>
        <w:rPr>
          <w:rFonts w:hint="default" w:ascii="宋体" w:hAnsi="宋体" w:cs="宋体"/>
          <w:color w:val="auto"/>
          <w:sz w:val="24"/>
          <w:szCs w:val="24"/>
          <w:highlight w:val="none"/>
          <w:u w:val="none"/>
          <w:lang w:val="en-US" w:eastAsia="zh-CN"/>
        </w:rPr>
        <w:t>日   期：××年××月××日</w:t>
      </w:r>
      <w:bookmarkEnd w:id="557"/>
      <w:bookmarkEnd w:id="558"/>
      <w:bookmarkEnd w:id="559"/>
    </w:p>
    <w:p w14:paraId="36D0EAE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976D4B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60" w:name="_Toc19262"/>
      <w:bookmarkStart w:id="561" w:name="_Toc28080"/>
      <w:bookmarkStart w:id="562" w:name="_Toc2074"/>
      <w:r>
        <w:rPr>
          <w:rFonts w:hint="eastAsia" w:ascii="仿宋" w:hAnsi="仿宋" w:eastAsia="仿宋" w:cs="仿宋"/>
          <w:b/>
          <w:bCs w:val="0"/>
          <w:color w:val="auto"/>
          <w:sz w:val="40"/>
          <w:szCs w:val="40"/>
          <w:highlight w:val="none"/>
          <w:shd w:val="clear" w:color="auto" w:fill="auto"/>
          <w:lang w:val="en-US" w:eastAsia="zh-CN"/>
        </w:rPr>
        <w:t>附件</w:t>
      </w:r>
      <w:bookmarkEnd w:id="543"/>
      <w:bookmarkEnd w:id="544"/>
      <w:bookmarkEnd w:id="545"/>
      <w:r>
        <w:rPr>
          <w:rFonts w:hint="eastAsia" w:ascii="仿宋" w:hAnsi="仿宋" w:eastAsia="仿宋" w:cs="仿宋"/>
          <w:b/>
          <w:bCs w:val="0"/>
          <w:color w:val="auto"/>
          <w:sz w:val="40"/>
          <w:szCs w:val="40"/>
          <w:highlight w:val="none"/>
          <w:shd w:val="clear" w:color="auto" w:fill="auto"/>
          <w:lang w:val="en-US" w:eastAsia="zh-CN"/>
        </w:rPr>
        <w:t>十</w:t>
      </w:r>
      <w:bookmarkEnd w:id="560"/>
      <w:bookmarkEnd w:id="561"/>
      <w:bookmarkEnd w:id="562"/>
      <w:r>
        <w:rPr>
          <w:rFonts w:hint="eastAsia" w:ascii="仿宋" w:hAnsi="仿宋" w:eastAsia="仿宋" w:cs="仿宋"/>
          <w:b/>
          <w:bCs w:val="0"/>
          <w:color w:val="auto"/>
          <w:sz w:val="40"/>
          <w:szCs w:val="40"/>
          <w:highlight w:val="none"/>
          <w:shd w:val="clear" w:color="auto" w:fill="auto"/>
          <w:lang w:val="en-US" w:eastAsia="zh-CN"/>
        </w:rPr>
        <w:t>二</w:t>
      </w:r>
    </w:p>
    <w:p w14:paraId="0D7B5E74">
      <w:pPr>
        <w:ind w:firstLineChars="0"/>
        <w:jc w:val="center"/>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b/>
          <w:bCs w:val="0"/>
          <w:color w:val="auto"/>
          <w:sz w:val="36"/>
          <w:szCs w:val="36"/>
          <w:highlight w:val="none"/>
          <w:shd w:val="clear" w:color="auto" w:fill="auto"/>
          <w:lang w:val="en-US" w:eastAsia="zh-CN"/>
        </w:rPr>
        <w:t>出 险 声 明 函</w:t>
      </w:r>
    </w:p>
    <w:p w14:paraId="2E84C8B3">
      <w:pPr>
        <w:ind w:firstLineChars="0"/>
        <w:jc w:val="center"/>
        <w:rPr>
          <w:rFonts w:hint="eastAsia" w:ascii="仿宋" w:hAnsi="仿宋" w:eastAsia="仿宋" w:cs="仿宋"/>
          <w:b/>
          <w:bCs w:val="0"/>
          <w:color w:val="auto"/>
          <w:sz w:val="36"/>
          <w:szCs w:val="36"/>
          <w:highlight w:val="none"/>
          <w:shd w:val="clear" w:color="auto" w:fill="auto"/>
          <w:lang w:val="en-US" w:eastAsia="zh-CN"/>
        </w:rPr>
      </w:pPr>
    </w:p>
    <w:p w14:paraId="534CB4B3">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p>
    <w:p w14:paraId="5D15BD5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项目（以下简称“本项目”）</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279CAC35">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3A122EB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建立了劳动关系，我司仍按劳动合同承担该员工雇用期间应承担的用人责任。</w:t>
      </w:r>
    </w:p>
    <w:p w14:paraId="35318F5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无论</w:t>
      </w:r>
      <w:r>
        <w:rPr>
          <w:rFonts w:hint="eastAsia" w:ascii="仿宋" w:hAnsi="仿宋" w:eastAsia="仿宋" w:cs="仿宋"/>
          <w:color w:val="auto"/>
          <w:sz w:val="24"/>
          <w:szCs w:val="24"/>
          <w:highlight w:val="none"/>
          <w:shd w:val="clear" w:color="auto" w:fill="auto"/>
        </w:rPr>
        <w:t>社保部门</w:t>
      </w:r>
      <w:r>
        <w:rPr>
          <w:rFonts w:hint="eastAsia" w:ascii="仿宋" w:hAnsi="仿宋" w:eastAsia="仿宋" w:cs="仿宋"/>
          <w:color w:val="auto"/>
          <w:sz w:val="24"/>
          <w:szCs w:val="24"/>
          <w:highlight w:val="none"/>
          <w:shd w:val="clear" w:color="auto" w:fill="auto"/>
          <w:lang w:val="en-US" w:eastAsia="zh-CN"/>
        </w:rPr>
        <w:t>是否</w:t>
      </w:r>
      <w:r>
        <w:rPr>
          <w:rFonts w:hint="eastAsia" w:ascii="仿宋" w:hAnsi="仿宋" w:eastAsia="仿宋" w:cs="仿宋"/>
          <w:color w:val="auto"/>
          <w:sz w:val="24"/>
          <w:szCs w:val="24"/>
          <w:highlight w:val="none"/>
          <w:shd w:val="clear" w:color="auto" w:fill="auto"/>
        </w:rPr>
        <w:t>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w:t>
      </w:r>
      <w:r>
        <w:rPr>
          <w:rFonts w:hint="eastAsia" w:ascii="仿宋" w:hAnsi="仿宋" w:eastAsia="仿宋" w:cs="仿宋"/>
          <w:color w:val="auto"/>
          <w:sz w:val="24"/>
          <w:szCs w:val="24"/>
          <w:highlight w:val="none"/>
          <w:shd w:val="clear" w:color="auto" w:fill="auto"/>
          <w:lang w:val="en-US" w:eastAsia="zh-CN"/>
        </w:rPr>
        <w:t>均</w:t>
      </w:r>
      <w:r>
        <w:rPr>
          <w:rFonts w:hint="eastAsia" w:ascii="仿宋" w:hAnsi="仿宋" w:eastAsia="仿宋" w:cs="仿宋"/>
          <w:color w:val="auto"/>
          <w:sz w:val="24"/>
          <w:szCs w:val="24"/>
          <w:highlight w:val="none"/>
          <w:shd w:val="clear" w:color="auto" w:fill="auto"/>
        </w:rPr>
        <w:t>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w:t>
      </w:r>
      <w:r>
        <w:rPr>
          <w:rFonts w:hint="eastAsia" w:ascii="仿宋" w:hAnsi="仿宋" w:eastAsia="仿宋" w:cs="仿宋"/>
          <w:color w:val="auto"/>
          <w:sz w:val="24"/>
          <w:szCs w:val="24"/>
          <w:highlight w:val="none"/>
          <w:shd w:val="clear" w:color="auto" w:fill="auto"/>
          <w:lang w:val="en-US" w:eastAsia="zh-CN"/>
        </w:rPr>
        <w:t>承担和</w:t>
      </w:r>
      <w:r>
        <w:rPr>
          <w:rFonts w:hint="eastAsia" w:ascii="仿宋" w:hAnsi="仿宋" w:eastAsia="仿宋" w:cs="仿宋"/>
          <w:color w:val="auto"/>
          <w:sz w:val="24"/>
          <w:szCs w:val="24"/>
          <w:highlight w:val="none"/>
          <w:shd w:val="clear" w:color="auto" w:fill="auto"/>
        </w:rPr>
        <w:t>解决。</w:t>
      </w:r>
    </w:p>
    <w:p w14:paraId="6B70CA74">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6D396D15">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390D959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》列明之全部公司责任后果，同意无条件向贵司承担连带清偿责任，并同意承担贵司为实现债权而产生的诉讼费、财产保全费、保全担保费、证据保全公证费、律师代理费、差旅费等合理费用</w:t>
      </w:r>
      <w:r>
        <w:rPr>
          <w:rFonts w:hint="eastAsia" w:ascii="仿宋" w:hAnsi="仿宋" w:eastAsia="仿宋" w:cs="仿宋"/>
          <w:color w:val="auto"/>
          <w:sz w:val="24"/>
          <w:szCs w:val="24"/>
          <w:highlight w:val="none"/>
          <w:shd w:val="clear" w:color="auto" w:fill="auto"/>
          <w:lang w:val="en-US" w:eastAsia="zh-CN"/>
        </w:rPr>
        <w:t>。</w:t>
      </w:r>
    </w:p>
    <w:p w14:paraId="032D15B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40B7B9C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default" w:ascii="仿宋" w:hAnsi="仿宋" w:eastAsia="仿宋" w:cs="仿宋"/>
          <w:color w:val="auto"/>
          <w:spacing w:val="0"/>
          <w:sz w:val="24"/>
          <w:szCs w:val="24"/>
          <w:highlight w:val="none"/>
          <w:shd w:val="clear" w:color="auto" w:fill="auto"/>
          <w:lang w:val="en-US" w:eastAsia="zh-CN"/>
        </w:rPr>
      </w:pPr>
      <w:r>
        <w:rPr>
          <w:rFonts w:hint="default" w:ascii="仿宋" w:hAnsi="仿宋" w:eastAsia="仿宋" w:cs="仿宋"/>
          <w:color w:val="auto"/>
          <w:spacing w:val="0"/>
          <w:sz w:val="24"/>
          <w:szCs w:val="24"/>
          <w:highlight w:val="none"/>
          <w:shd w:val="clear" w:color="auto" w:fill="auto"/>
          <w:lang w:val="en-US" w:eastAsia="zh-CN"/>
        </w:rPr>
        <w:t>附件：</w:t>
      </w:r>
      <w:r>
        <w:rPr>
          <w:rFonts w:hint="eastAsia" w:ascii="仿宋" w:hAnsi="仿宋" w:eastAsia="仿宋" w:cs="仿宋"/>
          <w:color w:val="auto"/>
          <w:spacing w:val="0"/>
          <w:sz w:val="24"/>
          <w:szCs w:val="24"/>
          <w:highlight w:val="none"/>
          <w:shd w:val="clear" w:color="auto" w:fill="auto"/>
          <w:lang w:val="en-US" w:eastAsia="zh-CN"/>
        </w:rPr>
        <w:t>连带清偿责任</w:t>
      </w:r>
      <w:r>
        <w:rPr>
          <w:rFonts w:hint="default" w:ascii="仿宋" w:hAnsi="仿宋" w:eastAsia="仿宋" w:cs="仿宋"/>
          <w:color w:val="auto"/>
          <w:spacing w:val="0"/>
          <w:sz w:val="24"/>
          <w:szCs w:val="24"/>
          <w:highlight w:val="none"/>
          <w:shd w:val="clear" w:color="auto" w:fill="auto"/>
          <w:lang w:val="en-US" w:eastAsia="zh-CN"/>
        </w:rPr>
        <w:t>人身份证正反面复印件</w:t>
      </w:r>
    </w:p>
    <w:p w14:paraId="5CDBBF6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highlight w:val="none"/>
          <w:shd w:val="clear" w:color="auto" w:fill="auto"/>
          <w:lang w:val="en-US" w:eastAsia="zh-CN"/>
        </w:rPr>
      </w:pPr>
    </w:p>
    <w:p w14:paraId="5EDF907C">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声明单位：（全名称并盖公章） </w:t>
      </w:r>
    </w:p>
    <w:p w14:paraId="0F0A39EE">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10DF4903">
      <w:pPr>
        <w:pStyle w:val="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0"/>
          <w:szCs w:val="21"/>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7E859541">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33794EEB">
      <w:pPr>
        <w:keepNext w:val="0"/>
        <w:keepLines w:val="0"/>
        <w:pageBreakBefore w:val="0"/>
        <w:shd w:val="clear" w:color="auto" w:fill="auto"/>
        <w:overflowPunct/>
        <w:topLinePunct w:val="0"/>
        <w:bidi w:val="0"/>
        <w:snapToGrid w:val="0"/>
        <w:spacing w:line="360" w:lineRule="auto"/>
        <w:ind w:firstLineChars="0"/>
        <w:jc w:val="center"/>
        <w:rPr>
          <w:rFonts w:hint="eastAsia" w:ascii="仿宋" w:hAnsi="仿宋" w:eastAsia="仿宋" w:cs="仿宋"/>
          <w:b/>
          <w:bCs/>
          <w:color w:val="auto"/>
          <w:spacing w:val="-2"/>
          <w:sz w:val="40"/>
          <w:szCs w:val="40"/>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r>
        <w:rPr>
          <w:rFonts w:hint="eastAsia" w:ascii="仿宋" w:hAnsi="仿宋" w:eastAsia="仿宋" w:cs="仿宋"/>
          <w:color w:val="auto"/>
          <w:sz w:val="28"/>
          <w:szCs w:val="28"/>
          <w:highlight w:val="none"/>
          <w:shd w:val="clear" w:color="auto" w:fill="auto"/>
          <w:lang w:val="en-US" w:eastAsia="zh-CN"/>
        </w:rPr>
        <w:t xml:space="preserve"> </w:t>
      </w:r>
    </w:p>
    <w:p w14:paraId="71EE7D3B">
      <w:pPr>
        <w:keepNext w:val="0"/>
        <w:keepLines w:val="0"/>
        <w:pageBreakBefore w:val="0"/>
        <w:shd w:val="clear" w:color="auto" w:fill="auto"/>
        <w:overflowPunct/>
        <w:topLinePunct w:val="0"/>
        <w:bidi w:val="0"/>
        <w:snapToGrid w:val="0"/>
        <w:spacing w:line="360" w:lineRule="auto"/>
        <w:ind w:firstLine="3724" w:firstLineChars="1900"/>
        <w:jc w:val="both"/>
        <w:outlineLvl w:val="0"/>
        <w:rPr>
          <w:rFonts w:hint="default" w:ascii="宋体" w:hAnsi="宋体" w:eastAsia="宋体" w:cs="宋体"/>
          <w:color w:val="auto"/>
          <w:spacing w:val="-2"/>
          <w:sz w:val="20"/>
          <w:szCs w:val="20"/>
          <w:highlight w:val="none"/>
          <w:lang w:val="en-US" w:eastAsia="zh-CN"/>
        </w:rPr>
        <w:sectPr>
          <w:pgSz w:w="11906" w:h="16839"/>
          <w:pgMar w:top="1440" w:right="1800" w:bottom="1440" w:left="1800" w:header="0" w:footer="0" w:gutter="0"/>
          <w:pgNumType w:fmt="decimal"/>
          <w:cols w:space="720" w:num="1"/>
        </w:sectPr>
      </w:pPr>
    </w:p>
    <w:p w14:paraId="601729EE">
      <w:pPr>
        <w:keepNext w:val="0"/>
        <w:keepLines w:val="0"/>
        <w:pageBreakBefore w:val="0"/>
        <w:widowControl/>
        <w:shd w:val="clear" w:color="auto" w:fill="auto"/>
        <w:overflowPunct/>
        <w:topLinePunct w:val="0"/>
        <w:bidi w:val="0"/>
        <w:snapToGrid/>
        <w:spacing w:line="240" w:lineRule="auto"/>
        <w:ind w:firstLineChars="0"/>
        <w:jc w:val="right"/>
        <w:outlineLvl w:val="9"/>
        <w:rPr>
          <w:rFonts w:hint="default" w:ascii="仿宋" w:hAnsi="仿宋" w:eastAsia="仿宋" w:cs="仿宋"/>
          <w:b/>
          <w:bCs/>
          <w:color w:val="auto"/>
          <w:sz w:val="36"/>
          <w:szCs w:val="32"/>
          <w:highlight w:val="none"/>
          <w:lang w:val="en-US" w:eastAsia="zh-CN"/>
        </w:rPr>
      </w:pPr>
      <w:r>
        <w:rPr>
          <w:rFonts w:hint="eastAsia" w:ascii="仿宋" w:hAnsi="仿宋" w:eastAsia="仿宋" w:cs="仿宋"/>
          <w:b/>
          <w:bCs/>
          <w:color w:val="auto"/>
          <w:sz w:val="36"/>
          <w:szCs w:val="32"/>
          <w:highlight w:val="none"/>
          <w:lang w:val="en-US" w:eastAsia="zh-CN"/>
        </w:rPr>
        <w:t>附件十三</w:t>
      </w:r>
    </w:p>
    <w:p w14:paraId="0902C655">
      <w:pPr>
        <w:pStyle w:val="2"/>
        <w:spacing w:line="360" w:lineRule="auto"/>
        <w:ind w:firstLine="2168" w:firstLineChars="600"/>
        <w:rPr>
          <w:rFonts w:hint="eastAsia" w:ascii="仿宋" w:hAnsi="仿宋" w:eastAsia="仿宋" w:cs="仿宋"/>
          <w:b/>
          <w:bCs/>
          <w:color w:val="auto"/>
          <w:kern w:val="2"/>
          <w:sz w:val="36"/>
          <w:szCs w:val="32"/>
          <w:highlight w:val="none"/>
          <w:lang w:val="en-US" w:eastAsia="zh-CN" w:bidi="ar-SA"/>
        </w:rPr>
      </w:pPr>
      <w:r>
        <w:rPr>
          <w:rFonts w:hint="eastAsia" w:ascii="仿宋" w:hAnsi="仿宋" w:eastAsia="仿宋" w:cs="仿宋"/>
          <w:b/>
          <w:bCs/>
          <w:color w:val="auto"/>
          <w:kern w:val="2"/>
          <w:sz w:val="36"/>
          <w:szCs w:val="32"/>
          <w:highlight w:val="none"/>
          <w:lang w:val="en-US" w:eastAsia="zh-CN" w:bidi="ar-SA"/>
        </w:rPr>
        <w:t>《甲方项目章样式》</w:t>
      </w:r>
    </w:p>
    <w:p w14:paraId="414D0ED2">
      <w:pPr>
        <w:spacing w:line="360" w:lineRule="auto"/>
        <w:jc w:val="right"/>
        <w:rPr>
          <w:rFonts w:hint="eastAsia" w:ascii="宋体" w:hAnsi="宋体"/>
          <w:b/>
          <w:bCs/>
          <w:color w:val="auto"/>
          <w:sz w:val="36"/>
          <w:szCs w:val="36"/>
          <w:highlight w:val="none"/>
          <w:lang w:val="en-US" w:eastAsia="zh-CN"/>
        </w:rPr>
      </w:pPr>
      <w:r>
        <w:rPr>
          <w:highlight w:val="none"/>
        </w:rPr>
        <w:drawing>
          <wp:inline distT="0" distB="0" distL="114300" distR="114300">
            <wp:extent cx="4733925" cy="33432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4733925" cy="3343275"/>
                    </a:xfrm>
                    <a:prstGeom prst="rect">
                      <a:avLst/>
                    </a:prstGeom>
                    <a:noFill/>
                    <a:ln>
                      <a:noFill/>
                    </a:ln>
                  </pic:spPr>
                </pic:pic>
              </a:graphicData>
            </a:graphic>
          </wp:inline>
        </w:drawing>
      </w:r>
    </w:p>
    <w:p w14:paraId="1F368321">
      <w:pPr>
        <w:pStyle w:val="2"/>
        <w:rPr>
          <w:rFonts w:hint="eastAsia" w:ascii="宋体" w:hAnsi="宋体"/>
          <w:b/>
          <w:bCs/>
          <w:color w:val="auto"/>
          <w:sz w:val="36"/>
          <w:szCs w:val="36"/>
          <w:highlight w:val="none"/>
          <w:lang w:val="en-US" w:eastAsia="zh-CN"/>
        </w:rPr>
      </w:pPr>
    </w:p>
    <w:p w14:paraId="48E662D8">
      <w:pPr>
        <w:pStyle w:val="2"/>
        <w:rPr>
          <w:rFonts w:hint="eastAsia" w:ascii="宋体" w:hAnsi="宋体"/>
          <w:b/>
          <w:bCs/>
          <w:color w:val="auto"/>
          <w:sz w:val="36"/>
          <w:szCs w:val="36"/>
          <w:highlight w:val="none"/>
          <w:lang w:val="en-US" w:eastAsia="zh-CN"/>
        </w:rPr>
      </w:pPr>
    </w:p>
    <w:p w14:paraId="03780AFB">
      <w:pPr>
        <w:pStyle w:val="2"/>
        <w:rPr>
          <w:rFonts w:hint="eastAsia" w:ascii="宋体" w:hAnsi="宋体"/>
          <w:b/>
          <w:bCs/>
          <w:color w:val="auto"/>
          <w:sz w:val="36"/>
          <w:szCs w:val="36"/>
          <w:highlight w:val="none"/>
          <w:lang w:val="en-US" w:eastAsia="zh-CN"/>
        </w:rPr>
      </w:pPr>
    </w:p>
    <w:p w14:paraId="572D297F">
      <w:pPr>
        <w:pStyle w:val="2"/>
        <w:rPr>
          <w:rFonts w:hint="eastAsia" w:ascii="宋体" w:hAnsi="宋体"/>
          <w:b/>
          <w:bCs/>
          <w:color w:val="auto"/>
          <w:sz w:val="36"/>
          <w:szCs w:val="36"/>
          <w:highlight w:val="none"/>
          <w:lang w:val="en-US" w:eastAsia="zh-CN"/>
        </w:rPr>
      </w:pPr>
    </w:p>
    <w:p w14:paraId="0BE2AE66">
      <w:pPr>
        <w:pStyle w:val="2"/>
        <w:rPr>
          <w:rFonts w:hint="eastAsia" w:ascii="宋体" w:hAnsi="宋体"/>
          <w:b/>
          <w:bCs/>
          <w:color w:val="auto"/>
          <w:sz w:val="36"/>
          <w:szCs w:val="36"/>
          <w:highlight w:val="none"/>
          <w:lang w:val="en-US" w:eastAsia="zh-CN"/>
        </w:rPr>
      </w:pPr>
    </w:p>
    <w:p w14:paraId="1486FD12">
      <w:pPr>
        <w:pStyle w:val="2"/>
        <w:rPr>
          <w:rFonts w:hint="eastAsia" w:ascii="宋体" w:hAnsi="宋体"/>
          <w:b/>
          <w:bCs/>
          <w:color w:val="auto"/>
          <w:sz w:val="36"/>
          <w:szCs w:val="36"/>
          <w:highlight w:val="none"/>
          <w:lang w:val="en-US" w:eastAsia="zh-CN"/>
        </w:rPr>
      </w:pPr>
    </w:p>
    <w:p w14:paraId="42695A82">
      <w:pPr>
        <w:pStyle w:val="2"/>
        <w:rPr>
          <w:rFonts w:hint="eastAsia" w:ascii="宋体" w:hAnsi="宋体"/>
          <w:b/>
          <w:bCs/>
          <w:color w:val="auto"/>
          <w:sz w:val="36"/>
          <w:szCs w:val="36"/>
          <w:highlight w:val="none"/>
          <w:lang w:val="en-US" w:eastAsia="zh-CN"/>
        </w:rPr>
      </w:pPr>
    </w:p>
    <w:p w14:paraId="218D269D">
      <w:pPr>
        <w:pStyle w:val="2"/>
        <w:rPr>
          <w:rFonts w:hint="eastAsia" w:ascii="宋体" w:hAnsi="宋体"/>
          <w:b/>
          <w:bCs/>
          <w:color w:val="auto"/>
          <w:sz w:val="36"/>
          <w:szCs w:val="36"/>
          <w:highlight w:val="none"/>
          <w:lang w:val="en-US" w:eastAsia="zh-CN"/>
        </w:rPr>
      </w:pPr>
    </w:p>
    <w:p w14:paraId="1028E361">
      <w:pPr>
        <w:pStyle w:val="2"/>
        <w:rPr>
          <w:rFonts w:hint="eastAsia" w:ascii="宋体" w:hAnsi="宋体"/>
          <w:b/>
          <w:bCs/>
          <w:color w:val="auto"/>
          <w:sz w:val="36"/>
          <w:szCs w:val="36"/>
          <w:highlight w:val="none"/>
          <w:lang w:val="en-US" w:eastAsia="zh-CN"/>
        </w:rPr>
      </w:pPr>
    </w:p>
    <w:p w14:paraId="73FAF0F5">
      <w:pPr>
        <w:pStyle w:val="2"/>
        <w:rPr>
          <w:rFonts w:hint="eastAsia" w:ascii="宋体" w:hAnsi="宋体"/>
          <w:b/>
          <w:bCs/>
          <w:color w:val="auto"/>
          <w:sz w:val="36"/>
          <w:szCs w:val="36"/>
          <w:highlight w:val="none"/>
          <w:lang w:val="en-US" w:eastAsia="zh-CN"/>
        </w:rPr>
      </w:pPr>
    </w:p>
    <w:p w14:paraId="3C0FDBED">
      <w:pPr>
        <w:pStyle w:val="2"/>
        <w:rPr>
          <w:rFonts w:hint="eastAsia" w:ascii="宋体" w:hAnsi="宋体"/>
          <w:b/>
          <w:bCs/>
          <w:color w:val="auto"/>
          <w:sz w:val="36"/>
          <w:szCs w:val="36"/>
          <w:highlight w:val="none"/>
          <w:lang w:val="en-US" w:eastAsia="zh-CN"/>
        </w:rPr>
      </w:pPr>
    </w:p>
    <w:p w14:paraId="6BB65DF1">
      <w:pPr>
        <w:pStyle w:val="2"/>
        <w:rPr>
          <w:rFonts w:hint="eastAsia" w:ascii="宋体" w:hAnsi="宋体"/>
          <w:b/>
          <w:bCs/>
          <w:color w:val="auto"/>
          <w:sz w:val="36"/>
          <w:szCs w:val="36"/>
          <w:highlight w:val="none"/>
          <w:lang w:val="en-US" w:eastAsia="zh-CN"/>
        </w:rPr>
      </w:pPr>
    </w:p>
    <w:p w14:paraId="57CFFACB">
      <w:pPr>
        <w:pStyle w:val="2"/>
        <w:rPr>
          <w:rFonts w:hint="eastAsia" w:ascii="宋体" w:hAnsi="宋体"/>
          <w:b/>
          <w:bCs/>
          <w:color w:val="auto"/>
          <w:sz w:val="36"/>
          <w:szCs w:val="36"/>
          <w:highlight w:val="none"/>
          <w:lang w:val="en-US" w:eastAsia="zh-CN"/>
        </w:rPr>
      </w:pPr>
    </w:p>
    <w:p w14:paraId="100BEBF0">
      <w:pPr>
        <w:pStyle w:val="2"/>
        <w:rPr>
          <w:rFonts w:hint="eastAsia" w:ascii="宋体" w:hAnsi="宋体"/>
          <w:b/>
          <w:bCs/>
          <w:color w:val="auto"/>
          <w:sz w:val="36"/>
          <w:szCs w:val="36"/>
          <w:highlight w:val="none"/>
          <w:lang w:val="en-US" w:eastAsia="zh-CN"/>
        </w:rPr>
      </w:pPr>
    </w:p>
    <w:p w14:paraId="48D4ABBE">
      <w:pPr>
        <w:pStyle w:val="2"/>
        <w:rPr>
          <w:rFonts w:hint="eastAsia" w:ascii="宋体" w:hAnsi="宋体"/>
          <w:b/>
          <w:bCs/>
          <w:color w:val="auto"/>
          <w:sz w:val="36"/>
          <w:szCs w:val="36"/>
          <w:highlight w:val="none"/>
          <w:lang w:val="en-US" w:eastAsia="zh-CN"/>
        </w:rPr>
      </w:pPr>
    </w:p>
    <w:p w14:paraId="3182711C">
      <w:pPr>
        <w:pStyle w:val="2"/>
        <w:rPr>
          <w:rFonts w:hint="eastAsia" w:ascii="宋体" w:hAnsi="宋体"/>
          <w:b/>
          <w:bCs/>
          <w:color w:val="auto"/>
          <w:sz w:val="36"/>
          <w:szCs w:val="36"/>
          <w:highlight w:val="none"/>
          <w:lang w:val="en-US" w:eastAsia="zh-CN"/>
        </w:rPr>
      </w:pPr>
    </w:p>
    <w:p w14:paraId="64DA83BE">
      <w:pPr>
        <w:pStyle w:val="2"/>
        <w:rPr>
          <w:rFonts w:hint="eastAsia" w:ascii="宋体" w:hAnsi="宋体"/>
          <w:b/>
          <w:bCs/>
          <w:color w:val="auto"/>
          <w:sz w:val="36"/>
          <w:szCs w:val="36"/>
          <w:highlight w:val="none"/>
          <w:lang w:val="en-US" w:eastAsia="zh-CN"/>
        </w:rPr>
      </w:pPr>
    </w:p>
    <w:p w14:paraId="67F84713">
      <w:pPr>
        <w:pStyle w:val="2"/>
        <w:rPr>
          <w:rFonts w:hint="eastAsia" w:ascii="宋体" w:hAnsi="宋体"/>
          <w:b/>
          <w:bCs/>
          <w:color w:val="auto"/>
          <w:sz w:val="36"/>
          <w:szCs w:val="36"/>
          <w:highlight w:val="none"/>
          <w:lang w:val="en-US" w:eastAsia="zh-CN"/>
        </w:rPr>
      </w:pPr>
    </w:p>
    <w:p w14:paraId="4144B51C">
      <w:pPr>
        <w:pStyle w:val="2"/>
        <w:rPr>
          <w:rFonts w:hint="eastAsia" w:ascii="宋体" w:hAnsi="宋体"/>
          <w:b/>
          <w:bCs/>
          <w:color w:val="auto"/>
          <w:sz w:val="36"/>
          <w:szCs w:val="36"/>
          <w:highlight w:val="none"/>
          <w:lang w:val="en-US" w:eastAsia="zh-CN"/>
        </w:rPr>
      </w:pPr>
    </w:p>
    <w:p w14:paraId="7BA8B5AC">
      <w:pPr>
        <w:pStyle w:val="2"/>
        <w:rPr>
          <w:rFonts w:hint="eastAsia" w:ascii="宋体" w:hAnsi="宋体"/>
          <w:b/>
          <w:bCs/>
          <w:color w:val="auto"/>
          <w:sz w:val="36"/>
          <w:szCs w:val="36"/>
          <w:highlight w:val="none"/>
          <w:lang w:val="en-US" w:eastAsia="zh-CN"/>
        </w:rPr>
      </w:pPr>
    </w:p>
    <w:p w14:paraId="058D72F3">
      <w:pPr>
        <w:pStyle w:val="2"/>
        <w:rPr>
          <w:rFonts w:hint="eastAsia" w:ascii="宋体" w:hAnsi="宋体"/>
          <w:b/>
          <w:bCs/>
          <w:color w:val="auto"/>
          <w:sz w:val="36"/>
          <w:szCs w:val="36"/>
          <w:highlight w:val="none"/>
          <w:lang w:val="en-US" w:eastAsia="zh-CN"/>
        </w:rPr>
      </w:pPr>
    </w:p>
    <w:p w14:paraId="674B9383">
      <w:pPr>
        <w:pStyle w:val="2"/>
        <w:rPr>
          <w:rFonts w:hint="eastAsia" w:ascii="宋体" w:hAnsi="宋体"/>
          <w:b/>
          <w:bCs/>
          <w:color w:val="auto"/>
          <w:sz w:val="36"/>
          <w:szCs w:val="36"/>
          <w:highlight w:val="none"/>
          <w:lang w:val="en-US" w:eastAsia="zh-CN"/>
        </w:rPr>
      </w:pPr>
    </w:p>
    <w:p w14:paraId="322414CE">
      <w:pPr>
        <w:pStyle w:val="2"/>
        <w:rPr>
          <w:rFonts w:hint="eastAsia" w:ascii="宋体" w:hAnsi="宋体"/>
          <w:b/>
          <w:bCs/>
          <w:color w:val="auto"/>
          <w:sz w:val="36"/>
          <w:szCs w:val="36"/>
          <w:highlight w:val="none"/>
          <w:lang w:val="en-US" w:eastAsia="zh-CN"/>
        </w:rPr>
      </w:pPr>
    </w:p>
    <w:p w14:paraId="0739FCFB">
      <w:pPr>
        <w:pStyle w:val="2"/>
        <w:rPr>
          <w:rFonts w:hint="eastAsia" w:ascii="宋体" w:hAnsi="宋体"/>
          <w:b/>
          <w:bCs/>
          <w:color w:val="auto"/>
          <w:sz w:val="36"/>
          <w:szCs w:val="36"/>
          <w:highlight w:val="none"/>
          <w:lang w:val="en-US" w:eastAsia="zh-CN"/>
        </w:rPr>
      </w:pPr>
    </w:p>
    <w:p w14:paraId="454A1938">
      <w:pPr>
        <w:pStyle w:val="2"/>
        <w:rPr>
          <w:rFonts w:hint="eastAsia" w:ascii="宋体" w:hAnsi="宋体"/>
          <w:b/>
          <w:bCs/>
          <w:color w:val="auto"/>
          <w:sz w:val="36"/>
          <w:szCs w:val="36"/>
          <w:highlight w:val="none"/>
          <w:lang w:val="en-US" w:eastAsia="zh-CN"/>
        </w:rPr>
      </w:pPr>
    </w:p>
    <w:p w14:paraId="7725CC5F">
      <w:pPr>
        <w:pStyle w:val="2"/>
        <w:spacing w:line="360" w:lineRule="auto"/>
        <w:jc w:val="right"/>
        <w:rPr>
          <w:rFonts w:hint="eastAsia" w:ascii="仿宋" w:hAnsi="仿宋" w:eastAsia="仿宋" w:cs="仿宋"/>
          <w:b/>
          <w:bCs/>
          <w:color w:val="auto"/>
          <w:kern w:val="2"/>
          <w:sz w:val="36"/>
          <w:szCs w:val="32"/>
          <w:highlight w:val="none"/>
          <w:lang w:val="en-US" w:eastAsia="zh-CN" w:bidi="ar-SA"/>
        </w:rPr>
      </w:pPr>
      <w:r>
        <w:rPr>
          <w:rFonts w:hint="eastAsia" w:ascii="仿宋" w:hAnsi="仿宋" w:eastAsia="仿宋" w:cs="仿宋"/>
          <w:b/>
          <w:bCs/>
          <w:color w:val="auto"/>
          <w:kern w:val="2"/>
          <w:sz w:val="36"/>
          <w:szCs w:val="32"/>
          <w:highlight w:val="none"/>
          <w:lang w:val="en-US" w:eastAsia="zh-CN" w:bidi="ar-SA"/>
        </w:rPr>
        <w:t>附件十四</w:t>
      </w:r>
    </w:p>
    <w:p w14:paraId="0AF8F59F">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6"/>
          <w:szCs w:val="32"/>
          <w:highlight w:val="none"/>
          <w:lang w:val="en-US" w:eastAsia="zh-CN"/>
        </w:rPr>
      </w:pPr>
      <w:r>
        <w:rPr>
          <w:rFonts w:hint="default" w:ascii="仿宋" w:hAnsi="仿宋" w:eastAsia="仿宋" w:cs="仿宋"/>
          <w:color w:val="auto"/>
          <w:sz w:val="36"/>
          <w:szCs w:val="32"/>
          <w:highlight w:val="none"/>
          <w:lang w:val="en-US" w:eastAsia="zh-CN"/>
        </w:rPr>
        <w:t>乙方资质文件</w:t>
      </w:r>
    </w:p>
    <w:p w14:paraId="6D453C83">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2"/>
          <w:szCs w:val="28"/>
          <w:highlight w:val="none"/>
          <w:lang w:val="en-US" w:eastAsia="zh-CN"/>
        </w:rPr>
      </w:pPr>
      <w:r>
        <w:rPr>
          <w:rFonts w:hint="eastAsia" w:ascii="仿宋" w:hAnsi="仿宋" w:eastAsia="仿宋" w:cs="仿宋"/>
          <w:color w:val="auto"/>
          <w:sz w:val="36"/>
          <w:szCs w:val="32"/>
          <w:highlight w:val="none"/>
          <w:lang w:val="en-US" w:eastAsia="zh-CN"/>
        </w:rPr>
        <w:t>（</w:t>
      </w:r>
      <w:r>
        <w:rPr>
          <w:rFonts w:hint="eastAsia" w:ascii="仿宋" w:hAnsi="仿宋" w:eastAsia="仿宋" w:cs="仿宋"/>
          <w:color w:val="auto"/>
          <w:sz w:val="32"/>
          <w:szCs w:val="28"/>
          <w:highlight w:val="none"/>
          <w:lang w:val="en-US" w:eastAsia="zh-CN"/>
        </w:rPr>
        <w:t>由中标单位提供）</w:t>
      </w:r>
    </w:p>
    <w:p w14:paraId="162971DE">
      <w:pPr>
        <w:pStyle w:val="2"/>
        <w:spacing w:line="360" w:lineRule="auto"/>
        <w:ind w:left="0" w:leftChars="0" w:firstLine="0" w:firstLineChars="0"/>
        <w:rPr>
          <w:rFonts w:hint="eastAsia" w:ascii="宋体" w:hAnsi="宋体"/>
          <w:b/>
          <w:bCs/>
          <w:color w:val="auto"/>
          <w:sz w:val="36"/>
          <w:szCs w:val="36"/>
          <w:highlight w:val="none"/>
          <w:lang w:val="en-US" w:eastAsia="zh-CN"/>
        </w:rPr>
      </w:pPr>
    </w:p>
    <w:sectPr>
      <w:footerReference r:id="rId7" w:type="default"/>
      <w:pgSz w:w="11906" w:h="16838"/>
      <w:pgMar w:top="1440" w:right="1219" w:bottom="952" w:left="1361" w:header="964" w:footer="567" w:gutter="0"/>
      <w:pgBorders>
        <w:top w:val="none" w:sz="0" w:space="0"/>
        <w:left w:val="none" w:sz="0" w:space="0"/>
        <w:bottom w:val="none" w:sz="0" w:space="0"/>
        <w:right w:val="none" w:sz="0" w:space="0"/>
      </w:pgBorders>
      <w:pgNumType w:fmt="decimal"/>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CF67">
    <w:pPr>
      <w:pStyle w:val="10"/>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3EB6">
    <w:pPr>
      <w:pStyle w:val="10"/>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posOffset>2176780</wp:posOffset>
              </wp:positionH>
              <wp:positionV relativeFrom="paragraph">
                <wp:posOffset>-122555</wp:posOffset>
              </wp:positionV>
              <wp:extent cx="1828800" cy="2768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768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1A75D">
                          <w:pPr>
                            <w:pStyle w:val="10"/>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67</w:t>
                          </w:r>
                          <w:r>
                            <w:t xml:space="preserve"> 页</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1.4pt;margin-top:-9.65pt;height:21.8pt;width:144pt;mso-position-horizontal-relative:margin;mso-wrap-style:none;z-index:251660288;mso-width-relative:page;mso-height-relative:page;" filled="f" stroked="f" coordsize="21600,21600" o:gfxdata="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b0qYNoAAAAKAQAADwAAAAAAAAABACAAAAAiAAAAZHJzL2Rvd25yZXYu&#10;eG1sUEsBAhQAFAAAAAgAh07iQH6nj2wyAgAAYAQAAA4AAAAAAAAAAQAgAAAAKQEAAGRycy9lMm9E&#10;b2MueG1sUEsFBgAAAAAGAAYAWQEAAM0FAAAAAA==&#10;">
              <v:fill on="f" focussize="0,0"/>
              <v:stroke on="f" weight="0.5pt"/>
              <v:imagedata o:title=""/>
              <o:lock v:ext="edit" aspectratio="f"/>
              <v:textbox inset="0mm,0mm,0mm,0mm">
                <w:txbxContent>
                  <w:p w14:paraId="3D01A75D">
                    <w:pPr>
                      <w:pStyle w:val="10"/>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67</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714B">
    <w:pPr>
      <w:pStyle w:val="10"/>
      <w:jc w:val="center"/>
      <w:rPr>
        <w:rFonts w:hint="default"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0317">
    <w:pPr>
      <w:pStyle w:val="10"/>
    </w:pPr>
  </w:p>
  <w:p w14:paraId="2337984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9D21">
    <w:pPr>
      <w:pStyle w:val="11"/>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6E733"/>
    <w:multiLevelType w:val="singleLevel"/>
    <w:tmpl w:val="AA26E733"/>
    <w:lvl w:ilvl="0" w:tentative="0">
      <w:start w:val="1"/>
      <w:numFmt w:val="chineseCounting"/>
      <w:suff w:val="space"/>
      <w:lvlText w:val="第%1部分"/>
      <w:lvlJc w:val="left"/>
      <w:rPr>
        <w:rFonts w:hint="eastAsia"/>
      </w:rPr>
    </w:lvl>
  </w:abstractNum>
  <w:abstractNum w:abstractNumId="1">
    <w:nsid w:val="EF8D7EDD"/>
    <w:multiLevelType w:val="singleLevel"/>
    <w:tmpl w:val="EF8D7EDD"/>
    <w:lvl w:ilvl="0" w:tentative="0">
      <w:start w:val="1"/>
      <w:numFmt w:val="chineseCounting"/>
      <w:suff w:val="nothing"/>
      <w:lvlText w:val="%1、"/>
      <w:lvlJc w:val="left"/>
      <w:rPr>
        <w:rFonts w:hint="eastAsia"/>
      </w:rPr>
    </w:lvl>
  </w:abstractNum>
  <w:abstractNum w:abstractNumId="2">
    <w:nsid w:val="0EC079B0"/>
    <w:multiLevelType w:val="singleLevel"/>
    <w:tmpl w:val="0EC079B0"/>
    <w:lvl w:ilvl="0" w:tentative="0">
      <w:start w:val="1"/>
      <w:numFmt w:val="decimal"/>
      <w:suff w:val="nothing"/>
      <w:lvlText w:val="%1、"/>
      <w:lvlJc w:val="left"/>
    </w:lvl>
  </w:abstractNum>
  <w:abstractNum w:abstractNumId="3">
    <w:nsid w:val="31177768"/>
    <w:multiLevelType w:val="singleLevel"/>
    <w:tmpl w:val="31177768"/>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4d2d2c19-2bac-4550-9f42-f9e7ae11fa64"/>
  </w:docVars>
  <w:rsids>
    <w:rsidRoot w:val="00172A27"/>
    <w:rsid w:val="000118A6"/>
    <w:rsid w:val="00014E71"/>
    <w:rsid w:val="00070351"/>
    <w:rsid w:val="00190047"/>
    <w:rsid w:val="00203180"/>
    <w:rsid w:val="00203CC0"/>
    <w:rsid w:val="00213CF6"/>
    <w:rsid w:val="002F4A2B"/>
    <w:rsid w:val="00387CA6"/>
    <w:rsid w:val="003F5F2A"/>
    <w:rsid w:val="005373E8"/>
    <w:rsid w:val="0054705E"/>
    <w:rsid w:val="00592882"/>
    <w:rsid w:val="006730BA"/>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62CC9"/>
    <w:rsid w:val="00DF5360"/>
    <w:rsid w:val="00E1609D"/>
    <w:rsid w:val="00E178E3"/>
    <w:rsid w:val="00ED202F"/>
    <w:rsid w:val="011E0CCE"/>
    <w:rsid w:val="013730A5"/>
    <w:rsid w:val="0147153B"/>
    <w:rsid w:val="015765E3"/>
    <w:rsid w:val="01813F60"/>
    <w:rsid w:val="01B5752C"/>
    <w:rsid w:val="01B6046E"/>
    <w:rsid w:val="01BF37C7"/>
    <w:rsid w:val="01C04E49"/>
    <w:rsid w:val="01D26D8C"/>
    <w:rsid w:val="021C600F"/>
    <w:rsid w:val="022C24DE"/>
    <w:rsid w:val="02391BF0"/>
    <w:rsid w:val="024C0DD3"/>
    <w:rsid w:val="024C15C8"/>
    <w:rsid w:val="024E1742"/>
    <w:rsid w:val="024F7C95"/>
    <w:rsid w:val="02587777"/>
    <w:rsid w:val="025A34EF"/>
    <w:rsid w:val="02820350"/>
    <w:rsid w:val="02854A8C"/>
    <w:rsid w:val="028873DB"/>
    <w:rsid w:val="02994018"/>
    <w:rsid w:val="029D34AA"/>
    <w:rsid w:val="02A9480A"/>
    <w:rsid w:val="02B63659"/>
    <w:rsid w:val="02BF77F6"/>
    <w:rsid w:val="02D55869"/>
    <w:rsid w:val="02D768EE"/>
    <w:rsid w:val="02D97708"/>
    <w:rsid w:val="02DA1F3A"/>
    <w:rsid w:val="02E1776D"/>
    <w:rsid w:val="02FC0103"/>
    <w:rsid w:val="02FE1B0B"/>
    <w:rsid w:val="033E696D"/>
    <w:rsid w:val="03630182"/>
    <w:rsid w:val="036D65A5"/>
    <w:rsid w:val="03800D34"/>
    <w:rsid w:val="0425389D"/>
    <w:rsid w:val="0433174A"/>
    <w:rsid w:val="04332207"/>
    <w:rsid w:val="04340622"/>
    <w:rsid w:val="04365011"/>
    <w:rsid w:val="04910D1F"/>
    <w:rsid w:val="049F343C"/>
    <w:rsid w:val="04AB1DE0"/>
    <w:rsid w:val="04B35139"/>
    <w:rsid w:val="04C93D27"/>
    <w:rsid w:val="04CE3287"/>
    <w:rsid w:val="04D53318"/>
    <w:rsid w:val="04DA0918"/>
    <w:rsid w:val="04DF3C4E"/>
    <w:rsid w:val="04E6106A"/>
    <w:rsid w:val="04E77D7D"/>
    <w:rsid w:val="04EB042F"/>
    <w:rsid w:val="04FB43BE"/>
    <w:rsid w:val="04FB7762"/>
    <w:rsid w:val="04FF3EDA"/>
    <w:rsid w:val="050128A7"/>
    <w:rsid w:val="051C4A8C"/>
    <w:rsid w:val="052027CE"/>
    <w:rsid w:val="05216546"/>
    <w:rsid w:val="052B1173"/>
    <w:rsid w:val="053022E6"/>
    <w:rsid w:val="05657FDC"/>
    <w:rsid w:val="056A3E8B"/>
    <w:rsid w:val="056B1570"/>
    <w:rsid w:val="059B1E55"/>
    <w:rsid w:val="05A101F3"/>
    <w:rsid w:val="05AB5E10"/>
    <w:rsid w:val="05D56967"/>
    <w:rsid w:val="05E732EC"/>
    <w:rsid w:val="05FA2136"/>
    <w:rsid w:val="06530982"/>
    <w:rsid w:val="06706AD8"/>
    <w:rsid w:val="06935222"/>
    <w:rsid w:val="06976105"/>
    <w:rsid w:val="069A0217"/>
    <w:rsid w:val="069A127C"/>
    <w:rsid w:val="06A66D03"/>
    <w:rsid w:val="06D31393"/>
    <w:rsid w:val="06DC2F7F"/>
    <w:rsid w:val="06ED4932"/>
    <w:rsid w:val="06F832D7"/>
    <w:rsid w:val="071716FC"/>
    <w:rsid w:val="07181283"/>
    <w:rsid w:val="073F4A62"/>
    <w:rsid w:val="07513FB1"/>
    <w:rsid w:val="07580BE5"/>
    <w:rsid w:val="075D56E6"/>
    <w:rsid w:val="076A3F72"/>
    <w:rsid w:val="07740BAF"/>
    <w:rsid w:val="077B728A"/>
    <w:rsid w:val="07861337"/>
    <w:rsid w:val="07B436A2"/>
    <w:rsid w:val="07B9513E"/>
    <w:rsid w:val="07C02047"/>
    <w:rsid w:val="07CA0CD8"/>
    <w:rsid w:val="07E13D6B"/>
    <w:rsid w:val="07E31891"/>
    <w:rsid w:val="07F41CF0"/>
    <w:rsid w:val="07F61040"/>
    <w:rsid w:val="07FC5C21"/>
    <w:rsid w:val="081B54CF"/>
    <w:rsid w:val="081B70BC"/>
    <w:rsid w:val="083A6C4A"/>
    <w:rsid w:val="084C1E76"/>
    <w:rsid w:val="085547A4"/>
    <w:rsid w:val="085C7B8E"/>
    <w:rsid w:val="08803584"/>
    <w:rsid w:val="089112ED"/>
    <w:rsid w:val="08A6123D"/>
    <w:rsid w:val="08B22867"/>
    <w:rsid w:val="08B374B6"/>
    <w:rsid w:val="08BC34BB"/>
    <w:rsid w:val="08D04EA3"/>
    <w:rsid w:val="08D1580F"/>
    <w:rsid w:val="08F24A3C"/>
    <w:rsid w:val="08F77022"/>
    <w:rsid w:val="08FA1588"/>
    <w:rsid w:val="090207D6"/>
    <w:rsid w:val="09253F1B"/>
    <w:rsid w:val="09540E06"/>
    <w:rsid w:val="096F25FF"/>
    <w:rsid w:val="09757AB5"/>
    <w:rsid w:val="09760B9C"/>
    <w:rsid w:val="0982711F"/>
    <w:rsid w:val="099A1CCF"/>
    <w:rsid w:val="09A56C91"/>
    <w:rsid w:val="09A82D92"/>
    <w:rsid w:val="09C46844"/>
    <w:rsid w:val="09C94AB7"/>
    <w:rsid w:val="09E22A5D"/>
    <w:rsid w:val="09E87633"/>
    <w:rsid w:val="09FB1114"/>
    <w:rsid w:val="09FB55B8"/>
    <w:rsid w:val="09FB7366"/>
    <w:rsid w:val="09FC6C3A"/>
    <w:rsid w:val="09FF6F98"/>
    <w:rsid w:val="0A2118B5"/>
    <w:rsid w:val="0A454A85"/>
    <w:rsid w:val="0A5922DF"/>
    <w:rsid w:val="0A60366D"/>
    <w:rsid w:val="0A63052F"/>
    <w:rsid w:val="0A7964DD"/>
    <w:rsid w:val="0A9A5DF0"/>
    <w:rsid w:val="0ACE6829"/>
    <w:rsid w:val="0AD62B48"/>
    <w:rsid w:val="0AFA3582"/>
    <w:rsid w:val="0B295234"/>
    <w:rsid w:val="0B3C1D27"/>
    <w:rsid w:val="0B70650A"/>
    <w:rsid w:val="0B7A69B0"/>
    <w:rsid w:val="0BAE21B6"/>
    <w:rsid w:val="0BB93035"/>
    <w:rsid w:val="0BD92D6E"/>
    <w:rsid w:val="0BD95485"/>
    <w:rsid w:val="0BDB7D38"/>
    <w:rsid w:val="0BE710E9"/>
    <w:rsid w:val="0BFE2BC2"/>
    <w:rsid w:val="0C05086F"/>
    <w:rsid w:val="0C125258"/>
    <w:rsid w:val="0C177688"/>
    <w:rsid w:val="0C1D2B00"/>
    <w:rsid w:val="0C4D2770"/>
    <w:rsid w:val="0C7D1CC6"/>
    <w:rsid w:val="0C9B273A"/>
    <w:rsid w:val="0C9E1B7C"/>
    <w:rsid w:val="0CBC5C8A"/>
    <w:rsid w:val="0CC04DC6"/>
    <w:rsid w:val="0CC9374C"/>
    <w:rsid w:val="0CCA5228"/>
    <w:rsid w:val="0CE1709F"/>
    <w:rsid w:val="0CF72B0B"/>
    <w:rsid w:val="0D006A41"/>
    <w:rsid w:val="0D0522AA"/>
    <w:rsid w:val="0D077DD0"/>
    <w:rsid w:val="0D186481"/>
    <w:rsid w:val="0D3F756A"/>
    <w:rsid w:val="0D4536A9"/>
    <w:rsid w:val="0D723345"/>
    <w:rsid w:val="0D8B6C53"/>
    <w:rsid w:val="0D9553DC"/>
    <w:rsid w:val="0D957AA0"/>
    <w:rsid w:val="0D964F5E"/>
    <w:rsid w:val="0DAE068F"/>
    <w:rsid w:val="0DAE649D"/>
    <w:rsid w:val="0DB27958"/>
    <w:rsid w:val="0DB674E5"/>
    <w:rsid w:val="0DBB3044"/>
    <w:rsid w:val="0DD51C7C"/>
    <w:rsid w:val="0DD56120"/>
    <w:rsid w:val="0DD63101"/>
    <w:rsid w:val="0DD95C10"/>
    <w:rsid w:val="0DF51C0D"/>
    <w:rsid w:val="0DFE67C9"/>
    <w:rsid w:val="0E060087"/>
    <w:rsid w:val="0E095624"/>
    <w:rsid w:val="0E0D6E79"/>
    <w:rsid w:val="0E2055ED"/>
    <w:rsid w:val="0E236E8B"/>
    <w:rsid w:val="0E40102B"/>
    <w:rsid w:val="0E4741D7"/>
    <w:rsid w:val="0E4806A0"/>
    <w:rsid w:val="0E5205B9"/>
    <w:rsid w:val="0E575B4B"/>
    <w:rsid w:val="0E753A46"/>
    <w:rsid w:val="0E8573E3"/>
    <w:rsid w:val="0EA63619"/>
    <w:rsid w:val="0EC341CA"/>
    <w:rsid w:val="0ECA37AB"/>
    <w:rsid w:val="0ED41876"/>
    <w:rsid w:val="0EDD34DE"/>
    <w:rsid w:val="0EEA4147"/>
    <w:rsid w:val="0EFD148A"/>
    <w:rsid w:val="0F3050A6"/>
    <w:rsid w:val="0F465E76"/>
    <w:rsid w:val="0F706264"/>
    <w:rsid w:val="0F77363A"/>
    <w:rsid w:val="0F9A1418"/>
    <w:rsid w:val="0FA17752"/>
    <w:rsid w:val="0FB22358"/>
    <w:rsid w:val="0FB436F8"/>
    <w:rsid w:val="0FDC5544"/>
    <w:rsid w:val="10352EA6"/>
    <w:rsid w:val="108674CF"/>
    <w:rsid w:val="10922D88"/>
    <w:rsid w:val="109E0A4B"/>
    <w:rsid w:val="10A145F0"/>
    <w:rsid w:val="10A14840"/>
    <w:rsid w:val="10A23752"/>
    <w:rsid w:val="10D80992"/>
    <w:rsid w:val="10DE353E"/>
    <w:rsid w:val="111C5903"/>
    <w:rsid w:val="11243FFF"/>
    <w:rsid w:val="113718BF"/>
    <w:rsid w:val="11407F98"/>
    <w:rsid w:val="11557E4D"/>
    <w:rsid w:val="11565855"/>
    <w:rsid w:val="11665A0D"/>
    <w:rsid w:val="1188642D"/>
    <w:rsid w:val="11D01CF9"/>
    <w:rsid w:val="11E73B79"/>
    <w:rsid w:val="11EB7CC0"/>
    <w:rsid w:val="12077CFA"/>
    <w:rsid w:val="121B43BF"/>
    <w:rsid w:val="12271A49"/>
    <w:rsid w:val="122907E8"/>
    <w:rsid w:val="124205D1"/>
    <w:rsid w:val="125C6E10"/>
    <w:rsid w:val="12635AA8"/>
    <w:rsid w:val="12696E37"/>
    <w:rsid w:val="126E62DF"/>
    <w:rsid w:val="127952CC"/>
    <w:rsid w:val="12821CDA"/>
    <w:rsid w:val="12A30FD7"/>
    <w:rsid w:val="12AA36D7"/>
    <w:rsid w:val="12CD386A"/>
    <w:rsid w:val="12E65BDA"/>
    <w:rsid w:val="12F901BB"/>
    <w:rsid w:val="130F3E82"/>
    <w:rsid w:val="1314690F"/>
    <w:rsid w:val="13165211"/>
    <w:rsid w:val="132E143F"/>
    <w:rsid w:val="13471AD0"/>
    <w:rsid w:val="134753CA"/>
    <w:rsid w:val="134C478E"/>
    <w:rsid w:val="13781A27"/>
    <w:rsid w:val="13826402"/>
    <w:rsid w:val="13845E89"/>
    <w:rsid w:val="13877EBC"/>
    <w:rsid w:val="13985C26"/>
    <w:rsid w:val="13B14F39"/>
    <w:rsid w:val="14092680"/>
    <w:rsid w:val="14301B15"/>
    <w:rsid w:val="14564D5E"/>
    <w:rsid w:val="14661880"/>
    <w:rsid w:val="14726477"/>
    <w:rsid w:val="14870CC8"/>
    <w:rsid w:val="1492781C"/>
    <w:rsid w:val="1499025C"/>
    <w:rsid w:val="149B6797"/>
    <w:rsid w:val="14B678F8"/>
    <w:rsid w:val="14C41530"/>
    <w:rsid w:val="14E07884"/>
    <w:rsid w:val="14F15522"/>
    <w:rsid w:val="150337D5"/>
    <w:rsid w:val="1504174F"/>
    <w:rsid w:val="1518317C"/>
    <w:rsid w:val="152135DE"/>
    <w:rsid w:val="152F6751"/>
    <w:rsid w:val="15447338"/>
    <w:rsid w:val="1553452D"/>
    <w:rsid w:val="15542020"/>
    <w:rsid w:val="156F29B6"/>
    <w:rsid w:val="157E0E4B"/>
    <w:rsid w:val="158263AD"/>
    <w:rsid w:val="158F501B"/>
    <w:rsid w:val="159452FD"/>
    <w:rsid w:val="15A9794A"/>
    <w:rsid w:val="15AD02EC"/>
    <w:rsid w:val="15B036FB"/>
    <w:rsid w:val="15B14B22"/>
    <w:rsid w:val="15BA33B1"/>
    <w:rsid w:val="15BD652E"/>
    <w:rsid w:val="15CD0276"/>
    <w:rsid w:val="15E16D7A"/>
    <w:rsid w:val="15E46F00"/>
    <w:rsid w:val="15FE0734"/>
    <w:rsid w:val="16041350"/>
    <w:rsid w:val="16151C72"/>
    <w:rsid w:val="161A23FF"/>
    <w:rsid w:val="161F43DC"/>
    <w:rsid w:val="16290B92"/>
    <w:rsid w:val="16297009"/>
    <w:rsid w:val="16411B20"/>
    <w:rsid w:val="165C2217"/>
    <w:rsid w:val="167069E6"/>
    <w:rsid w:val="167D7D71"/>
    <w:rsid w:val="168406E3"/>
    <w:rsid w:val="169C3C7F"/>
    <w:rsid w:val="16A3500D"/>
    <w:rsid w:val="16B36AE1"/>
    <w:rsid w:val="16C15493"/>
    <w:rsid w:val="16E42F30"/>
    <w:rsid w:val="16ED4897"/>
    <w:rsid w:val="16FE0496"/>
    <w:rsid w:val="171063B0"/>
    <w:rsid w:val="172A0C99"/>
    <w:rsid w:val="174C7453"/>
    <w:rsid w:val="175C51BC"/>
    <w:rsid w:val="1771684E"/>
    <w:rsid w:val="17746D9B"/>
    <w:rsid w:val="17822E75"/>
    <w:rsid w:val="179A1DCD"/>
    <w:rsid w:val="17A15E0B"/>
    <w:rsid w:val="17AF1790"/>
    <w:rsid w:val="17DE3E23"/>
    <w:rsid w:val="17E01616"/>
    <w:rsid w:val="17E53404"/>
    <w:rsid w:val="17EC5092"/>
    <w:rsid w:val="17FB46B3"/>
    <w:rsid w:val="1811244B"/>
    <w:rsid w:val="18187335"/>
    <w:rsid w:val="181D494B"/>
    <w:rsid w:val="183C2E3A"/>
    <w:rsid w:val="183D3240"/>
    <w:rsid w:val="18416A30"/>
    <w:rsid w:val="186E09C7"/>
    <w:rsid w:val="18937310"/>
    <w:rsid w:val="189E4F3F"/>
    <w:rsid w:val="18A60E70"/>
    <w:rsid w:val="18F224FA"/>
    <w:rsid w:val="18FC77C6"/>
    <w:rsid w:val="190D49C0"/>
    <w:rsid w:val="191D4341"/>
    <w:rsid w:val="19206CA1"/>
    <w:rsid w:val="19265A82"/>
    <w:rsid w:val="1938288F"/>
    <w:rsid w:val="19397AAF"/>
    <w:rsid w:val="194406F3"/>
    <w:rsid w:val="19593CDE"/>
    <w:rsid w:val="19597C05"/>
    <w:rsid w:val="195C7136"/>
    <w:rsid w:val="197762DD"/>
    <w:rsid w:val="19786A87"/>
    <w:rsid w:val="198B5F6F"/>
    <w:rsid w:val="19A05834"/>
    <w:rsid w:val="19A1648E"/>
    <w:rsid w:val="19B1359D"/>
    <w:rsid w:val="19B24E93"/>
    <w:rsid w:val="19B25567"/>
    <w:rsid w:val="19B7455F"/>
    <w:rsid w:val="19DB4ABE"/>
    <w:rsid w:val="1A015E61"/>
    <w:rsid w:val="1A0667DD"/>
    <w:rsid w:val="1A1B00A3"/>
    <w:rsid w:val="1A366BD3"/>
    <w:rsid w:val="1A402B73"/>
    <w:rsid w:val="1A903AFB"/>
    <w:rsid w:val="1AA475A6"/>
    <w:rsid w:val="1AAA6863"/>
    <w:rsid w:val="1AC11F06"/>
    <w:rsid w:val="1ACC0721"/>
    <w:rsid w:val="1B022F94"/>
    <w:rsid w:val="1B310517"/>
    <w:rsid w:val="1B3C1FFD"/>
    <w:rsid w:val="1B4E306E"/>
    <w:rsid w:val="1B9118D8"/>
    <w:rsid w:val="1BA16335"/>
    <w:rsid w:val="1BA57132"/>
    <w:rsid w:val="1BA6218E"/>
    <w:rsid w:val="1BAD5FE6"/>
    <w:rsid w:val="1BB13D28"/>
    <w:rsid w:val="1BDF0508"/>
    <w:rsid w:val="1BE177E6"/>
    <w:rsid w:val="1BEE6D2B"/>
    <w:rsid w:val="1BF5598D"/>
    <w:rsid w:val="1C116575"/>
    <w:rsid w:val="1C17299D"/>
    <w:rsid w:val="1C305105"/>
    <w:rsid w:val="1C4A1A87"/>
    <w:rsid w:val="1C547B70"/>
    <w:rsid w:val="1C700BEF"/>
    <w:rsid w:val="1C7B17FA"/>
    <w:rsid w:val="1C896A53"/>
    <w:rsid w:val="1C972259"/>
    <w:rsid w:val="1C9D20E2"/>
    <w:rsid w:val="1CA05B4B"/>
    <w:rsid w:val="1CB11B06"/>
    <w:rsid w:val="1CBF2781"/>
    <w:rsid w:val="1CC306E9"/>
    <w:rsid w:val="1CD70D11"/>
    <w:rsid w:val="1CD77F0A"/>
    <w:rsid w:val="1CDF09E4"/>
    <w:rsid w:val="1CF42E6E"/>
    <w:rsid w:val="1CF70848"/>
    <w:rsid w:val="1D085BCA"/>
    <w:rsid w:val="1D104A7F"/>
    <w:rsid w:val="1D1074B6"/>
    <w:rsid w:val="1D444728"/>
    <w:rsid w:val="1D7711E5"/>
    <w:rsid w:val="1D8D5398"/>
    <w:rsid w:val="1DBC3B3C"/>
    <w:rsid w:val="1DC36C05"/>
    <w:rsid w:val="1DD26A50"/>
    <w:rsid w:val="1DDA0EB6"/>
    <w:rsid w:val="1DEB0CCB"/>
    <w:rsid w:val="1DEB3343"/>
    <w:rsid w:val="1DFB128B"/>
    <w:rsid w:val="1E052B8D"/>
    <w:rsid w:val="1E0D7210"/>
    <w:rsid w:val="1E641526"/>
    <w:rsid w:val="1E67154A"/>
    <w:rsid w:val="1E6B19BE"/>
    <w:rsid w:val="1E854FF8"/>
    <w:rsid w:val="1E8A02A3"/>
    <w:rsid w:val="1E933BB9"/>
    <w:rsid w:val="1EC73863"/>
    <w:rsid w:val="1ECE2E43"/>
    <w:rsid w:val="1EE518CA"/>
    <w:rsid w:val="1EF1268E"/>
    <w:rsid w:val="1EFE4EDD"/>
    <w:rsid w:val="1F026649"/>
    <w:rsid w:val="1F1464D9"/>
    <w:rsid w:val="1F176598"/>
    <w:rsid w:val="1F417171"/>
    <w:rsid w:val="1F437CC6"/>
    <w:rsid w:val="1F444EB4"/>
    <w:rsid w:val="1F470500"/>
    <w:rsid w:val="1F4F074B"/>
    <w:rsid w:val="1F5A6485"/>
    <w:rsid w:val="1F6A582A"/>
    <w:rsid w:val="1F881E32"/>
    <w:rsid w:val="1F8D23B7"/>
    <w:rsid w:val="1FB45B95"/>
    <w:rsid w:val="1FC3519E"/>
    <w:rsid w:val="1FDB4E0E"/>
    <w:rsid w:val="1FF57B15"/>
    <w:rsid w:val="202076CF"/>
    <w:rsid w:val="202D3B9A"/>
    <w:rsid w:val="20305F21"/>
    <w:rsid w:val="203B14E3"/>
    <w:rsid w:val="203B28A1"/>
    <w:rsid w:val="204A474C"/>
    <w:rsid w:val="20542ED4"/>
    <w:rsid w:val="2063580D"/>
    <w:rsid w:val="20644136"/>
    <w:rsid w:val="20695B32"/>
    <w:rsid w:val="207B343E"/>
    <w:rsid w:val="20801F1B"/>
    <w:rsid w:val="20914128"/>
    <w:rsid w:val="20994D8B"/>
    <w:rsid w:val="20B35E4D"/>
    <w:rsid w:val="20BB73F7"/>
    <w:rsid w:val="20CF6A27"/>
    <w:rsid w:val="20D364EF"/>
    <w:rsid w:val="20DB1848"/>
    <w:rsid w:val="20DE6C42"/>
    <w:rsid w:val="20E95E3C"/>
    <w:rsid w:val="20EF2BFD"/>
    <w:rsid w:val="21260D15"/>
    <w:rsid w:val="212C2C54"/>
    <w:rsid w:val="212C428E"/>
    <w:rsid w:val="2144119B"/>
    <w:rsid w:val="215D109F"/>
    <w:rsid w:val="215E090F"/>
    <w:rsid w:val="21613AFB"/>
    <w:rsid w:val="2164771A"/>
    <w:rsid w:val="216A13BE"/>
    <w:rsid w:val="21735A99"/>
    <w:rsid w:val="2177331E"/>
    <w:rsid w:val="21837F15"/>
    <w:rsid w:val="219A78C7"/>
    <w:rsid w:val="21A8557E"/>
    <w:rsid w:val="21CE3BBD"/>
    <w:rsid w:val="21D02A2F"/>
    <w:rsid w:val="21E9116B"/>
    <w:rsid w:val="22095481"/>
    <w:rsid w:val="220B1CB9"/>
    <w:rsid w:val="220F05CF"/>
    <w:rsid w:val="22205764"/>
    <w:rsid w:val="225275BA"/>
    <w:rsid w:val="225E003A"/>
    <w:rsid w:val="226435EE"/>
    <w:rsid w:val="227B299A"/>
    <w:rsid w:val="227E692E"/>
    <w:rsid w:val="228E4923"/>
    <w:rsid w:val="228F6446"/>
    <w:rsid w:val="22910410"/>
    <w:rsid w:val="22AE65BE"/>
    <w:rsid w:val="22B63195"/>
    <w:rsid w:val="22E5250A"/>
    <w:rsid w:val="22F369D5"/>
    <w:rsid w:val="22F616B5"/>
    <w:rsid w:val="22FD0E5C"/>
    <w:rsid w:val="230778C7"/>
    <w:rsid w:val="231A510B"/>
    <w:rsid w:val="23331187"/>
    <w:rsid w:val="235F406A"/>
    <w:rsid w:val="236A7616"/>
    <w:rsid w:val="236F7F68"/>
    <w:rsid w:val="2374647C"/>
    <w:rsid w:val="237C3267"/>
    <w:rsid w:val="23A21A79"/>
    <w:rsid w:val="23BA06E3"/>
    <w:rsid w:val="23BC326A"/>
    <w:rsid w:val="23BD72DF"/>
    <w:rsid w:val="23DA1E7B"/>
    <w:rsid w:val="23E629DD"/>
    <w:rsid w:val="23E7405F"/>
    <w:rsid w:val="23EA5501"/>
    <w:rsid w:val="24156E1F"/>
    <w:rsid w:val="243E45C7"/>
    <w:rsid w:val="24520376"/>
    <w:rsid w:val="2475240E"/>
    <w:rsid w:val="247955FF"/>
    <w:rsid w:val="24961E78"/>
    <w:rsid w:val="249D12EE"/>
    <w:rsid w:val="24AD7F46"/>
    <w:rsid w:val="24B56686"/>
    <w:rsid w:val="24D03199"/>
    <w:rsid w:val="24D665AE"/>
    <w:rsid w:val="24F86524"/>
    <w:rsid w:val="250352FA"/>
    <w:rsid w:val="25201F1F"/>
    <w:rsid w:val="252A1881"/>
    <w:rsid w:val="254C15F2"/>
    <w:rsid w:val="256A6BDA"/>
    <w:rsid w:val="256D22AD"/>
    <w:rsid w:val="256E456D"/>
    <w:rsid w:val="258A399C"/>
    <w:rsid w:val="25B34B41"/>
    <w:rsid w:val="25F92D3E"/>
    <w:rsid w:val="26037A3A"/>
    <w:rsid w:val="26086C3B"/>
    <w:rsid w:val="261920D8"/>
    <w:rsid w:val="261B0492"/>
    <w:rsid w:val="26215F4F"/>
    <w:rsid w:val="26254703"/>
    <w:rsid w:val="26415CA9"/>
    <w:rsid w:val="26492DAF"/>
    <w:rsid w:val="264D0AF2"/>
    <w:rsid w:val="26571970"/>
    <w:rsid w:val="26655E3B"/>
    <w:rsid w:val="26A74460"/>
    <w:rsid w:val="26E75394"/>
    <w:rsid w:val="270B4948"/>
    <w:rsid w:val="27151A21"/>
    <w:rsid w:val="27215AAC"/>
    <w:rsid w:val="2723400E"/>
    <w:rsid w:val="273E668C"/>
    <w:rsid w:val="274041B2"/>
    <w:rsid w:val="27594AEA"/>
    <w:rsid w:val="27767BD4"/>
    <w:rsid w:val="278D4170"/>
    <w:rsid w:val="27A5262E"/>
    <w:rsid w:val="27B8643F"/>
    <w:rsid w:val="27C132F1"/>
    <w:rsid w:val="27CB7D80"/>
    <w:rsid w:val="27CD1F54"/>
    <w:rsid w:val="27D86AE1"/>
    <w:rsid w:val="27DD7C53"/>
    <w:rsid w:val="27E014F2"/>
    <w:rsid w:val="281F201A"/>
    <w:rsid w:val="283D166E"/>
    <w:rsid w:val="283F090E"/>
    <w:rsid w:val="2844798D"/>
    <w:rsid w:val="28691716"/>
    <w:rsid w:val="28836A4D"/>
    <w:rsid w:val="28C45AE6"/>
    <w:rsid w:val="28C64B8B"/>
    <w:rsid w:val="28CD5F1A"/>
    <w:rsid w:val="28D366FF"/>
    <w:rsid w:val="28D9669A"/>
    <w:rsid w:val="28DF697D"/>
    <w:rsid w:val="291458F7"/>
    <w:rsid w:val="297B7724"/>
    <w:rsid w:val="29826D04"/>
    <w:rsid w:val="29B6075C"/>
    <w:rsid w:val="29D532D8"/>
    <w:rsid w:val="29EE6148"/>
    <w:rsid w:val="29FB219D"/>
    <w:rsid w:val="2A157B78"/>
    <w:rsid w:val="2A3E4BCE"/>
    <w:rsid w:val="2A5A558B"/>
    <w:rsid w:val="2A6B59EA"/>
    <w:rsid w:val="2A7E571E"/>
    <w:rsid w:val="2A8D5961"/>
    <w:rsid w:val="2A957654"/>
    <w:rsid w:val="2AD92954"/>
    <w:rsid w:val="2AEA2DB3"/>
    <w:rsid w:val="2AEC6B2B"/>
    <w:rsid w:val="2B0B4446"/>
    <w:rsid w:val="2B0B5F38"/>
    <w:rsid w:val="2B230BF3"/>
    <w:rsid w:val="2B471FB3"/>
    <w:rsid w:val="2B88437A"/>
    <w:rsid w:val="2B88534B"/>
    <w:rsid w:val="2BB4516F"/>
    <w:rsid w:val="2BCD2F8E"/>
    <w:rsid w:val="2BE55328"/>
    <w:rsid w:val="2BFF463C"/>
    <w:rsid w:val="2C0E487F"/>
    <w:rsid w:val="2C161986"/>
    <w:rsid w:val="2C180916"/>
    <w:rsid w:val="2C1E35F3"/>
    <w:rsid w:val="2C35005E"/>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F00E40"/>
    <w:rsid w:val="2CF96C08"/>
    <w:rsid w:val="2CFF066C"/>
    <w:rsid w:val="2D2360D5"/>
    <w:rsid w:val="2D3575D7"/>
    <w:rsid w:val="2D392A9A"/>
    <w:rsid w:val="2D3F2720"/>
    <w:rsid w:val="2D6A3D37"/>
    <w:rsid w:val="2D8017AD"/>
    <w:rsid w:val="2D841E1A"/>
    <w:rsid w:val="2DB43204"/>
    <w:rsid w:val="2DB54923"/>
    <w:rsid w:val="2DBF6A28"/>
    <w:rsid w:val="2DC75DE6"/>
    <w:rsid w:val="2DD04934"/>
    <w:rsid w:val="2DDB4BC1"/>
    <w:rsid w:val="2E0F2B31"/>
    <w:rsid w:val="2E220AB6"/>
    <w:rsid w:val="2E255EB0"/>
    <w:rsid w:val="2E3A7D96"/>
    <w:rsid w:val="2E4427DA"/>
    <w:rsid w:val="2E5C5D76"/>
    <w:rsid w:val="2E5D389C"/>
    <w:rsid w:val="2E630C84"/>
    <w:rsid w:val="2E641B42"/>
    <w:rsid w:val="2E84600A"/>
    <w:rsid w:val="2E956466"/>
    <w:rsid w:val="2EBF37A7"/>
    <w:rsid w:val="2EBF4B0B"/>
    <w:rsid w:val="2ED26038"/>
    <w:rsid w:val="2ED86F63"/>
    <w:rsid w:val="2EE34B68"/>
    <w:rsid w:val="2EED10C4"/>
    <w:rsid w:val="2EF7784D"/>
    <w:rsid w:val="2EFA10EB"/>
    <w:rsid w:val="2EFB21A9"/>
    <w:rsid w:val="2F1A353B"/>
    <w:rsid w:val="2F1F5FD6"/>
    <w:rsid w:val="2F3C1703"/>
    <w:rsid w:val="2F407445"/>
    <w:rsid w:val="2F544C9F"/>
    <w:rsid w:val="2F5702EB"/>
    <w:rsid w:val="2F6F0666"/>
    <w:rsid w:val="2F860BD0"/>
    <w:rsid w:val="2F927575"/>
    <w:rsid w:val="2FF574A1"/>
    <w:rsid w:val="300246FB"/>
    <w:rsid w:val="301D42EF"/>
    <w:rsid w:val="30250D25"/>
    <w:rsid w:val="3025488D"/>
    <w:rsid w:val="3044084D"/>
    <w:rsid w:val="30644D23"/>
    <w:rsid w:val="30717AD3"/>
    <w:rsid w:val="30803872"/>
    <w:rsid w:val="30894E1C"/>
    <w:rsid w:val="30B05F05"/>
    <w:rsid w:val="30CD3408"/>
    <w:rsid w:val="30CF4EA4"/>
    <w:rsid w:val="30D03D62"/>
    <w:rsid w:val="30E02B8C"/>
    <w:rsid w:val="30F57DBC"/>
    <w:rsid w:val="30FA3624"/>
    <w:rsid w:val="31002A27"/>
    <w:rsid w:val="310A4AEB"/>
    <w:rsid w:val="310D2023"/>
    <w:rsid w:val="313308E4"/>
    <w:rsid w:val="314D7BF8"/>
    <w:rsid w:val="3163741B"/>
    <w:rsid w:val="31857392"/>
    <w:rsid w:val="318E1BB8"/>
    <w:rsid w:val="319475D5"/>
    <w:rsid w:val="319976C6"/>
    <w:rsid w:val="319A711F"/>
    <w:rsid w:val="31A15954"/>
    <w:rsid w:val="31BC1523"/>
    <w:rsid w:val="320643AF"/>
    <w:rsid w:val="32130E41"/>
    <w:rsid w:val="322841C1"/>
    <w:rsid w:val="322B69C3"/>
    <w:rsid w:val="322D6302"/>
    <w:rsid w:val="32562ADC"/>
    <w:rsid w:val="326F46E0"/>
    <w:rsid w:val="327A3BC6"/>
    <w:rsid w:val="327D450D"/>
    <w:rsid w:val="327F745D"/>
    <w:rsid w:val="3284589B"/>
    <w:rsid w:val="328E671A"/>
    <w:rsid w:val="32990C1B"/>
    <w:rsid w:val="32C24615"/>
    <w:rsid w:val="32CB013A"/>
    <w:rsid w:val="32D3412D"/>
    <w:rsid w:val="32E4458C"/>
    <w:rsid w:val="32E8120D"/>
    <w:rsid w:val="32F347CF"/>
    <w:rsid w:val="32F848CB"/>
    <w:rsid w:val="33007B2E"/>
    <w:rsid w:val="330306C4"/>
    <w:rsid w:val="330B1B18"/>
    <w:rsid w:val="33156817"/>
    <w:rsid w:val="33372EAB"/>
    <w:rsid w:val="3341378C"/>
    <w:rsid w:val="334C66DF"/>
    <w:rsid w:val="335C4122"/>
    <w:rsid w:val="335D1989"/>
    <w:rsid w:val="33786E01"/>
    <w:rsid w:val="337A0A4C"/>
    <w:rsid w:val="337B2999"/>
    <w:rsid w:val="338056EA"/>
    <w:rsid w:val="33911204"/>
    <w:rsid w:val="33AF3D68"/>
    <w:rsid w:val="33AF6666"/>
    <w:rsid w:val="33B90A49"/>
    <w:rsid w:val="33BE6F4E"/>
    <w:rsid w:val="33C63C91"/>
    <w:rsid w:val="33CB572B"/>
    <w:rsid w:val="33CE657B"/>
    <w:rsid w:val="33EA3E24"/>
    <w:rsid w:val="33EC7B9C"/>
    <w:rsid w:val="33ED7470"/>
    <w:rsid w:val="33FB0977"/>
    <w:rsid w:val="34034EE6"/>
    <w:rsid w:val="340842AA"/>
    <w:rsid w:val="341C53BA"/>
    <w:rsid w:val="342C131A"/>
    <w:rsid w:val="34312EC5"/>
    <w:rsid w:val="34482EEA"/>
    <w:rsid w:val="344A041F"/>
    <w:rsid w:val="347C39A8"/>
    <w:rsid w:val="34847DD4"/>
    <w:rsid w:val="34853B4C"/>
    <w:rsid w:val="34946AA5"/>
    <w:rsid w:val="34AE30A3"/>
    <w:rsid w:val="34B34723"/>
    <w:rsid w:val="34E41339"/>
    <w:rsid w:val="34EB6364"/>
    <w:rsid w:val="34F565DC"/>
    <w:rsid w:val="35132F06"/>
    <w:rsid w:val="35373099"/>
    <w:rsid w:val="3538296D"/>
    <w:rsid w:val="354E440C"/>
    <w:rsid w:val="358A766C"/>
    <w:rsid w:val="358B2CE3"/>
    <w:rsid w:val="358C26FA"/>
    <w:rsid w:val="35BE2E72"/>
    <w:rsid w:val="35C32BDC"/>
    <w:rsid w:val="35D54660"/>
    <w:rsid w:val="35D5640E"/>
    <w:rsid w:val="363635AA"/>
    <w:rsid w:val="364610BA"/>
    <w:rsid w:val="36724494"/>
    <w:rsid w:val="3679649B"/>
    <w:rsid w:val="367D0F7F"/>
    <w:rsid w:val="36826C31"/>
    <w:rsid w:val="368F0CBF"/>
    <w:rsid w:val="36916FED"/>
    <w:rsid w:val="36A469C4"/>
    <w:rsid w:val="36A521D9"/>
    <w:rsid w:val="36F55EAA"/>
    <w:rsid w:val="370F0532"/>
    <w:rsid w:val="372B09DB"/>
    <w:rsid w:val="372F3808"/>
    <w:rsid w:val="37637FBF"/>
    <w:rsid w:val="376E2676"/>
    <w:rsid w:val="37763F45"/>
    <w:rsid w:val="3784095E"/>
    <w:rsid w:val="37895E9F"/>
    <w:rsid w:val="378C7F0B"/>
    <w:rsid w:val="37A34A15"/>
    <w:rsid w:val="37E40B8A"/>
    <w:rsid w:val="37EA2644"/>
    <w:rsid w:val="37EB1F18"/>
    <w:rsid w:val="38044D88"/>
    <w:rsid w:val="3806031D"/>
    <w:rsid w:val="382C513A"/>
    <w:rsid w:val="38417D8A"/>
    <w:rsid w:val="3842422E"/>
    <w:rsid w:val="38526F7A"/>
    <w:rsid w:val="387A2F34"/>
    <w:rsid w:val="387C555A"/>
    <w:rsid w:val="387E2D8D"/>
    <w:rsid w:val="38831B91"/>
    <w:rsid w:val="389C521D"/>
    <w:rsid w:val="38C14023"/>
    <w:rsid w:val="38E52970"/>
    <w:rsid w:val="38EA21D0"/>
    <w:rsid w:val="38F372D7"/>
    <w:rsid w:val="38F65019"/>
    <w:rsid w:val="38FB43DD"/>
    <w:rsid w:val="390412B7"/>
    <w:rsid w:val="39263E1A"/>
    <w:rsid w:val="39641F82"/>
    <w:rsid w:val="39684912"/>
    <w:rsid w:val="397441F3"/>
    <w:rsid w:val="398919E9"/>
    <w:rsid w:val="39A16C97"/>
    <w:rsid w:val="39A24859"/>
    <w:rsid w:val="39A56B84"/>
    <w:rsid w:val="39A77BB2"/>
    <w:rsid w:val="39AD5743"/>
    <w:rsid w:val="39BE5B37"/>
    <w:rsid w:val="39CD1EE3"/>
    <w:rsid w:val="39CD78A2"/>
    <w:rsid w:val="39D1471A"/>
    <w:rsid w:val="39ED6FFB"/>
    <w:rsid w:val="3A294E54"/>
    <w:rsid w:val="3A3C2EFF"/>
    <w:rsid w:val="3A81200E"/>
    <w:rsid w:val="3A850402"/>
    <w:rsid w:val="3A9C399E"/>
    <w:rsid w:val="3AA52E29"/>
    <w:rsid w:val="3AA91B3C"/>
    <w:rsid w:val="3ABB7AA2"/>
    <w:rsid w:val="3AD1189A"/>
    <w:rsid w:val="3AD62A0C"/>
    <w:rsid w:val="3ADC7C67"/>
    <w:rsid w:val="3AFD68A7"/>
    <w:rsid w:val="3B1F45BC"/>
    <w:rsid w:val="3B255741"/>
    <w:rsid w:val="3B325080"/>
    <w:rsid w:val="3B345984"/>
    <w:rsid w:val="3B36794F"/>
    <w:rsid w:val="3B367AA6"/>
    <w:rsid w:val="3B437161"/>
    <w:rsid w:val="3B506C62"/>
    <w:rsid w:val="3B514FD2"/>
    <w:rsid w:val="3B693880"/>
    <w:rsid w:val="3B6A3F88"/>
    <w:rsid w:val="3B854AB6"/>
    <w:rsid w:val="3B8E1539"/>
    <w:rsid w:val="3B9B2D8C"/>
    <w:rsid w:val="3B9D177C"/>
    <w:rsid w:val="3BA046F2"/>
    <w:rsid w:val="3BA50630"/>
    <w:rsid w:val="3BD80550"/>
    <w:rsid w:val="3BE56E1B"/>
    <w:rsid w:val="3BED2DB3"/>
    <w:rsid w:val="3BF87824"/>
    <w:rsid w:val="3C215F09"/>
    <w:rsid w:val="3C4075D1"/>
    <w:rsid w:val="3C436B55"/>
    <w:rsid w:val="3C595E61"/>
    <w:rsid w:val="3C622D83"/>
    <w:rsid w:val="3C7324DC"/>
    <w:rsid w:val="3CAA7145"/>
    <w:rsid w:val="3CB74ABF"/>
    <w:rsid w:val="3CC0618E"/>
    <w:rsid w:val="3CC35212"/>
    <w:rsid w:val="3CC828E4"/>
    <w:rsid w:val="3CD14C56"/>
    <w:rsid w:val="3CD25455"/>
    <w:rsid w:val="3CD87391"/>
    <w:rsid w:val="3D1D70A7"/>
    <w:rsid w:val="3D2263DC"/>
    <w:rsid w:val="3D2C1009"/>
    <w:rsid w:val="3D502922"/>
    <w:rsid w:val="3D605157"/>
    <w:rsid w:val="3DE60DD6"/>
    <w:rsid w:val="3DEC0798"/>
    <w:rsid w:val="3E004349"/>
    <w:rsid w:val="3E0F7B1D"/>
    <w:rsid w:val="3E234AB8"/>
    <w:rsid w:val="3E4009FD"/>
    <w:rsid w:val="3E444130"/>
    <w:rsid w:val="3E5C1BAD"/>
    <w:rsid w:val="3E916C1F"/>
    <w:rsid w:val="3E9230EE"/>
    <w:rsid w:val="3E9F6F17"/>
    <w:rsid w:val="3EA37CD2"/>
    <w:rsid w:val="3EDF3E59"/>
    <w:rsid w:val="3EE06168"/>
    <w:rsid w:val="3EE85404"/>
    <w:rsid w:val="3F141725"/>
    <w:rsid w:val="3F1B1335"/>
    <w:rsid w:val="3F200257"/>
    <w:rsid w:val="3F286DBF"/>
    <w:rsid w:val="3F3D437E"/>
    <w:rsid w:val="3F433A5A"/>
    <w:rsid w:val="3F8D1475"/>
    <w:rsid w:val="3F975C22"/>
    <w:rsid w:val="3FA70E1B"/>
    <w:rsid w:val="3FB35F57"/>
    <w:rsid w:val="3FB5178A"/>
    <w:rsid w:val="3FC419A7"/>
    <w:rsid w:val="3FC64109"/>
    <w:rsid w:val="3FCC77A7"/>
    <w:rsid w:val="3FD65247"/>
    <w:rsid w:val="3FDB385A"/>
    <w:rsid w:val="3FDF6807"/>
    <w:rsid w:val="3FE23C01"/>
    <w:rsid w:val="3FE3145D"/>
    <w:rsid w:val="3FE71217"/>
    <w:rsid w:val="40061FE5"/>
    <w:rsid w:val="400E0CEC"/>
    <w:rsid w:val="4022565B"/>
    <w:rsid w:val="402266F3"/>
    <w:rsid w:val="403629A3"/>
    <w:rsid w:val="403B122D"/>
    <w:rsid w:val="404B007A"/>
    <w:rsid w:val="405A7C3B"/>
    <w:rsid w:val="405B7334"/>
    <w:rsid w:val="405C70C5"/>
    <w:rsid w:val="406B3BF6"/>
    <w:rsid w:val="40C31C84"/>
    <w:rsid w:val="40CD2BBC"/>
    <w:rsid w:val="40CE74E8"/>
    <w:rsid w:val="40D55514"/>
    <w:rsid w:val="40D7128C"/>
    <w:rsid w:val="40FE0F0E"/>
    <w:rsid w:val="41107AF2"/>
    <w:rsid w:val="41390199"/>
    <w:rsid w:val="41561B7B"/>
    <w:rsid w:val="415D5C35"/>
    <w:rsid w:val="415F2382"/>
    <w:rsid w:val="41644CA3"/>
    <w:rsid w:val="417C604D"/>
    <w:rsid w:val="418238EE"/>
    <w:rsid w:val="41C34730"/>
    <w:rsid w:val="41DF75B5"/>
    <w:rsid w:val="41E278B6"/>
    <w:rsid w:val="421568CA"/>
    <w:rsid w:val="422229DB"/>
    <w:rsid w:val="422F2C0A"/>
    <w:rsid w:val="42463118"/>
    <w:rsid w:val="427C658F"/>
    <w:rsid w:val="42997BDD"/>
    <w:rsid w:val="429C268A"/>
    <w:rsid w:val="42AC4D28"/>
    <w:rsid w:val="42B16C0F"/>
    <w:rsid w:val="42B60CBA"/>
    <w:rsid w:val="42BA4570"/>
    <w:rsid w:val="42C43A92"/>
    <w:rsid w:val="42DB62DB"/>
    <w:rsid w:val="42F40D87"/>
    <w:rsid w:val="43086074"/>
    <w:rsid w:val="43157031"/>
    <w:rsid w:val="431F6F1A"/>
    <w:rsid w:val="43204D6E"/>
    <w:rsid w:val="43335CC1"/>
    <w:rsid w:val="433E0C67"/>
    <w:rsid w:val="434171A0"/>
    <w:rsid w:val="434F476D"/>
    <w:rsid w:val="43652D2C"/>
    <w:rsid w:val="43661D30"/>
    <w:rsid w:val="43671E8E"/>
    <w:rsid w:val="436C09A1"/>
    <w:rsid w:val="436E0D52"/>
    <w:rsid w:val="436F047F"/>
    <w:rsid w:val="436F39FE"/>
    <w:rsid w:val="436F7EA2"/>
    <w:rsid w:val="437B082C"/>
    <w:rsid w:val="43863FBF"/>
    <w:rsid w:val="43BA32AA"/>
    <w:rsid w:val="43BA63BC"/>
    <w:rsid w:val="43E56FFE"/>
    <w:rsid w:val="44033175"/>
    <w:rsid w:val="44071DF4"/>
    <w:rsid w:val="442010AE"/>
    <w:rsid w:val="442347E8"/>
    <w:rsid w:val="44384517"/>
    <w:rsid w:val="445B2639"/>
    <w:rsid w:val="44894274"/>
    <w:rsid w:val="44943974"/>
    <w:rsid w:val="44BE2E8F"/>
    <w:rsid w:val="44C77869"/>
    <w:rsid w:val="44D51F86"/>
    <w:rsid w:val="44E70410"/>
    <w:rsid w:val="45096A74"/>
    <w:rsid w:val="452B604A"/>
    <w:rsid w:val="45301A1F"/>
    <w:rsid w:val="453C0257"/>
    <w:rsid w:val="45406B12"/>
    <w:rsid w:val="455A06DD"/>
    <w:rsid w:val="458F482B"/>
    <w:rsid w:val="45DA2E00"/>
    <w:rsid w:val="45EF1111"/>
    <w:rsid w:val="460C7409"/>
    <w:rsid w:val="460D74FE"/>
    <w:rsid w:val="464A2500"/>
    <w:rsid w:val="464C0026"/>
    <w:rsid w:val="465D4CB9"/>
    <w:rsid w:val="46B207DF"/>
    <w:rsid w:val="46B86825"/>
    <w:rsid w:val="46E61ACC"/>
    <w:rsid w:val="46EA07B2"/>
    <w:rsid w:val="46F506BE"/>
    <w:rsid w:val="46F82CC1"/>
    <w:rsid w:val="4703337B"/>
    <w:rsid w:val="47150D60"/>
    <w:rsid w:val="471E65B1"/>
    <w:rsid w:val="471F1784"/>
    <w:rsid w:val="47242D51"/>
    <w:rsid w:val="473311E6"/>
    <w:rsid w:val="47347438"/>
    <w:rsid w:val="474074AC"/>
    <w:rsid w:val="475A2341"/>
    <w:rsid w:val="4760647F"/>
    <w:rsid w:val="477C0DDF"/>
    <w:rsid w:val="47A72EC9"/>
    <w:rsid w:val="47B71E17"/>
    <w:rsid w:val="47CA7D9C"/>
    <w:rsid w:val="47CC40D8"/>
    <w:rsid w:val="47EA7AF7"/>
    <w:rsid w:val="48082673"/>
    <w:rsid w:val="480B5E01"/>
    <w:rsid w:val="480E3260"/>
    <w:rsid w:val="48164D90"/>
    <w:rsid w:val="48357232"/>
    <w:rsid w:val="483941FF"/>
    <w:rsid w:val="48480CC1"/>
    <w:rsid w:val="48597B07"/>
    <w:rsid w:val="48691B36"/>
    <w:rsid w:val="48741AB6"/>
    <w:rsid w:val="487B1097"/>
    <w:rsid w:val="48877A3B"/>
    <w:rsid w:val="4889426C"/>
    <w:rsid w:val="488C0CE1"/>
    <w:rsid w:val="489C2DB7"/>
    <w:rsid w:val="489E1D09"/>
    <w:rsid w:val="48A028AB"/>
    <w:rsid w:val="48B9435C"/>
    <w:rsid w:val="48BD520B"/>
    <w:rsid w:val="48C1039E"/>
    <w:rsid w:val="48CC7690"/>
    <w:rsid w:val="48D12A65"/>
    <w:rsid w:val="48EB1D78"/>
    <w:rsid w:val="490023BE"/>
    <w:rsid w:val="491D3EFC"/>
    <w:rsid w:val="491F1A22"/>
    <w:rsid w:val="493666B5"/>
    <w:rsid w:val="494877A6"/>
    <w:rsid w:val="49663358"/>
    <w:rsid w:val="49724393"/>
    <w:rsid w:val="497C0C22"/>
    <w:rsid w:val="497F6965"/>
    <w:rsid w:val="49975BE8"/>
    <w:rsid w:val="49A66112"/>
    <w:rsid w:val="49C425C9"/>
    <w:rsid w:val="49D56585"/>
    <w:rsid w:val="49EF3581"/>
    <w:rsid w:val="49F66C27"/>
    <w:rsid w:val="49FA5FEB"/>
    <w:rsid w:val="4A1C69A8"/>
    <w:rsid w:val="4A1F4C8D"/>
    <w:rsid w:val="4A282B58"/>
    <w:rsid w:val="4A2C2648"/>
    <w:rsid w:val="4A370FED"/>
    <w:rsid w:val="4A372D9B"/>
    <w:rsid w:val="4A38723F"/>
    <w:rsid w:val="4A5676C5"/>
    <w:rsid w:val="4A5A4C2D"/>
    <w:rsid w:val="4A791606"/>
    <w:rsid w:val="4AA541A9"/>
    <w:rsid w:val="4AAC5537"/>
    <w:rsid w:val="4AC24D5B"/>
    <w:rsid w:val="4AD3077D"/>
    <w:rsid w:val="4B1C3AB3"/>
    <w:rsid w:val="4B1F5D09"/>
    <w:rsid w:val="4B21248D"/>
    <w:rsid w:val="4B2B3A38"/>
    <w:rsid w:val="4B313C8F"/>
    <w:rsid w:val="4B6D633F"/>
    <w:rsid w:val="4B797CFE"/>
    <w:rsid w:val="4B80662D"/>
    <w:rsid w:val="4B96714B"/>
    <w:rsid w:val="4BA95F1B"/>
    <w:rsid w:val="4BB16CD5"/>
    <w:rsid w:val="4BB5666E"/>
    <w:rsid w:val="4BB723FD"/>
    <w:rsid w:val="4BD525C4"/>
    <w:rsid w:val="4BEE2F77"/>
    <w:rsid w:val="4C0F1BEA"/>
    <w:rsid w:val="4C202C12"/>
    <w:rsid w:val="4C3C28EB"/>
    <w:rsid w:val="4C7B2281"/>
    <w:rsid w:val="4C87625C"/>
    <w:rsid w:val="4C9848EE"/>
    <w:rsid w:val="4CA56323"/>
    <w:rsid w:val="4CC97E71"/>
    <w:rsid w:val="4CE511D4"/>
    <w:rsid w:val="4CF66F3E"/>
    <w:rsid w:val="4D0478AD"/>
    <w:rsid w:val="4D094EC3"/>
    <w:rsid w:val="4D0A4797"/>
    <w:rsid w:val="4D187642"/>
    <w:rsid w:val="4D2553D4"/>
    <w:rsid w:val="4D2F41FE"/>
    <w:rsid w:val="4D56422A"/>
    <w:rsid w:val="4D6F3B43"/>
    <w:rsid w:val="4D712FDA"/>
    <w:rsid w:val="4D746E8E"/>
    <w:rsid w:val="4D800456"/>
    <w:rsid w:val="4D862070"/>
    <w:rsid w:val="4D92310A"/>
    <w:rsid w:val="4D9D385D"/>
    <w:rsid w:val="4DC4703C"/>
    <w:rsid w:val="4DCD7C9F"/>
    <w:rsid w:val="4DE17BEE"/>
    <w:rsid w:val="4E1A61E7"/>
    <w:rsid w:val="4E1E6324"/>
    <w:rsid w:val="4E3D3F1E"/>
    <w:rsid w:val="4E4168DE"/>
    <w:rsid w:val="4E4F4B57"/>
    <w:rsid w:val="4E5C1A72"/>
    <w:rsid w:val="4E615284"/>
    <w:rsid w:val="4E9F0413"/>
    <w:rsid w:val="4EA64556"/>
    <w:rsid w:val="4EAD29E4"/>
    <w:rsid w:val="4EC310A1"/>
    <w:rsid w:val="4EF650E9"/>
    <w:rsid w:val="4F043B94"/>
    <w:rsid w:val="4F1B205A"/>
    <w:rsid w:val="4F2A7373"/>
    <w:rsid w:val="4F2E5442"/>
    <w:rsid w:val="4F2F1144"/>
    <w:rsid w:val="4F30313F"/>
    <w:rsid w:val="4F436C2E"/>
    <w:rsid w:val="4F4A46C9"/>
    <w:rsid w:val="4F52580A"/>
    <w:rsid w:val="4F691C49"/>
    <w:rsid w:val="4F6A776F"/>
    <w:rsid w:val="4F702FD7"/>
    <w:rsid w:val="4F707F08"/>
    <w:rsid w:val="4F883821"/>
    <w:rsid w:val="4F9273F2"/>
    <w:rsid w:val="4FD277EE"/>
    <w:rsid w:val="4FDA7D75"/>
    <w:rsid w:val="4FF57980"/>
    <w:rsid w:val="501E6ED7"/>
    <w:rsid w:val="507C775A"/>
    <w:rsid w:val="508D5E0B"/>
    <w:rsid w:val="508F1B83"/>
    <w:rsid w:val="50B25281"/>
    <w:rsid w:val="50B909AE"/>
    <w:rsid w:val="50E579F5"/>
    <w:rsid w:val="50E87836"/>
    <w:rsid w:val="50EA500B"/>
    <w:rsid w:val="50F83282"/>
    <w:rsid w:val="50FB4B23"/>
    <w:rsid w:val="510E7556"/>
    <w:rsid w:val="51173459"/>
    <w:rsid w:val="51265C7E"/>
    <w:rsid w:val="51474A6D"/>
    <w:rsid w:val="514814EC"/>
    <w:rsid w:val="514839CF"/>
    <w:rsid w:val="5153670D"/>
    <w:rsid w:val="515E4990"/>
    <w:rsid w:val="515F1555"/>
    <w:rsid w:val="516649CE"/>
    <w:rsid w:val="517C4963"/>
    <w:rsid w:val="51990EDC"/>
    <w:rsid w:val="51A83B47"/>
    <w:rsid w:val="51AC22C1"/>
    <w:rsid w:val="51B17E6B"/>
    <w:rsid w:val="51CB2747"/>
    <w:rsid w:val="51CE2CEF"/>
    <w:rsid w:val="51D85795"/>
    <w:rsid w:val="51DB032E"/>
    <w:rsid w:val="51EB4B97"/>
    <w:rsid w:val="51EE6435"/>
    <w:rsid w:val="5201260D"/>
    <w:rsid w:val="52072F1E"/>
    <w:rsid w:val="5217644D"/>
    <w:rsid w:val="52245352"/>
    <w:rsid w:val="523F4EE3"/>
    <w:rsid w:val="524620FA"/>
    <w:rsid w:val="5274360D"/>
    <w:rsid w:val="52756B57"/>
    <w:rsid w:val="52892D6A"/>
    <w:rsid w:val="52972F71"/>
    <w:rsid w:val="52BF7DD2"/>
    <w:rsid w:val="52D858D9"/>
    <w:rsid w:val="52DA5E34"/>
    <w:rsid w:val="52F50A61"/>
    <w:rsid w:val="5304318E"/>
    <w:rsid w:val="530A3743"/>
    <w:rsid w:val="53395DD6"/>
    <w:rsid w:val="5347038D"/>
    <w:rsid w:val="534A6CD4"/>
    <w:rsid w:val="534E7AD3"/>
    <w:rsid w:val="538B4884"/>
    <w:rsid w:val="53A63921"/>
    <w:rsid w:val="53AC47FA"/>
    <w:rsid w:val="53CC5791"/>
    <w:rsid w:val="53D95D45"/>
    <w:rsid w:val="53DA1367"/>
    <w:rsid w:val="53EB53BD"/>
    <w:rsid w:val="53F8359B"/>
    <w:rsid w:val="541B4938"/>
    <w:rsid w:val="54505185"/>
    <w:rsid w:val="545671EC"/>
    <w:rsid w:val="54611097"/>
    <w:rsid w:val="5487370E"/>
    <w:rsid w:val="54BC0090"/>
    <w:rsid w:val="54CD4A28"/>
    <w:rsid w:val="54D15F1A"/>
    <w:rsid w:val="54D264E2"/>
    <w:rsid w:val="54D65699"/>
    <w:rsid w:val="54E01D6C"/>
    <w:rsid w:val="54E47B17"/>
    <w:rsid w:val="54E9481D"/>
    <w:rsid w:val="54F226E1"/>
    <w:rsid w:val="55094443"/>
    <w:rsid w:val="554127C0"/>
    <w:rsid w:val="55560EC1"/>
    <w:rsid w:val="5579695E"/>
    <w:rsid w:val="557D19A9"/>
    <w:rsid w:val="55946B00"/>
    <w:rsid w:val="559D43FA"/>
    <w:rsid w:val="55B87486"/>
    <w:rsid w:val="55C470D8"/>
    <w:rsid w:val="55CE6CAA"/>
    <w:rsid w:val="55DB4F23"/>
    <w:rsid w:val="55DF5DA8"/>
    <w:rsid w:val="55E944A7"/>
    <w:rsid w:val="55EC0126"/>
    <w:rsid w:val="55EF136D"/>
    <w:rsid w:val="55F55C55"/>
    <w:rsid w:val="55FF19E0"/>
    <w:rsid w:val="56177EC9"/>
    <w:rsid w:val="5635492A"/>
    <w:rsid w:val="5684052B"/>
    <w:rsid w:val="56921A85"/>
    <w:rsid w:val="569976E5"/>
    <w:rsid w:val="56CA1017"/>
    <w:rsid w:val="56E16569"/>
    <w:rsid w:val="56F25D16"/>
    <w:rsid w:val="56F72230"/>
    <w:rsid w:val="56F770C8"/>
    <w:rsid w:val="56F95FA8"/>
    <w:rsid w:val="570F0DAD"/>
    <w:rsid w:val="57136DC9"/>
    <w:rsid w:val="571702AF"/>
    <w:rsid w:val="571C1C97"/>
    <w:rsid w:val="572D2C3A"/>
    <w:rsid w:val="57342B3C"/>
    <w:rsid w:val="57394670"/>
    <w:rsid w:val="57437223"/>
    <w:rsid w:val="57443D1C"/>
    <w:rsid w:val="574A05B2"/>
    <w:rsid w:val="575738E1"/>
    <w:rsid w:val="5769056B"/>
    <w:rsid w:val="576F0018"/>
    <w:rsid w:val="57715B3F"/>
    <w:rsid w:val="577949F3"/>
    <w:rsid w:val="579730CB"/>
    <w:rsid w:val="579B705F"/>
    <w:rsid w:val="57B50480"/>
    <w:rsid w:val="57F246BE"/>
    <w:rsid w:val="57F648EB"/>
    <w:rsid w:val="5809221B"/>
    <w:rsid w:val="5814296E"/>
    <w:rsid w:val="582B03E3"/>
    <w:rsid w:val="585F0D52"/>
    <w:rsid w:val="586525C2"/>
    <w:rsid w:val="586557AC"/>
    <w:rsid w:val="5867455C"/>
    <w:rsid w:val="587A5C94"/>
    <w:rsid w:val="588B42F5"/>
    <w:rsid w:val="588D4BFA"/>
    <w:rsid w:val="58A81A34"/>
    <w:rsid w:val="58AA5026"/>
    <w:rsid w:val="58C139D3"/>
    <w:rsid w:val="58C93758"/>
    <w:rsid w:val="58DE5456"/>
    <w:rsid w:val="591744C4"/>
    <w:rsid w:val="5939268C"/>
    <w:rsid w:val="59617E35"/>
    <w:rsid w:val="596E25BB"/>
    <w:rsid w:val="59722042"/>
    <w:rsid w:val="59777658"/>
    <w:rsid w:val="59796F2C"/>
    <w:rsid w:val="599E0ACF"/>
    <w:rsid w:val="59AD3D34"/>
    <w:rsid w:val="59B03888"/>
    <w:rsid w:val="59B70611"/>
    <w:rsid w:val="59BD3DAA"/>
    <w:rsid w:val="59C503C4"/>
    <w:rsid w:val="59E17170"/>
    <w:rsid w:val="59F91818"/>
    <w:rsid w:val="5A172243"/>
    <w:rsid w:val="5A196ED2"/>
    <w:rsid w:val="5A3317D1"/>
    <w:rsid w:val="5A395B76"/>
    <w:rsid w:val="5A432F55"/>
    <w:rsid w:val="5A5878B5"/>
    <w:rsid w:val="5AA2093F"/>
    <w:rsid w:val="5AA95EA4"/>
    <w:rsid w:val="5AD63E09"/>
    <w:rsid w:val="5AF26948"/>
    <w:rsid w:val="5B123195"/>
    <w:rsid w:val="5B223606"/>
    <w:rsid w:val="5B266C40"/>
    <w:rsid w:val="5B4332B6"/>
    <w:rsid w:val="5B460ACF"/>
    <w:rsid w:val="5B4B66A7"/>
    <w:rsid w:val="5B5B3161"/>
    <w:rsid w:val="5B5E0F00"/>
    <w:rsid w:val="5B9E7C72"/>
    <w:rsid w:val="5BA87F9D"/>
    <w:rsid w:val="5BAF4E87"/>
    <w:rsid w:val="5BDE39BF"/>
    <w:rsid w:val="5BE65C1B"/>
    <w:rsid w:val="5BFD68E7"/>
    <w:rsid w:val="5C1271C4"/>
    <w:rsid w:val="5C353147"/>
    <w:rsid w:val="5C675762"/>
    <w:rsid w:val="5C682BEC"/>
    <w:rsid w:val="5C6F159D"/>
    <w:rsid w:val="5C9A1694"/>
    <w:rsid w:val="5C9D1184"/>
    <w:rsid w:val="5CA7123C"/>
    <w:rsid w:val="5CAE15E3"/>
    <w:rsid w:val="5CC42BB4"/>
    <w:rsid w:val="5CC826A5"/>
    <w:rsid w:val="5CDC7EFE"/>
    <w:rsid w:val="5CF77950"/>
    <w:rsid w:val="5D101956"/>
    <w:rsid w:val="5D441D14"/>
    <w:rsid w:val="5D972077"/>
    <w:rsid w:val="5DAE426C"/>
    <w:rsid w:val="5DAF467E"/>
    <w:rsid w:val="5DCD04E0"/>
    <w:rsid w:val="5DD03A54"/>
    <w:rsid w:val="5DD15BF4"/>
    <w:rsid w:val="5DD25BBB"/>
    <w:rsid w:val="5E1D1CEB"/>
    <w:rsid w:val="5E23390B"/>
    <w:rsid w:val="5E311C0C"/>
    <w:rsid w:val="5E3944EF"/>
    <w:rsid w:val="5E895C8E"/>
    <w:rsid w:val="5E8A5738"/>
    <w:rsid w:val="5E973C89"/>
    <w:rsid w:val="5EB17564"/>
    <w:rsid w:val="5EC1275E"/>
    <w:rsid w:val="5ED510A9"/>
    <w:rsid w:val="5F20216B"/>
    <w:rsid w:val="5F230237"/>
    <w:rsid w:val="5F36439B"/>
    <w:rsid w:val="5F467897"/>
    <w:rsid w:val="5F755A2A"/>
    <w:rsid w:val="5F814D8D"/>
    <w:rsid w:val="5F8959EF"/>
    <w:rsid w:val="5F920D48"/>
    <w:rsid w:val="5FA40A7B"/>
    <w:rsid w:val="5FB07420"/>
    <w:rsid w:val="5FC04410"/>
    <w:rsid w:val="5FC652C4"/>
    <w:rsid w:val="5FC845C3"/>
    <w:rsid w:val="5FCB6F0A"/>
    <w:rsid w:val="5FE62E42"/>
    <w:rsid w:val="6016735B"/>
    <w:rsid w:val="601C6864"/>
    <w:rsid w:val="601F4747"/>
    <w:rsid w:val="602F6597"/>
    <w:rsid w:val="6052321D"/>
    <w:rsid w:val="605D5D1D"/>
    <w:rsid w:val="60696BC9"/>
    <w:rsid w:val="608508AD"/>
    <w:rsid w:val="60A42170"/>
    <w:rsid w:val="60C72393"/>
    <w:rsid w:val="60E5134B"/>
    <w:rsid w:val="60FD45FF"/>
    <w:rsid w:val="611A0FF5"/>
    <w:rsid w:val="612B3202"/>
    <w:rsid w:val="613242CE"/>
    <w:rsid w:val="616008F1"/>
    <w:rsid w:val="61695BFD"/>
    <w:rsid w:val="61847169"/>
    <w:rsid w:val="618625DD"/>
    <w:rsid w:val="618A317B"/>
    <w:rsid w:val="61903065"/>
    <w:rsid w:val="61932B55"/>
    <w:rsid w:val="61B24A5F"/>
    <w:rsid w:val="61B7149D"/>
    <w:rsid w:val="61C315B8"/>
    <w:rsid w:val="61C96577"/>
    <w:rsid w:val="620852F1"/>
    <w:rsid w:val="621048C9"/>
    <w:rsid w:val="6210694A"/>
    <w:rsid w:val="621231A6"/>
    <w:rsid w:val="621641CF"/>
    <w:rsid w:val="62210161"/>
    <w:rsid w:val="62486631"/>
    <w:rsid w:val="62861F1F"/>
    <w:rsid w:val="629139EC"/>
    <w:rsid w:val="62917095"/>
    <w:rsid w:val="62960831"/>
    <w:rsid w:val="62A16A87"/>
    <w:rsid w:val="62CF7FE7"/>
    <w:rsid w:val="62D94CCA"/>
    <w:rsid w:val="631D2A8C"/>
    <w:rsid w:val="63462575"/>
    <w:rsid w:val="63493E13"/>
    <w:rsid w:val="634C5D10"/>
    <w:rsid w:val="635A1B7D"/>
    <w:rsid w:val="63666773"/>
    <w:rsid w:val="636C2E05"/>
    <w:rsid w:val="638B7F88"/>
    <w:rsid w:val="638E7CD7"/>
    <w:rsid w:val="63936E3D"/>
    <w:rsid w:val="63A64DC2"/>
    <w:rsid w:val="63A90E76"/>
    <w:rsid w:val="63B55005"/>
    <w:rsid w:val="63B966E5"/>
    <w:rsid w:val="63CB5CCC"/>
    <w:rsid w:val="63EB4ECB"/>
    <w:rsid w:val="63F975E8"/>
    <w:rsid w:val="63FA3360"/>
    <w:rsid w:val="640B731B"/>
    <w:rsid w:val="641745A0"/>
    <w:rsid w:val="64504D2E"/>
    <w:rsid w:val="645C36D2"/>
    <w:rsid w:val="64754794"/>
    <w:rsid w:val="64824B18"/>
    <w:rsid w:val="64881976"/>
    <w:rsid w:val="64942E6C"/>
    <w:rsid w:val="64AE3CB5"/>
    <w:rsid w:val="64B90B25"/>
    <w:rsid w:val="64CD637E"/>
    <w:rsid w:val="64D23995"/>
    <w:rsid w:val="64DC03FF"/>
    <w:rsid w:val="64EB1A9C"/>
    <w:rsid w:val="64F425BA"/>
    <w:rsid w:val="650D6603"/>
    <w:rsid w:val="65202952"/>
    <w:rsid w:val="65210C32"/>
    <w:rsid w:val="652225D5"/>
    <w:rsid w:val="652F2B95"/>
    <w:rsid w:val="65311E05"/>
    <w:rsid w:val="65451957"/>
    <w:rsid w:val="65722DBC"/>
    <w:rsid w:val="658A0742"/>
    <w:rsid w:val="659770B8"/>
    <w:rsid w:val="65B46366"/>
    <w:rsid w:val="65BD63F3"/>
    <w:rsid w:val="65D025CA"/>
    <w:rsid w:val="65F570CF"/>
    <w:rsid w:val="66002CD4"/>
    <w:rsid w:val="662824C8"/>
    <w:rsid w:val="66320B8F"/>
    <w:rsid w:val="663E7534"/>
    <w:rsid w:val="66661757"/>
    <w:rsid w:val="66763171"/>
    <w:rsid w:val="667C005C"/>
    <w:rsid w:val="66976C44"/>
    <w:rsid w:val="669B7B39"/>
    <w:rsid w:val="66AC7A81"/>
    <w:rsid w:val="66AE4D0B"/>
    <w:rsid w:val="66B5494D"/>
    <w:rsid w:val="66B84695"/>
    <w:rsid w:val="66C20321"/>
    <w:rsid w:val="66D103A8"/>
    <w:rsid w:val="66DE0D17"/>
    <w:rsid w:val="66EF6A80"/>
    <w:rsid w:val="66F642C0"/>
    <w:rsid w:val="66F978FF"/>
    <w:rsid w:val="66FB71D3"/>
    <w:rsid w:val="670523DE"/>
    <w:rsid w:val="670C5884"/>
    <w:rsid w:val="670D5158"/>
    <w:rsid w:val="67211FCB"/>
    <w:rsid w:val="67461D48"/>
    <w:rsid w:val="67472418"/>
    <w:rsid w:val="67486190"/>
    <w:rsid w:val="674A6CAF"/>
    <w:rsid w:val="676034DA"/>
    <w:rsid w:val="67694A84"/>
    <w:rsid w:val="67784F2E"/>
    <w:rsid w:val="678A67A9"/>
    <w:rsid w:val="678F1925"/>
    <w:rsid w:val="67942577"/>
    <w:rsid w:val="67A92539"/>
    <w:rsid w:val="67CA4EF1"/>
    <w:rsid w:val="67E20393"/>
    <w:rsid w:val="67F76A7E"/>
    <w:rsid w:val="67F86871"/>
    <w:rsid w:val="684352D5"/>
    <w:rsid w:val="684D1CB0"/>
    <w:rsid w:val="686F7E78"/>
    <w:rsid w:val="687A1411"/>
    <w:rsid w:val="687E455F"/>
    <w:rsid w:val="687E630D"/>
    <w:rsid w:val="68807A84"/>
    <w:rsid w:val="688B0A2A"/>
    <w:rsid w:val="689321B0"/>
    <w:rsid w:val="68996CA3"/>
    <w:rsid w:val="68A5389A"/>
    <w:rsid w:val="68AF3CA2"/>
    <w:rsid w:val="68BB130F"/>
    <w:rsid w:val="68CB0E27"/>
    <w:rsid w:val="68CC560D"/>
    <w:rsid w:val="68E13B33"/>
    <w:rsid w:val="68E97265"/>
    <w:rsid w:val="68EF0FB9"/>
    <w:rsid w:val="690E386E"/>
    <w:rsid w:val="690E55A5"/>
    <w:rsid w:val="691E189E"/>
    <w:rsid w:val="692635EB"/>
    <w:rsid w:val="69342E70"/>
    <w:rsid w:val="693B41FE"/>
    <w:rsid w:val="6951757E"/>
    <w:rsid w:val="69561384"/>
    <w:rsid w:val="69775165"/>
    <w:rsid w:val="69807E63"/>
    <w:rsid w:val="69B230A2"/>
    <w:rsid w:val="69CB0779"/>
    <w:rsid w:val="69E2224C"/>
    <w:rsid w:val="69F819AA"/>
    <w:rsid w:val="6A136F29"/>
    <w:rsid w:val="6A1707C7"/>
    <w:rsid w:val="6A187723"/>
    <w:rsid w:val="6A1D1B56"/>
    <w:rsid w:val="6A1D2B18"/>
    <w:rsid w:val="6A595414"/>
    <w:rsid w:val="6A5A4A67"/>
    <w:rsid w:val="6A5F2917"/>
    <w:rsid w:val="6A6E7FF3"/>
    <w:rsid w:val="6A700C09"/>
    <w:rsid w:val="6A8E3BBF"/>
    <w:rsid w:val="6AA67D9D"/>
    <w:rsid w:val="6AAD6A36"/>
    <w:rsid w:val="6AC57AA5"/>
    <w:rsid w:val="6B0A70A4"/>
    <w:rsid w:val="6B3B6738"/>
    <w:rsid w:val="6B3D24B0"/>
    <w:rsid w:val="6B685053"/>
    <w:rsid w:val="6B7439F8"/>
    <w:rsid w:val="6B7F4739"/>
    <w:rsid w:val="6B8A4FC9"/>
    <w:rsid w:val="6B9A5FD4"/>
    <w:rsid w:val="6BA46CC3"/>
    <w:rsid w:val="6BA75B7B"/>
    <w:rsid w:val="6C042FCD"/>
    <w:rsid w:val="6C0F54CE"/>
    <w:rsid w:val="6C20148A"/>
    <w:rsid w:val="6C44786E"/>
    <w:rsid w:val="6C6505B8"/>
    <w:rsid w:val="6C6704C4"/>
    <w:rsid w:val="6C883102"/>
    <w:rsid w:val="6C8A7920"/>
    <w:rsid w:val="6C9431CC"/>
    <w:rsid w:val="6CAB1AEE"/>
    <w:rsid w:val="6CAD71C1"/>
    <w:rsid w:val="6CAE2F39"/>
    <w:rsid w:val="6CAF10DA"/>
    <w:rsid w:val="6CB513FE"/>
    <w:rsid w:val="6CDA06B8"/>
    <w:rsid w:val="6D0715F8"/>
    <w:rsid w:val="6D30394E"/>
    <w:rsid w:val="6D426B56"/>
    <w:rsid w:val="6D505108"/>
    <w:rsid w:val="6D8238F3"/>
    <w:rsid w:val="6D920165"/>
    <w:rsid w:val="6DBB5AC1"/>
    <w:rsid w:val="6DCF4F15"/>
    <w:rsid w:val="6E0468F3"/>
    <w:rsid w:val="6E0A6ED2"/>
    <w:rsid w:val="6E0F7A08"/>
    <w:rsid w:val="6E38263C"/>
    <w:rsid w:val="6E4C47B8"/>
    <w:rsid w:val="6E526272"/>
    <w:rsid w:val="6E573B2B"/>
    <w:rsid w:val="6E94481B"/>
    <w:rsid w:val="6EA2373C"/>
    <w:rsid w:val="6EDF387E"/>
    <w:rsid w:val="6F0357BE"/>
    <w:rsid w:val="6F0B01CF"/>
    <w:rsid w:val="6F241291"/>
    <w:rsid w:val="6F6F075E"/>
    <w:rsid w:val="6F7658CB"/>
    <w:rsid w:val="6F976FBE"/>
    <w:rsid w:val="6FA359EB"/>
    <w:rsid w:val="6FB42615"/>
    <w:rsid w:val="6FC2181A"/>
    <w:rsid w:val="6FC36CFC"/>
    <w:rsid w:val="6FCA63E4"/>
    <w:rsid w:val="6FD26F3F"/>
    <w:rsid w:val="6FF218DD"/>
    <w:rsid w:val="6FF42BE0"/>
    <w:rsid w:val="6FFC41AF"/>
    <w:rsid w:val="704C4F43"/>
    <w:rsid w:val="706C2EEF"/>
    <w:rsid w:val="70761F1B"/>
    <w:rsid w:val="708C1ED2"/>
    <w:rsid w:val="70981F36"/>
    <w:rsid w:val="70CB230C"/>
    <w:rsid w:val="70E32593"/>
    <w:rsid w:val="70E801A2"/>
    <w:rsid w:val="7104581E"/>
    <w:rsid w:val="71132E62"/>
    <w:rsid w:val="711D41EA"/>
    <w:rsid w:val="711F5FB5"/>
    <w:rsid w:val="71222297"/>
    <w:rsid w:val="71381023"/>
    <w:rsid w:val="714348B5"/>
    <w:rsid w:val="71554590"/>
    <w:rsid w:val="715D01AD"/>
    <w:rsid w:val="719941B8"/>
    <w:rsid w:val="719E357C"/>
    <w:rsid w:val="71A87F57"/>
    <w:rsid w:val="71BD1788"/>
    <w:rsid w:val="71C50B09"/>
    <w:rsid w:val="722515A8"/>
    <w:rsid w:val="7228286C"/>
    <w:rsid w:val="723979C9"/>
    <w:rsid w:val="724262B0"/>
    <w:rsid w:val="726B27F9"/>
    <w:rsid w:val="727265AC"/>
    <w:rsid w:val="727B1B10"/>
    <w:rsid w:val="727D13E4"/>
    <w:rsid w:val="72A526E9"/>
    <w:rsid w:val="72D71070"/>
    <w:rsid w:val="72EC1039"/>
    <w:rsid w:val="72F13B80"/>
    <w:rsid w:val="73004C2C"/>
    <w:rsid w:val="7304330F"/>
    <w:rsid w:val="732E5FCC"/>
    <w:rsid w:val="73337CF4"/>
    <w:rsid w:val="733817AF"/>
    <w:rsid w:val="73412411"/>
    <w:rsid w:val="73440778"/>
    <w:rsid w:val="734463A5"/>
    <w:rsid w:val="73520AC2"/>
    <w:rsid w:val="7358775B"/>
    <w:rsid w:val="73840550"/>
    <w:rsid w:val="739509AF"/>
    <w:rsid w:val="73B565D1"/>
    <w:rsid w:val="73C052CC"/>
    <w:rsid w:val="73DC3547"/>
    <w:rsid w:val="73DD684C"/>
    <w:rsid w:val="73ED2599"/>
    <w:rsid w:val="73F04C23"/>
    <w:rsid w:val="740D6797"/>
    <w:rsid w:val="74113F05"/>
    <w:rsid w:val="74163F16"/>
    <w:rsid w:val="741C69DA"/>
    <w:rsid w:val="742424F5"/>
    <w:rsid w:val="744103B3"/>
    <w:rsid w:val="7450221E"/>
    <w:rsid w:val="74566390"/>
    <w:rsid w:val="747D15AF"/>
    <w:rsid w:val="749F595E"/>
    <w:rsid w:val="74AA2238"/>
    <w:rsid w:val="74DF0134"/>
    <w:rsid w:val="74EB066D"/>
    <w:rsid w:val="74F87650"/>
    <w:rsid w:val="74FB6DBC"/>
    <w:rsid w:val="75114065"/>
    <w:rsid w:val="751A5610"/>
    <w:rsid w:val="7539539D"/>
    <w:rsid w:val="755E2AE8"/>
    <w:rsid w:val="75695C4F"/>
    <w:rsid w:val="757B0B57"/>
    <w:rsid w:val="759248B8"/>
    <w:rsid w:val="759C7DD3"/>
    <w:rsid w:val="75A153E9"/>
    <w:rsid w:val="75B0387E"/>
    <w:rsid w:val="75CB6E7D"/>
    <w:rsid w:val="75E33C54"/>
    <w:rsid w:val="75EA3234"/>
    <w:rsid w:val="75ED3231"/>
    <w:rsid w:val="75FC2C73"/>
    <w:rsid w:val="76047756"/>
    <w:rsid w:val="76155660"/>
    <w:rsid w:val="761B33ED"/>
    <w:rsid w:val="761E5D99"/>
    <w:rsid w:val="761F03BE"/>
    <w:rsid w:val="762B1157"/>
    <w:rsid w:val="764A5A81"/>
    <w:rsid w:val="766111DA"/>
    <w:rsid w:val="76612DCA"/>
    <w:rsid w:val="766528BB"/>
    <w:rsid w:val="767B20DE"/>
    <w:rsid w:val="767B7C93"/>
    <w:rsid w:val="7694586D"/>
    <w:rsid w:val="76B4739E"/>
    <w:rsid w:val="76C75323"/>
    <w:rsid w:val="76D1655C"/>
    <w:rsid w:val="76D25D41"/>
    <w:rsid w:val="76E666DE"/>
    <w:rsid w:val="76E72AA0"/>
    <w:rsid w:val="7701090C"/>
    <w:rsid w:val="771A711A"/>
    <w:rsid w:val="771D4F43"/>
    <w:rsid w:val="77277B70"/>
    <w:rsid w:val="772A600E"/>
    <w:rsid w:val="77336515"/>
    <w:rsid w:val="77362975"/>
    <w:rsid w:val="77444BC6"/>
    <w:rsid w:val="77577349"/>
    <w:rsid w:val="775A6197"/>
    <w:rsid w:val="77660698"/>
    <w:rsid w:val="776D7992"/>
    <w:rsid w:val="777C4360"/>
    <w:rsid w:val="77955421"/>
    <w:rsid w:val="77A11A30"/>
    <w:rsid w:val="77A411C1"/>
    <w:rsid w:val="77B238DE"/>
    <w:rsid w:val="77F71C38"/>
    <w:rsid w:val="77F8055E"/>
    <w:rsid w:val="780D57F6"/>
    <w:rsid w:val="78106856"/>
    <w:rsid w:val="781E4FE7"/>
    <w:rsid w:val="7840256B"/>
    <w:rsid w:val="7884096A"/>
    <w:rsid w:val="78850FF2"/>
    <w:rsid w:val="789524E8"/>
    <w:rsid w:val="78B00D51"/>
    <w:rsid w:val="78B611AB"/>
    <w:rsid w:val="78CA10FB"/>
    <w:rsid w:val="78E03E67"/>
    <w:rsid w:val="78F06D68"/>
    <w:rsid w:val="78F55DA6"/>
    <w:rsid w:val="790E548B"/>
    <w:rsid w:val="79236E7C"/>
    <w:rsid w:val="792A1B99"/>
    <w:rsid w:val="79347262"/>
    <w:rsid w:val="794013BD"/>
    <w:rsid w:val="795521DA"/>
    <w:rsid w:val="796B1B89"/>
    <w:rsid w:val="797B008A"/>
    <w:rsid w:val="797C23F5"/>
    <w:rsid w:val="798516DF"/>
    <w:rsid w:val="798C015E"/>
    <w:rsid w:val="79921C19"/>
    <w:rsid w:val="79C618C2"/>
    <w:rsid w:val="79D73ACF"/>
    <w:rsid w:val="79E46056"/>
    <w:rsid w:val="7A0C534E"/>
    <w:rsid w:val="7A222CE3"/>
    <w:rsid w:val="7A735C4D"/>
    <w:rsid w:val="7A8C2B0C"/>
    <w:rsid w:val="7A8E7C8A"/>
    <w:rsid w:val="7A9F01F0"/>
    <w:rsid w:val="7AB52A1D"/>
    <w:rsid w:val="7B0152A5"/>
    <w:rsid w:val="7B112B38"/>
    <w:rsid w:val="7B2A5E81"/>
    <w:rsid w:val="7B2C7E4B"/>
    <w:rsid w:val="7B2F16E9"/>
    <w:rsid w:val="7B7567C0"/>
    <w:rsid w:val="7B7B66DC"/>
    <w:rsid w:val="7B7D2454"/>
    <w:rsid w:val="7B9072BC"/>
    <w:rsid w:val="7B944A08"/>
    <w:rsid w:val="7B9F57C7"/>
    <w:rsid w:val="7C266648"/>
    <w:rsid w:val="7C2823C0"/>
    <w:rsid w:val="7C3172AC"/>
    <w:rsid w:val="7C354382"/>
    <w:rsid w:val="7C563402"/>
    <w:rsid w:val="7C5E2286"/>
    <w:rsid w:val="7C686C61"/>
    <w:rsid w:val="7C765D1B"/>
    <w:rsid w:val="7C7B659E"/>
    <w:rsid w:val="7C7E0232"/>
    <w:rsid w:val="7C9712F4"/>
    <w:rsid w:val="7C9A2888"/>
    <w:rsid w:val="7C9B0FDB"/>
    <w:rsid w:val="7CBA4D6C"/>
    <w:rsid w:val="7CC3658D"/>
    <w:rsid w:val="7CC85951"/>
    <w:rsid w:val="7CCC5441"/>
    <w:rsid w:val="7CD23C7F"/>
    <w:rsid w:val="7CD24BAE"/>
    <w:rsid w:val="7CE56503"/>
    <w:rsid w:val="7CFA6C05"/>
    <w:rsid w:val="7D033147"/>
    <w:rsid w:val="7D1066E2"/>
    <w:rsid w:val="7D1B179B"/>
    <w:rsid w:val="7D1B3CD3"/>
    <w:rsid w:val="7D227CB6"/>
    <w:rsid w:val="7D300C5A"/>
    <w:rsid w:val="7D4C0330"/>
    <w:rsid w:val="7D811B7B"/>
    <w:rsid w:val="7D836171"/>
    <w:rsid w:val="7DBA0B43"/>
    <w:rsid w:val="7E3E4800"/>
    <w:rsid w:val="7E53749D"/>
    <w:rsid w:val="7E696CC0"/>
    <w:rsid w:val="7E7B41B8"/>
    <w:rsid w:val="7E7F0292"/>
    <w:rsid w:val="7E835AFC"/>
    <w:rsid w:val="7E851714"/>
    <w:rsid w:val="7E88060D"/>
    <w:rsid w:val="7E966D9F"/>
    <w:rsid w:val="7EA45F4A"/>
    <w:rsid w:val="7EE02B0F"/>
    <w:rsid w:val="7EF16259"/>
    <w:rsid w:val="7EF163A6"/>
    <w:rsid w:val="7F0D7FB9"/>
    <w:rsid w:val="7F2B0D53"/>
    <w:rsid w:val="7F4E65E2"/>
    <w:rsid w:val="7F6A7194"/>
    <w:rsid w:val="7F7F5D50"/>
    <w:rsid w:val="7F912972"/>
    <w:rsid w:val="7F9A5B2F"/>
    <w:rsid w:val="7FA0125F"/>
    <w:rsid w:val="7FA043A1"/>
    <w:rsid w:val="7FAC4DA8"/>
    <w:rsid w:val="7FCB7818"/>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116"/>
        <w:tab w:val="left" w:pos="420"/>
        <w:tab w:val="left" w:pos="840"/>
      </w:tabs>
      <w:ind w:firstLine="420" w:firstLineChars="200"/>
    </w:pPr>
  </w:style>
  <w:style w:type="paragraph" w:styleId="3">
    <w:name w:val="Body Text Indent"/>
    <w:basedOn w:val="1"/>
    <w:qFormat/>
    <w:uiPriority w:val="0"/>
    <w:pPr>
      <w:tabs>
        <w:tab w:val="left" w:pos="840"/>
      </w:tabs>
      <w:snapToGrid w:val="0"/>
      <w:spacing w:line="300" w:lineRule="exact"/>
      <w:ind w:left="630" w:leftChars="300"/>
    </w:pPr>
  </w:style>
  <w:style w:type="paragraph" w:styleId="6">
    <w:name w:val="annotation text"/>
    <w:basedOn w:val="1"/>
    <w:link w:val="23"/>
    <w:qFormat/>
    <w:uiPriority w:val="0"/>
    <w:pPr>
      <w:jc w:val="left"/>
    </w:pPr>
  </w:style>
  <w:style w:type="paragraph" w:styleId="7">
    <w:name w:val="Body Text"/>
    <w:basedOn w:val="1"/>
    <w:semiHidden/>
    <w:qFormat/>
    <w:uiPriority w:val="0"/>
    <w:rPr>
      <w:rFonts w:ascii="宋体" w:hAnsi="宋体" w:eastAsia="宋体" w:cs="宋体"/>
      <w:sz w:val="28"/>
      <w:szCs w:val="28"/>
      <w:lang w:val="en-US" w:eastAsia="en-US" w:bidi="ar-SA"/>
    </w:rPr>
  </w:style>
  <w:style w:type="paragraph" w:styleId="8">
    <w:name w:val="toc 3"/>
    <w:basedOn w:val="1"/>
    <w:next w:val="1"/>
    <w:qFormat/>
    <w:uiPriority w:val="0"/>
    <w:pPr>
      <w:ind w:left="840" w:leftChars="400"/>
    </w:pPr>
  </w:style>
  <w:style w:type="paragraph" w:styleId="9">
    <w:name w:val="Balloon Text"/>
    <w:basedOn w:val="1"/>
    <w:link w:val="2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6"/>
    <w:next w:val="6"/>
    <w:link w:val="24"/>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Emphasis"/>
    <w:basedOn w:val="18"/>
    <w:qFormat/>
    <w:uiPriority w:val="0"/>
    <w:rPr>
      <w:i/>
    </w:rPr>
  </w:style>
  <w:style w:type="character" w:styleId="21">
    <w:name w:val="annotation reference"/>
    <w:basedOn w:val="18"/>
    <w:qFormat/>
    <w:uiPriority w:val="0"/>
    <w:rPr>
      <w:sz w:val="21"/>
      <w:szCs w:val="21"/>
    </w:rPr>
  </w:style>
  <w:style w:type="character" w:customStyle="1" w:styleId="22">
    <w:name w:val="批注框文本 Char"/>
    <w:basedOn w:val="18"/>
    <w:link w:val="9"/>
    <w:qFormat/>
    <w:uiPriority w:val="0"/>
    <w:rPr>
      <w:rFonts w:ascii="Times New Roman" w:hAnsi="Times New Roman"/>
      <w:kern w:val="2"/>
      <w:sz w:val="18"/>
      <w:szCs w:val="18"/>
    </w:rPr>
  </w:style>
  <w:style w:type="character" w:customStyle="1" w:styleId="23">
    <w:name w:val="批注文字 Char"/>
    <w:basedOn w:val="18"/>
    <w:link w:val="6"/>
    <w:qFormat/>
    <w:uiPriority w:val="0"/>
    <w:rPr>
      <w:rFonts w:ascii="Times New Roman" w:hAnsi="Times New Roman"/>
      <w:kern w:val="2"/>
      <w:sz w:val="21"/>
      <w:szCs w:val="22"/>
    </w:rPr>
  </w:style>
  <w:style w:type="character" w:customStyle="1" w:styleId="24">
    <w:name w:val="批注主题 Char"/>
    <w:basedOn w:val="23"/>
    <w:link w:val="15"/>
    <w:qFormat/>
    <w:uiPriority w:val="0"/>
  </w:style>
  <w:style w:type="character" w:customStyle="1" w:styleId="25">
    <w:name w:val="font51"/>
    <w:basedOn w:val="18"/>
    <w:qFormat/>
    <w:uiPriority w:val="0"/>
    <w:rPr>
      <w:rFonts w:hint="eastAsia" w:ascii="宋体" w:hAnsi="宋体" w:eastAsia="宋体" w:cs="宋体"/>
      <w:color w:val="000000"/>
      <w:sz w:val="20"/>
      <w:szCs w:val="20"/>
      <w:u w:val="none"/>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character" w:customStyle="1" w:styleId="27">
    <w:name w:val="font71"/>
    <w:basedOn w:val="18"/>
    <w:qFormat/>
    <w:uiPriority w:val="0"/>
    <w:rPr>
      <w:rFonts w:hint="eastAsia" w:ascii="宋体" w:hAnsi="宋体" w:eastAsia="宋体" w:cs="宋体"/>
      <w:color w:val="000000"/>
      <w:sz w:val="24"/>
      <w:szCs w:val="24"/>
      <w:u w:val="none"/>
    </w:rPr>
  </w:style>
  <w:style w:type="character" w:customStyle="1" w:styleId="28">
    <w:name w:val="font91"/>
    <w:basedOn w:val="18"/>
    <w:qFormat/>
    <w:uiPriority w:val="0"/>
    <w:rPr>
      <w:rFonts w:hint="eastAsia" w:ascii="宋体" w:hAnsi="宋体" w:eastAsia="宋体" w:cs="宋体"/>
      <w:color w:val="000000"/>
      <w:sz w:val="24"/>
      <w:szCs w:val="24"/>
      <w:u w:val="single"/>
    </w:rPr>
  </w:style>
  <w:style w:type="character" w:customStyle="1" w:styleId="29">
    <w:name w:val="font31"/>
    <w:basedOn w:val="18"/>
    <w:qFormat/>
    <w:uiPriority w:val="0"/>
    <w:rPr>
      <w:rFonts w:hint="eastAsia" w:ascii="宋体" w:hAnsi="宋体" w:eastAsia="宋体" w:cs="宋体"/>
      <w:color w:val="000000"/>
      <w:sz w:val="20"/>
      <w:szCs w:val="20"/>
      <w:u w:val="none"/>
    </w:rPr>
  </w:style>
  <w:style w:type="character" w:customStyle="1" w:styleId="30">
    <w:name w:val="font21"/>
    <w:qFormat/>
    <w:uiPriority w:val="0"/>
    <w:rPr>
      <w:rFonts w:hint="eastAsia" w:ascii="宋体" w:hAnsi="宋体" w:eastAsia="宋体" w:cs="宋体"/>
      <w:color w:val="000000"/>
      <w:sz w:val="20"/>
      <w:szCs w:val="20"/>
      <w:u w:val="none"/>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WPSOffice手动目录 3"/>
    <w:qFormat/>
    <w:uiPriority w:val="0"/>
    <w:pPr>
      <w:ind w:leftChars="400"/>
    </w:pPr>
    <w:rPr>
      <w:rFonts w:ascii="Times New Roman" w:hAnsi="Times New Roman" w:eastAsia="宋体" w:cs="Times New Roman"/>
      <w:sz w:val="20"/>
      <w:szCs w:val="20"/>
    </w:rPr>
  </w:style>
  <w:style w:type="table" w:customStyle="1" w:styleId="3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63</Pages>
  <Words>10398</Words>
  <Characters>10801</Characters>
  <Lines>1</Lines>
  <Paragraphs>1</Paragraphs>
  <TotalTime>15</TotalTime>
  <ScaleCrop>false</ScaleCrop>
  <LinksUpToDate>false</LinksUpToDate>
  <CharactersWithSpaces>11220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2024-12-13T02:59:00Z</cp:lastPrinted>
  <dcterms:modified xsi:type="dcterms:W3CDTF">2025-08-25T09:28:09Z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37D70147EB7C4B91AF5DE3119C72B76F_13</vt:lpwstr>
  </property>
  <property fmtid="{D5CDD505-2E9C-101B-9397-08002B2CF9AE}" pid="4" name="commondata">
    <vt:lpwstr>eyJoZGlkIjoiZDJiMzdlZTkyZWRmN2IzYzY2ZmI2ZTBlN2MyMWRiOWEifQ==</vt:lpwstr>
  </property>
  <property fmtid="{D5CDD505-2E9C-101B-9397-08002B2CF9AE}" pid="5" name="KSOTemplateDocerSaveRecord">
    <vt:lpwstr>eyJoZGlkIjoiOTBmNjMxZTQxOTk3ZWE0OGM0NTRmMThiNjRlNmQyZDgiLCJ1c2VySWQiOiIzMjYyOTIwOTcifQ==</vt:lpwstr>
  </property>
</Properties>
</file>