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bidi w:val="0"/>
        <w:spacing w:line="360" w:lineRule="auto"/>
        <w:jc w:val="both"/>
        <w:rPr>
          <w:rFonts w:hint="default" w:eastAsia="宋体"/>
          <w:color w:val="auto"/>
          <w:highlight w:val="none"/>
          <w:lang w:val="en-US" w:eastAsia="zh-CN"/>
        </w:rPr>
      </w:pPr>
    </w:p>
    <w:p>
      <w:pPr>
        <w:pageBreakBefore w:val="0"/>
        <w:wordWrap/>
        <w:topLinePunct w:val="0"/>
        <w:bidi w:val="0"/>
        <w:spacing w:line="360" w:lineRule="auto"/>
        <w:jc w:val="both"/>
        <w:rPr>
          <w:rFonts w:hint="default" w:eastAsia="宋体"/>
          <w:color w:val="auto"/>
          <w:highlight w:val="none"/>
          <w:lang w:val="en-US" w:eastAsia="zh-CN"/>
        </w:rPr>
      </w:pPr>
    </w:p>
    <w:p>
      <w:pPr>
        <w:pageBreakBefore w:val="0"/>
        <w:wordWrap/>
        <w:topLinePunct w:val="0"/>
        <w:bidi w:val="0"/>
        <w:spacing w:line="360" w:lineRule="auto"/>
        <w:jc w:val="both"/>
        <w:rPr>
          <w:rFonts w:hint="default" w:eastAsia="宋体"/>
          <w:color w:val="auto"/>
          <w:highlight w:val="none"/>
          <w:lang w:val="en-US" w:eastAsia="zh-CN"/>
        </w:rPr>
      </w:pPr>
    </w:p>
    <w:p>
      <w:pPr>
        <w:pageBreakBefore w:val="0"/>
        <w:wordWrap/>
        <w:topLinePunct w:val="0"/>
        <w:bidi w:val="0"/>
        <w:spacing w:line="360" w:lineRule="auto"/>
        <w:jc w:val="both"/>
        <w:rPr>
          <w:rFonts w:hint="default" w:eastAsia="宋体"/>
          <w:color w:val="auto"/>
          <w:highlight w:val="none"/>
          <w:lang w:val="en-US" w:eastAsia="zh-CN"/>
        </w:rPr>
      </w:pPr>
    </w:p>
    <w:p>
      <w:pPr>
        <w:pageBreakBefore w:val="0"/>
        <w:wordWrap/>
        <w:topLinePunct w:val="0"/>
        <w:bidi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0" distR="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026" name="图片 2" descr="86619fd34e89ba868d862bb3661be41"/>
            <wp:cNvGraphicFramePr/>
            <a:graphic xmlns:a="http://schemas.openxmlformats.org/drawingml/2006/main">
              <a:graphicData uri="http://schemas.openxmlformats.org/drawingml/2006/picture">
                <pic:pic xmlns:pic="http://schemas.openxmlformats.org/drawingml/2006/picture">
                  <pic:nvPicPr>
                    <pic:cNvPr id="1026" name="图片 2" descr="86619fd34e89ba868d862bb3661be41"/>
                    <pic:cNvPicPr/>
                  </pic:nvPicPr>
                  <pic:blipFill>
                    <a:blip r:embed="rId7" cstate="print"/>
                    <a:srcRect/>
                    <a:stretch>
                      <a:fillRect/>
                    </a:stretch>
                  </pic:blipFill>
                  <pic:spPr>
                    <a:xfrm>
                      <a:off x="0" y="0"/>
                      <a:ext cx="4288789" cy="690245"/>
                    </a:xfrm>
                    <a:prstGeom prst="rect">
                      <a:avLst/>
                    </a:prstGeom>
                    <a:ln>
                      <a:noFill/>
                    </a:ln>
                  </pic:spPr>
                </pic:pic>
              </a:graphicData>
            </a:graphic>
          </wp:anchor>
        </w:drawing>
      </w:r>
    </w:p>
    <w:p>
      <w:pPr>
        <w:pageBreakBefore w:val="0"/>
        <w:wordWrap/>
        <w:topLinePunct w:val="0"/>
        <w:bidi w:val="0"/>
        <w:spacing w:line="360" w:lineRule="auto"/>
        <w:jc w:val="center"/>
        <w:rPr>
          <w:rFonts w:hint="default" w:eastAsia="宋体"/>
          <w:b/>
          <w:color w:val="auto"/>
          <w:sz w:val="72"/>
          <w:highlight w:val="none"/>
          <w:lang w:val="en-US" w:eastAsia="zh-CN"/>
        </w:rPr>
      </w:pPr>
    </w:p>
    <w:p>
      <w:pPr>
        <w:pageBreakBefore w:val="0"/>
        <w:wordWrap/>
        <w:topLinePunct w:val="0"/>
        <w:bidi w:val="0"/>
        <w:spacing w:line="360" w:lineRule="auto"/>
        <w:jc w:val="both"/>
        <w:rPr>
          <w:b/>
          <w:color w:val="auto"/>
          <w:sz w:val="7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 xml:space="preserve"> 南京现代表面处理科技产业中心项目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A地块建设工程临建配套空调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pPr>
        <w:pageBreakBefore w:val="0"/>
        <w:wordWrap/>
        <w:topLinePunct w:val="0"/>
        <w:bidi w:val="0"/>
        <w:spacing w:line="360" w:lineRule="auto"/>
        <w:jc w:val="both"/>
        <w:rPr>
          <w:rFonts w:hint="default" w:eastAsia="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合同编号：</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甲方（需方）：</w:t>
      </w:r>
      <w:r>
        <w:rPr>
          <w:rFonts w:hint="eastAsia" w:ascii="Calibri" w:hAnsi="Calibri" w:eastAsia="宋体" w:cs="Times New Roman"/>
          <w:color w:val="auto"/>
          <w:sz w:val="28"/>
          <w:szCs w:val="28"/>
          <w:highlight w:val="none"/>
          <w:u w:val="none"/>
        </w:rPr>
        <w:t>东莞市中泰建安工程有限公司</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乙方（供方）：</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签订日期：</w:t>
      </w:r>
      <w:r>
        <w:rPr>
          <w:rFonts w:hint="eastAsia" w:ascii="宋体" w:hAnsi="宋体" w:eastAsia="宋体" w:cs="宋体"/>
          <w:b w:val="0"/>
          <w:bCs w:val="0"/>
          <w:color w:val="auto"/>
          <w:sz w:val="28"/>
          <w:szCs w:val="28"/>
          <w:highlight w:val="none"/>
          <w:u w:val="none"/>
          <w:lang w:val="en-US" w:eastAsia="zh-CN"/>
        </w:rPr>
        <w:t>202</w:t>
      </w:r>
      <w:r>
        <w:rPr>
          <w:rFonts w:hint="eastAsia" w:ascii="宋体" w:hAnsi="宋体" w:eastAsia="宋体" w:cs="宋体"/>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年</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月</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签订地点：广东东莞南城。</w:t>
      </w:r>
    </w:p>
    <w:p>
      <w:pPr>
        <w:pageBreakBefore w:val="0"/>
        <w:wordWrap/>
        <w:topLinePunct w:val="0"/>
        <w:bidi w:val="0"/>
        <w:spacing w:line="360" w:lineRule="auto"/>
        <w:jc w:val="both"/>
        <w:rPr>
          <w:rFonts w:hint="default" w:eastAsia="宋体"/>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pPr>
        <w:pageBreakBefore w:val="0"/>
        <w:wordWrap/>
        <w:topLinePunct w:val="0"/>
        <w:bidi w:val="0"/>
        <w:spacing w:before="0" w:after="0" w:line="36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pPr>
        <w:pStyle w:val="7"/>
        <w:tabs>
          <w:tab w:val="right" w:leader="dot" w:pos="10206"/>
        </w:tabs>
        <w:rPr>
          <w:color w:val="auto"/>
          <w:highlight w:val="none"/>
        </w:rPr>
      </w:pPr>
      <w:bookmarkStart w:id="0" w:name="_Toc14412"/>
      <w:bookmarkStart w:id="1" w:name="_Toc17662"/>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TOC \o "1-1" \h \u </w:instrText>
      </w:r>
      <w:r>
        <w:rPr>
          <w:rFonts w:hint="eastAsia" w:cs="仿宋"/>
          <w:bCs/>
          <w:color w:val="auto"/>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_Toc17474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highlight w:val="none"/>
        </w:rPr>
        <w:tab/>
      </w:r>
      <w:r>
        <w:rPr>
          <w:color w:val="auto"/>
          <w:highlight w:val="none"/>
        </w:rPr>
        <w:fldChar w:fldCharType="begin"/>
      </w:r>
      <w:r>
        <w:rPr>
          <w:color w:val="auto"/>
          <w:highlight w:val="none"/>
        </w:rPr>
        <w:instrText xml:space="preserve"> PAGEREF _Toc17474 \h </w:instrText>
      </w:r>
      <w:r>
        <w:rPr>
          <w:color w:val="auto"/>
          <w:highlight w:val="none"/>
        </w:rPr>
        <w:fldChar w:fldCharType="separate"/>
      </w:r>
      <w:r>
        <w:rPr>
          <w:color w:val="auto"/>
          <w:highlight w:val="none"/>
        </w:rPr>
        <w:t>3</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_Toc32399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_Toc32399 \h </w:instrText>
      </w:r>
      <w:r>
        <w:rPr>
          <w:color w:val="auto"/>
          <w:highlight w:val="none"/>
        </w:rPr>
        <w:fldChar w:fldCharType="separate"/>
      </w:r>
      <w:r>
        <w:rPr>
          <w:color w:val="auto"/>
          <w:highlight w:val="none"/>
        </w:rPr>
        <w:t>4</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_Toc20399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highlight w:val="none"/>
        </w:rPr>
        <w:tab/>
      </w:r>
      <w:r>
        <w:rPr>
          <w:color w:val="auto"/>
          <w:highlight w:val="none"/>
        </w:rPr>
        <w:fldChar w:fldCharType="begin"/>
      </w:r>
      <w:r>
        <w:rPr>
          <w:color w:val="auto"/>
          <w:highlight w:val="none"/>
        </w:rPr>
        <w:instrText xml:space="preserve"> PAGEREF _Toc20399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_Toc19751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rPr>
        <w:t>交货</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验收</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包装物</w:t>
      </w:r>
      <w:r>
        <w:rPr>
          <w:rFonts w:hint="eastAsia" w:ascii="仿宋" w:hAnsi="仿宋" w:eastAsia="仿宋" w:cs="仿宋"/>
          <w:bCs/>
          <w:color w:val="auto"/>
          <w:highlight w:val="none"/>
          <w:lang w:eastAsia="zh-CN"/>
        </w:rPr>
        <w:t>及保修</w:t>
      </w:r>
      <w:r>
        <w:rPr>
          <w:color w:val="auto"/>
          <w:highlight w:val="none"/>
        </w:rPr>
        <w:tab/>
      </w:r>
      <w:r>
        <w:rPr>
          <w:color w:val="auto"/>
          <w:highlight w:val="none"/>
        </w:rPr>
        <w:fldChar w:fldCharType="begin"/>
      </w:r>
      <w:r>
        <w:rPr>
          <w:color w:val="auto"/>
          <w:highlight w:val="none"/>
        </w:rPr>
        <w:instrText xml:space="preserve"> PAGEREF _Toc19751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_Toc28514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违约责任</w:t>
      </w:r>
      <w:r>
        <w:rPr>
          <w:color w:val="auto"/>
          <w:highlight w:val="none"/>
        </w:rPr>
        <w:tab/>
      </w:r>
      <w:r>
        <w:rPr>
          <w:color w:val="auto"/>
          <w:highlight w:val="none"/>
        </w:rPr>
        <w:fldChar w:fldCharType="begin"/>
      </w:r>
      <w:r>
        <w:rPr>
          <w:color w:val="auto"/>
          <w:highlight w:val="none"/>
        </w:rPr>
        <w:instrText xml:space="preserve"> PAGEREF _Toc28514 \h </w:instrText>
      </w:r>
      <w:r>
        <w:rPr>
          <w:color w:val="auto"/>
          <w:highlight w:val="none"/>
        </w:rPr>
        <w:fldChar w:fldCharType="separate"/>
      </w:r>
      <w:r>
        <w:rPr>
          <w:color w:val="auto"/>
          <w:highlight w:val="none"/>
        </w:rPr>
        <w:t>13</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_Toc12600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廉洁条款</w:t>
      </w:r>
      <w:r>
        <w:rPr>
          <w:color w:val="auto"/>
          <w:highlight w:val="none"/>
        </w:rPr>
        <w:tab/>
      </w:r>
      <w:r>
        <w:rPr>
          <w:color w:val="auto"/>
          <w:highlight w:val="none"/>
        </w:rPr>
        <w:fldChar w:fldCharType="begin"/>
      </w:r>
      <w:r>
        <w:rPr>
          <w:color w:val="auto"/>
          <w:highlight w:val="none"/>
        </w:rPr>
        <w:instrText xml:space="preserve"> PAGEREF _Toc12600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_Toc18645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_Toc18645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fldChar w:fldCharType="end"/>
      </w:r>
      <w:bookmarkEnd w:id="0"/>
      <w:bookmarkEnd w:id="1"/>
    </w:p>
    <w:p>
      <w:pPr>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甲、乙双方在平等、自愿、公平和诚实守信的原则上，依据《中华人民共和国民法典》《中华人民共和国产品质量法》及其他有关法律法规，就拟用于“</w:t>
      </w:r>
      <w:r>
        <w:rPr>
          <w:rFonts w:hint="eastAsia" w:ascii="仿宋" w:hAnsi="仿宋" w:eastAsia="仿宋" w:cs="仿宋"/>
          <w:color w:val="auto"/>
          <w:sz w:val="28"/>
          <w:szCs w:val="28"/>
          <w:highlight w:val="none"/>
          <w:u w:val="single"/>
          <w:lang w:val="en-US" w:eastAsia="zh-CN"/>
        </w:rPr>
        <w:t>南京现代表面处理科技产业中心项目一期A地块建设工程</w:t>
      </w:r>
      <w:r>
        <w:rPr>
          <w:rFonts w:hint="eastAsia" w:ascii="仿宋" w:hAnsi="仿宋" w:eastAsia="仿宋" w:cs="仿宋"/>
          <w:b w:val="0"/>
          <w:bCs w:val="0"/>
          <w:color w:val="auto"/>
          <w:kern w:val="2"/>
          <w:sz w:val="28"/>
          <w:szCs w:val="28"/>
          <w:highlight w:val="none"/>
          <w:u w:val="none"/>
          <w:lang w:val="en-US" w:eastAsia="zh-CN" w:bidi="ar-SA"/>
        </w:rPr>
        <w:t>项目”（以下简称“本项目”）的临建配套空调（以下简称“产品”） 购销事宜协商一致，特签订本合同。（本合同范围内，对以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2" w:char="00A3"/>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bookmarkStart w:id="2" w:name="_Toc17291"/>
      <w:bookmarkStart w:id="3" w:name="_Toc26009"/>
      <w:bookmarkStart w:id="4" w:name="_Toc30517"/>
      <w:bookmarkStart w:id="5" w:name="_Toc17474"/>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2"/>
      <w:bookmarkEnd w:id="3"/>
      <w:bookmarkEnd w:id="4"/>
      <w:r>
        <w:rPr>
          <w:rFonts w:hint="eastAsia" w:ascii="仿宋" w:hAnsi="仿宋" w:eastAsia="仿宋" w:cs="仿宋"/>
          <w:b/>
          <w:bCs/>
          <w:color w:val="auto"/>
          <w:sz w:val="28"/>
          <w:szCs w:val="28"/>
          <w:highlight w:val="none"/>
          <w:lang w:val="en-US" w:eastAsia="zh-CN"/>
        </w:rPr>
        <w:t>及合同价款</w:t>
      </w:r>
      <w:bookmarkEnd w:id="5"/>
    </w:p>
    <w:tbl>
      <w:tblPr>
        <w:tblStyle w:val="10"/>
        <w:tblW w:w="5157" w:type="pct"/>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78"/>
        <w:gridCol w:w="1297"/>
        <w:gridCol w:w="1052"/>
        <w:gridCol w:w="2608"/>
        <w:gridCol w:w="470"/>
        <w:gridCol w:w="859"/>
        <w:gridCol w:w="1200"/>
        <w:gridCol w:w="1188"/>
        <w:gridCol w:w="678"/>
        <w:tblGridChange w:id="0">
          <w:tblGrid>
            <w:gridCol w:w="520"/>
            <w:gridCol w:w="878"/>
            <w:gridCol w:w="1297"/>
            <w:gridCol w:w="3660"/>
            <w:gridCol w:w="470"/>
            <w:gridCol w:w="859"/>
            <w:gridCol w:w="1200"/>
            <w:gridCol w:w="1188"/>
            <w:gridCol w:w="67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4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4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60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品牌、</w:t>
            </w:r>
            <w:r>
              <w:rPr>
                <w:rFonts w:hint="eastAsia" w:ascii="仿宋" w:hAnsi="仿宋" w:eastAsia="仿宋" w:cs="仿宋"/>
                <w:color w:val="auto"/>
                <w:sz w:val="28"/>
                <w:szCs w:val="28"/>
                <w:highlight w:val="none"/>
                <w:vertAlign w:val="baseline"/>
                <w:lang w:val="en-US" w:eastAsia="zh-CN"/>
              </w:rPr>
              <w:t>制造商、产地</w:t>
            </w:r>
          </w:p>
        </w:tc>
        <w:tc>
          <w:tcPr>
            <w:tcW w:w="1702"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r>
              <w:rPr>
                <w:rFonts w:hint="eastAsia" w:ascii="仿宋" w:hAnsi="仿宋" w:eastAsia="仿宋" w:cs="仿宋"/>
                <w:color w:val="auto"/>
                <w:sz w:val="28"/>
                <w:szCs w:val="28"/>
                <w:highlight w:val="none"/>
                <w:vertAlign w:val="baseline"/>
                <w:lang w:val="en-US" w:eastAsia="zh-CN"/>
              </w:rPr>
              <w:t>如有图纸，详见附件</w:t>
            </w:r>
            <w:r>
              <w:rPr>
                <w:rFonts w:hint="eastAsia" w:ascii="仿宋" w:hAnsi="仿宋" w:eastAsia="仿宋" w:cs="仿宋"/>
                <w:color w:val="auto"/>
                <w:sz w:val="28"/>
                <w:szCs w:val="28"/>
                <w:highlight w:val="none"/>
                <w:vertAlign w:val="baseline"/>
                <w:lang w:eastAsia="zh-CN"/>
              </w:rPr>
              <w:t>）</w:t>
            </w:r>
          </w:p>
        </w:tc>
        <w:tc>
          <w:tcPr>
            <w:tcW w:w="2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39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5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55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31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4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空调</w:t>
            </w:r>
          </w:p>
        </w:tc>
        <w:tc>
          <w:tcPr>
            <w:tcW w:w="60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702"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1.5匹；挂机；含冷暖功能。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全新，包开孔、支架等辅材及安装。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含配套铜管长度</w:t>
            </w:r>
            <w:r>
              <w:rPr>
                <w:rFonts w:hint="eastAsia" w:ascii="仿宋" w:hAnsi="仿宋" w:eastAsia="仿宋" w:cs="仿宋"/>
                <w:b w:val="0"/>
                <w:bCs w:val="0"/>
                <w:color w:val="auto"/>
                <w:sz w:val="28"/>
                <w:szCs w:val="28"/>
                <w:highlight w:val="none"/>
                <w:u w:val="single"/>
                <w:vertAlign w:val="baseline"/>
                <w:lang w:val="en-US" w:eastAsia="zh-CN"/>
              </w:rPr>
              <w:t xml:space="preserve">   </w:t>
            </w:r>
            <w:r>
              <w:rPr>
                <w:rFonts w:hint="eastAsia" w:ascii="仿宋" w:hAnsi="仿宋" w:eastAsia="仿宋" w:cs="仿宋"/>
                <w:b w:val="0"/>
                <w:bCs w:val="0"/>
                <w:color w:val="auto"/>
                <w:sz w:val="28"/>
                <w:szCs w:val="28"/>
                <w:highlight w:val="none"/>
                <w:vertAlign w:val="baseline"/>
                <w:lang w:val="en-US" w:eastAsia="zh-CN"/>
              </w:rPr>
              <w:t>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u w:val="singl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能效：</w:t>
            </w:r>
            <w:r>
              <w:rPr>
                <w:rFonts w:hint="eastAsia" w:ascii="仿宋" w:hAnsi="仿宋" w:eastAsia="仿宋" w:cs="仿宋"/>
                <w:b w:val="0"/>
                <w:bCs w:val="0"/>
                <w:color w:val="auto"/>
                <w:sz w:val="28"/>
                <w:szCs w:val="28"/>
                <w:highlight w:val="none"/>
                <w:u w:val="single"/>
                <w:vertAlign w:val="baseline"/>
                <w:lang w:val="en-US" w:eastAsia="zh-CN"/>
              </w:rPr>
              <w:t xml:space="preserve">   级</w:t>
            </w:r>
          </w:p>
        </w:tc>
        <w:tc>
          <w:tcPr>
            <w:tcW w:w="2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台</w:t>
            </w:r>
          </w:p>
        </w:tc>
        <w:tc>
          <w:tcPr>
            <w:tcW w:w="39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118</w:t>
            </w:r>
          </w:p>
        </w:tc>
        <w:tc>
          <w:tcPr>
            <w:tcW w:w="5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4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4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空调</w:t>
            </w:r>
          </w:p>
        </w:tc>
        <w:tc>
          <w:tcPr>
            <w:tcW w:w="60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702"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3匹；柜机；含冷暖功能。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全新，包开孔、支架等辅材及安装。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含配套铜管长度</w:t>
            </w:r>
            <w:r>
              <w:rPr>
                <w:rFonts w:hint="eastAsia" w:ascii="仿宋" w:hAnsi="仿宋" w:eastAsia="仿宋" w:cs="仿宋"/>
                <w:b w:val="0"/>
                <w:bCs w:val="0"/>
                <w:color w:val="auto"/>
                <w:sz w:val="28"/>
                <w:szCs w:val="28"/>
                <w:highlight w:val="none"/>
                <w:u w:val="single"/>
                <w:vertAlign w:val="baseline"/>
                <w:lang w:val="en-US" w:eastAsia="zh-CN"/>
              </w:rPr>
              <w:t xml:space="preserve">   </w:t>
            </w:r>
            <w:r>
              <w:rPr>
                <w:rFonts w:hint="eastAsia" w:ascii="仿宋" w:hAnsi="仿宋" w:eastAsia="仿宋" w:cs="仿宋"/>
                <w:b w:val="0"/>
                <w:bCs w:val="0"/>
                <w:color w:val="auto"/>
                <w:sz w:val="28"/>
                <w:szCs w:val="28"/>
                <w:highlight w:val="none"/>
                <w:vertAlign w:val="baseline"/>
                <w:lang w:val="en-US" w:eastAsia="zh-CN"/>
              </w:rPr>
              <w:t>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能效：</w:t>
            </w:r>
            <w:r>
              <w:rPr>
                <w:rFonts w:hint="eastAsia" w:ascii="仿宋" w:hAnsi="仿宋" w:eastAsia="仿宋" w:cs="仿宋"/>
                <w:b w:val="0"/>
                <w:bCs w:val="0"/>
                <w:color w:val="auto"/>
                <w:sz w:val="28"/>
                <w:szCs w:val="28"/>
                <w:highlight w:val="none"/>
                <w:u w:val="single"/>
                <w:vertAlign w:val="baseline"/>
                <w:lang w:val="en-US" w:eastAsia="zh-CN"/>
              </w:rPr>
              <w:t xml:space="preserve">   级</w:t>
            </w:r>
          </w:p>
        </w:tc>
        <w:tc>
          <w:tcPr>
            <w:tcW w:w="2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台</w:t>
            </w:r>
          </w:p>
        </w:tc>
        <w:tc>
          <w:tcPr>
            <w:tcW w:w="39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5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4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w:t>
            </w:r>
          </w:p>
        </w:tc>
        <w:tc>
          <w:tcPr>
            <w:tcW w:w="4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铜管</w:t>
            </w:r>
          </w:p>
        </w:tc>
        <w:tc>
          <w:tcPr>
            <w:tcW w:w="60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702"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标配外还需额外增加所需铜管长度</w:t>
            </w:r>
          </w:p>
        </w:tc>
        <w:tc>
          <w:tcPr>
            <w:tcW w:w="2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m</w:t>
            </w:r>
          </w:p>
        </w:tc>
        <w:tc>
          <w:tcPr>
            <w:tcW w:w="39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w:t>
            </w:r>
          </w:p>
        </w:tc>
        <w:tc>
          <w:tcPr>
            <w:tcW w:w="5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4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N</w:t>
            </w:r>
          </w:p>
        </w:tc>
        <w:tc>
          <w:tcPr>
            <w:tcW w:w="4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60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702"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9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55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1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742" w:type="pct"/>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lang w:val="en-US" w:eastAsia="zh-CN"/>
              </w:rPr>
              <w:t>合同暂定总价（1+2+…+N）</w:t>
            </w:r>
          </w:p>
        </w:tc>
        <w:tc>
          <w:tcPr>
            <w:tcW w:w="3257" w:type="pct"/>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u w:val="single"/>
                <w:vertAlign w:val="baseline"/>
                <w:lang w:val="en-US" w:eastAsia="zh-CN"/>
              </w:rPr>
              <w:t xml:space="preserve">          </w:t>
            </w:r>
            <w:r>
              <w:rPr>
                <w:rFonts w:hint="eastAsia" w:ascii="仿宋" w:hAnsi="仿宋" w:eastAsia="仿宋" w:cs="仿宋"/>
                <w:b/>
                <w:bCs/>
                <w:color w:val="auto"/>
                <w:sz w:val="28"/>
                <w:szCs w:val="28"/>
                <w:highlight w:val="none"/>
                <w:vertAlign w:val="baseline"/>
                <w:lang w:val="en-US" w:eastAsia="zh-CN"/>
              </w:rPr>
              <w:t xml:space="preserve">元 </w:t>
            </w:r>
          </w:p>
        </w:tc>
      </w:tr>
    </w:tbl>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）、安装费（</w:t>
      </w:r>
      <w:r>
        <w:rPr>
          <w:rFonts w:hint="eastAsia" w:ascii="仿宋" w:hAnsi="仿宋" w:eastAsia="仿宋" w:cs="仿宋"/>
          <w:color w:val="auto"/>
          <w:sz w:val="28"/>
          <w:szCs w:val="28"/>
          <w:highlight w:val="none"/>
          <w:vertAlign w:val="baseline"/>
          <w:lang w:val="en-US" w:eastAsia="zh-CN"/>
        </w:rPr>
        <w:t>产品安装由：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调试费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产品调试由：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检验检测所需产品（数量按当地送检取样要求）及检验检测费（产品移交甲方前的所有检验检测费用，检验检测须符合产品使用地点政府主管部门要求）、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color w:val="auto"/>
          <w:sz w:val="28"/>
          <w:szCs w:val="28"/>
          <w:highlight w:val="none"/>
          <w:vertAlign w:val="baseline"/>
        </w:rPr>
        <w:sym w:font="Wingdings 2" w:char="0052"/>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 xml:space="preserve">1.2 </w:t>
      </w:r>
      <w:r>
        <w:rPr>
          <w:rFonts w:hint="eastAsia" w:ascii="仿宋" w:hAnsi="仿宋" w:eastAsia="仿宋" w:cs="仿宋"/>
          <w:color w:val="auto"/>
          <w:sz w:val="28"/>
          <w:szCs w:val="28"/>
          <w:highlight w:val="none"/>
          <w:u w:val="none"/>
          <w:vertAlign w:val="baseline"/>
        </w:rPr>
        <w:t>乙方</w:t>
      </w:r>
      <w:r>
        <w:rPr>
          <w:rFonts w:hint="eastAsia" w:ascii="仿宋" w:hAnsi="仿宋" w:eastAsia="仿宋" w:cs="仿宋"/>
          <w:color w:val="auto"/>
          <w:sz w:val="28"/>
          <w:szCs w:val="28"/>
          <w:highlight w:val="none"/>
          <w:u w:val="none"/>
          <w:vertAlign w:val="baseline"/>
          <w:lang w:val="en-US" w:eastAsia="zh-CN"/>
        </w:rPr>
        <w:t>每批次</w:t>
      </w:r>
      <w:r>
        <w:rPr>
          <w:rFonts w:hint="eastAsia" w:ascii="仿宋" w:hAnsi="仿宋" w:eastAsia="仿宋" w:cs="仿宋"/>
          <w:color w:val="auto"/>
          <w:sz w:val="28"/>
          <w:szCs w:val="28"/>
          <w:highlight w:val="none"/>
          <w:u w:val="none"/>
          <w:vertAlign w:val="baseline"/>
        </w:rPr>
        <w:t>送货数量由甲方决定，乙方无条件配合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所需费用已含在本合同单价内无需另计。</w:t>
      </w:r>
      <w:r>
        <w:rPr>
          <w:rFonts w:hint="eastAsia" w:ascii="仿宋" w:hAnsi="仿宋" w:eastAsia="仿宋" w:cs="仿宋"/>
          <w:color w:val="auto"/>
          <w:sz w:val="28"/>
          <w:szCs w:val="28"/>
          <w:highlight w:val="none"/>
          <w:u w:val="none"/>
          <w:vertAlign w:val="baseline"/>
          <w:lang w:eastAsia="zh-CN"/>
        </w:rPr>
        <w:t>上述数量仅作参考，不作为结算依据。</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1.4.1合同单价有效期为：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1.4.2其他要求：</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yellow"/>
          <w:u w:val="single"/>
          <w:vertAlign w:val="baseline"/>
          <w:lang w:val="en-US" w:eastAsia="zh-CN"/>
        </w:rPr>
        <w:t>/</w:t>
      </w:r>
      <w:r>
        <w:rPr>
          <w:rFonts w:hint="eastAsia" w:ascii="仿宋" w:hAnsi="仿宋" w:eastAsia="仿宋" w:cs="仿宋"/>
          <w:color w:val="auto"/>
          <w:sz w:val="28"/>
          <w:szCs w:val="28"/>
          <w:highlight w:val="none"/>
          <w:u w:val="singl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1.5合同单价已包含各种保险费用，乙方不得另计保险而向甲方索要费用。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1.6甲方或使用单位在产品使用过程中遇到的问题，乙方须随时提供电话答疑。凡与产品相关联的问题都属于答疑范围，所需费用已包含在合同单价中，不另计费。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1.7</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6" w:name="_Toc16052"/>
      <w:bookmarkStart w:id="7" w:name="_Toc32399"/>
      <w:bookmarkStart w:id="8" w:name="_Toc2446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6"/>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r>
        <w:rPr>
          <w:rFonts w:hint="eastAsia" w:ascii="仿宋" w:hAnsi="仿宋" w:eastAsia="仿宋" w:cs="仿宋"/>
          <w:b/>
          <w:bCs/>
          <w:color w:val="auto"/>
          <w:sz w:val="28"/>
          <w:highlight w:val="none"/>
          <w:lang w:eastAsia="zh-CN"/>
        </w:rPr>
        <w:t>（视定标文件具体情况而定）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办法一、有预付款：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2.1.1本合同生效后，甲方支付合同暂定总价的</w:t>
      </w:r>
      <w:r>
        <w:rPr>
          <w:rFonts w:hint="eastAsia" w:ascii="仿宋" w:hAnsi="仿宋" w:eastAsia="仿宋" w:cs="仿宋"/>
          <w:color w:val="auto"/>
          <w:sz w:val="28"/>
          <w:highlight w:val="none"/>
          <w:u w:val="single"/>
          <w:lang w:val="en-US" w:eastAsia="zh-CN"/>
        </w:rPr>
        <w:t xml:space="preserve">30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20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highlight w:val="yellow"/>
        </w:rPr>
      </w:pPr>
      <w:r>
        <w:rPr>
          <w:rFonts w:hint="eastAsia" w:ascii="仿宋" w:hAnsi="仿宋" w:eastAsia="仿宋" w:cs="仿宋"/>
          <w:color w:val="auto"/>
          <w:sz w:val="28"/>
          <w:highlight w:val="yellow"/>
          <w:u w:val="none"/>
          <w:lang w:val="en-US" w:eastAsia="zh-CN"/>
        </w:rPr>
        <w:t>2.1.2产品到齐交货地点完成安装调试，经甲方验收合格并移交甲方正常使用，甲方收齐金额等于产品总价的发票等相关资料后付至产品总价的</w:t>
      </w:r>
      <w:r>
        <w:rPr>
          <w:rFonts w:hint="eastAsia" w:ascii="仿宋" w:hAnsi="仿宋" w:eastAsia="仿宋" w:cs="仿宋"/>
          <w:color w:val="auto"/>
          <w:sz w:val="28"/>
          <w:highlight w:val="yellow"/>
          <w:u w:val="single"/>
          <w:lang w:val="en-US" w:eastAsia="zh-CN"/>
        </w:rPr>
        <w:t xml:space="preserve"> 97 </w:t>
      </w:r>
      <w:r>
        <w:rPr>
          <w:rFonts w:hint="eastAsia" w:ascii="仿宋" w:hAnsi="仿宋" w:eastAsia="仿宋" w:cs="仿宋"/>
          <w:color w:val="auto"/>
          <w:sz w:val="28"/>
          <w:highlight w:val="yellow"/>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2.1.3产品总价的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办法二、月结，无预付款：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2.1.1每月货款下月支付，具体为:乙方按合同约定的时间交齐上月货款对账资料且与甲方完成对账后，甲方支付上月货款的</w:t>
      </w:r>
      <w:r>
        <w:rPr>
          <w:rFonts w:hint="eastAsia" w:ascii="仿宋" w:hAnsi="仿宋" w:eastAsia="仿宋" w:cs="仿宋"/>
          <w:color w:val="auto"/>
          <w:sz w:val="28"/>
          <w:highlight w:val="none"/>
          <w:u w:val="single"/>
          <w:lang w:val="en-US" w:eastAsia="zh-CN"/>
        </w:rPr>
        <w:t xml:space="preserve"> 100 </w:t>
      </w:r>
      <w:r>
        <w:rPr>
          <w:rFonts w:hint="eastAsia" w:ascii="仿宋" w:hAnsi="仿宋" w:eastAsia="仿宋" w:cs="仿宋"/>
          <w:color w:val="auto"/>
          <w:sz w:val="28"/>
          <w:highlight w:val="none"/>
          <w:u w:val="none"/>
          <w:lang w:val="en-US" w:eastAsia="zh-CN"/>
        </w:rPr>
        <w:t>%，上月货款的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%作为产品保修金，保修期满且乙方取得“保修合格证明”后，双方无息结清保修金。乙方逾期交齐对账资料或完成对账的，付款日期顺延至货款完成对账月份的下月底前。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3日至每月8日。乙方在每月3日前一次性交齐上月供货产品的对账资料至甲方项目部，双方在每月8日前（遇节假日则顺延）完成对账，如乙方逾期交齐对账资料，则对账日期顺延至次月的3日至8日。次月乙方对账时还须提供“同意延迟付款声明函”（格式详见附件二）给甲方，以此类推。(例：乙方在6月3日前交齐5月份货款的对账资料给甲方项目部并在6月8日完成对账的，则甲方在6月30日前支付5月份货款的</w:t>
      </w:r>
      <w:r>
        <w:rPr>
          <w:rFonts w:hint="eastAsia" w:ascii="仿宋" w:hAnsi="仿宋" w:eastAsia="仿宋" w:cs="仿宋"/>
          <w:color w:val="auto"/>
          <w:sz w:val="28"/>
          <w:highlight w:val="none"/>
          <w:u w:val="single"/>
          <w:lang w:val="en-US" w:eastAsia="zh-CN"/>
        </w:rPr>
        <w:t xml:space="preserve"> 100 </w:t>
      </w:r>
      <w:r>
        <w:rPr>
          <w:rFonts w:hint="eastAsia" w:ascii="仿宋" w:hAnsi="仿宋" w:eastAsia="仿宋" w:cs="仿宋"/>
          <w:color w:val="auto"/>
          <w:sz w:val="28"/>
          <w:highlight w:val="none"/>
          <w:u w:val="none"/>
          <w:lang w:val="en-US" w:eastAsia="zh-CN"/>
        </w:rPr>
        <w:t>%，余款作为保修金；若乙方6月4日（或更迟）交齐5月份货款的对账资料给甲方，则5月份货款的对账时间顺延至7月3日至8日，付款时间顺延至7月31日前，以此类推。)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对账资料：乙方每次对账须提供：乙方对账单（结算单）、本合同复印件（含调价函）、材料签收单、乙方送货单（发货单）、材料收货水印照片、材料款申报审批表、款项支付台账、供应商月度对账单、结清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2.1.3.1对账资料具体要求：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注明材料/产品所用项目、地块、第几期，并正确填写日期、乙方公司全称、材料名称、规格型号、数量及金额等信息，不得随意修改或涂划，若确有修改，则在需修正数据旁进行修正并附甲方合同执行联系人、甲方仓管员、乙方送货员、乙方合同授权代表签字，有规定的同时按相关规定签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要由水印备注，水印要有项目地址定位和拍照时间、日期。</w:t>
      </w:r>
    </w:p>
    <w:p>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办法三、其他办法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2.3发票要求：双方对账完成后，甲方项目部通知乙方开票，乙方开具的发票内容须与合同约定内容一致，并按甲方要求分项目、分地块、分楼栋分别开具，否则视为乙方逾期提供发票给甲方，属乙方违约，甲方有权不付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9" w:name="_Toc13709"/>
      <w:bookmarkStart w:id="10" w:name="_Toc9141"/>
      <w:r>
        <w:rPr>
          <w:rFonts w:hint="eastAsia" w:ascii="仿宋" w:hAnsi="仿宋" w:eastAsia="仿宋" w:cs="仿宋"/>
          <w:b w:val="0"/>
          <w:bCs w:val="0"/>
          <w:color w:val="auto"/>
          <w:sz w:val="28"/>
          <w:highlight w:val="none"/>
          <w:u w:val="none"/>
          <w:lang w:val="en-US" w:eastAsia="zh-CN"/>
        </w:rPr>
        <w:t>2.9甲方支付完任一批次货款（不含保修金）后或甲方支付完货款（不含保修金）后，视为乙方关于除保修金外的合同款支付事宜的全部权利消灭，乙方不得基于合同款支付事宜向甲方提出任何权利主张或追索其他任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11" w:name="_Toc20399"/>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9"/>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 xml:space="preserve"> </w:t>
      </w:r>
      <w:r>
        <w:rPr>
          <w:rFonts w:hint="eastAsia" w:ascii="仿宋" w:hAnsi="仿宋" w:eastAsia="仿宋" w:cs="仿宋"/>
          <w:color w:val="auto"/>
          <w:sz w:val="28"/>
          <w:highlight w:val="yellow"/>
          <w:u w:val="single"/>
          <w:vertAlign w:val="baseline"/>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color w:val="auto"/>
          <w:sz w:val="28"/>
          <w:highlight w:val="none"/>
          <w:u w:val="single"/>
          <w:vertAlign w:val="baseline"/>
          <w:lang w:val="en-US" w:eastAsia="zh-CN"/>
        </w:rPr>
        <w:t xml:space="preserve">   按空调出厂包装标准。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包装物归甲方所有，费用已含于合同单价中。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12" w:name="_Toc23033"/>
      <w:bookmarkStart w:id="13" w:name="_Toc19751"/>
      <w:bookmarkStart w:id="14" w:name="_Toc29235"/>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12"/>
      <w:r>
        <w:rPr>
          <w:rFonts w:hint="eastAsia" w:ascii="仿宋" w:hAnsi="仿宋" w:eastAsia="仿宋" w:cs="仿宋"/>
          <w:b/>
          <w:bCs/>
          <w:color w:val="auto"/>
          <w:sz w:val="28"/>
          <w:highlight w:val="none"/>
          <w:lang w:eastAsia="zh-CN"/>
        </w:rPr>
        <w:t>保修</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yellow"/>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以经甲方本合同执行联系人、施工员等相关岗位人员签名的物材料申购单（格式详见附件《物料申购单》）扫描件为准，详见第4.4.1条约定。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 xml:space="preserve"> 南京市六合区甲方项目部指定位置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 3</w:t>
      </w:r>
      <w:r>
        <w:rPr>
          <w:rFonts w:hint="eastAsia" w:ascii="仿宋" w:hAnsi="仿宋" w:eastAsia="仿宋" w:cs="仿宋"/>
          <w:b/>
          <w:bCs/>
          <w:color w:val="auto"/>
          <w:sz w:val="28"/>
          <w:highlight w:val="none"/>
          <w:u w:val="single"/>
          <w:lang w:val="en-US" w:eastAsia="zh-CN"/>
        </w:rPr>
        <w:t xml:space="preserve"> 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完成安装、调试并移交甲方正常使用。</w:t>
      </w:r>
      <w:r>
        <w:rPr>
          <w:rFonts w:hint="eastAsia" w:ascii="仿宋" w:hAnsi="仿宋" w:eastAsia="仿宋" w:cs="仿宋"/>
          <w:color w:val="auto"/>
          <w:sz w:val="28"/>
          <w:highlight w:val="none"/>
          <w:u w:val="single"/>
          <w:lang w:eastAsia="zh-CN"/>
        </w:rPr>
        <w:t>（按定标文件实际情况填写）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4.4.1甲方指定</w:t>
      </w:r>
      <w:r>
        <w:rPr>
          <w:rFonts w:ascii="仿宋" w:hAnsi="仿宋" w:eastAsia="仿宋" w:cs="仿宋"/>
          <w:b w:val="0"/>
          <w:bCs w:val="0"/>
          <w:color w:val="000000"/>
          <w:sz w:val="28"/>
          <w:szCs w:val="28"/>
          <w:u w:val="single"/>
        </w:rPr>
        <w:t>彭善海（手机号码：13592796498）</w:t>
      </w:r>
      <w:r>
        <w:rPr>
          <w:rFonts w:hint="eastAsia" w:ascii="仿宋" w:hAnsi="仿宋" w:eastAsia="仿宋" w:cs="仿宋"/>
          <w:b w:val="0"/>
          <w:bCs w:val="0"/>
          <w:color w:val="auto"/>
          <w:sz w:val="28"/>
          <w:highlight w:val="none"/>
          <w:lang w:val="en-US" w:eastAsia="zh-CN"/>
        </w:rPr>
        <w:t>为本合同甲方执行联系人；</w:t>
      </w:r>
      <w:r>
        <w:rPr>
          <w:rFonts w:hint="eastAsia" w:ascii="仿宋" w:hAnsi="仿宋" w:eastAsia="仿宋" w:cs="仿宋"/>
          <w:b w:val="0"/>
          <w:bCs w:val="0"/>
          <w:color w:val="auto"/>
          <w:sz w:val="28"/>
          <w:highlight w:val="yellow"/>
          <w:lang w:val="en-US" w:eastAsia="zh-CN"/>
        </w:rPr>
        <w:t>指定</w:t>
      </w:r>
      <w:r>
        <w:rPr>
          <w:rFonts w:hint="eastAsia" w:ascii="仿宋" w:hAnsi="仿宋" w:eastAsia="仿宋" w:cs="仿宋"/>
          <w:sz w:val="28"/>
          <w:highlight w:val="yellow"/>
          <w:u w:val="single"/>
        </w:rPr>
        <w:t>熊斌华</w:t>
      </w:r>
      <w:r>
        <w:rPr>
          <w:rFonts w:hint="eastAsia" w:ascii="仿宋" w:hAnsi="仿宋" w:eastAsia="仿宋" w:cs="仿宋"/>
          <w:b w:val="0"/>
          <w:bCs w:val="0"/>
          <w:color w:val="auto"/>
          <w:sz w:val="28"/>
          <w:highlight w:val="yellow"/>
          <w:lang w:val="en-US" w:eastAsia="zh-CN"/>
        </w:rPr>
        <w:t>为产品签收人，联系电话</w:t>
      </w:r>
      <w:r>
        <w:rPr>
          <w:rFonts w:hint="eastAsia" w:ascii="仿宋" w:hAnsi="仿宋" w:eastAsia="仿宋" w:cs="仿宋"/>
          <w:b w:val="0"/>
          <w:bCs w:val="0"/>
          <w:color w:val="auto"/>
          <w:sz w:val="28"/>
          <w:highlight w:val="yellow"/>
          <w:u w:val="single"/>
          <w:lang w:val="en-US" w:eastAsia="zh-CN"/>
        </w:rPr>
        <w:t xml:space="preserve"> </w:t>
      </w:r>
      <w:r>
        <w:rPr>
          <w:rFonts w:hint="eastAsia" w:ascii="仿宋" w:hAnsi="仿宋" w:eastAsia="仿宋" w:cs="仿宋"/>
          <w:color w:val="auto"/>
          <w:sz w:val="28"/>
          <w:highlight w:val="yellow"/>
          <w:u w:val="single"/>
        </w:rPr>
        <w:t xml:space="preserve"> 13650073789</w:t>
      </w:r>
      <w:r>
        <w:rPr>
          <w:rFonts w:hint="eastAsia" w:ascii="仿宋" w:hAnsi="仿宋" w:eastAsia="仿宋" w:cs="仿宋"/>
          <w:b w:val="0"/>
          <w:bCs w:val="0"/>
          <w:color w:val="auto"/>
          <w:sz w:val="28"/>
          <w:highlight w:val="yellow"/>
          <w:u w:val="single"/>
          <w:lang w:val="en-US" w:eastAsia="zh-CN"/>
        </w:rPr>
        <w:t xml:space="preserve"> </w:t>
      </w:r>
      <w:r>
        <w:rPr>
          <w:rFonts w:hint="eastAsia" w:ascii="仿宋" w:hAnsi="仿宋" w:eastAsia="仿宋" w:cs="仿宋"/>
          <w:b w:val="0"/>
          <w:bCs w:val="0"/>
          <w:color w:val="auto"/>
          <w:sz w:val="28"/>
          <w:highlight w:val="yellow"/>
          <w:lang w:val="en-US" w:eastAsia="zh-CN"/>
        </w:rPr>
        <w:t>。</w:t>
      </w:r>
      <w:r>
        <w:rPr>
          <w:rFonts w:hint="eastAsia" w:ascii="仿宋" w:hAnsi="仿宋" w:eastAsia="仿宋" w:cs="仿宋"/>
          <w:b w:val="0"/>
          <w:bCs w:val="0"/>
          <w:color w:val="auto"/>
          <w:sz w:val="28"/>
          <w:highlight w:val="none"/>
          <w:lang w:val="en-US" w:eastAsia="zh-CN"/>
        </w:rPr>
        <w:t>未经甲方加盖公章确认，甲方项目负责人及合同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样式详见附件）方为有效，否则为无效文件，仅盖章或者仅签名的文件亦无效。甲方项目负责人、合同执行联系人变更的，甲方将以书面形式通知乙方。</w:t>
      </w:r>
    </w:p>
    <w:p>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b w:val="0"/>
          <w:bCs w:val="0"/>
          <w:color w:val="auto"/>
          <w:sz w:val="28"/>
          <w:highlight w:val="none"/>
          <w:u w:val="single"/>
          <w:lang w:val="en-US" w:eastAsia="zh-CN"/>
        </w:rPr>
        <w:t xml:space="preserve">         （身份证号码：            ；手机号码：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费用的所有文件、资料审批权限为不超过三千元/次（含税）。三千元/次以该联系人负责管理的项目为最小单位，不得分地块、分期、分楼栋、分部位拆分使用权限。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4.7.3甲方项目施工员在产品进场时对品牌、规格、型号、质量等进行全检并拍照留存。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定的产品金额的三倍且最少不低于一万元/次），甲方有权在任意一笔应付乙方的合同款中自行扣取违约金。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w:t>
      </w:r>
      <w:r>
        <w:rPr>
          <w:rFonts w:hint="eastAsia" w:ascii="仿宋" w:hAnsi="仿宋" w:eastAsia="仿宋" w:cs="仿宋"/>
          <w:b w:val="0"/>
          <w:bCs w:val="0"/>
          <w:color w:val="auto"/>
          <w:sz w:val="28"/>
          <w:highlight w:val="none"/>
          <w:u w:val="none"/>
          <w:lang w:val="en-US" w:eastAsia="zh-CN"/>
        </w:rPr>
        <w:t>不</w:t>
      </w:r>
      <w:r>
        <w:rPr>
          <w:rFonts w:hint="eastAsia" w:ascii="仿宋" w:hAnsi="仿宋" w:eastAsia="仿宋" w:cs="仿宋"/>
          <w:b w:val="0"/>
          <w:bCs w:val="0"/>
          <w:color w:val="auto"/>
          <w:sz w:val="28"/>
          <w:highlight w:val="none"/>
          <w:u w:val="none"/>
          <w:lang w:eastAsia="zh-CN"/>
        </w:rPr>
        <w:t>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FF0000"/>
          <w:sz w:val="28"/>
          <w:highlight w:val="none"/>
          <w:lang w:val="en-US" w:eastAsia="zh-CN"/>
        </w:rPr>
        <w:t>本合同有更长期限约定</w:t>
      </w:r>
      <w:bookmarkStart w:id="25" w:name="_GoBack"/>
      <w:bookmarkEnd w:id="25"/>
      <w:r>
        <w:rPr>
          <w:rFonts w:hint="eastAsia" w:ascii="仿宋" w:hAnsi="仿宋" w:eastAsia="仿宋" w:cs="仿宋"/>
          <w:color w:val="FF0000"/>
          <w:sz w:val="28"/>
          <w:highlight w:val="none"/>
          <w:lang w:val="en-US" w:eastAsia="zh-CN"/>
        </w:rPr>
        <w:t>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lang w:val="en-US" w:eastAsia="zh-CN"/>
        </w:rPr>
        <w:t>三</w:t>
      </w:r>
      <w:r>
        <w:rPr>
          <w:rFonts w:hint="eastAsia" w:ascii="仿宋" w:hAnsi="仿宋" w:eastAsia="仿宋" w:cs="仿宋"/>
          <w:color w:val="auto"/>
          <w:sz w:val="28"/>
          <w:highlight w:val="none"/>
          <w:lang w:eastAsia="zh-CN"/>
        </w:rPr>
        <w:t>年免费</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(国家或甲方与本项目建设单位另有更长</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期限规定的，从其规定)</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rPr>
        <w:t>期自产品经甲方</w:t>
      </w:r>
      <w:r>
        <w:rPr>
          <w:rFonts w:hint="eastAsia" w:ascii="仿宋" w:hAnsi="仿宋" w:eastAsia="仿宋" w:cs="仿宋"/>
          <w:color w:val="auto"/>
          <w:sz w:val="28"/>
          <w:highlight w:val="none"/>
          <w:lang w:val="en-US" w:eastAsia="zh-CN"/>
        </w:rPr>
        <w:t>形式</w:t>
      </w:r>
      <w:r>
        <w:rPr>
          <w:rFonts w:hint="eastAsia" w:ascii="仿宋" w:hAnsi="仿宋" w:eastAsia="仿宋" w:cs="仿宋"/>
          <w:color w:val="auto"/>
          <w:sz w:val="28"/>
          <w:highlight w:val="none"/>
        </w:rPr>
        <w:t>验收合格并</w:t>
      </w:r>
      <w:r>
        <w:rPr>
          <w:rFonts w:hint="eastAsia" w:ascii="仿宋" w:hAnsi="仿宋" w:eastAsia="仿宋" w:cs="仿宋"/>
          <w:color w:val="auto"/>
          <w:sz w:val="28"/>
          <w:highlight w:val="none"/>
          <w:lang w:val="en-US" w:eastAsia="zh-CN"/>
        </w:rPr>
        <w:t>且本</w:t>
      </w:r>
      <w:r>
        <w:rPr>
          <w:rFonts w:hint="eastAsia" w:ascii="仿宋" w:hAnsi="仿宋" w:eastAsia="仿宋" w:cs="仿宋"/>
          <w:color w:val="auto"/>
          <w:sz w:val="28"/>
          <w:highlight w:val="none"/>
          <w:u w:val="none"/>
          <w:lang w:val="en-US" w:eastAsia="zh-CN"/>
        </w:rPr>
        <w:t>项目经建设单位竣工验收合格</w:t>
      </w:r>
      <w:r>
        <w:rPr>
          <w:rFonts w:hint="eastAsia" w:ascii="仿宋" w:hAnsi="仿宋" w:eastAsia="仿宋" w:cs="仿宋"/>
          <w:color w:val="auto"/>
          <w:sz w:val="28"/>
          <w:highlight w:val="none"/>
        </w:rPr>
        <w:t>之日起计。</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甲方形式验收仅查验合格证、数量、外观等，本</w:t>
      </w:r>
      <w:r>
        <w:rPr>
          <w:rFonts w:hint="eastAsia" w:ascii="仿宋" w:hAnsi="仿宋" w:eastAsia="仿宋" w:cs="仿宋"/>
          <w:color w:val="auto"/>
          <w:sz w:val="28"/>
          <w:highlight w:val="none"/>
          <w:u w:val="none"/>
          <w:lang w:val="en-US" w:eastAsia="zh-CN"/>
        </w:rPr>
        <w:t>项目经建设单位竣工验收合格视为乙方的产品验收合格</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4.14.5保修期届满后第一周内，甲乙双方对产品进行全面检查。乙方自费负责对检查中发现的问题予以及时处理和解决。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4.14.6如产品在保修期满后发现乙方原因导致的质量问题或缺陷，乙方仍须承担修复责任，必须按甲方要求修复并赔偿甲方因此遭受的损失，否则甲方有权另行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安排第三方修复，同时乙方同意甲方从与乙方签订的其他合同款项中直接扣款用于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抵扣上述修复费用和损失。甲乙双方特别约定本条款不因本合同的终止而失效。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5" w:name="_Toc10040"/>
      <w:bookmarkStart w:id="16" w:name="_Toc28514"/>
      <w:bookmarkStart w:id="17" w:name="_Toc25201"/>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15"/>
      <w:bookmarkEnd w:id="16"/>
      <w:bookmarkEnd w:id="17"/>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5.7乙方违反本合同约定给甲方造成损失的，除按本合同约定承担违约责任外，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甲方有权直接从应付合同款中直接扣除乙方应承担的违约金、罚款等费用，如应付合同款及乙方支付的违约金、罚款不足补偿甲方损失，乙方在甲方通知之日起七个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日历天内补齐，且甲方向乙方追偿责任所产生的律师费、差旅费、诉讼费、鉴定费、财产保全担保费由乙方全额承担。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5.11合同履行期间，因乙方原因导致建设单位或其他单位对甲方进行处罚扣款的，甲方有权按该处罚金额的2倍以上向乙方收取违约金。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8" w:name="_Toc29740"/>
      <w:bookmarkStart w:id="19" w:name="_Toc12600"/>
      <w:bookmarkStart w:id="20" w:name="_Toc2026"/>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18"/>
      <w:bookmarkEnd w:id="19"/>
      <w:bookmarkEnd w:id="20"/>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6.3如甲方发现乙方可能存在违反本廉洁条款的行为时，甲方有权暂扣违约金/争议款/处罚款等对应等额的款项，直至调查完毕后根据调查结果再作处理，甲方暂不付款的行为不视为甲方违约。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21" w:name="_Toc8226"/>
      <w:bookmarkStart w:id="22" w:name="_Toc23013"/>
      <w:bookmarkStart w:id="23" w:name="_Toc18645"/>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21"/>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24"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款</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对合同价款、结算办法及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w:t>
      </w:r>
      <w:r>
        <w:rPr>
          <w:rFonts w:hint="eastAsia" w:ascii="仿宋" w:hAnsi="仿宋" w:eastAsia="仿宋" w:cs="仿宋"/>
          <w:b w:val="0"/>
          <w:bCs w:val="0"/>
          <w:color w:val="auto"/>
          <w:sz w:val="28"/>
          <w:highlight w:val="none"/>
          <w:u w:val="none"/>
          <w:shd w:val="clear" w:color="auto" w:fill="auto"/>
          <w:lang w:val="en-US" w:eastAsia="zh-CN"/>
        </w:rPr>
        <w:t>均</w:t>
      </w:r>
      <w:r>
        <w:rPr>
          <w:rFonts w:hint="eastAsia" w:ascii="仿宋" w:hAnsi="仿宋" w:eastAsia="仿宋" w:cs="仿宋"/>
          <w:b w:val="0"/>
          <w:bCs w:val="0"/>
          <w:color w:val="auto"/>
          <w:sz w:val="28"/>
          <w:highlight w:val="none"/>
          <w:u w:val="none"/>
          <w:shd w:val="clear" w:color="auto" w:fill="auto"/>
          <w:lang w:eastAsia="zh-CN"/>
        </w:rPr>
        <w:t>须同时具备甲方公章及法定代表人（或授权代表人）签名，否则均不对甲方产生约束力，除非事后获得甲方另行追认。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本合同执行期间，甲方制度文件如有更新，按甲方最新版要求执行，最终解释权归甲方所有。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eastAsia="zh-CN"/>
        </w:rPr>
        <w:t>控。如果出现此类情况，由乙方与第三方交涉并承担一切费用和责任，如造成甲方损失的，乙方向甲方赔偿。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7.11乙方与第三人签订的劳动、租赁、买卖等一切合同，与甲方无关。乙方在施工期间发生的与第三方一切合同债务，由乙方负全责处理并承担责任。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rPr>
        <w:t>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w:t>
      </w:r>
      <w:r>
        <w:rPr>
          <w:rFonts w:hint="eastAsia" w:ascii="仿宋" w:hAnsi="仿宋" w:eastAsia="仿宋" w:cs="仿宋"/>
          <w:color w:val="auto"/>
          <w:sz w:val="28"/>
          <w:highlight w:val="none"/>
          <w:u w:val="none"/>
          <w:shd w:val="clear" w:color="auto" w:fill="auto"/>
        </w:rPr>
        <w:t>未尽事宜，双方另行</w:t>
      </w:r>
      <w:r>
        <w:rPr>
          <w:rFonts w:hint="eastAsia" w:ascii="仿宋" w:hAnsi="仿宋" w:eastAsia="仿宋" w:cs="仿宋"/>
          <w:color w:val="auto"/>
          <w:sz w:val="28"/>
          <w:highlight w:val="none"/>
          <w:u w:val="none"/>
          <w:shd w:val="clear" w:color="auto" w:fill="auto"/>
          <w:lang w:eastAsia="zh-CN"/>
        </w:rPr>
        <w:t>签订</w:t>
      </w:r>
      <w:r>
        <w:rPr>
          <w:rFonts w:hint="eastAsia" w:ascii="仿宋" w:hAnsi="仿宋" w:eastAsia="仿宋" w:cs="仿宋"/>
          <w:color w:val="auto"/>
          <w:sz w:val="28"/>
          <w:highlight w:val="none"/>
          <w:u w:val="none"/>
          <w:shd w:val="clear" w:color="auto" w:fill="auto"/>
        </w:rPr>
        <w:t>补充协议</w:t>
      </w:r>
      <w:r>
        <w:rPr>
          <w:rFonts w:hint="eastAsia" w:ascii="仿宋" w:hAnsi="仿宋" w:eastAsia="仿宋" w:cs="仿宋"/>
          <w:color w:val="auto"/>
          <w:sz w:val="28"/>
          <w:highlight w:val="none"/>
          <w:u w:val="none"/>
          <w:shd w:val="clear" w:color="auto" w:fill="auto"/>
          <w:lang w:eastAsia="zh-CN"/>
        </w:rPr>
        <w:t>进行明确。与本</w:t>
      </w:r>
      <w:r>
        <w:rPr>
          <w:rFonts w:hint="eastAsia" w:ascii="仿宋" w:hAnsi="仿宋" w:eastAsia="仿宋" w:cs="仿宋"/>
          <w:color w:val="auto"/>
          <w:sz w:val="28"/>
          <w:highlight w:val="none"/>
          <w:u w:val="none"/>
          <w:shd w:val="clear" w:color="auto" w:fill="auto"/>
        </w:rPr>
        <w:t>合同</w:t>
      </w:r>
      <w:r>
        <w:rPr>
          <w:rFonts w:hint="eastAsia" w:ascii="仿宋" w:hAnsi="仿宋" w:eastAsia="仿宋" w:cs="仿宋"/>
          <w:color w:val="auto"/>
          <w:sz w:val="28"/>
          <w:highlight w:val="none"/>
          <w:u w:val="none"/>
          <w:shd w:val="clear" w:color="auto" w:fill="auto"/>
          <w:lang w:eastAsia="zh-CN"/>
        </w:rPr>
        <w:t>相关的</w:t>
      </w:r>
      <w:r>
        <w:rPr>
          <w:rFonts w:hint="eastAsia" w:ascii="仿宋" w:hAnsi="仿宋" w:eastAsia="仿宋" w:cs="仿宋"/>
          <w:color w:val="auto"/>
          <w:sz w:val="28"/>
          <w:highlight w:val="none"/>
          <w:u w:val="none"/>
          <w:shd w:val="clear" w:color="auto" w:fill="auto"/>
        </w:rPr>
        <w:t>争议，双方友好协商解决，协商不成</w:t>
      </w:r>
      <w:r>
        <w:rPr>
          <w:rFonts w:hint="eastAsia" w:ascii="仿宋" w:hAnsi="仿宋" w:eastAsia="仿宋" w:cs="仿宋"/>
          <w:color w:val="auto"/>
          <w:sz w:val="28"/>
          <w:highlight w:val="none"/>
          <w:u w:val="none"/>
          <w:shd w:val="clear" w:color="auto" w:fill="auto"/>
          <w:lang w:eastAsia="zh-CN"/>
        </w:rPr>
        <w:t>则</w:t>
      </w:r>
      <w:r>
        <w:rPr>
          <w:rFonts w:hint="eastAsia" w:ascii="仿宋" w:hAnsi="仿宋" w:eastAsia="仿宋" w:cs="仿宋"/>
          <w:color w:val="auto"/>
          <w:sz w:val="28"/>
          <w:highlight w:val="none"/>
          <w:u w:val="none"/>
          <w:shd w:val="clear" w:color="auto" w:fill="auto"/>
          <w:lang w:val="en-US" w:eastAsia="zh-CN"/>
        </w:rPr>
        <w:t>提交</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所在地人民法院</w:t>
      </w:r>
      <w:r>
        <w:rPr>
          <w:rFonts w:hint="eastAsia" w:ascii="仿宋" w:hAnsi="仿宋" w:eastAsia="仿宋" w:cs="仿宋"/>
          <w:color w:val="auto"/>
          <w:sz w:val="28"/>
          <w:highlight w:val="none"/>
          <w:u w:val="none"/>
          <w:shd w:val="clear" w:color="auto" w:fill="auto"/>
          <w:lang w:val="en-US" w:eastAsia="zh-CN"/>
        </w:rPr>
        <w:t>以</w:t>
      </w:r>
      <w:r>
        <w:rPr>
          <w:rFonts w:hint="eastAsia" w:ascii="仿宋" w:hAnsi="仿宋" w:eastAsia="仿宋" w:cs="仿宋"/>
          <w:color w:val="auto"/>
          <w:sz w:val="28"/>
          <w:highlight w:val="none"/>
          <w:u w:val="none"/>
          <w:shd w:val="clear" w:color="auto" w:fill="auto"/>
        </w:rPr>
        <w:t>诉讼</w:t>
      </w:r>
      <w:r>
        <w:rPr>
          <w:rFonts w:hint="eastAsia" w:ascii="仿宋" w:hAnsi="仿宋" w:eastAsia="仿宋" w:cs="仿宋"/>
          <w:color w:val="auto"/>
          <w:sz w:val="28"/>
          <w:highlight w:val="none"/>
          <w:u w:val="none"/>
          <w:shd w:val="clear" w:color="auto" w:fill="auto"/>
          <w:lang w:val="en-US" w:eastAsia="zh-CN"/>
        </w:rPr>
        <w:t>方式解决</w:t>
      </w:r>
      <w:r>
        <w:rPr>
          <w:rFonts w:hint="eastAsia" w:ascii="仿宋" w:hAnsi="仿宋" w:eastAsia="仿宋" w:cs="仿宋"/>
          <w:color w:val="auto"/>
          <w:sz w:val="28"/>
          <w:highlight w:val="none"/>
          <w:u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保修义务、责任除外）之日起，本合同其余条款（保修条款除外）自动终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7.15以下文件均为合同有效组成部分，各文件互相解释，互为说明。当合同文件中出现不一致时，除合同另有约定外，以下排列顺序就是各合同文件的优先解释顺序：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本合同对应的招标文件（含相关答疑、补充通知等）；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本项目所在地现行的法律、法规、标准、规范。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7.16本合同正文为清洁打印文本，如双方对此合同有任何修改及补充均应另行签订补充协议。合同正文中任何非打印的文字或者图形，除非经双方确认同意，否则不产生约束力。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7.17甲乙双方均确认已经审阅并理解本合同的全部条款，且已经就条款相关的任何疑问得到满意的解释，并确认本合同的条款为双方本着诚信互利的原则友好协商一致的结果，不属于任何一方的格式条款。</w:t>
      </w:r>
    </w:p>
    <w:bookmarkEnd w:id="24"/>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yellow"/>
          <w:u w:val="none"/>
          <w:lang w:val="en-US" w:eastAsia="zh-CN"/>
        </w:rPr>
      </w:pPr>
      <w:r>
        <w:rPr>
          <w:rFonts w:hint="eastAsia" w:ascii="仿宋" w:hAnsi="仿宋" w:eastAsia="仿宋" w:cs="仿宋"/>
          <w:color w:val="auto"/>
          <w:sz w:val="28"/>
          <w:highlight w:val="yellow"/>
          <w:u w:val="none"/>
          <w:lang w:val="en-US" w:eastAsia="zh-CN"/>
        </w:rPr>
        <w:t>附件七：《物料申购单》</w:t>
      </w:r>
      <w:r>
        <w:rPr>
          <w:rFonts w:hint="default" w:ascii="仿宋" w:hAnsi="仿宋" w:eastAsia="仿宋" w:cs="仿宋"/>
          <w:color w:val="auto"/>
          <w:sz w:val="28"/>
          <w:highlight w:val="yellow"/>
          <w:u w:val="none"/>
          <w:lang w:val="en-US" w:eastAsia="zh-CN"/>
        </w:rPr>
        <w:t>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签约代表：XXX                                   签约代表:XX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纳税号：</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纳税号：XXX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28"/>
          <w:szCs w:val="22"/>
          <w:highlight w:val="none"/>
        </w:rPr>
        <w:t>（甲方人员如有营私舞弊、吃拿卡要等损害乙方合法权益的行为，乙方可拨打投诉专线 4000968086或发邮件至投诉邮箱:zhglzx@nanfeng.cn，也可至广东省东莞市南城街道鸿福路 106 号南峰中心 12楼内控中心办公室面诉。）</w:t>
      </w:r>
    </w:p>
    <w:p>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br w:type="column"/>
      </w:r>
      <w:r>
        <w:rPr>
          <w:rFonts w:hint="eastAsia" w:ascii="仿宋" w:hAnsi="仿宋" w:eastAsia="仿宋" w:cs="仿宋"/>
          <w:b/>
          <w:bCs/>
          <w:color w:val="auto"/>
          <w:sz w:val="44"/>
          <w:szCs w:val="44"/>
          <w:highlight w:val="none"/>
          <w:lang w:val="en-US" w:eastAsia="zh-CN"/>
        </w:rPr>
        <w:t>附件一</w:t>
      </w:r>
    </w:p>
    <w:p>
      <w:pPr>
        <w:jc w:val="right"/>
        <w:rPr>
          <w:rFonts w:hint="default" w:ascii="仿宋" w:hAnsi="仿宋" w:eastAsia="仿宋" w:cs="仿宋"/>
          <w:b/>
          <w:bCs/>
          <w:color w:val="auto"/>
          <w:sz w:val="44"/>
          <w:szCs w:val="44"/>
          <w:highlight w:val="none"/>
          <w:lang w:val="en-US" w:eastAsia="zh-CN"/>
        </w:rPr>
      </w:pPr>
    </w:p>
    <w:p>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pPr>
        <w:pStyle w:val="3"/>
        <w:spacing w:before="97" w:line="222" w:lineRule="auto"/>
        <w:ind w:left="23"/>
        <w:rPr>
          <w:color w:val="auto"/>
          <w:sz w:val="28"/>
          <w:szCs w:val="28"/>
        </w:rPr>
      </w:pPr>
      <w:r>
        <w:rPr>
          <w:color w:val="auto"/>
          <w:spacing w:val="-2"/>
          <w:sz w:val="28"/>
          <w:szCs w:val="28"/>
        </w:rPr>
        <w:t>致：东莞市中泰建安工程有限公司</w:t>
      </w:r>
    </w:p>
    <w:p>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供应商，履约期间的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元，待收款为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全部结清，我司合同中的所有权利全部消灭，我司将不再以任何理由、任何方式就该项目的合作向贵司提出任何权利主张或追索任何费用，同时我司相应的义务和责任按照合同执行。</w:t>
      </w:r>
    </w:p>
    <w:p>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pPr>
        <w:spacing w:line="261" w:lineRule="auto"/>
        <w:rPr>
          <w:rFonts w:ascii="Arial"/>
          <w:color w:val="auto"/>
          <w:sz w:val="20"/>
          <w:szCs w:val="22"/>
        </w:rPr>
      </w:pPr>
    </w:p>
    <w:p>
      <w:pPr>
        <w:spacing w:line="261" w:lineRule="auto"/>
        <w:rPr>
          <w:rFonts w:ascii="Arial"/>
          <w:color w:val="auto"/>
          <w:sz w:val="20"/>
          <w:szCs w:val="22"/>
        </w:rPr>
      </w:pPr>
    </w:p>
    <w:p>
      <w:pPr>
        <w:pStyle w:val="3"/>
        <w:spacing w:before="98" w:line="221" w:lineRule="auto"/>
        <w:ind w:left="4819"/>
        <w:rPr>
          <w:color w:val="auto"/>
          <w:sz w:val="28"/>
          <w:szCs w:val="28"/>
        </w:rPr>
      </w:pPr>
      <w:r>
        <w:rPr>
          <w:color w:val="auto"/>
          <w:spacing w:val="-3"/>
          <w:sz w:val="28"/>
          <w:szCs w:val="28"/>
        </w:rPr>
        <w:t>承诺单位（盖章</w:t>
      </w:r>
      <w:r>
        <w:rPr>
          <w:color w:val="auto"/>
          <w:sz w:val="28"/>
          <w:szCs w:val="28"/>
        </w:rPr>
        <w:t>）：</w:t>
      </w:r>
    </w:p>
    <w:p>
      <w:pPr>
        <w:pStyle w:val="3"/>
        <w:spacing w:before="265" w:line="222" w:lineRule="auto"/>
        <w:ind w:left="6083"/>
        <w:rPr>
          <w:color w:val="auto"/>
          <w:sz w:val="28"/>
          <w:szCs w:val="28"/>
        </w:rPr>
      </w:pPr>
      <w:r>
        <w:rPr>
          <w:color w:val="auto"/>
          <w:spacing w:val="-35"/>
          <w:sz w:val="28"/>
          <w:szCs w:val="28"/>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pPr>
        <w:spacing w:line="281" w:lineRule="auto"/>
        <w:rPr>
          <w:rFonts w:ascii="Arial"/>
          <w:color w:val="auto"/>
          <w:sz w:val="20"/>
          <w:szCs w:val="22"/>
        </w:rPr>
      </w:pPr>
    </w:p>
    <w:p>
      <w:pPr>
        <w:spacing w:line="281" w:lineRule="auto"/>
        <w:rPr>
          <w:rFonts w:ascii="Arial"/>
          <w:color w:val="auto"/>
          <w:sz w:val="20"/>
          <w:szCs w:val="22"/>
        </w:rPr>
      </w:pPr>
    </w:p>
    <w:p>
      <w:pPr>
        <w:spacing w:line="281" w:lineRule="auto"/>
        <w:rPr>
          <w:rFonts w:ascii="Arial"/>
          <w:color w:val="auto"/>
          <w:sz w:val="20"/>
          <w:szCs w:val="22"/>
        </w:rPr>
      </w:pPr>
      <w:r>
        <w:rPr>
          <w:color w:val="auto"/>
          <w:sz w:val="20"/>
          <w:szCs w:val="22"/>
        </w:rPr>
        <mc:AlternateContent>
          <mc:Choice Requires="wps">
            <w:drawing>
              <wp:anchor distT="0" distB="0" distL="0" distR="0" simplePos="0" relativeHeight="251659264"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1027"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rect l="l" t="t" r="r" b="b"/>
                          <a:pathLst>
                            <a:path w="9970" h="15">
                              <a:moveTo>
                                <a:pt x="0" y="7"/>
                              </a:moveTo>
                              <a:lnTo>
                                <a:pt x="9969" y="7"/>
                              </a:lnTo>
                            </a:path>
                          </a:pathLst>
                        </a:custGeom>
                        <a:ln w="9144" cap="flat" cmpd="sng">
                          <a:solidFill>
                            <a:srgbClr val="000000"/>
                          </a:solidFill>
                          <a:prstDash val="dash"/>
                          <a:bevel/>
                          <a:headEnd type="none" w="med" len="med"/>
                          <a:tailEnd type="none" w="med" len="med"/>
                        </a:ln>
                      </wps:spPr>
                      <wps:bodyPr/>
                    </wps:wsp>
                  </a:graphicData>
                </a:graphic>
              </wp:anchor>
            </w:drawing>
          </mc:Choice>
          <mc:Fallback>
            <w:pict>
              <v:shape id="任意多边形 3" o:spid="_x0000_s1026" o:spt="100" style="position:absolute;left:0pt;margin-left:0.35pt;margin-top:2.3pt;height:0.75pt;width:498.5pt;z-index:251659264;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VqN7+1AAAAAQBAAAPAAAAAAAAAAEAIAAAACIAAABkcnMv&#10;ZG93bnJldi54bWxQSwECFAAUAAAACACHTuJAKqSy2UACAACiBAAADgAAAAAAAAABACAAAAAjAQAA&#10;ZHJzL2Uyb0RvYy54bWxQSwUGAAAAAAYABgBZAQAA1QUAAAAA&#10;" path="m0,7l9969,7e">
                <v:fill on="f" focussize="0,0"/>
                <v:stroke weight="0.72pt" color="#000000" joinstyle="bevel" dashstyle="dash"/>
                <v:imagedata o:title=""/>
                <o:lock v:ext="edit" aspectratio="f"/>
              </v:shape>
            </w:pict>
          </mc:Fallback>
        </mc:AlternateContent>
      </w:r>
    </w:p>
    <w:p>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pPr>
        <w:pStyle w:val="3"/>
        <w:spacing w:before="266" w:line="302" w:lineRule="auto"/>
        <w:ind w:left="25" w:right="14" w:hanging="1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pPr>
        <w:numPr>
          <w:ilvl w:val="0"/>
          <w:numId w:val="0"/>
        </w:numPr>
        <w:ind w:leftChars="0"/>
        <w:jc w:val="left"/>
        <w:rPr>
          <w:rFonts w:hint="eastAsia" w:ascii="仿宋" w:hAnsi="仿宋" w:eastAsia="仿宋" w:cs="仿宋"/>
          <w:bCs/>
          <w:color w:val="auto"/>
          <w:kern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仿宋" w:hAnsi="仿宋" w:eastAsia="仿宋" w:cs="仿宋"/>
          <w:b/>
          <w:bCs/>
          <w:color w:val="auto"/>
          <w:sz w:val="44"/>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pPr>
        <w:pStyle w:val="8"/>
        <w:pageBreakBefore w:val="0"/>
        <w:wordWrap/>
        <w:topLinePunct w:val="0"/>
        <w:bidi w:val="0"/>
        <w:spacing w:line="360" w:lineRule="auto"/>
        <w:ind w:left="0" w:leftChars="0" w:firstLine="0" w:firstLineChars="0"/>
        <w:rPr>
          <w:rFonts w:hint="default" w:ascii="仿宋" w:hAnsi="仿宋" w:eastAsia="仿宋" w:cs="仿宋"/>
          <w:b/>
          <w:bCs/>
          <w:color w:val="auto"/>
          <w:sz w:val="30"/>
          <w:highlight w:val="none"/>
          <w:lang w:val="en-US" w:eastAsia="zh-CN"/>
        </w:rPr>
      </w:pPr>
    </w:p>
    <w:p>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pPr>
        <w:pageBreakBefore w:val="0"/>
        <w:wordWrap/>
        <w:topLinePunct w:val="0"/>
        <w:bidi w:val="0"/>
        <w:spacing w:line="360" w:lineRule="auto"/>
        <w:rPr>
          <w:rFonts w:cs="宋体"/>
          <w:color w:val="auto"/>
          <w:highlight w:val="none"/>
        </w:rPr>
      </w:pPr>
    </w:p>
    <w:p>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附件三</w:t>
      </w:r>
    </w:p>
    <w:p>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8789" w:type="dxa"/>
            <w:gridSpan w:val="4"/>
          </w:tcPr>
          <w:p>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789" w:type="dxa"/>
            <w:gridSpan w:val="4"/>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789" w:type="dxa"/>
            <w:gridSpan w:val="4"/>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789" w:type="dxa"/>
            <w:gridSpan w:val="4"/>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89" w:type="dxa"/>
            <w:gridSpan w:val="4"/>
          </w:tcPr>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2、此确认表作为向公司申报款项支付审批单的附件。</w:t>
      </w:r>
    </w:p>
    <w:p>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auto"/>
                <w:kern w:val="0"/>
                <w:sz w:val="44"/>
                <w:szCs w:val="44"/>
                <w:highlight w:val="none"/>
                <w:u w:val="none"/>
                <w:lang w:val="en-US" w:eastAsia="zh-CN"/>
              </w:rPr>
            </w:pPr>
            <w:r>
              <w:rPr>
                <w:rFonts w:hint="eastAsia" w:ascii="仿宋" w:hAnsi="仿宋" w:eastAsia="仿宋" w:cs="仿宋"/>
                <w:b/>
                <w:bCs/>
                <w:i w:val="0"/>
                <w:iCs w:val="0"/>
                <w:color w:val="auto"/>
                <w:kern w:val="0"/>
                <w:sz w:val="44"/>
                <w:szCs w:val="44"/>
                <w:highlight w:val="none"/>
                <w:u w:val="none"/>
                <w:lang w:val="en-US" w:eastAsia="zh-CN"/>
              </w:rPr>
              <w:t>附件四</w:t>
            </w:r>
          </w:p>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rPr>
              <w:t>款项支付台账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合同名称：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付款公司名称：东莞市中泰建安工程有限公司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序号</w:t>
            </w:r>
          </w:p>
        </w:tc>
        <w:tc>
          <w:tcPr>
            <w:tcW w:w="71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收/付款日期</w:t>
            </w:r>
            <w:r>
              <w:rPr>
                <w:rFonts w:hint="eastAsia" w:ascii="仿宋" w:hAnsi="仿宋" w:eastAsia="仿宋" w:cs="仿宋"/>
                <w:i w:val="0"/>
                <w:iCs w:val="0"/>
                <w:color w:val="auto"/>
                <w:kern w:val="0"/>
                <w:sz w:val="22"/>
                <w:szCs w:val="22"/>
                <w:highlight w:val="none"/>
                <w:u w:val="none"/>
                <w:lang w:val="en-US" w:eastAsia="zh-CN"/>
              </w:rPr>
              <w:br w:type="textWrapping"/>
            </w:r>
            <w:r>
              <w:rPr>
                <w:rFonts w:hint="eastAsia" w:ascii="仿宋" w:hAnsi="仿宋" w:eastAsia="仿宋" w:cs="仿宋"/>
                <w:i w:val="0"/>
                <w:iCs w:val="0"/>
                <w:color w:val="auto"/>
                <w:kern w:val="0"/>
                <w:sz w:val="22"/>
                <w:szCs w:val="22"/>
                <w:highlight w:val="none"/>
                <w:u w:val="none"/>
                <w:lang w:val="en-US" w:eastAsia="zh-CN"/>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付款内容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22" w:type="pct"/>
            <w:gridSpan w:val="2"/>
            <w:tcBorders>
              <w:top w:val="nil"/>
              <w:left w:val="nil"/>
              <w:bottom w:val="nil"/>
              <w:right w:val="nil"/>
            </w:tcBorders>
            <w:noWrap/>
            <w:vAlign w:val="center"/>
          </w:tcPr>
          <w:p>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制表人：</w:t>
            </w: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制表日期：</w:t>
            </w:r>
          </w:p>
        </w:tc>
        <w:tc>
          <w:tcPr>
            <w:tcW w:w="535" w:type="pct"/>
            <w:tcBorders>
              <w:top w:val="nil"/>
              <w:left w:val="nil"/>
              <w:bottom w:val="nil"/>
              <w:right w:val="nil"/>
            </w:tcBorders>
            <w:noWrap/>
            <w:vAlign w:val="center"/>
          </w:tcPr>
          <w:p>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收款公司名称：</w:t>
            </w:r>
          </w:p>
        </w:tc>
        <w:tc>
          <w:tcPr>
            <w:tcW w:w="535" w:type="pct"/>
            <w:tcBorders>
              <w:top w:val="nil"/>
              <w:left w:val="nil"/>
              <w:bottom w:val="nil"/>
              <w:right w:val="nil"/>
            </w:tcBorders>
            <w:noWrap/>
            <w:vAlign w:val="center"/>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10"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（加盖公章）</w:t>
            </w:r>
          </w:p>
        </w:tc>
        <w:tc>
          <w:tcPr>
            <w:tcW w:w="535" w:type="pct"/>
            <w:tcBorders>
              <w:top w:val="nil"/>
              <w:left w:val="nil"/>
              <w:bottom w:val="nil"/>
              <w:right w:val="nil"/>
            </w:tcBorders>
            <w:noWrap/>
            <w:vAlign w:val="center"/>
          </w:tcPr>
          <w:p>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0"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收款公司负责人：</w:t>
            </w:r>
          </w:p>
        </w:tc>
        <w:tc>
          <w:tcPr>
            <w:tcW w:w="535" w:type="pct"/>
            <w:tcBorders>
              <w:top w:val="nil"/>
              <w:left w:val="nil"/>
              <w:bottom w:val="nil"/>
              <w:right w:val="nil"/>
            </w:tcBorders>
            <w:noWrap/>
            <w:vAlign w:val="center"/>
          </w:tcPr>
          <w:p>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10"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（签名）</w:t>
            </w:r>
          </w:p>
        </w:tc>
        <w:tc>
          <w:tcPr>
            <w:tcW w:w="535" w:type="pct"/>
            <w:tcBorders>
              <w:top w:val="nil"/>
              <w:left w:val="nil"/>
              <w:bottom w:val="nil"/>
              <w:right w:val="nil"/>
            </w:tcBorders>
            <w:noWrap/>
            <w:vAlign w:val="center"/>
          </w:tcPr>
          <w:p>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bl>
    <w:p>
      <w:pPr>
        <w:pageBreakBefore w:val="0"/>
        <w:wordWrap/>
        <w:topLinePunct w:val="0"/>
        <w:bidi w:val="0"/>
        <w:spacing w:line="360" w:lineRule="auto"/>
        <w:jc w:val="both"/>
        <w:rPr>
          <w:rFonts w:hint="eastAsia" w:ascii="仿宋" w:hAnsi="仿宋" w:eastAsia="仿宋" w:cs="仿宋"/>
          <w:b/>
          <w:bCs/>
          <w:color w:val="auto"/>
          <w:sz w:val="44"/>
          <w:szCs w:val="44"/>
          <w:highlight w:val="none"/>
          <w:lang w:val="en-US" w:eastAsia="zh-CN"/>
        </w:rPr>
      </w:pPr>
    </w:p>
    <w:p>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p>
    <w:p>
      <w:pPr>
        <w:rPr>
          <w:rFonts w:hint="default"/>
          <w:color w:val="auto"/>
          <w:highlight w:val="none"/>
          <w:lang w:val="en-US" w:eastAsia="zh-CN"/>
        </w:rPr>
      </w:pPr>
    </w:p>
    <w:p>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pPr>
        <w:pStyle w:val="3"/>
        <w:spacing w:before="35" w:line="309" w:lineRule="exact"/>
        <w:ind w:left="67"/>
        <w:rPr>
          <w:rFonts w:hint="eastAsia" w:ascii="宋体" w:hAnsi="宋体" w:eastAsia="宋体" w:cs="宋体"/>
          <w:color w:val="auto"/>
          <w:spacing w:val="8"/>
          <w:position w:val="10"/>
          <w:sz w:val="20"/>
          <w:szCs w:val="20"/>
          <w:highlight w:val="none"/>
        </w:rPr>
      </w:pPr>
    </w:p>
    <w:p>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3"/>
        <w:tblW w:w="14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tcPr>
          <w:p>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tcPr>
          <w:p>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tcPr>
          <w:p>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tcPr>
          <w:p>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tcPr>
          <w:p>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tcPr>
          <w:p>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tcPr>
          <w:p>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tcPr>
          <w:p>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tcPr>
          <w:p>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tcPr>
          <w:p>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tcPr>
          <w:p>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tcPr>
          <w:p>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tcPr>
          <w:p>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tcPr>
          <w:p>
            <w:pPr>
              <w:pStyle w:val="14"/>
              <w:rPr>
                <w:color w:val="auto"/>
                <w:highlight w:val="none"/>
              </w:rPr>
            </w:pPr>
          </w:p>
        </w:tc>
        <w:tc>
          <w:tcPr>
            <w:tcW w:w="930" w:type="dxa"/>
          </w:tcPr>
          <w:p>
            <w:pPr>
              <w:pStyle w:val="14"/>
              <w:rPr>
                <w:color w:val="auto"/>
                <w:highlight w:val="none"/>
              </w:rPr>
            </w:pPr>
          </w:p>
        </w:tc>
        <w:tc>
          <w:tcPr>
            <w:tcW w:w="931" w:type="dxa"/>
          </w:tcPr>
          <w:p>
            <w:pPr>
              <w:pStyle w:val="14"/>
              <w:rPr>
                <w:color w:val="auto"/>
                <w:highlight w:val="none"/>
              </w:rPr>
            </w:pPr>
          </w:p>
        </w:tc>
        <w:tc>
          <w:tcPr>
            <w:tcW w:w="900" w:type="dxa"/>
          </w:tcPr>
          <w:p>
            <w:pPr>
              <w:pStyle w:val="14"/>
              <w:rPr>
                <w:color w:val="auto"/>
                <w:highlight w:val="none"/>
              </w:rPr>
            </w:pPr>
          </w:p>
        </w:tc>
        <w:tc>
          <w:tcPr>
            <w:tcW w:w="1065" w:type="dxa"/>
          </w:tcPr>
          <w:p>
            <w:pPr>
              <w:pStyle w:val="14"/>
              <w:rPr>
                <w:color w:val="auto"/>
                <w:highlight w:val="none"/>
              </w:rPr>
            </w:pPr>
          </w:p>
        </w:tc>
        <w:tc>
          <w:tcPr>
            <w:tcW w:w="854" w:type="dxa"/>
          </w:tcPr>
          <w:p>
            <w:pPr>
              <w:pStyle w:val="14"/>
              <w:rPr>
                <w:color w:val="auto"/>
                <w:highlight w:val="none"/>
              </w:rPr>
            </w:pPr>
          </w:p>
        </w:tc>
        <w:tc>
          <w:tcPr>
            <w:tcW w:w="1201" w:type="dxa"/>
          </w:tcPr>
          <w:p>
            <w:pPr>
              <w:pStyle w:val="14"/>
              <w:rPr>
                <w:color w:val="auto"/>
                <w:highlight w:val="none"/>
              </w:rPr>
            </w:pPr>
          </w:p>
        </w:tc>
        <w:tc>
          <w:tcPr>
            <w:tcW w:w="846" w:type="dxa"/>
          </w:tcPr>
          <w:p>
            <w:pPr>
              <w:pStyle w:val="14"/>
              <w:rPr>
                <w:color w:val="auto"/>
                <w:highlight w:val="none"/>
              </w:rPr>
            </w:pPr>
          </w:p>
        </w:tc>
        <w:tc>
          <w:tcPr>
            <w:tcW w:w="916" w:type="dxa"/>
          </w:tcPr>
          <w:p>
            <w:pPr>
              <w:pStyle w:val="14"/>
              <w:rPr>
                <w:color w:val="auto"/>
                <w:highlight w:val="none"/>
              </w:rPr>
            </w:pPr>
          </w:p>
        </w:tc>
        <w:tc>
          <w:tcPr>
            <w:tcW w:w="1142" w:type="dxa"/>
          </w:tcPr>
          <w:p>
            <w:pPr>
              <w:pStyle w:val="14"/>
              <w:rPr>
                <w:color w:val="auto"/>
                <w:highlight w:val="none"/>
              </w:rPr>
            </w:pPr>
          </w:p>
        </w:tc>
        <w:tc>
          <w:tcPr>
            <w:tcW w:w="1142" w:type="dxa"/>
          </w:tcPr>
          <w:p>
            <w:pPr>
              <w:pStyle w:val="14"/>
              <w:rPr>
                <w:color w:val="auto"/>
                <w:highlight w:val="none"/>
              </w:rPr>
            </w:pPr>
          </w:p>
        </w:tc>
        <w:tc>
          <w:tcPr>
            <w:tcW w:w="2777" w:type="dxa"/>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tcPr>
          <w:p>
            <w:pPr>
              <w:pStyle w:val="14"/>
              <w:rPr>
                <w:color w:val="auto"/>
                <w:highlight w:val="none"/>
              </w:rPr>
            </w:pPr>
          </w:p>
        </w:tc>
        <w:tc>
          <w:tcPr>
            <w:tcW w:w="930" w:type="dxa"/>
          </w:tcPr>
          <w:p>
            <w:pPr>
              <w:pStyle w:val="14"/>
              <w:rPr>
                <w:color w:val="auto"/>
                <w:highlight w:val="none"/>
              </w:rPr>
            </w:pPr>
          </w:p>
        </w:tc>
        <w:tc>
          <w:tcPr>
            <w:tcW w:w="931" w:type="dxa"/>
          </w:tcPr>
          <w:p>
            <w:pPr>
              <w:pStyle w:val="14"/>
              <w:rPr>
                <w:color w:val="auto"/>
                <w:highlight w:val="none"/>
              </w:rPr>
            </w:pPr>
          </w:p>
        </w:tc>
        <w:tc>
          <w:tcPr>
            <w:tcW w:w="900" w:type="dxa"/>
          </w:tcPr>
          <w:p>
            <w:pPr>
              <w:pStyle w:val="14"/>
              <w:rPr>
                <w:color w:val="auto"/>
                <w:highlight w:val="none"/>
              </w:rPr>
            </w:pPr>
          </w:p>
        </w:tc>
        <w:tc>
          <w:tcPr>
            <w:tcW w:w="1065" w:type="dxa"/>
          </w:tcPr>
          <w:p>
            <w:pPr>
              <w:pStyle w:val="14"/>
              <w:rPr>
                <w:color w:val="auto"/>
                <w:highlight w:val="none"/>
              </w:rPr>
            </w:pPr>
          </w:p>
        </w:tc>
        <w:tc>
          <w:tcPr>
            <w:tcW w:w="854" w:type="dxa"/>
          </w:tcPr>
          <w:p>
            <w:pPr>
              <w:pStyle w:val="14"/>
              <w:rPr>
                <w:color w:val="auto"/>
                <w:highlight w:val="none"/>
              </w:rPr>
            </w:pPr>
          </w:p>
        </w:tc>
        <w:tc>
          <w:tcPr>
            <w:tcW w:w="1201" w:type="dxa"/>
          </w:tcPr>
          <w:p>
            <w:pPr>
              <w:pStyle w:val="14"/>
              <w:rPr>
                <w:color w:val="auto"/>
                <w:highlight w:val="none"/>
              </w:rPr>
            </w:pPr>
          </w:p>
        </w:tc>
        <w:tc>
          <w:tcPr>
            <w:tcW w:w="846" w:type="dxa"/>
          </w:tcPr>
          <w:p>
            <w:pPr>
              <w:pStyle w:val="14"/>
              <w:rPr>
                <w:color w:val="auto"/>
                <w:highlight w:val="none"/>
              </w:rPr>
            </w:pPr>
          </w:p>
        </w:tc>
        <w:tc>
          <w:tcPr>
            <w:tcW w:w="916" w:type="dxa"/>
          </w:tcPr>
          <w:p>
            <w:pPr>
              <w:pStyle w:val="14"/>
              <w:rPr>
                <w:color w:val="auto"/>
                <w:highlight w:val="none"/>
              </w:rPr>
            </w:pPr>
          </w:p>
        </w:tc>
        <w:tc>
          <w:tcPr>
            <w:tcW w:w="1142" w:type="dxa"/>
          </w:tcPr>
          <w:p>
            <w:pPr>
              <w:pStyle w:val="14"/>
              <w:rPr>
                <w:color w:val="auto"/>
                <w:highlight w:val="none"/>
              </w:rPr>
            </w:pPr>
          </w:p>
        </w:tc>
        <w:tc>
          <w:tcPr>
            <w:tcW w:w="1142" w:type="dxa"/>
          </w:tcPr>
          <w:p>
            <w:pPr>
              <w:pStyle w:val="14"/>
              <w:rPr>
                <w:color w:val="auto"/>
                <w:highlight w:val="none"/>
              </w:rPr>
            </w:pPr>
          </w:p>
        </w:tc>
        <w:tc>
          <w:tcPr>
            <w:tcW w:w="2777" w:type="dxa"/>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tcPr>
          <w:p>
            <w:pPr>
              <w:pStyle w:val="14"/>
              <w:rPr>
                <w:color w:val="auto"/>
                <w:highlight w:val="none"/>
              </w:rPr>
            </w:pPr>
          </w:p>
        </w:tc>
        <w:tc>
          <w:tcPr>
            <w:tcW w:w="930" w:type="dxa"/>
          </w:tcPr>
          <w:p>
            <w:pPr>
              <w:pStyle w:val="14"/>
              <w:rPr>
                <w:color w:val="auto"/>
                <w:highlight w:val="none"/>
              </w:rPr>
            </w:pPr>
          </w:p>
        </w:tc>
        <w:tc>
          <w:tcPr>
            <w:tcW w:w="931" w:type="dxa"/>
          </w:tcPr>
          <w:p>
            <w:pPr>
              <w:pStyle w:val="14"/>
              <w:rPr>
                <w:color w:val="auto"/>
                <w:highlight w:val="none"/>
              </w:rPr>
            </w:pPr>
          </w:p>
        </w:tc>
        <w:tc>
          <w:tcPr>
            <w:tcW w:w="900" w:type="dxa"/>
          </w:tcPr>
          <w:p>
            <w:pPr>
              <w:pStyle w:val="14"/>
              <w:rPr>
                <w:color w:val="auto"/>
                <w:highlight w:val="none"/>
              </w:rPr>
            </w:pPr>
          </w:p>
        </w:tc>
        <w:tc>
          <w:tcPr>
            <w:tcW w:w="1065" w:type="dxa"/>
          </w:tcPr>
          <w:p>
            <w:pPr>
              <w:pStyle w:val="14"/>
              <w:rPr>
                <w:color w:val="auto"/>
                <w:highlight w:val="none"/>
              </w:rPr>
            </w:pPr>
          </w:p>
        </w:tc>
        <w:tc>
          <w:tcPr>
            <w:tcW w:w="854" w:type="dxa"/>
          </w:tcPr>
          <w:p>
            <w:pPr>
              <w:pStyle w:val="14"/>
              <w:rPr>
                <w:color w:val="auto"/>
                <w:highlight w:val="none"/>
              </w:rPr>
            </w:pPr>
          </w:p>
        </w:tc>
        <w:tc>
          <w:tcPr>
            <w:tcW w:w="1201" w:type="dxa"/>
          </w:tcPr>
          <w:p>
            <w:pPr>
              <w:pStyle w:val="14"/>
              <w:rPr>
                <w:color w:val="auto"/>
                <w:highlight w:val="none"/>
              </w:rPr>
            </w:pPr>
          </w:p>
        </w:tc>
        <w:tc>
          <w:tcPr>
            <w:tcW w:w="846" w:type="dxa"/>
          </w:tcPr>
          <w:p>
            <w:pPr>
              <w:pStyle w:val="14"/>
              <w:rPr>
                <w:color w:val="auto"/>
                <w:highlight w:val="none"/>
              </w:rPr>
            </w:pPr>
          </w:p>
        </w:tc>
        <w:tc>
          <w:tcPr>
            <w:tcW w:w="916" w:type="dxa"/>
          </w:tcPr>
          <w:p>
            <w:pPr>
              <w:pStyle w:val="14"/>
              <w:rPr>
                <w:color w:val="auto"/>
                <w:highlight w:val="none"/>
              </w:rPr>
            </w:pPr>
          </w:p>
        </w:tc>
        <w:tc>
          <w:tcPr>
            <w:tcW w:w="1142" w:type="dxa"/>
          </w:tcPr>
          <w:p>
            <w:pPr>
              <w:pStyle w:val="14"/>
              <w:rPr>
                <w:color w:val="auto"/>
                <w:highlight w:val="none"/>
              </w:rPr>
            </w:pPr>
          </w:p>
        </w:tc>
        <w:tc>
          <w:tcPr>
            <w:tcW w:w="1142" w:type="dxa"/>
          </w:tcPr>
          <w:p>
            <w:pPr>
              <w:pStyle w:val="14"/>
              <w:rPr>
                <w:color w:val="auto"/>
                <w:highlight w:val="none"/>
              </w:rPr>
            </w:pPr>
          </w:p>
        </w:tc>
        <w:tc>
          <w:tcPr>
            <w:tcW w:w="2777" w:type="dxa"/>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tcPr>
          <w:p>
            <w:pPr>
              <w:pStyle w:val="14"/>
              <w:rPr>
                <w:color w:val="auto"/>
                <w:highlight w:val="none"/>
              </w:rPr>
            </w:pPr>
          </w:p>
        </w:tc>
        <w:tc>
          <w:tcPr>
            <w:tcW w:w="930" w:type="dxa"/>
          </w:tcPr>
          <w:p>
            <w:pPr>
              <w:pStyle w:val="14"/>
              <w:rPr>
                <w:color w:val="auto"/>
                <w:highlight w:val="none"/>
              </w:rPr>
            </w:pPr>
          </w:p>
        </w:tc>
        <w:tc>
          <w:tcPr>
            <w:tcW w:w="931" w:type="dxa"/>
          </w:tcPr>
          <w:p>
            <w:pPr>
              <w:pStyle w:val="14"/>
              <w:rPr>
                <w:color w:val="auto"/>
                <w:highlight w:val="none"/>
              </w:rPr>
            </w:pPr>
          </w:p>
        </w:tc>
        <w:tc>
          <w:tcPr>
            <w:tcW w:w="900" w:type="dxa"/>
          </w:tcPr>
          <w:p>
            <w:pPr>
              <w:pStyle w:val="14"/>
              <w:rPr>
                <w:color w:val="auto"/>
                <w:highlight w:val="none"/>
              </w:rPr>
            </w:pPr>
          </w:p>
        </w:tc>
        <w:tc>
          <w:tcPr>
            <w:tcW w:w="1065" w:type="dxa"/>
          </w:tcPr>
          <w:p>
            <w:pPr>
              <w:pStyle w:val="14"/>
              <w:rPr>
                <w:color w:val="auto"/>
                <w:highlight w:val="none"/>
              </w:rPr>
            </w:pPr>
          </w:p>
        </w:tc>
        <w:tc>
          <w:tcPr>
            <w:tcW w:w="854" w:type="dxa"/>
          </w:tcPr>
          <w:p>
            <w:pPr>
              <w:pStyle w:val="14"/>
              <w:rPr>
                <w:color w:val="auto"/>
                <w:highlight w:val="none"/>
              </w:rPr>
            </w:pPr>
          </w:p>
        </w:tc>
        <w:tc>
          <w:tcPr>
            <w:tcW w:w="1201" w:type="dxa"/>
          </w:tcPr>
          <w:p>
            <w:pPr>
              <w:pStyle w:val="14"/>
              <w:rPr>
                <w:color w:val="auto"/>
                <w:highlight w:val="none"/>
              </w:rPr>
            </w:pPr>
          </w:p>
        </w:tc>
        <w:tc>
          <w:tcPr>
            <w:tcW w:w="846" w:type="dxa"/>
          </w:tcPr>
          <w:p>
            <w:pPr>
              <w:pStyle w:val="14"/>
              <w:rPr>
                <w:color w:val="auto"/>
                <w:highlight w:val="none"/>
              </w:rPr>
            </w:pPr>
          </w:p>
        </w:tc>
        <w:tc>
          <w:tcPr>
            <w:tcW w:w="916" w:type="dxa"/>
          </w:tcPr>
          <w:p>
            <w:pPr>
              <w:pStyle w:val="14"/>
              <w:rPr>
                <w:color w:val="auto"/>
                <w:highlight w:val="none"/>
              </w:rPr>
            </w:pPr>
          </w:p>
        </w:tc>
        <w:tc>
          <w:tcPr>
            <w:tcW w:w="1142" w:type="dxa"/>
          </w:tcPr>
          <w:p>
            <w:pPr>
              <w:pStyle w:val="14"/>
              <w:rPr>
                <w:color w:val="auto"/>
                <w:highlight w:val="none"/>
              </w:rPr>
            </w:pPr>
          </w:p>
        </w:tc>
        <w:tc>
          <w:tcPr>
            <w:tcW w:w="1142" w:type="dxa"/>
          </w:tcPr>
          <w:p>
            <w:pPr>
              <w:pStyle w:val="14"/>
              <w:rPr>
                <w:color w:val="auto"/>
                <w:highlight w:val="none"/>
              </w:rPr>
            </w:pPr>
          </w:p>
        </w:tc>
        <w:tc>
          <w:tcPr>
            <w:tcW w:w="2777" w:type="dxa"/>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tcPr>
          <w:p>
            <w:pPr>
              <w:pStyle w:val="14"/>
              <w:rPr>
                <w:color w:val="auto"/>
                <w:highlight w:val="none"/>
              </w:rPr>
            </w:pPr>
          </w:p>
        </w:tc>
        <w:tc>
          <w:tcPr>
            <w:tcW w:w="930" w:type="dxa"/>
          </w:tcPr>
          <w:p>
            <w:pPr>
              <w:pStyle w:val="14"/>
              <w:rPr>
                <w:color w:val="auto"/>
                <w:highlight w:val="none"/>
              </w:rPr>
            </w:pPr>
          </w:p>
        </w:tc>
        <w:tc>
          <w:tcPr>
            <w:tcW w:w="931" w:type="dxa"/>
          </w:tcPr>
          <w:p>
            <w:pPr>
              <w:pStyle w:val="14"/>
              <w:rPr>
                <w:color w:val="auto"/>
                <w:highlight w:val="none"/>
              </w:rPr>
            </w:pPr>
          </w:p>
        </w:tc>
        <w:tc>
          <w:tcPr>
            <w:tcW w:w="900" w:type="dxa"/>
          </w:tcPr>
          <w:p>
            <w:pPr>
              <w:pStyle w:val="14"/>
              <w:rPr>
                <w:color w:val="auto"/>
                <w:highlight w:val="none"/>
              </w:rPr>
            </w:pPr>
          </w:p>
        </w:tc>
        <w:tc>
          <w:tcPr>
            <w:tcW w:w="1065" w:type="dxa"/>
          </w:tcPr>
          <w:p>
            <w:pPr>
              <w:pStyle w:val="14"/>
              <w:rPr>
                <w:color w:val="auto"/>
                <w:highlight w:val="none"/>
              </w:rPr>
            </w:pPr>
          </w:p>
        </w:tc>
        <w:tc>
          <w:tcPr>
            <w:tcW w:w="854" w:type="dxa"/>
          </w:tcPr>
          <w:p>
            <w:pPr>
              <w:pStyle w:val="14"/>
              <w:rPr>
                <w:color w:val="auto"/>
                <w:highlight w:val="none"/>
              </w:rPr>
            </w:pPr>
          </w:p>
        </w:tc>
        <w:tc>
          <w:tcPr>
            <w:tcW w:w="1201" w:type="dxa"/>
          </w:tcPr>
          <w:p>
            <w:pPr>
              <w:pStyle w:val="14"/>
              <w:rPr>
                <w:color w:val="auto"/>
                <w:highlight w:val="none"/>
              </w:rPr>
            </w:pPr>
          </w:p>
        </w:tc>
        <w:tc>
          <w:tcPr>
            <w:tcW w:w="846" w:type="dxa"/>
          </w:tcPr>
          <w:p>
            <w:pPr>
              <w:pStyle w:val="14"/>
              <w:rPr>
                <w:color w:val="auto"/>
                <w:highlight w:val="none"/>
              </w:rPr>
            </w:pPr>
          </w:p>
        </w:tc>
        <w:tc>
          <w:tcPr>
            <w:tcW w:w="916" w:type="dxa"/>
          </w:tcPr>
          <w:p>
            <w:pPr>
              <w:pStyle w:val="14"/>
              <w:rPr>
                <w:color w:val="auto"/>
                <w:highlight w:val="none"/>
              </w:rPr>
            </w:pPr>
          </w:p>
        </w:tc>
        <w:tc>
          <w:tcPr>
            <w:tcW w:w="1142" w:type="dxa"/>
          </w:tcPr>
          <w:p>
            <w:pPr>
              <w:pStyle w:val="14"/>
              <w:rPr>
                <w:color w:val="auto"/>
                <w:highlight w:val="none"/>
              </w:rPr>
            </w:pPr>
          </w:p>
        </w:tc>
        <w:tc>
          <w:tcPr>
            <w:tcW w:w="1142" w:type="dxa"/>
          </w:tcPr>
          <w:p>
            <w:pPr>
              <w:pStyle w:val="14"/>
              <w:rPr>
                <w:color w:val="auto"/>
                <w:highlight w:val="none"/>
              </w:rPr>
            </w:pPr>
          </w:p>
        </w:tc>
        <w:tc>
          <w:tcPr>
            <w:tcW w:w="2777" w:type="dxa"/>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tcPr>
          <w:p>
            <w:pPr>
              <w:pStyle w:val="14"/>
              <w:rPr>
                <w:color w:val="auto"/>
                <w:highlight w:val="none"/>
              </w:rPr>
            </w:pPr>
          </w:p>
        </w:tc>
        <w:tc>
          <w:tcPr>
            <w:tcW w:w="930" w:type="dxa"/>
          </w:tcPr>
          <w:p>
            <w:pPr>
              <w:pStyle w:val="14"/>
              <w:rPr>
                <w:color w:val="auto"/>
                <w:highlight w:val="none"/>
              </w:rPr>
            </w:pPr>
          </w:p>
        </w:tc>
        <w:tc>
          <w:tcPr>
            <w:tcW w:w="931" w:type="dxa"/>
          </w:tcPr>
          <w:p>
            <w:pPr>
              <w:pStyle w:val="14"/>
              <w:rPr>
                <w:color w:val="auto"/>
                <w:highlight w:val="none"/>
              </w:rPr>
            </w:pPr>
          </w:p>
        </w:tc>
        <w:tc>
          <w:tcPr>
            <w:tcW w:w="900" w:type="dxa"/>
          </w:tcPr>
          <w:p>
            <w:pPr>
              <w:pStyle w:val="14"/>
              <w:rPr>
                <w:color w:val="auto"/>
                <w:highlight w:val="none"/>
              </w:rPr>
            </w:pPr>
          </w:p>
        </w:tc>
        <w:tc>
          <w:tcPr>
            <w:tcW w:w="1065" w:type="dxa"/>
          </w:tcPr>
          <w:p>
            <w:pPr>
              <w:pStyle w:val="14"/>
              <w:rPr>
                <w:color w:val="auto"/>
                <w:highlight w:val="none"/>
              </w:rPr>
            </w:pPr>
          </w:p>
        </w:tc>
        <w:tc>
          <w:tcPr>
            <w:tcW w:w="854" w:type="dxa"/>
          </w:tcPr>
          <w:p>
            <w:pPr>
              <w:pStyle w:val="14"/>
              <w:rPr>
                <w:color w:val="auto"/>
                <w:highlight w:val="none"/>
              </w:rPr>
            </w:pPr>
          </w:p>
        </w:tc>
        <w:tc>
          <w:tcPr>
            <w:tcW w:w="1201" w:type="dxa"/>
          </w:tcPr>
          <w:p>
            <w:pPr>
              <w:pStyle w:val="14"/>
              <w:rPr>
                <w:color w:val="auto"/>
                <w:highlight w:val="none"/>
              </w:rPr>
            </w:pPr>
          </w:p>
        </w:tc>
        <w:tc>
          <w:tcPr>
            <w:tcW w:w="846" w:type="dxa"/>
          </w:tcPr>
          <w:p>
            <w:pPr>
              <w:pStyle w:val="14"/>
              <w:rPr>
                <w:color w:val="auto"/>
                <w:highlight w:val="none"/>
              </w:rPr>
            </w:pPr>
          </w:p>
        </w:tc>
        <w:tc>
          <w:tcPr>
            <w:tcW w:w="916" w:type="dxa"/>
          </w:tcPr>
          <w:p>
            <w:pPr>
              <w:pStyle w:val="14"/>
              <w:rPr>
                <w:color w:val="auto"/>
                <w:highlight w:val="none"/>
              </w:rPr>
            </w:pPr>
          </w:p>
        </w:tc>
        <w:tc>
          <w:tcPr>
            <w:tcW w:w="1142" w:type="dxa"/>
          </w:tcPr>
          <w:p>
            <w:pPr>
              <w:pStyle w:val="14"/>
              <w:rPr>
                <w:color w:val="auto"/>
                <w:highlight w:val="none"/>
              </w:rPr>
            </w:pPr>
          </w:p>
        </w:tc>
        <w:tc>
          <w:tcPr>
            <w:tcW w:w="1142" w:type="dxa"/>
          </w:tcPr>
          <w:p>
            <w:pPr>
              <w:pStyle w:val="14"/>
              <w:rPr>
                <w:color w:val="auto"/>
                <w:highlight w:val="none"/>
              </w:rPr>
            </w:pPr>
          </w:p>
        </w:tc>
        <w:tc>
          <w:tcPr>
            <w:tcW w:w="2777" w:type="dxa"/>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tcPr>
          <w:p>
            <w:pPr>
              <w:pStyle w:val="14"/>
              <w:rPr>
                <w:color w:val="auto"/>
                <w:highlight w:val="none"/>
              </w:rPr>
            </w:pPr>
          </w:p>
        </w:tc>
        <w:tc>
          <w:tcPr>
            <w:tcW w:w="930" w:type="dxa"/>
          </w:tcPr>
          <w:p>
            <w:pPr>
              <w:pStyle w:val="14"/>
              <w:rPr>
                <w:color w:val="auto"/>
                <w:highlight w:val="none"/>
              </w:rPr>
            </w:pPr>
          </w:p>
        </w:tc>
        <w:tc>
          <w:tcPr>
            <w:tcW w:w="931" w:type="dxa"/>
          </w:tcPr>
          <w:p>
            <w:pPr>
              <w:pStyle w:val="14"/>
              <w:rPr>
                <w:color w:val="auto"/>
                <w:highlight w:val="none"/>
              </w:rPr>
            </w:pPr>
          </w:p>
        </w:tc>
        <w:tc>
          <w:tcPr>
            <w:tcW w:w="900" w:type="dxa"/>
          </w:tcPr>
          <w:p>
            <w:pPr>
              <w:pStyle w:val="14"/>
              <w:rPr>
                <w:color w:val="auto"/>
                <w:highlight w:val="none"/>
              </w:rPr>
            </w:pPr>
          </w:p>
        </w:tc>
        <w:tc>
          <w:tcPr>
            <w:tcW w:w="1065" w:type="dxa"/>
          </w:tcPr>
          <w:p>
            <w:pPr>
              <w:pStyle w:val="14"/>
              <w:rPr>
                <w:color w:val="auto"/>
                <w:highlight w:val="none"/>
              </w:rPr>
            </w:pPr>
          </w:p>
        </w:tc>
        <w:tc>
          <w:tcPr>
            <w:tcW w:w="854" w:type="dxa"/>
          </w:tcPr>
          <w:p>
            <w:pPr>
              <w:pStyle w:val="14"/>
              <w:rPr>
                <w:color w:val="auto"/>
                <w:highlight w:val="none"/>
              </w:rPr>
            </w:pPr>
          </w:p>
        </w:tc>
        <w:tc>
          <w:tcPr>
            <w:tcW w:w="1201" w:type="dxa"/>
          </w:tcPr>
          <w:p>
            <w:pPr>
              <w:pStyle w:val="14"/>
              <w:rPr>
                <w:color w:val="auto"/>
                <w:highlight w:val="none"/>
              </w:rPr>
            </w:pPr>
          </w:p>
        </w:tc>
        <w:tc>
          <w:tcPr>
            <w:tcW w:w="846" w:type="dxa"/>
          </w:tcPr>
          <w:p>
            <w:pPr>
              <w:pStyle w:val="14"/>
              <w:rPr>
                <w:color w:val="auto"/>
                <w:highlight w:val="none"/>
              </w:rPr>
            </w:pPr>
          </w:p>
        </w:tc>
        <w:tc>
          <w:tcPr>
            <w:tcW w:w="916" w:type="dxa"/>
          </w:tcPr>
          <w:p>
            <w:pPr>
              <w:pStyle w:val="14"/>
              <w:rPr>
                <w:color w:val="auto"/>
                <w:highlight w:val="none"/>
              </w:rPr>
            </w:pPr>
          </w:p>
        </w:tc>
        <w:tc>
          <w:tcPr>
            <w:tcW w:w="1142" w:type="dxa"/>
          </w:tcPr>
          <w:p>
            <w:pPr>
              <w:pStyle w:val="14"/>
              <w:rPr>
                <w:color w:val="auto"/>
                <w:highlight w:val="none"/>
              </w:rPr>
            </w:pPr>
          </w:p>
        </w:tc>
        <w:tc>
          <w:tcPr>
            <w:tcW w:w="1142" w:type="dxa"/>
          </w:tcPr>
          <w:p>
            <w:pPr>
              <w:pStyle w:val="14"/>
              <w:rPr>
                <w:color w:val="auto"/>
                <w:highlight w:val="none"/>
              </w:rPr>
            </w:pPr>
          </w:p>
        </w:tc>
        <w:tc>
          <w:tcPr>
            <w:tcW w:w="2777" w:type="dxa"/>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tcPr>
          <w:p>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tcPr>
          <w:p>
            <w:pPr>
              <w:pStyle w:val="14"/>
              <w:rPr>
                <w:color w:val="auto"/>
                <w:highlight w:val="none"/>
              </w:rPr>
            </w:pPr>
          </w:p>
        </w:tc>
        <w:tc>
          <w:tcPr>
            <w:tcW w:w="930" w:type="dxa"/>
          </w:tcPr>
          <w:p>
            <w:pPr>
              <w:pStyle w:val="14"/>
              <w:rPr>
                <w:color w:val="auto"/>
                <w:highlight w:val="none"/>
              </w:rPr>
            </w:pPr>
          </w:p>
        </w:tc>
        <w:tc>
          <w:tcPr>
            <w:tcW w:w="931" w:type="dxa"/>
          </w:tcPr>
          <w:p>
            <w:pPr>
              <w:pStyle w:val="14"/>
              <w:rPr>
                <w:color w:val="auto"/>
                <w:highlight w:val="none"/>
              </w:rPr>
            </w:pPr>
          </w:p>
        </w:tc>
        <w:tc>
          <w:tcPr>
            <w:tcW w:w="900" w:type="dxa"/>
          </w:tcPr>
          <w:p>
            <w:pPr>
              <w:pStyle w:val="14"/>
              <w:rPr>
                <w:color w:val="auto"/>
                <w:highlight w:val="none"/>
              </w:rPr>
            </w:pPr>
          </w:p>
        </w:tc>
        <w:tc>
          <w:tcPr>
            <w:tcW w:w="1065" w:type="dxa"/>
          </w:tcPr>
          <w:p>
            <w:pPr>
              <w:pStyle w:val="14"/>
              <w:rPr>
                <w:color w:val="auto"/>
                <w:highlight w:val="none"/>
              </w:rPr>
            </w:pPr>
          </w:p>
        </w:tc>
        <w:tc>
          <w:tcPr>
            <w:tcW w:w="854" w:type="dxa"/>
          </w:tcPr>
          <w:p>
            <w:pPr>
              <w:pStyle w:val="14"/>
              <w:rPr>
                <w:color w:val="auto"/>
                <w:highlight w:val="none"/>
              </w:rPr>
            </w:pPr>
          </w:p>
        </w:tc>
        <w:tc>
          <w:tcPr>
            <w:tcW w:w="1201" w:type="dxa"/>
          </w:tcPr>
          <w:p>
            <w:pPr>
              <w:pStyle w:val="14"/>
              <w:rPr>
                <w:color w:val="auto"/>
                <w:highlight w:val="none"/>
              </w:rPr>
            </w:pPr>
          </w:p>
        </w:tc>
        <w:tc>
          <w:tcPr>
            <w:tcW w:w="846" w:type="dxa"/>
          </w:tcPr>
          <w:p>
            <w:pPr>
              <w:pStyle w:val="14"/>
              <w:rPr>
                <w:color w:val="auto"/>
                <w:highlight w:val="none"/>
              </w:rPr>
            </w:pPr>
          </w:p>
        </w:tc>
        <w:tc>
          <w:tcPr>
            <w:tcW w:w="916" w:type="dxa"/>
          </w:tcPr>
          <w:p>
            <w:pPr>
              <w:pStyle w:val="14"/>
              <w:rPr>
                <w:color w:val="auto"/>
                <w:highlight w:val="none"/>
              </w:rPr>
            </w:pPr>
          </w:p>
        </w:tc>
        <w:tc>
          <w:tcPr>
            <w:tcW w:w="1142" w:type="dxa"/>
          </w:tcPr>
          <w:p>
            <w:pPr>
              <w:pStyle w:val="14"/>
              <w:rPr>
                <w:color w:val="auto"/>
                <w:highlight w:val="none"/>
              </w:rPr>
            </w:pPr>
          </w:p>
        </w:tc>
        <w:tc>
          <w:tcPr>
            <w:tcW w:w="1142" w:type="dxa"/>
          </w:tcPr>
          <w:p>
            <w:pPr>
              <w:pStyle w:val="14"/>
              <w:rPr>
                <w:color w:val="auto"/>
                <w:highlight w:val="none"/>
              </w:rPr>
            </w:pPr>
          </w:p>
        </w:tc>
        <w:tc>
          <w:tcPr>
            <w:tcW w:w="2777" w:type="dxa"/>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tcPr>
          <w:p>
            <w:pPr>
              <w:pStyle w:val="14"/>
              <w:rPr>
                <w:color w:val="auto"/>
                <w:highlight w:val="none"/>
              </w:rPr>
            </w:pPr>
          </w:p>
        </w:tc>
        <w:tc>
          <w:tcPr>
            <w:tcW w:w="831" w:type="dxa"/>
          </w:tcPr>
          <w:p>
            <w:pPr>
              <w:pStyle w:val="14"/>
              <w:rPr>
                <w:color w:val="auto"/>
                <w:highlight w:val="none"/>
              </w:rPr>
            </w:pPr>
          </w:p>
        </w:tc>
        <w:tc>
          <w:tcPr>
            <w:tcW w:w="930" w:type="dxa"/>
          </w:tcPr>
          <w:p>
            <w:pPr>
              <w:pStyle w:val="14"/>
              <w:rPr>
                <w:color w:val="auto"/>
                <w:highlight w:val="none"/>
              </w:rPr>
            </w:pPr>
          </w:p>
        </w:tc>
        <w:tc>
          <w:tcPr>
            <w:tcW w:w="931" w:type="dxa"/>
          </w:tcPr>
          <w:p>
            <w:pPr>
              <w:pStyle w:val="14"/>
              <w:rPr>
                <w:color w:val="auto"/>
                <w:highlight w:val="none"/>
              </w:rPr>
            </w:pPr>
          </w:p>
        </w:tc>
        <w:tc>
          <w:tcPr>
            <w:tcW w:w="900" w:type="dxa"/>
          </w:tcPr>
          <w:p>
            <w:pPr>
              <w:pStyle w:val="14"/>
              <w:rPr>
                <w:color w:val="auto"/>
                <w:highlight w:val="none"/>
              </w:rPr>
            </w:pPr>
          </w:p>
        </w:tc>
        <w:tc>
          <w:tcPr>
            <w:tcW w:w="1065" w:type="dxa"/>
          </w:tcPr>
          <w:p>
            <w:pPr>
              <w:pStyle w:val="14"/>
              <w:rPr>
                <w:color w:val="auto"/>
                <w:highlight w:val="none"/>
              </w:rPr>
            </w:pPr>
          </w:p>
        </w:tc>
        <w:tc>
          <w:tcPr>
            <w:tcW w:w="854" w:type="dxa"/>
          </w:tcPr>
          <w:p>
            <w:pPr>
              <w:pStyle w:val="14"/>
              <w:rPr>
                <w:color w:val="auto"/>
                <w:highlight w:val="none"/>
              </w:rPr>
            </w:pPr>
          </w:p>
        </w:tc>
        <w:tc>
          <w:tcPr>
            <w:tcW w:w="1201" w:type="dxa"/>
          </w:tcPr>
          <w:p>
            <w:pPr>
              <w:pStyle w:val="14"/>
              <w:rPr>
                <w:color w:val="auto"/>
                <w:highlight w:val="none"/>
              </w:rPr>
            </w:pPr>
          </w:p>
        </w:tc>
        <w:tc>
          <w:tcPr>
            <w:tcW w:w="846" w:type="dxa"/>
          </w:tcPr>
          <w:p>
            <w:pPr>
              <w:pStyle w:val="14"/>
              <w:rPr>
                <w:color w:val="auto"/>
                <w:highlight w:val="none"/>
              </w:rPr>
            </w:pPr>
          </w:p>
        </w:tc>
        <w:tc>
          <w:tcPr>
            <w:tcW w:w="916" w:type="dxa"/>
          </w:tcPr>
          <w:p>
            <w:pPr>
              <w:pStyle w:val="14"/>
              <w:rPr>
                <w:color w:val="auto"/>
                <w:highlight w:val="none"/>
              </w:rPr>
            </w:pPr>
          </w:p>
        </w:tc>
        <w:tc>
          <w:tcPr>
            <w:tcW w:w="1142" w:type="dxa"/>
          </w:tcPr>
          <w:p>
            <w:pPr>
              <w:pStyle w:val="14"/>
              <w:rPr>
                <w:color w:val="auto"/>
                <w:highlight w:val="none"/>
              </w:rPr>
            </w:pPr>
          </w:p>
        </w:tc>
        <w:tc>
          <w:tcPr>
            <w:tcW w:w="1142" w:type="dxa"/>
          </w:tcPr>
          <w:p>
            <w:pPr>
              <w:pStyle w:val="14"/>
              <w:rPr>
                <w:color w:val="auto"/>
                <w:highlight w:val="none"/>
              </w:rPr>
            </w:pPr>
          </w:p>
        </w:tc>
        <w:tc>
          <w:tcPr>
            <w:tcW w:w="2777" w:type="dxa"/>
          </w:tcPr>
          <w:p>
            <w:pPr>
              <w:pStyle w:val="14"/>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tcPr>
          <w:p>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tcPr>
          <w:p>
            <w:pPr>
              <w:pStyle w:val="14"/>
              <w:rPr>
                <w:color w:val="auto"/>
                <w:highlight w:val="none"/>
              </w:rPr>
            </w:pPr>
          </w:p>
        </w:tc>
        <w:tc>
          <w:tcPr>
            <w:tcW w:w="930" w:type="dxa"/>
          </w:tcPr>
          <w:p>
            <w:pPr>
              <w:pStyle w:val="14"/>
              <w:rPr>
                <w:color w:val="auto"/>
                <w:highlight w:val="none"/>
              </w:rPr>
            </w:pPr>
          </w:p>
        </w:tc>
        <w:tc>
          <w:tcPr>
            <w:tcW w:w="931" w:type="dxa"/>
          </w:tcPr>
          <w:p>
            <w:pPr>
              <w:pStyle w:val="14"/>
              <w:rPr>
                <w:color w:val="auto"/>
                <w:highlight w:val="none"/>
              </w:rPr>
            </w:pPr>
          </w:p>
        </w:tc>
        <w:tc>
          <w:tcPr>
            <w:tcW w:w="900" w:type="dxa"/>
          </w:tcPr>
          <w:p>
            <w:pPr>
              <w:pStyle w:val="14"/>
              <w:rPr>
                <w:color w:val="auto"/>
                <w:highlight w:val="none"/>
              </w:rPr>
            </w:pPr>
          </w:p>
        </w:tc>
        <w:tc>
          <w:tcPr>
            <w:tcW w:w="1065" w:type="dxa"/>
          </w:tcPr>
          <w:p>
            <w:pPr>
              <w:pStyle w:val="14"/>
              <w:rPr>
                <w:color w:val="auto"/>
                <w:highlight w:val="none"/>
              </w:rPr>
            </w:pPr>
          </w:p>
        </w:tc>
        <w:tc>
          <w:tcPr>
            <w:tcW w:w="854" w:type="dxa"/>
          </w:tcPr>
          <w:p>
            <w:pPr>
              <w:pStyle w:val="14"/>
              <w:rPr>
                <w:color w:val="auto"/>
                <w:highlight w:val="none"/>
              </w:rPr>
            </w:pPr>
          </w:p>
        </w:tc>
        <w:tc>
          <w:tcPr>
            <w:tcW w:w="1201" w:type="dxa"/>
          </w:tcPr>
          <w:p>
            <w:pPr>
              <w:pStyle w:val="14"/>
              <w:rPr>
                <w:color w:val="auto"/>
                <w:highlight w:val="none"/>
              </w:rPr>
            </w:pPr>
          </w:p>
        </w:tc>
        <w:tc>
          <w:tcPr>
            <w:tcW w:w="846" w:type="dxa"/>
          </w:tcPr>
          <w:p>
            <w:pPr>
              <w:pStyle w:val="14"/>
              <w:rPr>
                <w:color w:val="auto"/>
                <w:highlight w:val="none"/>
              </w:rPr>
            </w:pPr>
          </w:p>
        </w:tc>
        <w:tc>
          <w:tcPr>
            <w:tcW w:w="916" w:type="dxa"/>
          </w:tcPr>
          <w:p>
            <w:pPr>
              <w:pStyle w:val="14"/>
              <w:rPr>
                <w:color w:val="auto"/>
                <w:highlight w:val="none"/>
              </w:rPr>
            </w:pPr>
          </w:p>
        </w:tc>
        <w:tc>
          <w:tcPr>
            <w:tcW w:w="1142" w:type="dxa"/>
          </w:tcPr>
          <w:p>
            <w:pPr>
              <w:pStyle w:val="14"/>
              <w:rPr>
                <w:color w:val="auto"/>
                <w:highlight w:val="none"/>
              </w:rPr>
            </w:pPr>
          </w:p>
        </w:tc>
        <w:tc>
          <w:tcPr>
            <w:tcW w:w="1142" w:type="dxa"/>
          </w:tcPr>
          <w:p>
            <w:pPr>
              <w:pStyle w:val="14"/>
              <w:rPr>
                <w:color w:val="auto"/>
                <w:highlight w:val="none"/>
              </w:rPr>
            </w:pPr>
          </w:p>
        </w:tc>
        <w:tc>
          <w:tcPr>
            <w:tcW w:w="2777" w:type="dxa"/>
          </w:tcPr>
          <w:p>
            <w:pPr>
              <w:pStyle w:val="14"/>
              <w:rPr>
                <w:color w:val="auto"/>
                <w:highlight w:val="none"/>
              </w:rPr>
            </w:pPr>
          </w:p>
        </w:tc>
      </w:tr>
    </w:tbl>
    <w:p>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Times New Roman" w:hAnsi="Times New Roman" w:cs="Times New Roman"/>
          <w:b/>
          <w:bCs/>
          <w:color w:val="auto"/>
          <w:sz w:val="40"/>
          <w:szCs w:val="40"/>
          <w:highlight w:val="none"/>
          <w:lang w:val="en-US" w:eastAsia="zh-CN"/>
        </w:rPr>
        <w:t>附件六</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甲方项目章样式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(签订合同时上传）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yellow"/>
          <w:u w:val="none"/>
          <w:lang w:val="en-US" w:eastAsia="zh-CN"/>
        </w:rPr>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pPr>
        <w:jc w:val="right"/>
        <w:rPr>
          <w:rFonts w:hint="eastAsia" w:eastAsia="宋体"/>
          <w:color w:val="auto"/>
          <w:sz w:val="36"/>
          <w:szCs w:val="36"/>
          <w:highlight w:val="yellow"/>
          <w:lang w:val="en-US" w:eastAsia="zh-CN"/>
        </w:rPr>
      </w:pPr>
      <w:r>
        <w:rPr>
          <w:rFonts w:hint="eastAsia"/>
          <w:color w:val="auto"/>
          <w:sz w:val="36"/>
          <w:szCs w:val="36"/>
          <w:highlight w:val="yellow"/>
          <w:lang w:val="en-US" w:eastAsia="zh-CN"/>
        </w:rPr>
        <w:t>附件七</w:t>
      </w:r>
    </w:p>
    <w:p>
      <w:pPr>
        <w:jc w:val="center"/>
        <w:rPr>
          <w:color w:val="auto"/>
        </w:rPr>
      </w:pPr>
      <w:r>
        <w:rPr>
          <w:color w:val="auto"/>
          <w:sz w:val="44"/>
        </w:rPr>
        <mc:AlternateContent>
          <mc:Choice Requires="wps">
            <w:drawing>
              <wp:anchor distT="0" distB="0" distL="0" distR="0" simplePos="0" relativeHeight="251659264" behindDoc="0" locked="0" layoutInCell="1" allowOverlap="1">
                <wp:simplePos x="0" y="0"/>
                <wp:positionH relativeFrom="column">
                  <wp:posOffset>8208645</wp:posOffset>
                </wp:positionH>
                <wp:positionV relativeFrom="paragraph">
                  <wp:posOffset>406400</wp:posOffset>
                </wp:positionV>
                <wp:extent cx="1208405" cy="360045"/>
                <wp:effectExtent l="0" t="0" r="0" b="0"/>
                <wp:wrapNone/>
                <wp:docPr id="1028" name="文本框 5"/>
                <wp:cNvGraphicFramePr/>
                <a:graphic xmlns:a="http://schemas.openxmlformats.org/drawingml/2006/main">
                  <a:graphicData uri="http://schemas.microsoft.com/office/word/2010/wordprocessingShape">
                    <wps:wsp>
                      <wps:cNvSpPr/>
                      <wps:spPr>
                        <a:xfrm>
                          <a:off x="0" y="0"/>
                          <a:ext cx="1208405" cy="360045"/>
                        </a:xfrm>
                        <a:prstGeom prst="rect">
                          <a:avLst/>
                        </a:prstGeom>
                        <a:ln>
                          <a:noFill/>
                        </a:ln>
                      </wps:spPr>
                      <wps:txbx>
                        <w:txbxContent>
                          <w:p>
                            <w:pPr>
                              <w:rPr>
                                <w:b/>
                                <w:bCs/>
                                <w:sz w:val="30"/>
                                <w:szCs w:val="30"/>
                              </w:rPr>
                            </w:pPr>
                            <w:r>
                              <w:rPr>
                                <w:rFonts w:hint="eastAsia"/>
                                <w:b/>
                                <w:bCs/>
                                <w:sz w:val="30"/>
                                <w:szCs w:val="30"/>
                              </w:rPr>
                              <w:t>No.0000001</w:t>
                            </w:r>
                          </w:p>
                        </w:txbxContent>
                      </wps:txbx>
                      <wps:bodyPr vert="horz" wrap="square" lIns="91440" tIns="45720" rIns="91440" bIns="45720" anchor="t">
                        <a:noAutofit/>
                      </wps:bodyPr>
                    </wps:wsp>
                  </a:graphicData>
                </a:graphic>
              </wp:anchor>
            </w:drawing>
          </mc:Choice>
          <mc:Fallback>
            <w:pict>
              <v:rect id="文本框 5" o:spid="_x0000_s1026" o:spt="1" style="position:absolute;left:0pt;margin-left:646.35pt;margin-top:32pt;height:28.35pt;width:95.15pt;z-index:251659264;mso-width-relative:page;mso-height-relative:page;" filled="f" stroked="f" coordsize="21600,21600" o:gfxdata="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GBQT/2wAAAAwBAAAPAAAA&#10;AAAAAAEAIAAAACIAAABkcnMvZG93bnJldi54bWxQSwECFAAUAAAACACHTuJA4n0LzNkBAACjAwAA&#10;DgAAAAAAAAABACAAAAAqAQAAZHJzL2Uyb0RvYy54bWxQSwUGAAAAAAYABgBZAQAAdQUAAAAA&#10;">
                <v:fill on="f" focussize="0,0"/>
                <v:stroke on="f"/>
                <v:imagedata o:title=""/>
                <o:lock v:ext="edit" aspectratio="f"/>
                <v:textbox>
                  <w:txbxContent>
                    <w:p>
                      <w:pPr>
                        <w:rPr>
                          <w:b/>
                          <w:bCs/>
                          <w:sz w:val="30"/>
                          <w:szCs w:val="30"/>
                        </w:rPr>
                      </w:pPr>
                      <w:r>
                        <w:rPr>
                          <w:rFonts w:hint="eastAsia"/>
                          <w:b/>
                          <w:bCs/>
                          <w:sz w:val="30"/>
                          <w:szCs w:val="30"/>
                        </w:rPr>
                        <w:t>No.0000001</w:t>
                      </w:r>
                    </w:p>
                  </w:txbxContent>
                </v:textbox>
              </v:rect>
            </w:pict>
          </mc:Fallback>
        </mc:AlternateContent>
      </w:r>
      <w:r>
        <w:rPr>
          <w:rFonts w:hint="eastAsia"/>
          <w:color w:val="auto"/>
          <w:sz w:val="44"/>
          <w:szCs w:val="44"/>
        </w:rPr>
        <w:drawing>
          <wp:inline distT="0" distB="0" distL="0" distR="0">
            <wp:extent cx="5977255" cy="673735"/>
            <wp:effectExtent l="0" t="0" r="4445" b="12065"/>
            <wp:docPr id="1029" name="图片 6" descr="LOGO-1"/>
            <wp:cNvGraphicFramePr/>
            <a:graphic xmlns:a="http://schemas.openxmlformats.org/drawingml/2006/main">
              <a:graphicData uri="http://schemas.openxmlformats.org/drawingml/2006/picture">
                <pic:pic xmlns:pic="http://schemas.openxmlformats.org/drawingml/2006/picture">
                  <pic:nvPicPr>
                    <pic:cNvPr id="1029" name="图片 6" descr="LOGO-1"/>
                    <pic:cNvPicPr/>
                  </pic:nvPicPr>
                  <pic:blipFill>
                    <a:blip r:embed="rId8" cstate="print">
                      <a:clrChange>
                        <a:clrFrom>
                          <a:srgbClr val="FFFFFF"/>
                        </a:clrFrom>
                        <a:clrTo>
                          <a:srgbClr val="FFFFFF">
                            <a:alpha val="0"/>
                          </a:srgbClr>
                        </a:clrTo>
                      </a:clrChange>
                    </a:blip>
                    <a:srcRect/>
                    <a:stretch>
                      <a:fillRect/>
                    </a:stretch>
                  </pic:blipFill>
                  <pic:spPr>
                    <a:xfrm>
                      <a:off x="0" y="0"/>
                      <a:ext cx="5977255" cy="673735"/>
                    </a:xfrm>
                    <a:prstGeom prst="rect">
                      <a:avLst/>
                    </a:prstGeom>
                  </pic:spPr>
                </pic:pic>
              </a:graphicData>
            </a:graphic>
          </wp:inline>
        </w:drawing>
      </w:r>
    </w:p>
    <w:p>
      <w:pPr>
        <w:spacing w:line="480" w:lineRule="exact"/>
        <w:jc w:val="center"/>
        <w:rPr>
          <w:color w:val="auto"/>
          <w:sz w:val="36"/>
          <w:szCs w:val="36"/>
        </w:rPr>
      </w:pPr>
      <w:r>
        <w:rPr>
          <w:rFonts w:hint="eastAsia"/>
          <w:color w:val="auto"/>
          <w:sz w:val="36"/>
          <w:szCs w:val="36"/>
        </w:rPr>
        <w:t>物 料 申 购 单</w:t>
      </w:r>
    </w:p>
    <w:p>
      <w:pPr>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日 期 ：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pPr>
              <w:jc w:val="center"/>
              <w:rPr>
                <w:rFonts w:eastAsia="宋体"/>
                <w:color w:val="auto"/>
              </w:rPr>
            </w:pPr>
            <w:r>
              <w:rPr>
                <w:rFonts w:hint="eastAsia"/>
                <w:color w:val="auto"/>
              </w:rPr>
              <w:t>序号</w:t>
            </w:r>
          </w:p>
        </w:tc>
        <w:tc>
          <w:tcPr>
            <w:tcW w:w="2603" w:type="dxa"/>
            <w:vAlign w:val="center"/>
          </w:tcPr>
          <w:p>
            <w:pPr>
              <w:jc w:val="center"/>
              <w:rPr>
                <w:color w:val="auto"/>
              </w:rPr>
            </w:pPr>
            <w:r>
              <w:rPr>
                <w:rFonts w:hint="eastAsia"/>
                <w:color w:val="auto"/>
              </w:rPr>
              <w:t>材料名称/规格</w:t>
            </w:r>
          </w:p>
        </w:tc>
        <w:tc>
          <w:tcPr>
            <w:tcW w:w="1560" w:type="dxa"/>
            <w:vAlign w:val="center"/>
          </w:tcPr>
          <w:p>
            <w:pPr>
              <w:jc w:val="center"/>
              <w:rPr>
                <w:color w:val="auto"/>
              </w:rPr>
            </w:pPr>
            <w:r>
              <w:rPr>
                <w:rFonts w:hint="eastAsia"/>
                <w:color w:val="auto"/>
              </w:rPr>
              <w:t>数量/单位</w:t>
            </w:r>
          </w:p>
        </w:tc>
        <w:tc>
          <w:tcPr>
            <w:tcW w:w="1335" w:type="dxa"/>
            <w:vAlign w:val="center"/>
          </w:tcPr>
          <w:p>
            <w:pPr>
              <w:jc w:val="center"/>
              <w:rPr>
                <w:color w:val="auto"/>
              </w:rPr>
            </w:pPr>
            <w:r>
              <w:rPr>
                <w:rFonts w:hint="eastAsia"/>
                <w:color w:val="auto"/>
              </w:rPr>
              <w:t>到货日期</w:t>
            </w:r>
          </w:p>
        </w:tc>
        <w:tc>
          <w:tcPr>
            <w:tcW w:w="1515" w:type="dxa"/>
            <w:vAlign w:val="center"/>
          </w:tcPr>
          <w:p>
            <w:pPr>
              <w:jc w:val="center"/>
              <w:rPr>
                <w:color w:val="auto"/>
              </w:rPr>
            </w:pPr>
            <w:r>
              <w:rPr>
                <w:rFonts w:hint="eastAsia"/>
                <w:color w:val="auto"/>
              </w:rPr>
              <w:t>质量要求</w:t>
            </w:r>
          </w:p>
        </w:tc>
        <w:tc>
          <w:tcPr>
            <w:tcW w:w="2174" w:type="dxa"/>
            <w:vAlign w:val="center"/>
          </w:tcPr>
          <w:p>
            <w:pPr>
              <w:jc w:val="center"/>
              <w:rPr>
                <w:color w:val="auto"/>
              </w:rPr>
            </w:pPr>
            <w:r>
              <w:rPr>
                <w:rFonts w:hint="eastAsia"/>
                <w:color w:val="auto"/>
              </w:rPr>
              <w:t>用途等备注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pPr>
              <w:jc w:val="center"/>
              <w:rPr>
                <w:rFonts w:hint="eastAsia" w:eastAsia="宋体"/>
                <w:color w:val="auto"/>
                <w:lang w:val="en-US" w:eastAsia="zh-CN"/>
              </w:rPr>
            </w:pPr>
            <w:r>
              <w:rPr>
                <w:rFonts w:hint="eastAsia"/>
                <w:color w:val="auto"/>
                <w:lang w:val="en-US" w:eastAsia="zh-CN"/>
              </w:rPr>
              <w:t>1</w:t>
            </w:r>
          </w:p>
        </w:tc>
        <w:tc>
          <w:tcPr>
            <w:tcW w:w="2603" w:type="dxa"/>
            <w:vAlign w:val="center"/>
          </w:tcPr>
          <w:p>
            <w:pPr>
              <w:tabs>
                <w:tab w:val="left" w:pos="910"/>
              </w:tabs>
              <w:jc w:val="center"/>
              <w:rPr>
                <w:rFonts w:hint="default" w:ascii="宋体" w:hAnsi="宋体" w:eastAsia="宋体" w:cs="宋体"/>
                <w:color w:val="auto"/>
                <w:kern w:val="2"/>
                <w:sz w:val="21"/>
                <w:szCs w:val="24"/>
                <w:lang w:val="en-US" w:eastAsia="zh-CN" w:bidi="ar-SA"/>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eastAsia="宋体"/>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restart"/>
            <w:vAlign w:val="center"/>
          </w:tcPr>
          <w:p>
            <w:pPr>
              <w:jc w:val="both"/>
              <w:rPr>
                <w:rFonts w:hint="default"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pPr>
              <w:jc w:val="center"/>
              <w:rPr>
                <w:rFonts w:hint="eastAsia" w:eastAsia="宋体"/>
                <w:color w:val="auto"/>
                <w:lang w:val="en-US" w:eastAsia="zh-CN"/>
              </w:rPr>
            </w:pPr>
            <w:r>
              <w:rPr>
                <w:rFonts w:hint="eastAsia"/>
                <w:color w:val="auto"/>
                <w:lang w:val="en-US" w:eastAsia="zh-CN"/>
              </w:rPr>
              <w:t>2</w:t>
            </w:r>
          </w:p>
        </w:tc>
        <w:tc>
          <w:tcPr>
            <w:tcW w:w="2603" w:type="dxa"/>
            <w:vAlign w:val="center"/>
          </w:tcPr>
          <w:p>
            <w:pPr>
              <w:jc w:val="center"/>
              <w:rPr>
                <w:rFonts w:hint="default" w:ascii="宋体" w:hAnsi="宋体" w:eastAsia="宋体" w:cs="宋体"/>
                <w:color w:val="auto"/>
                <w:kern w:val="2"/>
                <w:sz w:val="21"/>
                <w:szCs w:val="24"/>
                <w:lang w:val="en-US" w:eastAsia="zh-CN" w:bidi="ar-SA"/>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eastAsia="宋体"/>
                <w:color w:val="auto"/>
                <w:lang w:val="en-US" w:eastAsia="zh-CN"/>
              </w:rPr>
            </w:pPr>
          </w:p>
        </w:tc>
        <w:tc>
          <w:tcPr>
            <w:tcW w:w="1515" w:type="dxa"/>
            <w:vAlign w:val="center"/>
          </w:tcPr>
          <w:p>
            <w:pPr>
              <w:jc w:val="center"/>
              <w:rPr>
                <w:rFonts w:hint="eastAsia" w:eastAsia="宋体"/>
                <w:color w:val="auto"/>
                <w:lang w:eastAsia="zh-CN"/>
              </w:rPr>
            </w:pPr>
          </w:p>
        </w:tc>
        <w:tc>
          <w:tcPr>
            <w:tcW w:w="2174" w:type="dxa"/>
            <w:vMerge w:val="continue"/>
            <w:vAlign w:val="center"/>
          </w:tcPr>
          <w:p>
            <w:pPr>
              <w:jc w:val="center"/>
              <w:rPr>
                <w:rFonts w:hint="default"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pPr>
              <w:jc w:val="center"/>
              <w:rPr>
                <w:rFonts w:hint="eastAsia" w:eastAsia="宋体"/>
                <w:color w:val="auto"/>
                <w:lang w:val="en-US" w:eastAsia="zh-CN"/>
              </w:rPr>
            </w:pPr>
            <w:r>
              <w:rPr>
                <w:rFonts w:hint="eastAsia"/>
                <w:color w:val="auto"/>
                <w:lang w:val="en-US" w:eastAsia="zh-CN"/>
              </w:rPr>
              <w:t>3</w:t>
            </w:r>
          </w:p>
        </w:tc>
        <w:tc>
          <w:tcPr>
            <w:tcW w:w="2603" w:type="dxa"/>
            <w:vAlign w:val="center"/>
          </w:tcPr>
          <w:p>
            <w:pPr>
              <w:jc w:val="center"/>
              <w:rPr>
                <w:rFonts w:hint="default" w:ascii="宋体" w:hAnsi="宋体" w:eastAsia="宋体" w:cs="宋体"/>
                <w:color w:val="auto"/>
                <w:kern w:val="2"/>
                <w:sz w:val="21"/>
                <w:szCs w:val="24"/>
                <w:lang w:val="en-US" w:eastAsia="zh-CN" w:bidi="ar-SA"/>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eastAsia" w:eastAsia="宋体"/>
                <w:color w:val="auto"/>
                <w:lang w:val="en-US" w:eastAsia="zh-CN"/>
              </w:rPr>
            </w:pPr>
          </w:p>
        </w:tc>
        <w:tc>
          <w:tcPr>
            <w:tcW w:w="2174" w:type="dxa"/>
            <w:vMerge w:val="continue"/>
            <w:vAlign w:val="center"/>
          </w:tcPr>
          <w:p>
            <w:pPr>
              <w:jc w:val="center"/>
              <w:rPr>
                <w:rFonts w:hint="default"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pPr>
              <w:jc w:val="center"/>
              <w:rPr>
                <w:rFonts w:hint="eastAsia" w:eastAsia="宋体"/>
                <w:color w:val="auto"/>
                <w:lang w:val="en-US" w:eastAsia="zh-CN"/>
              </w:rPr>
            </w:pPr>
            <w:r>
              <w:rPr>
                <w:rFonts w:hint="eastAsia"/>
                <w:color w:val="auto"/>
                <w:lang w:val="en-US" w:eastAsia="zh-CN"/>
              </w:rPr>
              <w:t>4</w:t>
            </w:r>
          </w:p>
        </w:tc>
        <w:tc>
          <w:tcPr>
            <w:tcW w:w="2603" w:type="dxa"/>
            <w:vAlign w:val="center"/>
          </w:tcPr>
          <w:p>
            <w:pPr>
              <w:jc w:val="center"/>
              <w:rPr>
                <w:rFonts w:hint="default" w:ascii="宋体" w:hAnsi="宋体" w:eastAsia="宋体" w:cs="宋体"/>
                <w:color w:val="auto"/>
                <w:kern w:val="2"/>
                <w:sz w:val="21"/>
                <w:szCs w:val="24"/>
                <w:lang w:val="en-US" w:eastAsia="zh-CN" w:bidi="ar-SA"/>
              </w:rPr>
            </w:pPr>
          </w:p>
        </w:tc>
        <w:tc>
          <w:tcPr>
            <w:tcW w:w="1560" w:type="dxa"/>
            <w:vAlign w:val="center"/>
          </w:tcPr>
          <w:p>
            <w:pPr>
              <w:jc w:val="center"/>
              <w:rPr>
                <w:rFonts w:hint="default" w:ascii="Calibri" w:hAnsi="Calibri" w:eastAsia="宋体" w:cs="宋体"/>
                <w:color w:val="auto"/>
                <w:kern w:val="2"/>
                <w:sz w:val="21"/>
                <w:szCs w:val="24"/>
                <w:lang w:val="en-US" w:eastAsia="zh-CN" w:bidi="ar-SA"/>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eastAsia" w:eastAsia="宋体"/>
                <w:color w:val="auto"/>
                <w:lang w:eastAsia="zh-CN"/>
              </w:rPr>
            </w:pPr>
          </w:p>
        </w:tc>
        <w:tc>
          <w:tcPr>
            <w:tcW w:w="2174" w:type="dxa"/>
            <w:vMerge w:val="continue"/>
            <w:vAlign w:val="center"/>
          </w:tcPr>
          <w:p>
            <w:pPr>
              <w:jc w:val="center"/>
              <w:rPr>
                <w:rFonts w:hint="default"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pPr>
              <w:jc w:val="center"/>
              <w:rPr>
                <w:rFonts w:hint="default"/>
                <w:color w:val="auto"/>
                <w:lang w:val="en-US" w:eastAsia="zh-CN"/>
              </w:rPr>
            </w:pPr>
            <w:r>
              <w:rPr>
                <w:rFonts w:hint="eastAsia"/>
                <w:color w:val="auto"/>
                <w:lang w:val="en-US" w:eastAsia="zh-CN"/>
              </w:rPr>
              <w:t>5</w:t>
            </w:r>
          </w:p>
        </w:tc>
        <w:tc>
          <w:tcPr>
            <w:tcW w:w="2603" w:type="dxa"/>
            <w:vAlign w:val="center"/>
          </w:tcPr>
          <w:p>
            <w:pPr>
              <w:jc w:val="center"/>
              <w:rPr>
                <w:rFonts w:hint="default" w:ascii="Calibri" w:hAnsi="Calibri" w:eastAsia="宋体" w:cs="Calibri"/>
                <w:color w:val="auto"/>
                <w:kern w:val="2"/>
                <w:sz w:val="21"/>
                <w:szCs w:val="24"/>
                <w:lang w:val="en-US" w:eastAsia="zh-CN" w:bidi="ar-SA"/>
              </w:rPr>
            </w:pPr>
          </w:p>
        </w:tc>
        <w:tc>
          <w:tcPr>
            <w:tcW w:w="1560" w:type="dxa"/>
            <w:vAlign w:val="center"/>
          </w:tcPr>
          <w:p>
            <w:pPr>
              <w:jc w:val="center"/>
              <w:rPr>
                <w:rFonts w:hint="eastAsia" w:ascii="Calibri" w:hAnsi="Calibri" w:eastAsia="宋体" w:cs="宋体"/>
                <w:color w:val="auto"/>
                <w:kern w:val="2"/>
                <w:sz w:val="21"/>
                <w:szCs w:val="24"/>
                <w:lang w:val="en-US" w:eastAsia="zh-CN" w:bidi="ar-SA"/>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pPr>
              <w:jc w:val="center"/>
              <w:rPr>
                <w:rFonts w:hint="default"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pPr>
              <w:jc w:val="center"/>
              <w:rPr>
                <w:rFonts w:hint="default" w:eastAsia="宋体"/>
                <w:color w:val="auto"/>
                <w:lang w:val="en-US" w:eastAsia="zh-CN"/>
              </w:rPr>
            </w:pPr>
            <w:r>
              <w:rPr>
                <w:rFonts w:hint="eastAsia"/>
                <w:color w:val="auto"/>
                <w:lang w:val="en-US" w:eastAsia="zh-CN"/>
              </w:rPr>
              <w:t>6</w:t>
            </w:r>
          </w:p>
        </w:tc>
        <w:tc>
          <w:tcPr>
            <w:tcW w:w="2603" w:type="dxa"/>
            <w:vAlign w:val="center"/>
          </w:tcPr>
          <w:p>
            <w:pPr>
              <w:jc w:val="center"/>
              <w:rPr>
                <w:rFonts w:hint="default" w:ascii="宋体" w:hAnsi="宋体" w:eastAsia="宋体" w:cs="宋体"/>
                <w:color w:val="auto"/>
                <w:kern w:val="2"/>
                <w:sz w:val="21"/>
                <w:szCs w:val="24"/>
                <w:lang w:val="en-US" w:eastAsia="zh-CN" w:bidi="ar-SA"/>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eastAsia" w:ascii="Calibri" w:hAnsi="Calibri" w:eastAsia="宋体" w:cs="宋体"/>
                <w:color w:val="auto"/>
                <w:kern w:val="2"/>
                <w:sz w:val="21"/>
                <w:szCs w:val="24"/>
                <w:lang w:val="en-US" w:eastAsia="zh-CN" w:bidi="ar-SA"/>
              </w:rPr>
            </w:pPr>
          </w:p>
        </w:tc>
        <w:tc>
          <w:tcPr>
            <w:tcW w:w="1515" w:type="dxa"/>
            <w:vAlign w:val="center"/>
          </w:tcPr>
          <w:p>
            <w:pPr>
              <w:jc w:val="center"/>
              <w:rPr>
                <w:rFonts w:hint="eastAsia" w:eastAsia="宋体"/>
                <w:color w:val="auto"/>
                <w:lang w:eastAsia="zh-CN"/>
              </w:rPr>
            </w:pPr>
          </w:p>
        </w:tc>
        <w:tc>
          <w:tcPr>
            <w:tcW w:w="2174" w:type="dxa"/>
            <w:vMerge w:val="restart"/>
            <w:vAlign w:val="center"/>
          </w:tcPr>
          <w:p>
            <w:pPr>
              <w:jc w:val="cente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pPr>
              <w:jc w:val="center"/>
              <w:rPr>
                <w:rFonts w:hint="default"/>
                <w:color w:val="auto"/>
                <w:lang w:val="en-US" w:eastAsia="zh-CN"/>
              </w:rPr>
            </w:pPr>
            <w:r>
              <w:rPr>
                <w:rFonts w:hint="eastAsia"/>
                <w:color w:val="auto"/>
                <w:lang w:val="en-US" w:eastAsia="zh-CN"/>
              </w:rPr>
              <w:t>7</w:t>
            </w:r>
          </w:p>
        </w:tc>
        <w:tc>
          <w:tcPr>
            <w:tcW w:w="2603" w:type="dxa"/>
            <w:vAlign w:val="center"/>
          </w:tcPr>
          <w:p>
            <w:pPr>
              <w:jc w:val="center"/>
              <w:rPr>
                <w:rFonts w:hint="default" w:eastAsia="宋体"/>
                <w:color w:val="auto"/>
                <w:lang w:val="en-US" w:eastAsia="zh-CN"/>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pPr>
              <w:jc w:val="center"/>
              <w:rPr>
                <w:rFonts w:hint="default"/>
                <w:color w:val="auto"/>
                <w:lang w:val="en-US" w:eastAsia="zh-CN"/>
              </w:rPr>
            </w:pPr>
            <w:r>
              <w:rPr>
                <w:rFonts w:hint="eastAsia"/>
                <w:color w:val="auto"/>
                <w:lang w:val="en-US" w:eastAsia="zh-CN"/>
              </w:rPr>
              <w:t>8</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pPr>
              <w:jc w:val="center"/>
              <w:rPr>
                <w:rFonts w:hint="default"/>
                <w:color w:val="auto"/>
                <w:lang w:val="en-US" w:eastAsia="zh-CN"/>
              </w:rPr>
            </w:pPr>
            <w:r>
              <w:rPr>
                <w:rFonts w:hint="eastAsia"/>
                <w:color w:val="auto"/>
                <w:lang w:val="en-US" w:eastAsia="zh-CN"/>
              </w:rPr>
              <w:t>9</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ascii="Calibri" w:hAnsi="Calibri" w:eastAsia="宋体" w:cs="宋体"/>
                <w:color w:val="auto"/>
                <w:kern w:val="2"/>
                <w:sz w:val="21"/>
                <w:szCs w:val="24"/>
                <w:lang w:val="en-US" w:eastAsia="zh-CN" w:bidi="ar-SA"/>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jc w:val="center"/>
              <w:rPr>
                <w:rFonts w:hint="default"/>
                <w:color w:val="auto"/>
                <w:lang w:val="en-US" w:eastAsia="zh-CN"/>
              </w:rPr>
            </w:pPr>
            <w:r>
              <w:rPr>
                <w:rFonts w:hint="eastAsia"/>
                <w:color w:val="auto"/>
                <w:lang w:val="en-US" w:eastAsia="zh-CN"/>
              </w:rPr>
              <w:t>10</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eastAsia="宋体"/>
                <w:color w:val="auto"/>
                <w:lang w:val="en-US" w:eastAsia="zh-CN"/>
              </w:rPr>
            </w:pPr>
          </w:p>
        </w:tc>
        <w:tc>
          <w:tcPr>
            <w:tcW w:w="1335" w:type="dxa"/>
            <w:vAlign w:val="center"/>
          </w:tcPr>
          <w:p>
            <w:pPr>
              <w:jc w:val="center"/>
              <w:rPr>
                <w:rFonts w:hint="default" w:eastAsia="宋体"/>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pPr>
              <w:jc w:val="center"/>
              <w:rPr>
                <w:rFonts w:hint="default"/>
                <w:color w:val="auto"/>
                <w:lang w:val="en-US" w:eastAsia="zh-CN"/>
              </w:rPr>
            </w:pPr>
            <w:r>
              <w:rPr>
                <w:rFonts w:hint="eastAsia"/>
                <w:color w:val="auto"/>
                <w:lang w:val="en-US" w:eastAsia="zh-CN"/>
              </w:rPr>
              <w:t>11</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pPr>
              <w:jc w:val="center"/>
              <w:rPr>
                <w:rFonts w:hint="default"/>
                <w:color w:val="auto"/>
                <w:lang w:val="en-US" w:eastAsia="zh-CN"/>
              </w:rPr>
            </w:pPr>
            <w:r>
              <w:rPr>
                <w:rFonts w:hint="eastAsia"/>
                <w:color w:val="auto"/>
                <w:lang w:val="en-US" w:eastAsia="zh-CN"/>
              </w:rPr>
              <w:t>12</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pPr>
              <w:jc w:val="center"/>
              <w:rPr>
                <w:rFonts w:hint="default"/>
                <w:color w:val="auto"/>
                <w:lang w:val="en-US" w:eastAsia="zh-CN"/>
              </w:rPr>
            </w:pPr>
            <w:r>
              <w:rPr>
                <w:rFonts w:hint="eastAsia"/>
                <w:color w:val="auto"/>
                <w:lang w:val="en-US" w:eastAsia="zh-CN"/>
              </w:rPr>
              <w:t>13</w:t>
            </w:r>
          </w:p>
        </w:tc>
        <w:tc>
          <w:tcPr>
            <w:tcW w:w="2603" w:type="dxa"/>
            <w:vAlign w:val="center"/>
          </w:tcPr>
          <w:p>
            <w:pPr>
              <w:tabs>
                <w:tab w:val="left" w:pos="631"/>
              </w:tabs>
              <w:jc w:val="left"/>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pPr>
              <w:jc w:val="center"/>
              <w:rPr>
                <w:rFonts w:hint="default"/>
                <w:color w:val="auto"/>
                <w:lang w:val="en-US" w:eastAsia="zh-CN"/>
              </w:rPr>
            </w:pPr>
            <w:r>
              <w:rPr>
                <w:rFonts w:hint="eastAsia"/>
                <w:color w:val="auto"/>
                <w:lang w:val="en-US" w:eastAsia="zh-CN"/>
              </w:rPr>
              <w:t>14</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pPr>
              <w:jc w:val="center"/>
              <w:rPr>
                <w:rFonts w:hint="default"/>
                <w:color w:val="auto"/>
                <w:lang w:val="en-US" w:eastAsia="zh-CN"/>
              </w:rPr>
            </w:pPr>
            <w:r>
              <w:rPr>
                <w:rFonts w:hint="eastAsia"/>
                <w:color w:val="auto"/>
                <w:lang w:val="en-US" w:eastAsia="zh-CN"/>
              </w:rPr>
              <w:t>15</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pPr>
              <w:jc w:val="center"/>
              <w:rPr>
                <w:rFonts w:hint="default"/>
                <w:color w:val="auto"/>
                <w:lang w:val="en-US" w:eastAsia="zh-CN"/>
              </w:rPr>
            </w:pPr>
            <w:r>
              <w:rPr>
                <w:rFonts w:hint="eastAsia"/>
                <w:color w:val="auto"/>
                <w:lang w:val="en-US" w:eastAsia="zh-CN"/>
              </w:rPr>
              <w:t>16</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pPr>
              <w:jc w:val="center"/>
              <w:rPr>
                <w:rFonts w:hint="default"/>
                <w:color w:val="auto"/>
                <w:lang w:val="en-US" w:eastAsia="zh-CN"/>
              </w:rPr>
            </w:pPr>
            <w:r>
              <w:rPr>
                <w:rFonts w:hint="eastAsia"/>
                <w:color w:val="auto"/>
                <w:lang w:val="en-US" w:eastAsia="zh-CN"/>
              </w:rPr>
              <w:t>17</w:t>
            </w:r>
          </w:p>
        </w:tc>
        <w:tc>
          <w:tcPr>
            <w:tcW w:w="2603" w:type="dxa"/>
            <w:vAlign w:val="center"/>
          </w:tcPr>
          <w:p>
            <w:pPr>
              <w:jc w:val="center"/>
              <w:rPr>
                <w:rFonts w:hint="eastAsia" w:eastAsia="宋体"/>
                <w:color w:val="auto"/>
                <w:lang w:val="en-US" w:eastAsia="zh-CN"/>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pPr>
              <w:jc w:val="center"/>
              <w:rPr>
                <w:rFonts w:hint="default"/>
                <w:color w:val="auto"/>
                <w:lang w:val="en-US" w:eastAsia="zh-CN"/>
              </w:rPr>
            </w:pPr>
            <w:r>
              <w:rPr>
                <w:rFonts w:hint="eastAsia"/>
                <w:color w:val="auto"/>
                <w:lang w:val="en-US" w:eastAsia="zh-CN"/>
              </w:rPr>
              <w:t>18</w:t>
            </w:r>
          </w:p>
        </w:tc>
        <w:tc>
          <w:tcPr>
            <w:tcW w:w="2603" w:type="dxa"/>
            <w:vAlign w:val="center"/>
          </w:tcPr>
          <w:p>
            <w:pPr>
              <w:jc w:val="center"/>
              <w:rPr>
                <w:rFonts w:hint="default" w:ascii="Calibri" w:hAnsi="Calibri" w:cs="Calibri"/>
                <w:color w:val="auto"/>
                <w:kern w:val="2"/>
                <w:sz w:val="21"/>
                <w:szCs w:val="24"/>
                <w:lang w:val="en-US" w:eastAsia="zh-CN" w:bidi="ar-SA"/>
              </w:rPr>
            </w:pPr>
          </w:p>
        </w:tc>
        <w:tc>
          <w:tcPr>
            <w:tcW w:w="1560" w:type="dxa"/>
            <w:vAlign w:val="center"/>
          </w:tcPr>
          <w:p>
            <w:pPr>
              <w:jc w:val="center"/>
              <w:rPr>
                <w:rFonts w:hint="default"/>
                <w:color w:val="auto"/>
                <w:lang w:val="en-US" w:eastAsia="zh-CN"/>
              </w:rPr>
            </w:pPr>
          </w:p>
        </w:tc>
        <w:tc>
          <w:tcPr>
            <w:tcW w:w="1335" w:type="dxa"/>
            <w:vAlign w:val="center"/>
          </w:tcPr>
          <w:p>
            <w:pPr>
              <w:jc w:val="center"/>
              <w:rPr>
                <w:rFonts w:hint="default"/>
                <w:color w:val="auto"/>
                <w:lang w:val="en-US" w:eastAsia="zh-CN"/>
              </w:rPr>
            </w:pPr>
          </w:p>
        </w:tc>
        <w:tc>
          <w:tcPr>
            <w:tcW w:w="1515" w:type="dxa"/>
            <w:vAlign w:val="center"/>
          </w:tcPr>
          <w:p>
            <w:pPr>
              <w:jc w:val="center"/>
              <w:rPr>
                <w:rFonts w:hint="default" w:eastAsia="宋体"/>
                <w:color w:val="auto"/>
                <w:lang w:val="en-US" w:eastAsia="zh-CN"/>
              </w:rPr>
            </w:pPr>
          </w:p>
        </w:tc>
        <w:tc>
          <w:tcPr>
            <w:tcW w:w="2174" w:type="dxa"/>
            <w:vMerge w:val="continue"/>
            <w:vAlign w:val="center"/>
          </w:tcPr>
          <w:p>
            <w:pPr>
              <w:jc w:val="center"/>
              <w:rPr>
                <w:rFonts w:hint="eastAsia" w:eastAsia="宋体"/>
                <w:color w:val="auto"/>
                <w:lang w:eastAsia="zh-CN"/>
              </w:rPr>
            </w:pPr>
          </w:p>
        </w:tc>
      </w:tr>
    </w:tbl>
    <w:p>
      <w:pPr>
        <w:jc w:val="left"/>
        <w:rPr>
          <w:color w:val="auto"/>
        </w:rPr>
      </w:pPr>
      <w:r>
        <w:rPr>
          <w:color w:val="auto"/>
        </w:rPr>
        <mc:AlternateContent>
          <mc:Choice Requires="wps">
            <w:drawing>
              <wp:anchor distT="0" distB="0" distL="0" distR="0" simplePos="0" relativeHeight="251659264"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1030" name="文本框 7"/>
                <wp:cNvGraphicFramePr/>
                <a:graphic xmlns:a="http://schemas.openxmlformats.org/drawingml/2006/main">
                  <a:graphicData uri="http://schemas.microsoft.com/office/word/2010/wordprocessingShape">
                    <wps:wsp>
                      <wps:cNvSpPr/>
                      <wps:spPr>
                        <a:xfrm>
                          <a:off x="0" y="0"/>
                          <a:ext cx="351790" cy="4276725"/>
                        </a:xfrm>
                        <a:prstGeom prst="rect">
                          <a:avLst/>
                        </a:prstGeom>
                        <a:ln>
                          <a:noFill/>
                        </a:ln>
                      </wps:spPr>
                      <wps:txbx>
                        <w:txbxContent>
                          <w:p>
                            <w:pPr>
                              <w:jc w:val="center"/>
                              <w:rPr>
                                <w:rFonts w:eastAsia="宋体"/>
                                <w:szCs w:val="21"/>
                              </w:rPr>
                            </w:pPr>
                            <w:r>
                              <w:rPr>
                                <w:rFonts w:hint="eastAsia"/>
                                <w:szCs w:val="21"/>
                              </w:rPr>
                              <w:t>一 存根（白）二 财务（红）三 顾客（绿）</w:t>
                            </w:r>
                          </w:p>
                        </w:txbxContent>
                      </wps:txbx>
                      <wps:bodyPr vert="eaVert" wrap="square" lIns="91440" tIns="45720" rIns="91440" bIns="45720" anchor="t">
                        <a:noAutofit/>
                      </wps:bodyPr>
                    </wps:wsp>
                  </a:graphicData>
                </a:graphic>
              </wp:anchor>
            </w:drawing>
          </mc:Choice>
          <mc:Fallback>
            <w:pict>
              <v:rect id="文本框 7" o:spid="_x0000_s1026" o:spt="1" style="position:absolute;left:0pt;margin-left:739.2pt;margin-top:15.2pt;height:336.75pt;width:27.7pt;z-index:251659264;mso-width-relative:page;mso-height-relative:page;" filled="f" stroked="f" coordsize="21600,21600" o:gfxdata="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dtdNsAAAAMAQAADwAA&#10;AAAAAAABACAAAAAiAAAAZHJzL2Rvd25yZXYueG1sUEsBAhQAFAAAAAgAh07iQDNY6YfaAQAApQMA&#10;AA4AAAAAAAAAAQAgAAAAKgEAAGRycy9lMm9Eb2MueG1sUEsFBgAAAAAGAAYAWQEAAHYFAAAAAA==&#10;">
                <v:fill on="f" focussize="0,0"/>
                <v:stroke on="f"/>
                <v:imagedata o:title=""/>
                <o:lock v:ext="edit" aspectratio="f"/>
                <v:textbox style="layout-flow:vertical-ideographic;">
                  <w:txbxContent>
                    <w:p>
                      <w:pPr>
                        <w:jc w:val="center"/>
                        <w:rPr>
                          <w:rFonts w:eastAsia="宋体"/>
                          <w:szCs w:val="21"/>
                        </w:rPr>
                      </w:pPr>
                      <w:r>
                        <w:rPr>
                          <w:rFonts w:hint="eastAsia"/>
                          <w:szCs w:val="21"/>
                        </w:rPr>
                        <w:t>一 存根（白）二 财务（红）三 顾客（绿）</w:t>
                      </w:r>
                    </w:p>
                  </w:txbxContent>
                </v:textbox>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0"/>
          <w:highlight w:val="none"/>
          <w:lang w:val="en-US" w:eastAsia="zh-CN"/>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w:t>
      </w: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005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eastAsia="宋体"/>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1lhz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d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KfWWHNIBAACeAwAADgAAAAAAAAABACAAAAAfAQAA&#10;ZHJzL2Uyb0RvYy54bWxQSwUGAAAAAAYABgBZAQAAY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s>
  <w:rsids>
    <w:rsidRoot w:val="00000000"/>
    <w:rsid w:val="400D29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Body Text Indent"/>
    <w:basedOn w:val="1"/>
    <w:qFormat/>
    <w:uiPriority w:val="99"/>
    <w:pPr>
      <w:ind w:firstLine="525"/>
      <w:jc w:val="left"/>
    </w:pPr>
    <w:rPr>
      <w:rFonts w:ascii="宋体" w:hAnsi="Times New Roman" w:cs="Times New Roman"/>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basedOn w:val="4"/>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qFormat/>
    <w:uiPriority w:val="0"/>
    <w:pPr>
      <w:ind w:leftChars="0"/>
    </w:pPr>
    <w:rPr>
      <w:rFonts w:ascii="Calibri" w:hAnsi="Calibri" w:eastAsia="宋体" w:cs="Times New Roman"/>
      <w:sz w:val="20"/>
      <w:szCs w:val="20"/>
    </w:r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11712</Words>
  <Characters>12214</Characters>
  <Paragraphs>803</Paragraphs>
  <TotalTime>2</TotalTime>
  <ScaleCrop>false</ScaleCrop>
  <LinksUpToDate>false</LinksUpToDate>
  <CharactersWithSpaces>13301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周小龙</cp:lastModifiedBy>
  <cp:lastPrinted>2023-05-22T02:04:00Z</cp:lastPrinted>
  <dcterms:modified xsi:type="dcterms:W3CDTF">2024-08-15T00:37:49Z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e9800a19e0734346940f2f017ccc365f_23</vt:lpwstr>
  </property>
</Properties>
</file>