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spacing w:line="0" w:lineRule="atLeast"/>
        <w:ind w:right="-873" w:rightChars="-416"/>
        <w:rPr>
          <w:rFonts w:cs="宋体"/>
          <w:b/>
          <w:color w:val="auto"/>
          <w:sz w:val="44"/>
          <w:szCs w:val="44"/>
          <w:highlight w:val="none"/>
        </w:rPr>
      </w:pPr>
    </w:p>
    <w:p>
      <w:pPr>
        <w:pStyle w:val="21"/>
        <w:spacing w:line="0" w:lineRule="atLeast"/>
        <w:ind w:right="-873" w:rightChars="-416"/>
        <w:rPr>
          <w:rFonts w:cs="宋体"/>
          <w:b/>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cs="宋体"/>
          <w:b w:val="0"/>
          <w:bCs w:val="0"/>
          <w:color w:val="auto"/>
          <w:sz w:val="48"/>
          <w:szCs w:val="48"/>
          <w:highlight w:val="none"/>
          <w:u w:val="none"/>
          <w:lang w:val="en-US" w:eastAsia="zh-CN"/>
        </w:rPr>
      </w:pPr>
      <w:r>
        <w:rPr>
          <w:rFonts w:hint="eastAsia" w:ascii="宋体" w:hAnsi="宋体" w:cs="宋体"/>
          <w:b w:val="0"/>
          <w:bCs w:val="0"/>
          <w:color w:val="auto"/>
          <w:sz w:val="48"/>
          <w:szCs w:val="48"/>
          <w:highlight w:val="none"/>
          <w:u w:val="none"/>
          <w:lang w:val="en-US" w:eastAsia="zh-CN"/>
        </w:rPr>
        <w:t>南京智造科技表面处理产业园建设项目</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cs="宋体"/>
          <w:b/>
          <w:bCs/>
          <w:color w:val="auto"/>
          <w:sz w:val="48"/>
          <w:szCs w:val="48"/>
          <w:highlight w:val="none"/>
          <w:u w:val="none"/>
          <w:lang w:val="en-US" w:eastAsia="zh-CN"/>
        </w:rPr>
      </w:pPr>
      <w:r>
        <w:rPr>
          <w:rFonts w:hint="eastAsia" w:ascii="宋体" w:hAnsi="宋体" w:cs="宋体"/>
          <w:b w:val="0"/>
          <w:bCs w:val="0"/>
          <w:color w:val="auto"/>
          <w:sz w:val="48"/>
          <w:szCs w:val="48"/>
          <w:highlight w:val="none"/>
          <w:u w:val="none"/>
          <w:lang w:val="en-US" w:eastAsia="zh-CN"/>
        </w:rPr>
        <w:t>预拌混凝土、砂浆供应</w:t>
      </w:r>
    </w:p>
    <w:p>
      <w:pPr>
        <w:pStyle w:val="23"/>
        <w:rPr>
          <w:rFonts w:hint="default"/>
          <w:lang w:val="en-US" w:eastAsia="zh-CN"/>
        </w:rPr>
      </w:pPr>
    </w:p>
    <w:p>
      <w:pPr>
        <w:pStyle w:val="21"/>
        <w:spacing w:line="0" w:lineRule="atLeast"/>
        <w:jc w:val="center"/>
        <w:rPr>
          <w:rFonts w:cs="宋体"/>
          <w:color w:val="auto"/>
          <w:sz w:val="84"/>
          <w:highlight w:val="none"/>
        </w:rPr>
      </w:pPr>
      <w:r>
        <w:rPr>
          <w:rFonts w:hint="eastAsia" w:cs="宋体"/>
          <w:color w:val="auto"/>
          <w:sz w:val="84"/>
          <w:highlight w:val="none"/>
        </w:rPr>
        <w:t>招 标 文 件</w:t>
      </w:r>
    </w:p>
    <w:p>
      <w:pPr>
        <w:spacing w:line="360" w:lineRule="auto"/>
        <w:jc w:val="center"/>
        <w:rPr>
          <w:rFonts w:ascii="宋体" w:hAnsi="宋体" w:cs="宋体"/>
          <w:color w:val="auto"/>
          <w:sz w:val="32"/>
          <w:highlight w:val="none"/>
        </w:rPr>
      </w:pPr>
    </w:p>
    <w:p>
      <w:pPr>
        <w:spacing w:line="360" w:lineRule="auto"/>
        <w:rPr>
          <w:rFonts w:ascii="宋体" w:hAnsi="宋体" w:cs="宋体"/>
          <w:color w:val="auto"/>
          <w:sz w:val="32"/>
          <w:highlight w:val="none"/>
        </w:rPr>
      </w:pPr>
    </w:p>
    <w:p>
      <w:pPr>
        <w:spacing w:line="360" w:lineRule="auto"/>
        <w:rPr>
          <w:rFonts w:ascii="宋体" w:hAnsi="宋体" w:cs="宋体"/>
          <w:color w:val="auto"/>
          <w:sz w:val="32"/>
          <w:highlight w:val="none"/>
        </w:rPr>
      </w:pPr>
    </w:p>
    <w:p>
      <w:pPr>
        <w:rPr>
          <w:rFonts w:ascii="宋体" w:hAnsi="宋体" w:cs="宋体"/>
          <w:color w:val="auto"/>
          <w:sz w:val="30"/>
          <w:highlight w:val="none"/>
        </w:rPr>
      </w:pPr>
    </w:p>
    <w:p>
      <w:pPr>
        <w:spacing w:line="360" w:lineRule="auto"/>
        <w:ind w:firstLine="2100" w:firstLineChars="700"/>
        <w:rPr>
          <w:rFonts w:ascii="宋体" w:hAnsi="宋体" w:cs="宋体"/>
          <w:color w:val="auto"/>
          <w:sz w:val="30"/>
          <w:highlight w:val="none"/>
        </w:rPr>
      </w:pPr>
    </w:p>
    <w:p>
      <w:pPr>
        <w:spacing w:line="360" w:lineRule="auto"/>
        <w:ind w:firstLine="2100" w:firstLineChars="700"/>
        <w:rPr>
          <w:rFonts w:ascii="宋体" w:hAnsi="宋体" w:cs="宋体"/>
          <w:color w:val="auto"/>
          <w:sz w:val="30"/>
          <w:szCs w:val="30"/>
          <w:highlight w:val="none"/>
          <w:u w:val="single"/>
        </w:rPr>
      </w:pPr>
      <w:r>
        <w:rPr>
          <w:rFonts w:hint="eastAsia" w:ascii="宋体" w:hAnsi="宋体" w:cs="宋体"/>
          <w:color w:val="auto"/>
          <w:sz w:val="30"/>
          <w:szCs w:val="30"/>
          <w:highlight w:val="none"/>
        </w:rPr>
        <w:t xml:space="preserve"> 招标单位：</w:t>
      </w:r>
      <w:r>
        <w:rPr>
          <w:rFonts w:hint="eastAsia" w:ascii="宋体" w:hAnsi="宋体" w:cs="宋体"/>
          <w:color w:val="auto"/>
          <w:sz w:val="30"/>
          <w:szCs w:val="30"/>
          <w:highlight w:val="none"/>
          <w:u w:val="single"/>
        </w:rPr>
        <w:t>东莞市中泰建安工程有限公司</w:t>
      </w:r>
    </w:p>
    <w:p>
      <w:pPr>
        <w:spacing w:line="360" w:lineRule="auto"/>
        <w:ind w:firstLine="2100" w:firstLineChars="700"/>
        <w:rPr>
          <w:rFonts w:ascii="宋体" w:hAnsi="宋体" w:cs="宋体"/>
          <w:color w:val="auto"/>
          <w:sz w:val="30"/>
          <w:szCs w:val="30"/>
          <w:highlight w:val="none"/>
        </w:rPr>
      </w:pPr>
      <w:r>
        <w:rPr>
          <w:rFonts w:hint="eastAsia" w:ascii="宋体" w:hAnsi="宋体" w:cs="宋体"/>
          <w:color w:val="auto"/>
          <w:sz w:val="30"/>
          <w:szCs w:val="30"/>
          <w:highlight w:val="none"/>
        </w:rPr>
        <w:t xml:space="preserve"> 招标编号：</w:t>
      </w:r>
      <w:r>
        <w:rPr>
          <w:rFonts w:hint="eastAsia" w:ascii="宋体" w:hAnsi="宋体" w:cs="宋体"/>
          <w:color w:val="auto"/>
          <w:sz w:val="30"/>
          <w:szCs w:val="30"/>
          <w:highlight w:val="none"/>
          <w:u w:val="single"/>
        </w:rPr>
        <w:t xml:space="preserve"> 20</w:t>
      </w:r>
      <w:r>
        <w:rPr>
          <w:rFonts w:hint="eastAsia" w:ascii="宋体" w:hAnsi="宋体" w:cs="宋体"/>
          <w:color w:val="auto"/>
          <w:sz w:val="30"/>
          <w:szCs w:val="30"/>
          <w:highlight w:val="none"/>
          <w:u w:val="single"/>
          <w:lang w:val="en-US" w:eastAsia="zh-CN"/>
        </w:rPr>
        <w:t xml:space="preserve">24 </w:t>
      </w:r>
      <w:r>
        <w:rPr>
          <w:rFonts w:hint="eastAsia" w:ascii="宋体" w:hAnsi="宋体" w:cs="宋体"/>
          <w:color w:val="auto"/>
          <w:sz w:val="30"/>
          <w:szCs w:val="30"/>
          <w:highlight w:val="none"/>
          <w:u w:val="single"/>
        </w:rPr>
        <w:t>-</w:t>
      </w:r>
      <w:r>
        <w:rPr>
          <w:rFonts w:hint="eastAsia" w:ascii="宋体" w:hAnsi="宋体" w:cs="宋体"/>
          <w:color w:val="auto"/>
          <w:sz w:val="30"/>
          <w:szCs w:val="30"/>
          <w:highlight w:val="none"/>
          <w:u w:val="single"/>
          <w:lang w:val="en-US" w:eastAsia="zh-CN"/>
        </w:rPr>
        <w:t xml:space="preserve">010  </w:t>
      </w:r>
      <w:r>
        <w:rPr>
          <w:rFonts w:hint="eastAsia" w:ascii="宋体" w:hAnsi="宋体" w:cs="宋体"/>
          <w:color w:val="auto"/>
          <w:sz w:val="30"/>
          <w:szCs w:val="30"/>
          <w:highlight w:val="none"/>
        </w:rPr>
        <w:t>号</w:t>
      </w:r>
    </w:p>
    <w:p>
      <w:pPr>
        <w:spacing w:line="360" w:lineRule="auto"/>
        <w:ind w:firstLine="2100" w:firstLineChars="700"/>
        <w:rPr>
          <w:rFonts w:ascii="宋体" w:hAnsi="宋体" w:cs="宋体"/>
          <w:color w:val="auto"/>
          <w:sz w:val="30"/>
          <w:szCs w:val="30"/>
          <w:highlight w:val="none"/>
        </w:rPr>
      </w:pPr>
      <w:r>
        <w:rPr>
          <w:rFonts w:hint="eastAsia" w:ascii="宋体" w:hAnsi="宋体" w:cs="宋体"/>
          <w:color w:val="auto"/>
          <w:sz w:val="30"/>
          <w:szCs w:val="30"/>
          <w:highlight w:val="none"/>
        </w:rPr>
        <w:t xml:space="preserve"> 日    期：20</w:t>
      </w:r>
      <w:r>
        <w:rPr>
          <w:rFonts w:hint="eastAsia" w:ascii="宋体" w:hAnsi="宋体" w:cs="宋体"/>
          <w:color w:val="auto"/>
          <w:sz w:val="30"/>
          <w:szCs w:val="30"/>
          <w:highlight w:val="none"/>
          <w:lang w:val="en-US" w:eastAsia="zh-CN"/>
        </w:rPr>
        <w:t>24</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 xml:space="preserve">4 </w:t>
      </w:r>
      <w:r>
        <w:rPr>
          <w:rFonts w:hint="eastAsia" w:ascii="宋体" w:hAnsi="宋体" w:cs="宋体"/>
          <w:color w:val="auto"/>
          <w:sz w:val="30"/>
          <w:szCs w:val="30"/>
          <w:highlight w:val="none"/>
        </w:rPr>
        <w:t>月</w:t>
      </w: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pStyle w:val="4"/>
        <w:numPr>
          <w:ilvl w:val="0"/>
          <w:numId w:val="3"/>
        </w:numPr>
        <w:spacing w:line="300" w:lineRule="exact"/>
        <w:ind w:left="152" w:hanging="151" w:hangingChars="54"/>
        <w:rPr>
          <w:color w:val="auto"/>
          <w:highlight w:val="none"/>
        </w:rPr>
      </w:pPr>
      <w:bookmarkStart w:id="0" w:name="_Toc479758453"/>
      <w:bookmarkStart w:id="1" w:name="_Toc479758422"/>
      <w:r>
        <w:rPr>
          <w:rFonts w:hint="eastAsia"/>
          <w:color w:val="auto"/>
          <w:highlight w:val="none"/>
        </w:rPr>
        <w:t>前附表</w:t>
      </w:r>
      <w:bookmarkEnd w:id="0"/>
      <w:bookmarkEnd w:id="1"/>
    </w:p>
    <w:tbl>
      <w:tblPr>
        <w:tblStyle w:val="24"/>
        <w:tblW w:w="10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01"/>
        <w:gridCol w:w="8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名    称</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olor w:val="auto"/>
                <w:sz w:val="24"/>
                <w:lang w:val="en-US" w:eastAsia="zh-CN"/>
              </w:rPr>
              <w:t>南京智造科技表面处理产业园建设项目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投标单位应具备的条件</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cs="宋体"/>
                <w:color w:val="auto"/>
                <w:sz w:val="24"/>
                <w:szCs w:val="24"/>
                <w:highlight w:val="none"/>
              </w:rPr>
            </w:pPr>
            <w:r>
              <w:rPr>
                <w:rFonts w:hint="eastAsia" w:ascii="宋体" w:hAnsi="宋体"/>
                <w:color w:val="auto"/>
                <w:sz w:val="24"/>
                <w:lang w:eastAsia="zh-CN"/>
              </w:rPr>
              <w:t>投标</w:t>
            </w:r>
            <w:r>
              <w:rPr>
                <w:rFonts w:hint="eastAsia" w:ascii="宋体" w:hAnsi="宋体"/>
                <w:color w:val="auto"/>
                <w:sz w:val="24"/>
              </w:rPr>
              <w:t>单位</w:t>
            </w:r>
            <w:r>
              <w:rPr>
                <w:rFonts w:hint="eastAsia" w:ascii="宋体" w:hAnsi="宋体"/>
                <w:color w:val="auto"/>
                <w:sz w:val="24"/>
                <w:lang w:eastAsia="zh-CN"/>
              </w:rPr>
              <w:t>须满足以下要求</w:t>
            </w:r>
            <w:r>
              <w:rPr>
                <w:rFonts w:hint="eastAsia" w:ascii="宋体" w:hAnsi="宋体"/>
                <w:color w:val="auto"/>
                <w:sz w:val="24"/>
              </w:rPr>
              <w:t>：</w:t>
            </w:r>
            <w:r>
              <w:rPr>
                <w:rFonts w:hint="eastAsia" w:ascii="宋体" w:hAnsi="宋体"/>
                <w:color w:val="auto"/>
                <w:sz w:val="24"/>
                <w:u w:val="single"/>
                <w:lang w:val="en-US" w:eastAsia="zh-CN"/>
              </w:rPr>
              <w:t>① 近三年供应的产品无严重质量问题，无严重违约情况发生；②独立法人，</w:t>
            </w:r>
            <w:r>
              <w:rPr>
                <w:rFonts w:hint="eastAsia" w:ascii="宋体" w:hAnsi="宋体" w:eastAsia="宋体" w:cs="宋体"/>
                <w:color w:val="auto"/>
                <w:sz w:val="24"/>
                <w:szCs w:val="24"/>
                <w:u w:val="single"/>
                <w:lang w:val="en-US" w:eastAsia="zh-CN"/>
              </w:rPr>
              <w:t>非联合体</w:t>
            </w:r>
            <w:r>
              <w:rPr>
                <w:rFonts w:hint="eastAsia" w:ascii="宋体" w:hAnsi="宋体" w:cs="宋体"/>
                <w:color w:val="auto"/>
                <w:sz w:val="24"/>
                <w:szCs w:val="24"/>
                <w:u w:val="single"/>
                <w:lang w:val="en-US" w:eastAsia="zh-CN"/>
              </w:rPr>
              <w:t>，能独立完成招标内容</w:t>
            </w:r>
            <w:r>
              <w:rPr>
                <w:rFonts w:hint="eastAsia" w:ascii="宋体" w:hAnsi="宋体" w:eastAsia="宋体" w:cs="宋体"/>
                <w:color w:val="auto"/>
                <w:sz w:val="24"/>
                <w:szCs w:val="24"/>
                <w:u w:val="single"/>
                <w:lang w:val="en-US" w:eastAsia="zh-CN"/>
              </w:rPr>
              <w:t>；</w:t>
            </w:r>
            <w:r>
              <w:rPr>
                <w:rFonts w:hint="eastAsia" w:ascii="宋体" w:hAnsi="宋体"/>
                <w:color w:val="auto"/>
                <w:sz w:val="24"/>
                <w:u w:val="single"/>
                <w:lang w:val="en-US" w:eastAsia="zh-CN"/>
              </w:rPr>
              <w:t>③</w:t>
            </w:r>
            <w:r>
              <w:rPr>
                <w:rFonts w:hint="eastAsia" w:ascii="宋体" w:hAnsi="宋体" w:eastAsia="宋体" w:cs="宋体"/>
                <w:color w:val="auto"/>
                <w:sz w:val="24"/>
                <w:szCs w:val="24"/>
                <w:u w:val="single"/>
                <w:lang w:val="en-US" w:eastAsia="zh-CN"/>
              </w:rPr>
              <w:t>近</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lang w:val="en-US" w:eastAsia="zh-CN"/>
              </w:rPr>
              <w:t>年</w:t>
            </w:r>
            <w:r>
              <w:rPr>
                <w:rFonts w:hint="eastAsia" w:ascii="宋体" w:hAnsi="宋体" w:cs="宋体"/>
                <w:color w:val="auto"/>
                <w:sz w:val="24"/>
                <w:szCs w:val="24"/>
                <w:u w:val="single"/>
                <w:lang w:val="en-US" w:eastAsia="zh-CN"/>
              </w:rPr>
              <w:t>在南京市</w:t>
            </w:r>
            <w:r>
              <w:rPr>
                <w:rFonts w:hint="eastAsia" w:ascii="宋体" w:hAnsi="宋体" w:eastAsia="宋体" w:cs="宋体"/>
                <w:color w:val="auto"/>
                <w:sz w:val="24"/>
                <w:szCs w:val="24"/>
                <w:u w:val="single"/>
                <w:lang w:val="en-US" w:eastAsia="zh-CN"/>
              </w:rPr>
              <w:t>有与本次招标内容类似的业绩并可供招标单位实地考察；④具</w:t>
            </w:r>
            <w:r>
              <w:rPr>
                <w:rFonts w:hint="eastAsia" w:ascii="宋体" w:hAnsi="宋体" w:cs="宋体"/>
                <w:color w:val="auto"/>
                <w:sz w:val="24"/>
                <w:szCs w:val="24"/>
                <w:u w:val="single"/>
                <w:lang w:val="en-US" w:eastAsia="zh-CN"/>
              </w:rPr>
              <w:t>备完成</w:t>
            </w:r>
            <w:r>
              <w:rPr>
                <w:rFonts w:hint="eastAsia" w:ascii="宋体" w:hAnsi="宋体" w:eastAsia="宋体" w:cs="宋体"/>
                <w:color w:val="auto"/>
                <w:sz w:val="24"/>
                <w:szCs w:val="24"/>
                <w:u w:val="single"/>
                <w:lang w:val="en-US" w:eastAsia="zh-CN"/>
              </w:rPr>
              <w:t>本次招标内容的合法资质、资格及业绩，符合政府主管部门的要求。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lang w:val="en-US" w:eastAsia="zh-CN"/>
              </w:rPr>
              <w:t>工程</w:t>
            </w:r>
            <w:r>
              <w:rPr>
                <w:rFonts w:hint="eastAsia" w:ascii="宋体" w:hAnsi="宋体" w:cs="宋体"/>
                <w:color w:val="auto"/>
                <w:sz w:val="24"/>
                <w:szCs w:val="24"/>
              </w:rPr>
              <w:t>地点：</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江苏省</w:t>
            </w:r>
            <w:r>
              <w:rPr>
                <w:rFonts w:hint="eastAsia" w:ascii="宋体" w:hAnsi="宋体" w:cs="宋体"/>
                <w:color w:val="auto"/>
                <w:sz w:val="24"/>
                <w:szCs w:val="24"/>
                <w:u w:val="single"/>
                <w:lang w:eastAsia="zh-CN"/>
              </w:rPr>
              <w:t>南京</w:t>
            </w:r>
            <w:r>
              <w:rPr>
                <w:rFonts w:hint="eastAsia" w:ascii="宋体" w:hAnsi="宋体" w:cs="宋体"/>
                <w:color w:val="auto"/>
                <w:sz w:val="24"/>
                <w:szCs w:val="24"/>
                <w:u w:val="single"/>
                <w:lang w:val="en-US" w:eastAsia="zh-CN"/>
              </w:rPr>
              <w:t>市</w:t>
            </w:r>
            <w:r>
              <w:rPr>
                <w:rFonts w:hint="eastAsia" w:ascii="宋体" w:hAnsi="宋体" w:cs="宋体"/>
                <w:color w:val="auto"/>
                <w:sz w:val="24"/>
                <w:szCs w:val="24"/>
                <w:u w:val="single"/>
                <w:lang w:eastAsia="zh-CN"/>
              </w:rPr>
              <w:t>六合</w:t>
            </w:r>
            <w:r>
              <w:rPr>
                <w:rFonts w:hint="eastAsia" w:ascii="宋体" w:hAnsi="宋体" w:cs="宋体"/>
                <w:color w:val="auto"/>
                <w:sz w:val="24"/>
                <w:szCs w:val="24"/>
                <w:u w:val="single"/>
                <w:lang w:val="en-US" w:eastAsia="zh-CN"/>
              </w:rPr>
              <w:t>区</w:t>
            </w:r>
            <w:r>
              <w:rPr>
                <w:rFonts w:hint="eastAsia" w:ascii="宋体" w:hAnsi="宋体" w:cs="宋体"/>
                <w:color w:val="auto"/>
                <w:sz w:val="24"/>
                <w:szCs w:val="24"/>
                <w:u w:val="single"/>
              </w:rPr>
              <w:t xml:space="preserve"> </w:t>
            </w:r>
            <w:r>
              <w:rPr>
                <w:rFonts w:hint="eastAsia" w:ascii="宋体" w:hAnsi="宋体" w:cs="宋体"/>
                <w:color w:val="auto"/>
                <w:sz w:val="24"/>
                <w:szCs w:val="24"/>
              </w:rPr>
              <w:t>；联系人：</w:t>
            </w:r>
            <w:r>
              <w:rPr>
                <w:rFonts w:hint="eastAsia" w:ascii="宋体" w:hAnsi="宋体" w:cs="宋体"/>
                <w:color w:val="auto"/>
                <w:sz w:val="24"/>
                <w:szCs w:val="24"/>
                <w:u w:val="single"/>
                <w:lang w:val="en-US" w:eastAsia="zh-CN"/>
              </w:rPr>
              <w:t>彭善海</w:t>
            </w:r>
            <w:r>
              <w:rPr>
                <w:rFonts w:hint="eastAsia" w:ascii="宋体" w:hAnsi="宋体" w:cs="宋体"/>
                <w:color w:val="auto"/>
                <w:sz w:val="24"/>
                <w:szCs w:val="24"/>
              </w:rPr>
              <w:t>；电话：</w:t>
            </w:r>
            <w:r>
              <w:rPr>
                <w:rFonts w:hint="eastAsia" w:ascii="宋体" w:hAnsi="宋体" w:cs="宋体"/>
                <w:color w:val="auto"/>
                <w:sz w:val="24"/>
                <w:szCs w:val="24"/>
                <w:u w:val="single"/>
                <w:lang w:val="en-US" w:eastAsia="zh-CN"/>
              </w:rPr>
              <w:t>135-9279-6498</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cs="宋体"/>
                <w:color w:val="auto"/>
                <w:sz w:val="24"/>
                <w:szCs w:val="24"/>
                <w:highlight w:val="none"/>
              </w:rPr>
            </w:pPr>
            <w:r>
              <w:rPr>
                <w:rFonts w:hint="eastAsia" w:ascii="宋体" w:hAnsi="宋体"/>
                <w:b w:val="0"/>
                <w:bCs w:val="0"/>
                <w:color w:val="auto"/>
                <w:sz w:val="24"/>
                <w:szCs w:val="24"/>
                <w:highlight w:val="none"/>
                <w:u w:val="none"/>
                <w:lang w:val="en-US" w:eastAsia="zh-CN"/>
              </w:rPr>
              <w:t>详见招标文件及合同</w:t>
            </w:r>
            <w:r>
              <w:rPr>
                <w:rFonts w:hint="eastAsia" w:ascii="宋体" w:hAnsi="宋体"/>
                <w:b w:val="0"/>
                <w:bCs w:val="0"/>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投标文件递交时间和</w:t>
            </w:r>
            <w:r>
              <w:rPr>
                <w:rFonts w:hint="eastAsia" w:ascii="宋体" w:hAnsi="宋体" w:cs="宋体"/>
                <w:color w:val="auto"/>
                <w:sz w:val="24"/>
                <w:szCs w:val="24"/>
                <w:highlight w:val="none"/>
                <w:lang w:val="en-US" w:eastAsia="zh-CN"/>
              </w:rPr>
              <w:t>方式</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s="宋体"/>
                <w:color w:val="FF0000"/>
                <w:sz w:val="24"/>
                <w:szCs w:val="24"/>
                <w:highlight w:val="none"/>
              </w:rPr>
            </w:pPr>
            <w:r>
              <w:rPr>
                <w:rFonts w:hint="eastAsia" w:ascii="宋体" w:hAnsi="宋体" w:cs="宋体"/>
                <w:color w:val="FF0000"/>
                <w:sz w:val="24"/>
                <w:szCs w:val="24"/>
                <w:highlight w:val="none"/>
              </w:rPr>
              <w:t>截止时间：</w:t>
            </w:r>
            <w:r>
              <w:rPr>
                <w:rFonts w:hint="eastAsia" w:ascii="宋体" w:hAnsi="宋体" w:cs="宋体"/>
                <w:color w:val="FF0000"/>
                <w:sz w:val="24"/>
                <w:szCs w:val="24"/>
                <w:highlight w:val="none"/>
                <w:u w:val="single"/>
              </w:rPr>
              <w:t>20</w:t>
            </w:r>
            <w:r>
              <w:rPr>
                <w:rFonts w:hint="eastAsia" w:ascii="宋体" w:hAnsi="宋体" w:cs="宋体"/>
                <w:color w:val="FF0000"/>
                <w:sz w:val="24"/>
                <w:szCs w:val="24"/>
                <w:highlight w:val="none"/>
                <w:u w:val="single"/>
                <w:lang w:val="en-US" w:eastAsia="zh-CN"/>
              </w:rPr>
              <w:t>24</w:t>
            </w:r>
            <w:r>
              <w:rPr>
                <w:rFonts w:hint="eastAsia" w:ascii="宋体" w:hAnsi="宋体" w:cs="宋体"/>
                <w:color w:val="FF0000"/>
                <w:sz w:val="24"/>
                <w:szCs w:val="24"/>
                <w:highlight w:val="none"/>
              </w:rPr>
              <w:t>年</w:t>
            </w:r>
            <w:r>
              <w:rPr>
                <w:rFonts w:hint="eastAsia" w:ascii="宋体" w:hAnsi="宋体" w:cs="宋体"/>
                <w:color w:val="FF0000"/>
                <w:sz w:val="24"/>
                <w:szCs w:val="24"/>
                <w:highlight w:val="none"/>
                <w:u w:val="single"/>
                <w:lang w:val="en-US" w:eastAsia="zh-CN"/>
              </w:rPr>
              <w:t>4</w:t>
            </w:r>
            <w:r>
              <w:rPr>
                <w:rFonts w:hint="eastAsia" w:ascii="宋体" w:hAnsi="宋体" w:cs="宋体"/>
                <w:color w:val="FF0000"/>
                <w:sz w:val="24"/>
                <w:szCs w:val="24"/>
                <w:highlight w:val="none"/>
              </w:rPr>
              <w:t>月</w:t>
            </w:r>
            <w:r>
              <w:rPr>
                <w:rFonts w:hint="eastAsia" w:ascii="宋体" w:hAnsi="宋体" w:cs="宋体"/>
                <w:color w:val="FF0000"/>
                <w:sz w:val="24"/>
                <w:szCs w:val="24"/>
                <w:highlight w:val="none"/>
                <w:u w:val="single"/>
                <w:lang w:val="en-US" w:eastAsia="zh-CN"/>
              </w:rPr>
              <w:t xml:space="preserve"> 30 </w:t>
            </w:r>
            <w:r>
              <w:rPr>
                <w:rFonts w:hint="eastAsia" w:ascii="宋体" w:hAnsi="宋体" w:cs="宋体"/>
                <w:color w:val="FF0000"/>
                <w:sz w:val="24"/>
                <w:szCs w:val="24"/>
                <w:highlight w:val="none"/>
              </w:rPr>
              <w:t>日</w:t>
            </w:r>
            <w:r>
              <w:rPr>
                <w:rFonts w:hint="eastAsia" w:ascii="宋体" w:hAnsi="宋体" w:cs="宋体"/>
                <w:color w:val="FF0000"/>
                <w:sz w:val="24"/>
                <w:szCs w:val="24"/>
                <w:highlight w:val="none"/>
                <w:u w:val="single"/>
                <w:lang w:val="en-US" w:eastAsia="zh-CN"/>
              </w:rPr>
              <w:t>10</w:t>
            </w:r>
            <w:r>
              <w:rPr>
                <w:rFonts w:hint="eastAsia" w:ascii="宋体" w:hAnsi="宋体" w:cs="宋体"/>
                <w:color w:val="FF0000"/>
                <w:sz w:val="24"/>
                <w:szCs w:val="24"/>
                <w:highlight w:val="none"/>
              </w:rPr>
              <w:t>时止</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宋体" w:hAnsi="宋体" w:cs="宋体"/>
                <w:color w:val="auto"/>
                <w:sz w:val="24"/>
                <w:szCs w:val="24"/>
                <w:highlight w:val="none"/>
              </w:rPr>
            </w:pPr>
            <w:r>
              <w:rPr>
                <w:rFonts w:hint="eastAsia" w:ascii="宋体" w:hAnsi="宋体" w:eastAsia="宋体" w:cs="宋体"/>
                <w:b w:val="0"/>
                <w:bCs/>
                <w:color w:val="FF0000"/>
                <w:kern w:val="2"/>
                <w:sz w:val="24"/>
                <w:szCs w:val="24"/>
                <w:highlight w:val="none"/>
                <w:lang w:val="en-US" w:eastAsia="zh-CN" w:bidi="ar-SA"/>
              </w:rPr>
              <w:t>接收投标</w:t>
            </w:r>
            <w:r>
              <w:rPr>
                <w:rFonts w:hint="default" w:ascii="宋体" w:hAnsi="宋体" w:eastAsia="宋体" w:cs="宋体"/>
                <w:b w:val="0"/>
                <w:bCs/>
                <w:color w:val="FF0000"/>
                <w:kern w:val="2"/>
                <w:sz w:val="24"/>
                <w:szCs w:val="24"/>
                <w:highlight w:val="none"/>
                <w:lang w:val="en-US" w:eastAsia="zh-CN" w:bidi="ar-SA"/>
              </w:rPr>
              <w:t>文件</w:t>
            </w:r>
            <w:r>
              <w:rPr>
                <w:rFonts w:hint="eastAsia" w:ascii="宋体" w:hAnsi="宋体" w:eastAsia="宋体" w:cs="宋体"/>
                <w:b w:val="0"/>
                <w:bCs/>
                <w:color w:val="FF0000"/>
                <w:kern w:val="2"/>
                <w:sz w:val="24"/>
                <w:szCs w:val="24"/>
                <w:highlight w:val="none"/>
                <w:lang w:val="en-US" w:eastAsia="zh-CN" w:bidi="ar-SA"/>
              </w:rPr>
              <w:t>的电子邮箱</w:t>
            </w:r>
            <w:r>
              <w:rPr>
                <w:rFonts w:hint="default" w:ascii="宋体" w:hAnsi="宋体" w:eastAsia="宋体" w:cs="宋体"/>
                <w:b w:val="0"/>
                <w:bCs/>
                <w:color w:val="FF0000"/>
                <w:kern w:val="2"/>
                <w:sz w:val="24"/>
                <w:szCs w:val="24"/>
                <w:highlight w:val="none"/>
                <w:lang w:val="en-US" w:eastAsia="zh-CN" w:bidi="ar-SA"/>
              </w:rPr>
              <w:t>：</w:t>
            </w:r>
            <w:r>
              <w:rPr>
                <w:rFonts w:hint="eastAsia" w:ascii="宋体" w:hAnsi="宋体" w:eastAsia="宋体" w:cs="宋体"/>
                <w:b w:val="0"/>
                <w:bCs/>
                <w:color w:val="FF0000"/>
                <w:kern w:val="2"/>
                <w:sz w:val="24"/>
                <w:szCs w:val="24"/>
                <w:highlight w:val="none"/>
                <w:lang w:val="en-US" w:eastAsia="zh-CN" w:bidi="ar-SA"/>
              </w:rPr>
              <w:t>bid</w:t>
            </w:r>
            <w:r>
              <w:rPr>
                <w:rFonts w:hint="eastAsia" w:ascii="宋体" w:hAnsi="宋体" w:cs="宋体"/>
                <w:b w:val="0"/>
                <w:bCs/>
                <w:color w:val="FF0000"/>
                <w:kern w:val="2"/>
                <w:sz w:val="24"/>
                <w:szCs w:val="24"/>
                <w:highlight w:val="none"/>
                <w:lang w:val="en-US" w:eastAsia="zh-CN" w:bidi="ar-SA"/>
              </w:rPr>
              <w:t>1</w:t>
            </w:r>
            <w:r>
              <w:rPr>
                <w:rFonts w:hint="eastAsia" w:ascii="宋体" w:hAnsi="宋体" w:eastAsia="宋体" w:cs="宋体"/>
                <w:b w:val="0"/>
                <w:bCs/>
                <w:color w:val="FF0000"/>
                <w:kern w:val="2"/>
                <w:sz w:val="24"/>
                <w:szCs w:val="24"/>
                <w:highlight w:val="none"/>
                <w:lang w:val="en-US" w:eastAsia="zh-CN" w:bidi="ar-SA"/>
              </w:rPr>
              <w:t>@nanfeng.cn</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招标单位联系人和联系电话</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宋体"/>
                <w:color w:val="auto"/>
                <w:sz w:val="24"/>
                <w:szCs w:val="24"/>
                <w:u w:val="single"/>
              </w:rPr>
            </w:pPr>
            <w:r>
              <w:rPr>
                <w:rFonts w:hint="eastAsia" w:ascii="宋体" w:hAnsi="宋体" w:cs="宋体"/>
                <w:color w:val="auto"/>
                <w:sz w:val="24"/>
                <w:szCs w:val="24"/>
              </w:rPr>
              <w:t>联系人：</w:t>
            </w:r>
            <w:r>
              <w:rPr>
                <w:rFonts w:hint="eastAsia" w:ascii="宋体" w:hAnsi="宋体" w:cs="宋体"/>
                <w:color w:val="auto"/>
                <w:sz w:val="24"/>
                <w:szCs w:val="24"/>
                <w:u w:val="single"/>
                <w:lang w:val="en-US" w:eastAsia="zh-CN"/>
              </w:rPr>
              <w:t>谭庆棠</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宋体" w:hAnsi="宋体" w:cs="宋体"/>
                <w:color w:val="auto"/>
                <w:sz w:val="24"/>
                <w:szCs w:val="24"/>
                <w:highlight w:val="none"/>
                <w:lang w:val="en-US"/>
              </w:rPr>
            </w:pPr>
            <w:r>
              <w:rPr>
                <w:rFonts w:hint="eastAsia" w:ascii="宋体" w:hAnsi="宋体" w:cs="宋体"/>
                <w:color w:val="auto"/>
                <w:sz w:val="24"/>
                <w:szCs w:val="24"/>
              </w:rPr>
              <w:t>电话号码：</w:t>
            </w:r>
            <w:bookmarkStart w:id="2" w:name="OLE_LINK1"/>
            <w:r>
              <w:rPr>
                <w:rFonts w:hint="eastAsia" w:ascii="宋体" w:hAnsi="宋体" w:cs="宋体"/>
                <w:color w:val="auto"/>
                <w:sz w:val="24"/>
                <w:szCs w:val="24"/>
                <w:highlight w:val="none"/>
                <w:u w:val="single"/>
                <w:lang w:val="en-US" w:eastAsia="zh-CN"/>
              </w:rPr>
              <w:t>1</w:t>
            </w:r>
            <w:bookmarkEnd w:id="2"/>
            <w:r>
              <w:rPr>
                <w:rFonts w:hint="eastAsia" w:ascii="宋体" w:hAnsi="宋体" w:cs="宋体"/>
                <w:color w:val="auto"/>
                <w:sz w:val="24"/>
                <w:szCs w:val="24"/>
                <w:highlight w:val="none"/>
                <w:u w:val="single"/>
                <w:lang w:val="en-US" w:eastAsia="zh-CN"/>
              </w:rPr>
              <w:t>3790370020</w:t>
            </w:r>
          </w:p>
        </w:tc>
      </w:tr>
    </w:tbl>
    <w:p>
      <w:pPr>
        <w:pStyle w:val="4"/>
        <w:numPr>
          <w:ilvl w:val="0"/>
          <w:numId w:val="3"/>
        </w:numPr>
        <w:spacing w:line="300" w:lineRule="exact"/>
        <w:ind w:left="152" w:hanging="151" w:hangingChars="54"/>
        <w:rPr>
          <w:color w:val="auto"/>
          <w:highlight w:val="none"/>
        </w:rPr>
      </w:pPr>
      <w:bookmarkStart w:id="3" w:name="_Toc479758454"/>
      <w:bookmarkStart w:id="4" w:name="_Toc479758423"/>
      <w:r>
        <w:rPr>
          <w:rFonts w:hint="eastAsia"/>
          <w:color w:val="auto"/>
          <w:highlight w:val="none"/>
        </w:rPr>
        <w:t>招标说明</w:t>
      </w:r>
      <w:bookmarkEnd w:id="3"/>
      <w:bookmarkEnd w:id="4"/>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2.1 踏勘现场及招标文件的解释与澄清</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2.2 投标单位须对</w:t>
      </w:r>
      <w:r>
        <w:rPr>
          <w:rFonts w:hint="eastAsia" w:ascii="宋体" w:hAnsi="宋体" w:cs="宋体"/>
          <w:b w:val="0"/>
          <w:bCs w:val="0"/>
          <w:color w:val="auto"/>
          <w:kern w:val="2"/>
          <w:sz w:val="24"/>
          <w:lang w:val="en-US" w:eastAsia="zh-CN"/>
        </w:rPr>
        <w:t>项目</w:t>
      </w:r>
      <w:r>
        <w:rPr>
          <w:rFonts w:hint="eastAsia" w:ascii="宋体" w:hAnsi="宋体" w:eastAsia="宋体" w:cs="宋体"/>
          <w:b w:val="0"/>
          <w:bCs w:val="0"/>
          <w:color w:val="auto"/>
          <w:kern w:val="2"/>
          <w:sz w:val="24"/>
          <w:lang w:val="en-US" w:eastAsia="zh-CN"/>
        </w:rPr>
        <w:t>现场及周围环境</w:t>
      </w:r>
      <w:r>
        <w:rPr>
          <w:rFonts w:hint="eastAsia" w:ascii="宋体" w:hAnsi="宋体" w:cs="宋体"/>
          <w:b w:val="0"/>
          <w:bCs w:val="0"/>
          <w:color w:val="auto"/>
          <w:kern w:val="2"/>
          <w:sz w:val="24"/>
          <w:lang w:val="en-US" w:eastAsia="zh-CN"/>
        </w:rPr>
        <w:t>及运输路线</w:t>
      </w:r>
      <w:r>
        <w:rPr>
          <w:rFonts w:hint="eastAsia" w:ascii="宋体" w:hAnsi="宋体" w:eastAsia="宋体" w:cs="宋体"/>
          <w:b w:val="0"/>
          <w:bCs w:val="0"/>
          <w:color w:val="auto"/>
          <w:kern w:val="2"/>
          <w:sz w:val="24"/>
          <w:lang w:val="en-US" w:eastAsia="zh-CN"/>
        </w:rPr>
        <w:t>进行现场踏勘，否则由此引起的责任、风险由投标单位自行承担；签订合同后，投标单位不得以不清楚或未考虑现场实况为由提出增加费用或其它要求。招标单位在投标单位踏勘现场时所作的介绍及说明仅供报价单位参考，招标单位不对投标单位据此作出的判断和决定负责。</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2.3投标单位获得招标文件后，若有疑问须向招标单位提出，否则视为投标单位已认可招标文件的全部内容（包括所附的合同条款），因此引起的损失由投标单位自行承担；</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2.4招标单位对招标文件的澄清、答疑、说明、补充、解释、变更等，均以招标单位发出的书面内容为准。投标单位因听信招标单位的口头内容而造成的损失和后果，由投标单位自行承担。</w:t>
      </w:r>
      <w:bookmarkStart w:id="5" w:name="_Toc479758455"/>
      <w:bookmarkStart w:id="6" w:name="_Toc479758424"/>
      <w:r>
        <w:rPr>
          <w:rFonts w:hint="eastAsia" w:ascii="宋体" w:hAnsi="宋体" w:eastAsia="宋体" w:cs="宋体"/>
          <w:b w:val="0"/>
          <w:bCs w:val="0"/>
          <w:color w:val="auto"/>
          <w:kern w:val="2"/>
          <w:sz w:val="24"/>
          <w:lang w:val="en-US" w:eastAsia="zh-CN"/>
        </w:rPr>
        <w:t>无论出于何种原因，招标单位可主动地或在答疑时对招标文件进行修改，修改后的内容为招标文件的组成部分，均以书面形式公开并对参与投标的单位具有约束力。投标单位收到上述修改通知后，应立即以招标单位提供的格式发送书面回执。</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szCs w:val="24"/>
          <w:lang w:val="en-US" w:eastAsia="zh-CN"/>
        </w:rPr>
        <w:t>2.5</w:t>
      </w:r>
      <w:r>
        <w:rPr>
          <w:rFonts w:hint="eastAsia" w:ascii="宋体" w:hAnsi="宋体" w:eastAsia="宋体" w:cs="宋体"/>
          <w:i w:val="0"/>
          <w:iCs w:val="0"/>
          <w:caps w:val="0"/>
          <w:color w:val="auto"/>
          <w:spacing w:val="0"/>
          <w:sz w:val="24"/>
          <w:szCs w:val="24"/>
        </w:rPr>
        <w:t>招</w:t>
      </w:r>
      <w:r>
        <w:rPr>
          <w:rFonts w:hint="eastAsia" w:ascii="宋体" w:hAnsi="宋体" w:eastAsia="宋体" w:cs="宋体"/>
          <w:b w:val="0"/>
          <w:bCs w:val="0"/>
          <w:color w:val="auto"/>
          <w:kern w:val="2"/>
          <w:sz w:val="24"/>
          <w:szCs w:val="24"/>
          <w:lang w:val="en-US" w:eastAsia="zh-CN"/>
        </w:rPr>
        <w:t>标答疑：</w:t>
      </w:r>
      <w:r>
        <w:rPr>
          <w:rFonts w:hint="eastAsia" w:ascii="宋体" w:hAnsi="宋体" w:eastAsia="宋体" w:cs="宋体"/>
          <w:b w:val="0"/>
          <w:bCs w:val="0"/>
          <w:color w:val="FF0000"/>
          <w:kern w:val="2"/>
          <w:sz w:val="24"/>
          <w:szCs w:val="24"/>
          <w:lang w:val="en-US" w:eastAsia="zh-CN"/>
        </w:rPr>
        <w:t>投</w:t>
      </w:r>
      <w:r>
        <w:rPr>
          <w:rFonts w:hint="eastAsia" w:ascii="宋体" w:hAnsi="宋体" w:eastAsia="宋体" w:cs="宋体"/>
          <w:b w:val="0"/>
          <w:bCs w:val="0"/>
          <w:color w:val="FF0000"/>
          <w:kern w:val="2"/>
          <w:sz w:val="24"/>
          <w:lang w:val="en-US" w:eastAsia="zh-CN"/>
        </w:rPr>
        <w:t>标单位须在2024年</w:t>
      </w:r>
      <w:r>
        <w:rPr>
          <w:rFonts w:hint="eastAsia" w:ascii="宋体" w:hAnsi="宋体" w:eastAsia="宋体" w:cs="宋体"/>
          <w:b w:val="0"/>
          <w:bCs w:val="0"/>
          <w:color w:val="FF0000"/>
          <w:kern w:val="2"/>
          <w:sz w:val="24"/>
          <w:u w:val="single"/>
          <w:lang w:val="en-US" w:eastAsia="zh-CN"/>
        </w:rPr>
        <w:t>4</w:t>
      </w:r>
      <w:r>
        <w:rPr>
          <w:rFonts w:hint="eastAsia" w:ascii="宋体" w:hAnsi="宋体" w:eastAsia="宋体" w:cs="宋体"/>
          <w:b w:val="0"/>
          <w:bCs w:val="0"/>
          <w:color w:val="FF0000"/>
          <w:kern w:val="2"/>
          <w:sz w:val="24"/>
          <w:lang w:val="en-US" w:eastAsia="zh-CN"/>
        </w:rPr>
        <w:t>月</w:t>
      </w:r>
      <w:r>
        <w:rPr>
          <w:rFonts w:hint="eastAsia" w:ascii="宋体" w:hAnsi="宋体" w:eastAsia="宋体" w:cs="宋体"/>
          <w:b w:val="0"/>
          <w:bCs w:val="0"/>
          <w:color w:val="FF0000"/>
          <w:kern w:val="2"/>
          <w:sz w:val="24"/>
          <w:u w:val="single"/>
          <w:lang w:val="en-US" w:eastAsia="zh-CN"/>
        </w:rPr>
        <w:t>28</w:t>
      </w:r>
      <w:r>
        <w:rPr>
          <w:rFonts w:hint="eastAsia" w:ascii="宋体" w:hAnsi="宋体" w:eastAsia="宋体" w:cs="宋体"/>
          <w:b w:val="0"/>
          <w:bCs w:val="0"/>
          <w:color w:val="FF0000"/>
          <w:kern w:val="2"/>
          <w:sz w:val="24"/>
          <w:lang w:val="en-US" w:eastAsia="zh-CN"/>
        </w:rPr>
        <w:t>日17时前将对招标文件（尤其合同文件）的疑问和建议向招标单位书面提出</w:t>
      </w:r>
      <w:r>
        <w:rPr>
          <w:rFonts w:hint="eastAsia" w:ascii="宋体" w:hAnsi="宋体" w:eastAsia="宋体" w:cs="宋体"/>
          <w:b w:val="0"/>
          <w:bCs w:val="0"/>
          <w:color w:val="FF0000"/>
          <w:kern w:val="2"/>
          <w:sz w:val="24"/>
          <w:lang w:val="en-US" w:eastAsia="zh-CN"/>
        </w:rPr>
        <w:fldChar w:fldCharType="begin"/>
      </w:r>
      <w:r>
        <w:rPr>
          <w:rFonts w:hint="eastAsia" w:ascii="宋体" w:hAnsi="宋体" w:eastAsia="宋体" w:cs="宋体"/>
          <w:b w:val="0"/>
          <w:bCs w:val="0"/>
          <w:color w:val="FF0000"/>
          <w:kern w:val="2"/>
          <w:sz w:val="24"/>
          <w:lang w:val="en-US" w:eastAsia="zh-CN"/>
        </w:rPr>
        <w:instrText xml:space="preserve"> HYPERLINK "mailto:zhaocai@nanfeng.cn%E3%80%82%E6%8B%9B%E6%A0%87%E5%8D%95%E4%BD%8D%E5%B0%86%E4%BA%8E2023%E5%B9%B4" </w:instrText>
      </w:r>
      <w:r>
        <w:rPr>
          <w:rFonts w:hint="eastAsia" w:ascii="宋体" w:hAnsi="宋体" w:eastAsia="宋体" w:cs="宋体"/>
          <w:b w:val="0"/>
          <w:bCs w:val="0"/>
          <w:color w:val="FF0000"/>
          <w:kern w:val="2"/>
          <w:sz w:val="24"/>
          <w:lang w:val="en-US" w:eastAsia="zh-CN"/>
        </w:rPr>
        <w:fldChar w:fldCharType="separate"/>
      </w:r>
      <w:r>
        <w:rPr>
          <w:rFonts w:hint="eastAsia" w:ascii="宋体" w:hAnsi="宋体" w:eastAsia="宋体" w:cs="宋体"/>
          <w:b w:val="0"/>
          <w:bCs w:val="0"/>
          <w:color w:val="FF0000"/>
          <w:kern w:val="2"/>
          <w:sz w:val="24"/>
          <w:lang w:val="en-US" w:eastAsia="zh-CN"/>
        </w:rPr>
        <w:t>。招标单位将于2024年</w:t>
      </w:r>
      <w:r>
        <w:rPr>
          <w:rFonts w:hint="eastAsia" w:ascii="宋体" w:hAnsi="宋体" w:eastAsia="宋体" w:cs="宋体"/>
          <w:b w:val="0"/>
          <w:bCs w:val="0"/>
          <w:color w:val="FF0000"/>
          <w:kern w:val="2"/>
          <w:sz w:val="24"/>
          <w:u w:val="single"/>
          <w:lang w:val="en-US" w:eastAsia="zh-CN"/>
        </w:rPr>
        <w:t> 4 </w:t>
      </w:r>
      <w:r>
        <w:rPr>
          <w:rFonts w:hint="eastAsia" w:ascii="宋体" w:hAnsi="宋体" w:eastAsia="宋体" w:cs="宋体"/>
          <w:b w:val="0"/>
          <w:bCs w:val="0"/>
          <w:color w:val="FF0000"/>
          <w:kern w:val="2"/>
          <w:sz w:val="24"/>
          <w:lang w:val="en-US" w:eastAsia="zh-CN"/>
        </w:rPr>
        <w:t>月</w:t>
      </w:r>
      <w:r>
        <w:rPr>
          <w:rFonts w:hint="eastAsia" w:ascii="宋体" w:hAnsi="宋体" w:eastAsia="宋体" w:cs="宋体"/>
          <w:b w:val="0"/>
          <w:bCs w:val="0"/>
          <w:color w:val="FF0000"/>
          <w:kern w:val="2"/>
          <w:sz w:val="24"/>
          <w:u w:val="single"/>
          <w:lang w:val="en-US" w:eastAsia="zh-CN"/>
        </w:rPr>
        <w:t>29 </w:t>
      </w:r>
      <w:r>
        <w:rPr>
          <w:rFonts w:hint="eastAsia" w:ascii="宋体" w:hAnsi="宋体" w:eastAsia="宋体" w:cs="宋体"/>
          <w:b w:val="0"/>
          <w:bCs w:val="0"/>
          <w:color w:val="FF0000"/>
          <w:kern w:val="2"/>
          <w:sz w:val="24"/>
          <w:lang w:val="en-US" w:eastAsia="zh-CN"/>
        </w:rPr>
        <w:t>日</w:t>
      </w:r>
      <w:r>
        <w:rPr>
          <w:rFonts w:hint="eastAsia" w:ascii="宋体" w:hAnsi="宋体" w:eastAsia="宋体" w:cs="宋体"/>
          <w:b w:val="0"/>
          <w:bCs w:val="0"/>
          <w:color w:val="FF0000"/>
          <w:kern w:val="2"/>
          <w:sz w:val="24"/>
          <w:lang w:val="en-US" w:eastAsia="zh-CN"/>
        </w:rPr>
        <w:fldChar w:fldCharType="end"/>
      </w:r>
      <w:r>
        <w:rPr>
          <w:rFonts w:hint="eastAsia" w:ascii="宋体" w:hAnsi="宋体" w:eastAsia="宋体" w:cs="宋体"/>
          <w:b w:val="0"/>
          <w:bCs w:val="0"/>
          <w:color w:val="FF0000"/>
          <w:kern w:val="2"/>
          <w:sz w:val="24"/>
          <w:lang w:val="en-US" w:eastAsia="zh-CN"/>
        </w:rPr>
        <w:t>18时前统一公开答复有关疑问</w:t>
      </w:r>
      <w:r>
        <w:rPr>
          <w:rFonts w:hint="eastAsia" w:ascii="宋体" w:hAnsi="宋体" w:cs="宋体"/>
          <w:b w:val="0"/>
          <w:bCs w:val="0"/>
          <w:color w:val="FF0000"/>
          <w:kern w:val="2"/>
          <w:sz w:val="24"/>
          <w:lang w:val="en-US" w:eastAsia="zh-CN"/>
        </w:rPr>
        <w:t>。</w:t>
      </w:r>
      <w:r>
        <w:rPr>
          <w:rFonts w:hint="eastAsia" w:ascii="宋体" w:hAnsi="宋体" w:eastAsia="宋体" w:cs="宋体"/>
          <w:b w:val="0"/>
          <w:bCs w:val="0"/>
          <w:color w:val="auto"/>
          <w:kern w:val="2"/>
          <w:sz w:val="24"/>
          <w:lang w:val="en-US" w:eastAsia="zh-CN"/>
        </w:rPr>
        <w:t>如有必要，招标单位可酌情调整答复时间。答疑联系人：</w:t>
      </w:r>
      <w:r>
        <w:rPr>
          <w:rFonts w:hint="eastAsia" w:ascii="宋体" w:hAnsi="宋体" w:eastAsia="宋体" w:cs="宋体"/>
          <w:b w:val="0"/>
          <w:bCs w:val="0"/>
          <w:color w:val="auto"/>
          <w:kern w:val="2"/>
          <w:sz w:val="24"/>
          <w:u w:val="single"/>
          <w:lang w:val="en-US" w:eastAsia="zh-CN"/>
        </w:rPr>
        <w:t>谭庆棠</w:t>
      </w:r>
      <w:r>
        <w:rPr>
          <w:rFonts w:hint="eastAsia" w:ascii="宋体" w:hAnsi="宋体" w:eastAsia="宋体" w:cs="宋体"/>
          <w:b w:val="0"/>
          <w:bCs w:val="0"/>
          <w:color w:val="auto"/>
          <w:kern w:val="2"/>
          <w:sz w:val="24"/>
          <w:lang w:val="en-US" w:eastAsia="zh-CN"/>
        </w:rPr>
        <w:t>，联系电话：</w:t>
      </w:r>
      <w:r>
        <w:rPr>
          <w:rFonts w:hint="eastAsia" w:ascii="宋体" w:hAnsi="宋体" w:eastAsia="宋体" w:cs="宋体"/>
          <w:b w:val="0"/>
          <w:bCs w:val="0"/>
          <w:color w:val="auto"/>
          <w:kern w:val="2"/>
          <w:sz w:val="24"/>
          <w:u w:val="single"/>
          <w:lang w:val="en-US" w:eastAsia="zh-CN"/>
        </w:rPr>
        <w:t>13790370020</w:t>
      </w:r>
      <w:r>
        <w:rPr>
          <w:rFonts w:hint="eastAsia" w:ascii="宋体" w:hAnsi="宋体" w:eastAsia="宋体" w:cs="宋体"/>
          <w:b w:val="0"/>
          <w:bCs w:val="0"/>
          <w:color w:val="auto"/>
          <w:kern w:val="2"/>
          <w:sz w:val="24"/>
          <w:lang w:val="en-US" w:eastAsia="zh-CN"/>
        </w:rPr>
        <w:t>。</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2.6招标期间，招标单位的唯一官方电子邮箱为：zhaocai@nanfeng.cn（招标文件另有规定的，从其规定），该邮箱负责招标单位电子邮件的收发（</w:t>
      </w:r>
      <w:r>
        <w:rPr>
          <w:rFonts w:hint="eastAsia" w:ascii="宋体" w:hAnsi="宋体" w:eastAsia="宋体" w:cs="宋体"/>
          <w:b w:val="0"/>
          <w:bCs w:val="0"/>
          <w:color w:val="FF0000"/>
          <w:kern w:val="2"/>
          <w:sz w:val="24"/>
          <w:lang w:val="en-US" w:eastAsia="zh-CN"/>
        </w:rPr>
        <w:t>仅不负责投标文件</w:t>
      </w:r>
      <w:r>
        <w:rPr>
          <w:rFonts w:hint="eastAsia" w:ascii="宋体" w:hAnsi="宋体" w:cs="宋体"/>
          <w:b w:val="0"/>
          <w:bCs w:val="0"/>
          <w:color w:val="FF0000"/>
          <w:kern w:val="2"/>
          <w:sz w:val="24"/>
          <w:lang w:val="en-US" w:eastAsia="zh-CN"/>
        </w:rPr>
        <w:t>、投诉资料</w:t>
      </w:r>
      <w:r>
        <w:rPr>
          <w:rFonts w:hint="eastAsia" w:ascii="宋体" w:hAnsi="宋体" w:eastAsia="宋体" w:cs="宋体"/>
          <w:b w:val="0"/>
          <w:bCs w:val="0"/>
          <w:color w:val="FF0000"/>
          <w:kern w:val="2"/>
          <w:sz w:val="24"/>
          <w:lang w:val="en-US" w:eastAsia="zh-CN"/>
        </w:rPr>
        <w:t>的接收</w:t>
      </w:r>
      <w:r>
        <w:rPr>
          <w:rFonts w:hint="eastAsia" w:ascii="宋体" w:hAnsi="宋体" w:eastAsia="宋体" w:cs="宋体"/>
          <w:b w:val="0"/>
          <w:bCs w:val="0"/>
          <w:color w:val="auto"/>
          <w:kern w:val="2"/>
          <w:sz w:val="24"/>
          <w:lang w:val="en-US" w:eastAsia="zh-CN"/>
        </w:rPr>
        <w:t>）：投标单位提供电子资料给招标单位时，以该邮箱收到为准（招标文件另有规定的，从其规定），发至其他邮箱（如招标单位员工的个人邮箱、QQ、微信等，下同）的，招标单位将视为未收到；招标单位如以电子邮件发送招标信息（如通知、表格等）的，亦仅以该邮箱发出的为准。</w:t>
      </w:r>
    </w:p>
    <w:p>
      <w:pPr>
        <w:spacing w:line="360" w:lineRule="auto"/>
        <w:rPr>
          <w:rFonts w:hint="eastAsia" w:ascii="宋体" w:hAnsi="宋体" w:eastAsia="宋体" w:cs="宋体"/>
          <w:b w:val="0"/>
          <w:bCs w:val="0"/>
          <w:color w:val="FF0000"/>
          <w:kern w:val="2"/>
          <w:sz w:val="24"/>
          <w:lang w:val="en-US" w:eastAsia="zh-CN"/>
        </w:rPr>
      </w:pPr>
      <w:r>
        <w:rPr>
          <w:rFonts w:hint="eastAsia" w:ascii="宋体" w:hAnsi="宋体" w:cs="宋体"/>
          <w:b w:val="0"/>
          <w:bCs w:val="0"/>
          <w:color w:val="FF0000"/>
          <w:kern w:val="2"/>
          <w:sz w:val="24"/>
          <w:lang w:val="en-US" w:eastAsia="zh-CN"/>
        </w:rPr>
        <w:t>2.7</w:t>
      </w:r>
      <w:r>
        <w:rPr>
          <w:rFonts w:hint="eastAsia" w:ascii="宋体" w:hAnsi="宋体" w:eastAsia="宋体" w:cs="宋体"/>
          <w:b w:val="0"/>
          <w:bCs w:val="0"/>
          <w:color w:val="FF0000"/>
          <w:kern w:val="2"/>
          <w:sz w:val="24"/>
          <w:lang w:val="en-US" w:eastAsia="zh-CN"/>
        </w:rPr>
        <w:t>招标单位人员如有营私舞弊、吃拿卡要等损害投标单位合法权益的行为，投标单位可拨打投诉专线4000968086或发邮件至投诉邮箱:</w:t>
      </w:r>
      <w:r>
        <w:rPr>
          <w:rFonts w:hint="eastAsia" w:ascii="宋体" w:hAnsi="宋体" w:eastAsia="宋体" w:cs="宋体"/>
          <w:b w:val="0"/>
          <w:bCs w:val="0"/>
          <w:color w:val="FF0000"/>
          <w:kern w:val="2"/>
          <w:sz w:val="24"/>
          <w:u w:val="single"/>
          <w:lang w:val="en-US" w:eastAsia="zh-CN"/>
        </w:rPr>
        <w:t>zhglzx@nanfeng.cn</w:t>
      </w:r>
      <w:r>
        <w:rPr>
          <w:rFonts w:hint="eastAsia" w:ascii="宋体" w:hAnsi="宋体" w:eastAsia="宋体" w:cs="宋体"/>
          <w:b w:val="0"/>
          <w:bCs w:val="0"/>
          <w:color w:val="FF0000"/>
          <w:kern w:val="2"/>
          <w:sz w:val="24"/>
          <w:lang w:val="en-US" w:eastAsia="zh-CN"/>
        </w:rPr>
        <w:t>，也可至广东省东莞市南城街道鸿福路 106 号南峰中心 12楼内控中心办公室面诉。</w:t>
      </w:r>
    </w:p>
    <w:p>
      <w:pPr>
        <w:spacing w:line="360" w:lineRule="auto"/>
        <w:rPr>
          <w:rFonts w:hint="default"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en-US" w:eastAsia="zh-CN"/>
        </w:rPr>
        <w:t>三、对投标文件的编制要求</w:t>
      </w:r>
    </w:p>
    <w:bookmarkEnd w:id="5"/>
    <w:bookmarkEnd w:id="6"/>
    <w:p>
      <w:pPr>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3.</w:t>
      </w:r>
      <w:r>
        <w:rPr>
          <w:rFonts w:hint="eastAsia" w:ascii="宋体" w:hAnsi="宋体" w:cs="宋体"/>
          <w:b w:val="0"/>
          <w:bCs/>
          <w:color w:val="auto"/>
          <w:sz w:val="24"/>
          <w:lang w:val="en-US" w:eastAsia="zh-CN"/>
        </w:rPr>
        <w:t>1</w:t>
      </w:r>
      <w:r>
        <w:rPr>
          <w:rFonts w:hint="eastAsia" w:ascii="宋体" w:hAnsi="宋体" w:eastAsia="宋体" w:cs="宋体"/>
          <w:b w:val="0"/>
          <w:bCs/>
          <w:color w:val="auto"/>
          <w:sz w:val="24"/>
          <w:lang w:eastAsia="zh-CN"/>
        </w:rPr>
        <w:t>投标文件须</w:t>
      </w:r>
      <w:r>
        <w:rPr>
          <w:rFonts w:hint="eastAsia" w:ascii="宋体" w:hAnsi="宋体" w:eastAsia="宋体" w:cs="宋体"/>
          <w:b w:val="0"/>
          <w:bCs/>
          <w:color w:val="auto"/>
          <w:sz w:val="24"/>
        </w:rPr>
        <w:t>包括</w:t>
      </w:r>
      <w:r>
        <w:rPr>
          <w:rFonts w:hint="eastAsia" w:ascii="宋体" w:hAnsi="宋体" w:eastAsia="宋体" w:cs="宋体"/>
          <w:b w:val="0"/>
          <w:bCs/>
          <w:color w:val="auto"/>
          <w:sz w:val="24"/>
          <w:lang w:eastAsia="zh-CN"/>
        </w:rPr>
        <w:t>以下</w:t>
      </w:r>
      <w:r>
        <w:rPr>
          <w:rFonts w:hint="eastAsia" w:ascii="宋体" w:hAnsi="宋体" w:eastAsia="宋体" w:cs="宋体"/>
          <w:b w:val="0"/>
          <w:bCs/>
          <w:color w:val="auto"/>
          <w:sz w:val="24"/>
        </w:rPr>
        <w:t>内容</w:t>
      </w:r>
      <w:r>
        <w:rPr>
          <w:rFonts w:hint="eastAsia" w:ascii="宋体" w:hAnsi="宋体" w:eastAsia="宋体" w:cs="宋体"/>
          <w:b w:val="0"/>
          <w:bCs/>
          <w:color w:val="auto"/>
          <w:sz w:val="24"/>
          <w:lang w:eastAsia="zh-CN"/>
        </w:rPr>
        <w:t>并请按以下顺序</w:t>
      </w:r>
      <w:r>
        <w:rPr>
          <w:rFonts w:hint="eastAsia" w:ascii="宋体" w:hAnsi="宋体" w:cs="宋体"/>
          <w:b w:val="0"/>
          <w:bCs/>
          <w:color w:val="auto"/>
          <w:sz w:val="24"/>
          <w:lang w:val="en-US" w:eastAsia="zh-CN"/>
        </w:rPr>
        <w:t>排列、</w:t>
      </w:r>
      <w:r>
        <w:rPr>
          <w:rFonts w:hint="eastAsia" w:ascii="宋体" w:hAnsi="宋体" w:eastAsia="宋体" w:cs="宋体"/>
          <w:b w:val="0"/>
          <w:bCs/>
          <w:color w:val="auto"/>
          <w:sz w:val="24"/>
          <w:lang w:eastAsia="zh-CN"/>
        </w:rPr>
        <w:t>装订</w:t>
      </w:r>
      <w:r>
        <w:rPr>
          <w:rFonts w:hint="eastAsia" w:ascii="宋体" w:hAnsi="宋体" w:eastAsia="宋体" w:cs="宋体"/>
          <w:b w:val="0"/>
          <w:bCs/>
          <w:color w:val="auto"/>
          <w:sz w:val="24"/>
        </w:rPr>
        <w:t>：</w:t>
      </w:r>
    </w:p>
    <w:p>
      <w:pPr>
        <w:spacing w:line="360" w:lineRule="auto"/>
        <w:ind w:right="290"/>
        <w:rPr>
          <w:rFonts w:hint="eastAsia" w:ascii="宋体" w:hAnsi="宋体" w:cs="宋体"/>
          <w:color w:val="auto"/>
          <w:sz w:val="24"/>
          <w:szCs w:val="24"/>
        </w:rPr>
      </w:pPr>
      <w:r>
        <w:rPr>
          <w:rFonts w:hint="eastAsia" w:ascii="宋体" w:hAnsi="宋体" w:cs="宋体"/>
          <w:b w:val="0"/>
          <w:bCs/>
          <w:color w:val="auto"/>
          <w:sz w:val="24"/>
          <w:lang w:val="en-US" w:eastAsia="zh-CN"/>
        </w:rPr>
        <w:t>①</w:t>
      </w:r>
      <w:r>
        <w:rPr>
          <w:rFonts w:hint="eastAsia" w:ascii="宋体" w:hAnsi="宋体" w:cs="宋体"/>
          <w:color w:val="auto"/>
          <w:sz w:val="24"/>
          <w:szCs w:val="24"/>
          <w:lang w:val="en-US" w:eastAsia="zh-CN"/>
        </w:rPr>
        <w:t>报价</w:t>
      </w:r>
      <w:r>
        <w:rPr>
          <w:rFonts w:hint="eastAsia" w:ascii="宋体" w:hAnsi="宋体" w:cs="宋体"/>
          <w:color w:val="auto"/>
          <w:sz w:val="24"/>
          <w:szCs w:val="24"/>
        </w:rPr>
        <w:t>书；（格式详见附件）</w:t>
      </w:r>
    </w:p>
    <w:p>
      <w:pPr>
        <w:spacing w:line="360" w:lineRule="auto"/>
        <w:ind w:right="290"/>
        <w:rPr>
          <w:rFonts w:hint="eastAsia" w:ascii="宋体" w:hAnsi="宋体" w:cs="宋体"/>
          <w:color w:val="auto"/>
          <w:sz w:val="24"/>
          <w:szCs w:val="24"/>
          <w:lang w:eastAsia="zh-CN"/>
        </w:rPr>
      </w:pPr>
      <w:r>
        <w:rPr>
          <w:rFonts w:hint="eastAsia" w:ascii="宋体" w:hAnsi="宋体" w:cs="宋体"/>
          <w:color w:val="auto"/>
          <w:sz w:val="24"/>
          <w:szCs w:val="24"/>
          <w:lang w:val="en-US" w:eastAsia="zh-CN"/>
        </w:rPr>
        <w:t>②</w:t>
      </w:r>
      <w:r>
        <w:rPr>
          <w:rFonts w:hint="eastAsia" w:ascii="宋体" w:hAnsi="宋体" w:cs="宋体"/>
          <w:color w:val="auto"/>
          <w:sz w:val="24"/>
          <w:szCs w:val="24"/>
        </w:rPr>
        <w:t>投标报价清单</w:t>
      </w:r>
      <w:r>
        <w:rPr>
          <w:rFonts w:hint="eastAsia" w:ascii="宋体" w:hAnsi="宋体" w:cs="宋体"/>
          <w:color w:val="auto"/>
          <w:sz w:val="24"/>
          <w:szCs w:val="24"/>
          <w:lang w:eastAsia="zh-CN"/>
        </w:rPr>
        <w:t>；（</w:t>
      </w:r>
      <w:r>
        <w:rPr>
          <w:rFonts w:hint="eastAsia" w:ascii="宋体" w:hAnsi="宋体" w:cs="宋体"/>
          <w:color w:val="FF0000"/>
          <w:sz w:val="24"/>
          <w:szCs w:val="24"/>
          <w:lang w:val="en-US" w:eastAsia="zh-CN"/>
        </w:rPr>
        <w:t>格式详见附件，</w:t>
      </w:r>
      <w:r>
        <w:rPr>
          <w:rFonts w:hint="eastAsia" w:ascii="宋体" w:hAnsi="宋体" w:cs="宋体"/>
          <w:b/>
          <w:bCs/>
          <w:color w:val="FF0000"/>
          <w:sz w:val="24"/>
          <w:szCs w:val="24"/>
          <w:lang w:val="en-US" w:eastAsia="zh-CN"/>
        </w:rPr>
        <w:t>投标单位须同时填报“报价单的A版和B版”，两版不同之处在于付款方式</w:t>
      </w:r>
      <w:r>
        <w:rPr>
          <w:rFonts w:hint="eastAsia" w:ascii="宋体" w:hAnsi="宋体" w:cs="宋体"/>
          <w:color w:val="auto"/>
          <w:sz w:val="24"/>
          <w:szCs w:val="24"/>
          <w:lang w:eastAsia="zh-CN"/>
        </w:rPr>
        <w:t>）</w:t>
      </w:r>
    </w:p>
    <w:p>
      <w:pPr>
        <w:spacing w:line="360" w:lineRule="auto"/>
        <w:rPr>
          <w:rFonts w:hint="eastAsia"/>
          <w:color w:val="auto"/>
          <w:lang w:val="en-US" w:eastAsia="zh-CN"/>
        </w:rPr>
      </w:pPr>
      <w:r>
        <w:rPr>
          <w:rFonts w:hint="eastAsia" w:ascii="宋体" w:hAnsi="宋体" w:eastAsia="宋体" w:cs="宋体"/>
          <w:b w:val="0"/>
          <w:bCs w:val="0"/>
          <w:color w:val="auto"/>
          <w:kern w:val="2"/>
          <w:sz w:val="24"/>
          <w:lang w:val="en-US" w:eastAsia="zh-CN"/>
        </w:rPr>
        <w:t>③</w:t>
      </w:r>
      <w:r>
        <w:rPr>
          <w:rFonts w:hint="eastAsia" w:ascii="宋体" w:hAnsi="宋体" w:cs="宋体"/>
          <w:color w:val="auto"/>
          <w:sz w:val="24"/>
          <w:szCs w:val="24"/>
        </w:rPr>
        <w:t>授权委托书；（格式见附件）</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cs="宋体"/>
          <w:b w:val="0"/>
          <w:bCs w:val="0"/>
          <w:color w:val="auto"/>
          <w:kern w:val="2"/>
          <w:sz w:val="24"/>
          <w:lang w:val="en-US" w:eastAsia="zh-CN"/>
        </w:rPr>
        <w:t>④</w:t>
      </w:r>
      <w:r>
        <w:rPr>
          <w:rFonts w:hint="eastAsia" w:ascii="宋体" w:hAnsi="宋体" w:eastAsia="宋体" w:cs="宋体"/>
          <w:b w:val="0"/>
          <w:bCs/>
          <w:color w:val="auto"/>
          <w:sz w:val="24"/>
          <w:lang w:val="en-US" w:eastAsia="zh-CN"/>
        </w:rPr>
        <w:t>投标单位的</w:t>
      </w:r>
      <w:r>
        <w:rPr>
          <w:rFonts w:hint="eastAsia" w:ascii="宋体" w:hAnsi="宋体" w:cs="宋体"/>
          <w:b w:val="0"/>
          <w:bCs/>
          <w:color w:val="auto"/>
          <w:sz w:val="24"/>
          <w:lang w:val="en-US" w:eastAsia="zh-CN"/>
        </w:rPr>
        <w:t>企业情况简介、</w:t>
      </w:r>
      <w:r>
        <w:rPr>
          <w:rFonts w:hint="eastAsia" w:ascii="宋体" w:hAnsi="宋体" w:eastAsia="宋体" w:cs="宋体"/>
          <w:b w:val="0"/>
          <w:bCs/>
          <w:color w:val="auto"/>
          <w:sz w:val="24"/>
          <w:lang w:val="en-US" w:eastAsia="zh-CN"/>
        </w:rPr>
        <w:t>营</w:t>
      </w:r>
      <w:r>
        <w:rPr>
          <w:rFonts w:hint="eastAsia" w:ascii="宋体" w:hAnsi="宋体" w:eastAsia="宋体" w:cs="宋体"/>
          <w:b w:val="0"/>
          <w:bCs w:val="0"/>
          <w:color w:val="auto"/>
          <w:kern w:val="2"/>
          <w:sz w:val="24"/>
          <w:lang w:val="en-US" w:eastAsia="zh-CN"/>
        </w:rPr>
        <w:t>业执照、税务登记证、组织机构代码证、相关资质证书</w:t>
      </w:r>
      <w:r>
        <w:rPr>
          <w:rFonts w:hint="eastAsia" w:ascii="宋体" w:hAnsi="宋体" w:cs="宋体"/>
          <w:b w:val="0"/>
          <w:bCs w:val="0"/>
          <w:color w:val="auto"/>
          <w:kern w:val="2"/>
          <w:sz w:val="24"/>
          <w:lang w:val="en-US" w:eastAsia="zh-CN"/>
        </w:rPr>
        <w:t>扫描</w:t>
      </w:r>
      <w:r>
        <w:rPr>
          <w:rFonts w:hint="eastAsia" w:ascii="宋体" w:hAnsi="宋体" w:eastAsia="宋体" w:cs="宋体"/>
          <w:b w:val="0"/>
          <w:bCs w:val="0"/>
          <w:color w:val="auto"/>
          <w:kern w:val="2"/>
          <w:sz w:val="24"/>
          <w:lang w:val="en-US" w:eastAsia="zh-CN"/>
        </w:rPr>
        <w:t>件，投标单位近3年企业信誉一览表</w:t>
      </w:r>
      <w:bookmarkStart w:id="7" w:name="_GoBack"/>
      <w:bookmarkEnd w:id="7"/>
      <w:r>
        <w:rPr>
          <w:rFonts w:hint="eastAsia" w:ascii="宋体" w:hAnsi="宋体" w:eastAsia="宋体" w:cs="宋体"/>
          <w:b w:val="0"/>
          <w:bCs w:val="0"/>
          <w:color w:val="auto"/>
          <w:kern w:val="2"/>
          <w:sz w:val="24"/>
          <w:lang w:val="en-US" w:eastAsia="zh-CN"/>
        </w:rPr>
        <w:t>及有效证明；</w:t>
      </w:r>
    </w:p>
    <w:p>
      <w:pPr>
        <w:spacing w:line="360" w:lineRule="auto"/>
        <w:rPr>
          <w:rFonts w:hint="default"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zh-CN" w:eastAsia="zh-CN"/>
        </w:rPr>
        <w:t>⑤投标单位近3年同类工程业绩一览表；（格式见附件）</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zh-CN" w:eastAsia="zh-CN"/>
        </w:rPr>
        <w:t>⑥投标偏离表；（格式见附件）</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zh-CN" w:eastAsia="zh-CN"/>
        </w:rPr>
        <w:t>⑦《合同响应承诺书》《对工程质量及安全生产、文明施工标准的承诺书》《合同工期承诺书》《关于建设资金专款专用及支付民工工资的承诺书》《材料供应及质量保证承诺书》《对保证服从招标单位管理承诺书》</w:t>
      </w:r>
      <w:r>
        <w:rPr>
          <w:rFonts w:hint="eastAsia" w:ascii="宋体" w:hAnsi="宋体" w:cs="宋体"/>
          <w:b w:val="0"/>
          <w:bCs w:val="0"/>
          <w:color w:val="auto"/>
          <w:kern w:val="2"/>
          <w:sz w:val="24"/>
          <w:lang w:val="zh-CN" w:eastAsia="zh-CN"/>
        </w:rPr>
        <w:t>；（格式见附件）</w:t>
      </w:r>
    </w:p>
    <w:p>
      <w:pPr>
        <w:spacing w:line="360" w:lineRule="auto"/>
        <w:rPr>
          <w:rFonts w:hint="default"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⑧</w:t>
      </w:r>
      <w:r>
        <w:rPr>
          <w:rFonts w:hint="eastAsia" w:ascii="宋体" w:hAnsi="宋体" w:cs="宋体"/>
          <w:b w:val="0"/>
          <w:bCs w:val="0"/>
          <w:color w:val="auto"/>
          <w:kern w:val="2"/>
          <w:sz w:val="24"/>
          <w:lang w:val="en-US" w:eastAsia="zh-CN"/>
        </w:rPr>
        <w:t>投标文件要求提供的其他文件资料及投标单位认为需要提供的其他文件资料。</w:t>
      </w:r>
    </w:p>
    <w:p>
      <w:pPr>
        <w:spacing w:line="360" w:lineRule="auto"/>
        <w:rPr>
          <w:rFonts w:hint="default"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3.</w:t>
      </w:r>
      <w:r>
        <w:rPr>
          <w:rFonts w:hint="eastAsia" w:ascii="宋体" w:hAnsi="宋体" w:cs="宋体"/>
          <w:b w:val="0"/>
          <w:bCs w:val="0"/>
          <w:color w:val="auto"/>
          <w:kern w:val="2"/>
          <w:sz w:val="24"/>
          <w:lang w:val="en-US" w:eastAsia="zh-CN"/>
        </w:rPr>
        <w:t>2</w:t>
      </w:r>
      <w:r>
        <w:rPr>
          <w:rFonts w:hint="default" w:ascii="宋体" w:hAnsi="宋体" w:eastAsia="宋体" w:cs="宋体"/>
          <w:b w:val="0"/>
          <w:bCs w:val="0"/>
          <w:color w:val="auto"/>
          <w:kern w:val="2"/>
          <w:sz w:val="24"/>
          <w:lang w:val="en-US" w:eastAsia="zh-CN"/>
        </w:rPr>
        <w:t>为提高投标文件递交效率，投标文件先以电子文件格式（即投标单位完成纸质文件的编制、签字、盖章后，扫描成清晰、完整、彩色的PDF格式）提交，中标后再将曾扫描的纸质文件提交招标单位留存。</w:t>
      </w:r>
    </w:p>
    <w:p>
      <w:pPr>
        <w:spacing w:line="360" w:lineRule="auto"/>
        <w:rPr>
          <w:rFonts w:hint="default"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3.</w:t>
      </w:r>
      <w:r>
        <w:rPr>
          <w:rFonts w:hint="eastAsia" w:ascii="宋体" w:hAnsi="宋体" w:cs="宋体"/>
          <w:b w:val="0"/>
          <w:bCs w:val="0"/>
          <w:color w:val="auto"/>
          <w:kern w:val="2"/>
          <w:sz w:val="24"/>
          <w:lang w:val="en-US" w:eastAsia="zh-CN"/>
        </w:rPr>
        <w:t>3</w:t>
      </w:r>
      <w:r>
        <w:rPr>
          <w:rFonts w:hint="eastAsia" w:ascii="宋体" w:hAnsi="宋体" w:eastAsia="宋体" w:cs="宋体"/>
          <w:b w:val="0"/>
          <w:bCs w:val="0"/>
          <w:color w:val="auto"/>
          <w:kern w:val="2"/>
          <w:sz w:val="24"/>
          <w:lang w:val="en-US" w:eastAsia="zh-CN"/>
        </w:rPr>
        <w:t>投标邮件主题/标题格式为“****公司（投标单位名称）</w:t>
      </w:r>
      <w:r>
        <w:rPr>
          <w:rFonts w:hint="eastAsia" w:ascii="宋体" w:hAnsi="宋体" w:cs="宋体"/>
          <w:b w:val="0"/>
          <w:bCs w:val="0"/>
          <w:color w:val="auto"/>
          <w:kern w:val="2"/>
          <w:sz w:val="24"/>
          <w:lang w:val="en-US" w:eastAsia="zh-CN"/>
        </w:rPr>
        <w:t>南京项目商品砼</w:t>
      </w:r>
      <w:r>
        <w:rPr>
          <w:rFonts w:hint="eastAsia" w:ascii="宋体" w:hAnsi="宋体" w:eastAsia="宋体" w:cs="宋体"/>
          <w:b w:val="0"/>
          <w:bCs w:val="0"/>
          <w:color w:val="auto"/>
          <w:kern w:val="2"/>
          <w:sz w:val="24"/>
          <w:lang w:val="en-US" w:eastAsia="zh-CN"/>
        </w:rPr>
        <w:t>投标邮件”。请务必照此格式填写，以便招标单位识别。</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3.</w:t>
      </w:r>
      <w:r>
        <w:rPr>
          <w:rFonts w:hint="eastAsia" w:ascii="宋体" w:hAnsi="宋体" w:cs="宋体"/>
          <w:b w:val="0"/>
          <w:bCs w:val="0"/>
          <w:color w:val="auto"/>
          <w:kern w:val="2"/>
          <w:sz w:val="24"/>
          <w:lang w:val="en-US" w:eastAsia="zh-CN"/>
        </w:rPr>
        <w:t>4</w:t>
      </w:r>
      <w:r>
        <w:rPr>
          <w:rFonts w:hint="eastAsia" w:ascii="宋体" w:hAnsi="宋体" w:eastAsia="宋体" w:cs="宋体"/>
          <w:b w:val="0"/>
          <w:bCs w:val="0"/>
          <w:color w:val="auto"/>
          <w:kern w:val="2"/>
          <w:sz w:val="24"/>
          <w:lang w:val="en-US" w:eastAsia="zh-CN"/>
        </w:rPr>
        <w:t>所有投标邮件的正文请勿填写任何内容，尤其不得含有任何投标价格信息，否则将导致投标文件作废。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Theme="minorEastAsia" w:hAnsiTheme="minorEastAsia" w:eastAsiaTheme="minorEastAsia" w:cstheme="minorEastAsia"/>
          <w:b/>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color w:val="auto"/>
          <w:kern w:val="2"/>
          <w:sz w:val="24"/>
          <w:szCs w:val="24"/>
          <w:lang w:val="en-US" w:eastAsia="zh-CN" w:bidi="ar-SA"/>
        </w:rPr>
      </w:pPr>
      <w:r>
        <w:rPr>
          <w:rFonts w:hint="eastAsia" w:asciiTheme="minorEastAsia" w:hAnsiTheme="minorEastAsia" w:eastAsiaTheme="minorEastAsia" w:cstheme="minorEastAsia"/>
          <w:b/>
          <w:bCs w:val="0"/>
          <w:color w:val="auto"/>
          <w:sz w:val="28"/>
          <w:szCs w:val="28"/>
          <w:highlight w:val="none"/>
          <w:lang w:val="en-US" w:eastAsia="zh-CN"/>
        </w:rPr>
        <w:t>随附附件：</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rPr>
        <w:t>附件一《</w:t>
      </w:r>
      <w:r>
        <w:rPr>
          <w:rFonts w:hint="eastAsia" w:ascii="宋体" w:hAnsi="宋体" w:cs="宋体"/>
          <w:color w:val="auto"/>
          <w:sz w:val="24"/>
          <w:szCs w:val="24"/>
          <w:lang w:val="en-US" w:eastAsia="zh-CN"/>
        </w:rPr>
        <w:t>报价</w:t>
      </w:r>
      <w:r>
        <w:rPr>
          <w:rFonts w:hint="eastAsia" w:ascii="宋体" w:hAnsi="宋体" w:cs="宋体"/>
          <w:color w:val="auto"/>
          <w:sz w:val="24"/>
          <w:szCs w:val="24"/>
        </w:rPr>
        <w:t>书》格式；</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rPr>
        <w:t>附件二《授权委托书》格式；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附件三《近三年同类业绩一览表》格式；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附件四《投标</w:t>
      </w:r>
      <w:r>
        <w:rPr>
          <w:rFonts w:hint="eastAsia" w:ascii="宋体" w:hAnsi="宋体" w:cs="宋体"/>
          <w:color w:val="auto"/>
          <w:sz w:val="24"/>
          <w:szCs w:val="24"/>
          <w:lang w:val="zh-CN" w:eastAsia="zh-CN"/>
        </w:rPr>
        <w:t>偏离表</w:t>
      </w:r>
      <w:r>
        <w:rPr>
          <w:rFonts w:hint="eastAsia" w:ascii="宋体" w:hAnsi="宋体" w:cs="宋体"/>
          <w:color w:val="auto"/>
          <w:sz w:val="24"/>
          <w:szCs w:val="24"/>
          <w:lang w:val="en-US" w:eastAsia="zh-CN"/>
        </w:rPr>
        <w:t>》格式；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附件五 《合同响应承诺书》《对工程质量及安全生产、文明施工标准的承诺书》《合同工期承诺书》《关于建设资金专款专用及支付民工工资的承诺书》《材料供应及质量保证承诺书》《对保证服从招标单位管理承诺书》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附件六 合同格式；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附件七《投标报价清单》格式。</w:t>
      </w: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p>
      <w:pPr>
        <w:pStyle w:val="16"/>
        <w:spacing w:line="0" w:lineRule="atLeast"/>
        <w:ind w:left="0"/>
        <w:jc w:val="right"/>
        <w:rPr>
          <w:rFonts w:hint="eastAsia" w:ascii="宋体" w:hAnsi="宋体" w:cs="宋体"/>
          <w:color w:val="auto"/>
          <w:spacing w:val="10"/>
          <w:sz w:val="24"/>
          <w:lang w:val="en-US" w:eastAsia="zh-CN"/>
        </w:rPr>
      </w:pPr>
    </w:p>
    <w:sectPr>
      <w:headerReference r:id="rId3" w:type="default"/>
      <w:footerReference r:id="rId4" w:type="default"/>
      <w:pgSz w:w="11906" w:h="16838"/>
      <w:pgMar w:top="964" w:right="1133" w:bottom="964" w:left="1276" w:header="651" w:footer="44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Align="top"/>
    </w:pPr>
    <w:r>
      <w:rPr>
        <w:rFonts w:hint="eastAsia"/>
      </w:rPr>
      <w:t xml:space="preserve"> </w:t>
    </w:r>
  </w:p>
  <w:p>
    <w:pPr>
      <w:pStyle w:val="1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1SNf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hkMvcD/ztMeI4ecrUYYSdGuPzZZ7TqqX9+NfPVY+/&#10;1/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S1SNfTAQAApgMAAA4AAAAAAAAAAQAgAAAA&#10;IgEAAGRycy9lMm9Eb2MueG1sUEsFBgAAAAAGAAYAWQEAAGcFAAAAAA==&#10;">
              <v:fill on="f" focussize="0,0"/>
              <v:stroke on="f" weight="1.25pt"/>
              <v:imagedata o:title=""/>
              <o:lock v:ext="edit" aspectratio="f"/>
              <v:textbox inset="0mm,0mm,0mm,0mm" style="mso-fit-shape-to-text:t;">
                <w:txbxContent>
                  <w:p>
                    <w:pPr>
                      <w:pStyle w:val="18"/>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207"/>
      </w:tabs>
      <w:jc w:val="right"/>
      <w:rPr>
        <w:rFonts w:hint="default" w:eastAsia="宋体"/>
        <w:lang w:val="en-US" w:eastAsia="zh-CN"/>
      </w:rPr>
    </w:pPr>
    <w:r>
      <w:rPr>
        <w:rFonts w:hint="eastAsia"/>
        <w:lang w:val="en-US" w:eastAsia="zh-CN"/>
      </w:rPr>
      <w:t xml:space="preserve">                                        东莞市中泰建安工程有限公司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230"/>
        </w:tabs>
        <w:ind w:left="1230" w:hanging="81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upperLetter"/>
      <w:pStyle w:val="2"/>
      <w:lvlText w:val="%5、"/>
      <w:lvlJc w:val="left"/>
      <w:pPr>
        <w:tabs>
          <w:tab w:val="left" w:pos="2400"/>
        </w:tabs>
        <w:ind w:left="2400" w:hanging="720"/>
      </w:pPr>
      <w:rPr>
        <w:rFonts w:hint="eastAsia"/>
      </w:rPr>
    </w:lvl>
    <w:lvl w:ilvl="5" w:tentative="0">
      <w:start w:val="1"/>
      <w:numFmt w:val="lowerLetter"/>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upperLetter"/>
      <w:pStyle w:val="3"/>
      <w:lvlText w:val="%1、"/>
      <w:lvlJc w:val="left"/>
      <w:pPr>
        <w:tabs>
          <w:tab w:val="left" w:pos="1838"/>
        </w:tabs>
        <w:ind w:left="1838" w:hanging="720"/>
      </w:pPr>
      <w:rPr>
        <w:rFonts w:hint="eastAsia"/>
      </w:rPr>
    </w:lvl>
    <w:lvl w:ilvl="1" w:tentative="0">
      <w:start w:val="1"/>
      <w:numFmt w:val="decimal"/>
      <w:lvlText w:val="（%2）"/>
      <w:lvlJc w:val="left"/>
      <w:pPr>
        <w:tabs>
          <w:tab w:val="left" w:pos="2258"/>
        </w:tabs>
        <w:ind w:left="2258" w:hanging="720"/>
      </w:pPr>
      <w:rPr>
        <w:rFonts w:hint="eastAsia"/>
      </w:rPr>
    </w:lvl>
    <w:lvl w:ilvl="2" w:tentative="0">
      <w:start w:val="1"/>
      <w:numFmt w:val="lowerRoman"/>
      <w:lvlText w:val="%3."/>
      <w:lvlJc w:val="right"/>
      <w:pPr>
        <w:tabs>
          <w:tab w:val="left" w:pos="2378"/>
        </w:tabs>
        <w:ind w:left="2378" w:hanging="420"/>
      </w:pPr>
    </w:lvl>
    <w:lvl w:ilvl="3" w:tentative="0">
      <w:start w:val="1"/>
      <w:numFmt w:val="decimal"/>
      <w:lvlText w:val="%4."/>
      <w:lvlJc w:val="left"/>
      <w:pPr>
        <w:tabs>
          <w:tab w:val="left" w:pos="2798"/>
        </w:tabs>
        <w:ind w:left="2798" w:hanging="420"/>
      </w:pPr>
    </w:lvl>
    <w:lvl w:ilvl="4" w:tentative="0">
      <w:start w:val="1"/>
      <w:numFmt w:val="lowerLetter"/>
      <w:lvlText w:val="%5)"/>
      <w:lvlJc w:val="left"/>
      <w:pPr>
        <w:tabs>
          <w:tab w:val="left" w:pos="3218"/>
        </w:tabs>
        <w:ind w:left="3218" w:hanging="420"/>
      </w:pPr>
    </w:lvl>
    <w:lvl w:ilvl="5" w:tentative="0">
      <w:start w:val="1"/>
      <w:numFmt w:val="lowerRoman"/>
      <w:lvlText w:val="%6."/>
      <w:lvlJc w:val="right"/>
      <w:pPr>
        <w:tabs>
          <w:tab w:val="left" w:pos="3638"/>
        </w:tabs>
        <w:ind w:left="3638" w:hanging="420"/>
      </w:pPr>
    </w:lvl>
    <w:lvl w:ilvl="6" w:tentative="0">
      <w:start w:val="1"/>
      <w:numFmt w:val="decimal"/>
      <w:lvlText w:val="%7."/>
      <w:lvlJc w:val="left"/>
      <w:pPr>
        <w:tabs>
          <w:tab w:val="left" w:pos="4058"/>
        </w:tabs>
        <w:ind w:left="4058" w:hanging="420"/>
      </w:pPr>
    </w:lvl>
    <w:lvl w:ilvl="7" w:tentative="0">
      <w:start w:val="1"/>
      <w:numFmt w:val="lowerLetter"/>
      <w:lvlText w:val="%8)"/>
      <w:lvlJc w:val="left"/>
      <w:pPr>
        <w:tabs>
          <w:tab w:val="left" w:pos="4478"/>
        </w:tabs>
        <w:ind w:left="4478" w:hanging="420"/>
      </w:pPr>
    </w:lvl>
    <w:lvl w:ilvl="8" w:tentative="0">
      <w:start w:val="1"/>
      <w:numFmt w:val="lowerRoman"/>
      <w:lvlText w:val="%9."/>
      <w:lvlJc w:val="right"/>
      <w:pPr>
        <w:tabs>
          <w:tab w:val="left" w:pos="4898"/>
        </w:tabs>
        <w:ind w:left="4898" w:hanging="420"/>
      </w:pPr>
    </w:lvl>
  </w:abstractNum>
  <w:abstractNum w:abstractNumId="2">
    <w:nsid w:val="038C4DC9"/>
    <w:multiLevelType w:val="multilevel"/>
    <w:tmpl w:val="038C4DC9"/>
    <w:lvl w:ilvl="0" w:tentative="0">
      <w:start w:val="1"/>
      <w:numFmt w:val="decimal"/>
      <w:suff w:val="nothing"/>
      <w:lvlText w:val="%1、"/>
      <w:lvlJc w:val="left"/>
      <w:pPr>
        <w:ind w:left="113" w:hanging="113"/>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mE5YTY2YWVmNDdiNmM5ZmRhNDQyN2Y3MzFmYjgifQ=="/>
  </w:docVars>
  <w:rsids>
    <w:rsidRoot w:val="00172A27"/>
    <w:rsid w:val="00054AF9"/>
    <w:rsid w:val="00057884"/>
    <w:rsid w:val="0010468D"/>
    <w:rsid w:val="0013742F"/>
    <w:rsid w:val="00172A27"/>
    <w:rsid w:val="001778CB"/>
    <w:rsid w:val="00236823"/>
    <w:rsid w:val="00237EE6"/>
    <w:rsid w:val="00255B4E"/>
    <w:rsid w:val="00266225"/>
    <w:rsid w:val="00272365"/>
    <w:rsid w:val="00277962"/>
    <w:rsid w:val="002B4D76"/>
    <w:rsid w:val="0034490C"/>
    <w:rsid w:val="003E72AD"/>
    <w:rsid w:val="004015D1"/>
    <w:rsid w:val="0040332E"/>
    <w:rsid w:val="004F1FFD"/>
    <w:rsid w:val="00505A4B"/>
    <w:rsid w:val="00531823"/>
    <w:rsid w:val="0054118F"/>
    <w:rsid w:val="00576666"/>
    <w:rsid w:val="00593D03"/>
    <w:rsid w:val="005E3FFF"/>
    <w:rsid w:val="0061515E"/>
    <w:rsid w:val="006A637E"/>
    <w:rsid w:val="006B2AEA"/>
    <w:rsid w:val="007102BE"/>
    <w:rsid w:val="007923A4"/>
    <w:rsid w:val="007B6966"/>
    <w:rsid w:val="007D1819"/>
    <w:rsid w:val="008126DD"/>
    <w:rsid w:val="00824C64"/>
    <w:rsid w:val="00861731"/>
    <w:rsid w:val="008A7C6B"/>
    <w:rsid w:val="00922444"/>
    <w:rsid w:val="0098719E"/>
    <w:rsid w:val="00A05481"/>
    <w:rsid w:val="00A2114C"/>
    <w:rsid w:val="00A3763F"/>
    <w:rsid w:val="00A635CC"/>
    <w:rsid w:val="00AA3DB9"/>
    <w:rsid w:val="00AA3F7D"/>
    <w:rsid w:val="00AF5A77"/>
    <w:rsid w:val="00B01152"/>
    <w:rsid w:val="00B221B7"/>
    <w:rsid w:val="00B366CE"/>
    <w:rsid w:val="00BA3B82"/>
    <w:rsid w:val="00C27B0B"/>
    <w:rsid w:val="00C41F10"/>
    <w:rsid w:val="00C42A7D"/>
    <w:rsid w:val="00C44568"/>
    <w:rsid w:val="00CA539D"/>
    <w:rsid w:val="00CD0B1C"/>
    <w:rsid w:val="00D75DD6"/>
    <w:rsid w:val="00DA3B8D"/>
    <w:rsid w:val="00DD76AE"/>
    <w:rsid w:val="00E1124D"/>
    <w:rsid w:val="00E15D48"/>
    <w:rsid w:val="00E229F8"/>
    <w:rsid w:val="00E33420"/>
    <w:rsid w:val="00E3349B"/>
    <w:rsid w:val="00E43385"/>
    <w:rsid w:val="00E74418"/>
    <w:rsid w:val="00E75812"/>
    <w:rsid w:val="00E829B0"/>
    <w:rsid w:val="00E82C36"/>
    <w:rsid w:val="00E87F8C"/>
    <w:rsid w:val="00EB0CFD"/>
    <w:rsid w:val="00EB47BE"/>
    <w:rsid w:val="00EC7782"/>
    <w:rsid w:val="00ED0A0C"/>
    <w:rsid w:val="00ED65DC"/>
    <w:rsid w:val="00EF6941"/>
    <w:rsid w:val="00F13218"/>
    <w:rsid w:val="00F37E4A"/>
    <w:rsid w:val="010263D5"/>
    <w:rsid w:val="03AC268B"/>
    <w:rsid w:val="03EA2651"/>
    <w:rsid w:val="03ED7A86"/>
    <w:rsid w:val="04AC03C6"/>
    <w:rsid w:val="04B97512"/>
    <w:rsid w:val="04F27074"/>
    <w:rsid w:val="0536382A"/>
    <w:rsid w:val="05C94171"/>
    <w:rsid w:val="06082CB4"/>
    <w:rsid w:val="067A08EC"/>
    <w:rsid w:val="068C27B8"/>
    <w:rsid w:val="06FC6899"/>
    <w:rsid w:val="07130C42"/>
    <w:rsid w:val="07181283"/>
    <w:rsid w:val="07793557"/>
    <w:rsid w:val="087D2E7C"/>
    <w:rsid w:val="090B5CA8"/>
    <w:rsid w:val="090D5DFC"/>
    <w:rsid w:val="0946499D"/>
    <w:rsid w:val="095E21CD"/>
    <w:rsid w:val="0A827EF3"/>
    <w:rsid w:val="0A8E7EA7"/>
    <w:rsid w:val="0B464CB2"/>
    <w:rsid w:val="0B480794"/>
    <w:rsid w:val="0CED761B"/>
    <w:rsid w:val="0CFC4099"/>
    <w:rsid w:val="0D4423F0"/>
    <w:rsid w:val="0D65441F"/>
    <w:rsid w:val="0DE453AD"/>
    <w:rsid w:val="0E417312"/>
    <w:rsid w:val="0E441033"/>
    <w:rsid w:val="0EB30AE2"/>
    <w:rsid w:val="0EC65A9C"/>
    <w:rsid w:val="0EE72A0B"/>
    <w:rsid w:val="0F750BFF"/>
    <w:rsid w:val="0FB32DCB"/>
    <w:rsid w:val="10382AF8"/>
    <w:rsid w:val="10A833AB"/>
    <w:rsid w:val="10D644E1"/>
    <w:rsid w:val="10E6781C"/>
    <w:rsid w:val="113F368F"/>
    <w:rsid w:val="11800D8E"/>
    <w:rsid w:val="119A7304"/>
    <w:rsid w:val="11FF37DC"/>
    <w:rsid w:val="123B5F91"/>
    <w:rsid w:val="12D6271E"/>
    <w:rsid w:val="12E80675"/>
    <w:rsid w:val="13584BBF"/>
    <w:rsid w:val="13602AC7"/>
    <w:rsid w:val="136B0081"/>
    <w:rsid w:val="13DA3772"/>
    <w:rsid w:val="13F447C7"/>
    <w:rsid w:val="14090AEA"/>
    <w:rsid w:val="145846EE"/>
    <w:rsid w:val="147038A8"/>
    <w:rsid w:val="14D63100"/>
    <w:rsid w:val="15424AF0"/>
    <w:rsid w:val="15DE5FB2"/>
    <w:rsid w:val="15ED01B9"/>
    <w:rsid w:val="16722BC3"/>
    <w:rsid w:val="16BB0368"/>
    <w:rsid w:val="16D31A64"/>
    <w:rsid w:val="16E24EAF"/>
    <w:rsid w:val="176973CC"/>
    <w:rsid w:val="17C80437"/>
    <w:rsid w:val="17DF4499"/>
    <w:rsid w:val="180719B9"/>
    <w:rsid w:val="184A4EF8"/>
    <w:rsid w:val="18F2437F"/>
    <w:rsid w:val="194F000E"/>
    <w:rsid w:val="19E14DCF"/>
    <w:rsid w:val="19E3253B"/>
    <w:rsid w:val="1A3E31DC"/>
    <w:rsid w:val="1A5C705F"/>
    <w:rsid w:val="1B3F1409"/>
    <w:rsid w:val="1B4D4A6E"/>
    <w:rsid w:val="1B9D1608"/>
    <w:rsid w:val="1BBC44D4"/>
    <w:rsid w:val="1C1E7345"/>
    <w:rsid w:val="1C332052"/>
    <w:rsid w:val="1CF8184D"/>
    <w:rsid w:val="1D283873"/>
    <w:rsid w:val="1E5C197C"/>
    <w:rsid w:val="1E8024E2"/>
    <w:rsid w:val="1F0020CD"/>
    <w:rsid w:val="202F71ED"/>
    <w:rsid w:val="20DB5A9C"/>
    <w:rsid w:val="21767C55"/>
    <w:rsid w:val="219D7E6D"/>
    <w:rsid w:val="221F4A24"/>
    <w:rsid w:val="223B723B"/>
    <w:rsid w:val="2297289A"/>
    <w:rsid w:val="229D00AC"/>
    <w:rsid w:val="236C7274"/>
    <w:rsid w:val="23D559D7"/>
    <w:rsid w:val="2449704B"/>
    <w:rsid w:val="248B5D3C"/>
    <w:rsid w:val="25164BFC"/>
    <w:rsid w:val="26080BDC"/>
    <w:rsid w:val="26437C73"/>
    <w:rsid w:val="2657571D"/>
    <w:rsid w:val="26D82C46"/>
    <w:rsid w:val="27D8236B"/>
    <w:rsid w:val="283A46BF"/>
    <w:rsid w:val="283C504A"/>
    <w:rsid w:val="286E297C"/>
    <w:rsid w:val="290435F1"/>
    <w:rsid w:val="29670F5F"/>
    <w:rsid w:val="29943847"/>
    <w:rsid w:val="29E9166A"/>
    <w:rsid w:val="2A161C04"/>
    <w:rsid w:val="2A75273F"/>
    <w:rsid w:val="2A991303"/>
    <w:rsid w:val="2B265FD0"/>
    <w:rsid w:val="2B4D3FEB"/>
    <w:rsid w:val="2B4E34E1"/>
    <w:rsid w:val="2B6962B5"/>
    <w:rsid w:val="2BB74E2C"/>
    <w:rsid w:val="2D384280"/>
    <w:rsid w:val="2E1D72A0"/>
    <w:rsid w:val="2E5D30A4"/>
    <w:rsid w:val="2E7C7216"/>
    <w:rsid w:val="2E8B4283"/>
    <w:rsid w:val="2EA803A7"/>
    <w:rsid w:val="2EB74581"/>
    <w:rsid w:val="2EB900AE"/>
    <w:rsid w:val="2EB933CE"/>
    <w:rsid w:val="2F4A2687"/>
    <w:rsid w:val="2F6D22AE"/>
    <w:rsid w:val="2F844995"/>
    <w:rsid w:val="2FFA442A"/>
    <w:rsid w:val="301777D3"/>
    <w:rsid w:val="30402E86"/>
    <w:rsid w:val="31C375DF"/>
    <w:rsid w:val="31E470DE"/>
    <w:rsid w:val="320343B1"/>
    <w:rsid w:val="32EB2CD2"/>
    <w:rsid w:val="32F464E6"/>
    <w:rsid w:val="3334242E"/>
    <w:rsid w:val="33C4596F"/>
    <w:rsid w:val="34450114"/>
    <w:rsid w:val="34A66507"/>
    <w:rsid w:val="34FD0DE0"/>
    <w:rsid w:val="35150A2C"/>
    <w:rsid w:val="35E01D91"/>
    <w:rsid w:val="366C58E4"/>
    <w:rsid w:val="36A20CBA"/>
    <w:rsid w:val="370070DE"/>
    <w:rsid w:val="37180607"/>
    <w:rsid w:val="37273194"/>
    <w:rsid w:val="376204E6"/>
    <w:rsid w:val="381633CE"/>
    <w:rsid w:val="38A8522E"/>
    <w:rsid w:val="39613110"/>
    <w:rsid w:val="39B31CCD"/>
    <w:rsid w:val="3A0067B6"/>
    <w:rsid w:val="3A110A9A"/>
    <w:rsid w:val="3A122DC2"/>
    <w:rsid w:val="3A263EF3"/>
    <w:rsid w:val="3ABC714F"/>
    <w:rsid w:val="3C012B82"/>
    <w:rsid w:val="3C160BBE"/>
    <w:rsid w:val="3C8F19A0"/>
    <w:rsid w:val="3D0D6B4A"/>
    <w:rsid w:val="3D0D75D0"/>
    <w:rsid w:val="3D717703"/>
    <w:rsid w:val="3D9D1B11"/>
    <w:rsid w:val="3E223111"/>
    <w:rsid w:val="3E46411C"/>
    <w:rsid w:val="3E4F357F"/>
    <w:rsid w:val="3EB377F8"/>
    <w:rsid w:val="3F435977"/>
    <w:rsid w:val="3FA00970"/>
    <w:rsid w:val="400F334E"/>
    <w:rsid w:val="40281578"/>
    <w:rsid w:val="40A101A5"/>
    <w:rsid w:val="411604DD"/>
    <w:rsid w:val="414B3EC8"/>
    <w:rsid w:val="41E81AB8"/>
    <w:rsid w:val="424D4F93"/>
    <w:rsid w:val="42672A7C"/>
    <w:rsid w:val="43FA7E14"/>
    <w:rsid w:val="445A373C"/>
    <w:rsid w:val="44844822"/>
    <w:rsid w:val="4485474A"/>
    <w:rsid w:val="44BD46BB"/>
    <w:rsid w:val="45402AD3"/>
    <w:rsid w:val="455814A3"/>
    <w:rsid w:val="45615EF0"/>
    <w:rsid w:val="459C6181"/>
    <w:rsid w:val="467E273A"/>
    <w:rsid w:val="46C36CC4"/>
    <w:rsid w:val="46E2319A"/>
    <w:rsid w:val="46E52582"/>
    <w:rsid w:val="46F9037A"/>
    <w:rsid w:val="47DE00FB"/>
    <w:rsid w:val="48346325"/>
    <w:rsid w:val="48604AFD"/>
    <w:rsid w:val="490239C7"/>
    <w:rsid w:val="49347B1E"/>
    <w:rsid w:val="499E138A"/>
    <w:rsid w:val="49AE6371"/>
    <w:rsid w:val="49FB59F7"/>
    <w:rsid w:val="4A0469DC"/>
    <w:rsid w:val="4A0B3A68"/>
    <w:rsid w:val="4A7747F9"/>
    <w:rsid w:val="4A7D6802"/>
    <w:rsid w:val="4AB625AF"/>
    <w:rsid w:val="4BB5325E"/>
    <w:rsid w:val="4C092710"/>
    <w:rsid w:val="4C1305E3"/>
    <w:rsid w:val="4C21169A"/>
    <w:rsid w:val="4C3F5D00"/>
    <w:rsid w:val="4C4517C6"/>
    <w:rsid w:val="4C620E94"/>
    <w:rsid w:val="4C65088E"/>
    <w:rsid w:val="4CF12A0F"/>
    <w:rsid w:val="4D4A2F47"/>
    <w:rsid w:val="4D5E4992"/>
    <w:rsid w:val="4D6148EA"/>
    <w:rsid w:val="4D7D6451"/>
    <w:rsid w:val="4E4D5533"/>
    <w:rsid w:val="4E6075BD"/>
    <w:rsid w:val="4EBC64A0"/>
    <w:rsid w:val="4EBE5A76"/>
    <w:rsid w:val="4ED00590"/>
    <w:rsid w:val="4F256F89"/>
    <w:rsid w:val="4F606FAE"/>
    <w:rsid w:val="4FDF5C3B"/>
    <w:rsid w:val="501F4E6A"/>
    <w:rsid w:val="50887344"/>
    <w:rsid w:val="508E329E"/>
    <w:rsid w:val="509060DF"/>
    <w:rsid w:val="50CC7B7E"/>
    <w:rsid w:val="50E56235"/>
    <w:rsid w:val="51AC1CDF"/>
    <w:rsid w:val="51F2283F"/>
    <w:rsid w:val="521A7291"/>
    <w:rsid w:val="53F04DF8"/>
    <w:rsid w:val="54AF347F"/>
    <w:rsid w:val="55650D57"/>
    <w:rsid w:val="55DE0270"/>
    <w:rsid w:val="56434BF9"/>
    <w:rsid w:val="57581E97"/>
    <w:rsid w:val="57F23CF4"/>
    <w:rsid w:val="587616E4"/>
    <w:rsid w:val="59466B3A"/>
    <w:rsid w:val="595545E8"/>
    <w:rsid w:val="595B3822"/>
    <w:rsid w:val="596A167A"/>
    <w:rsid w:val="5A0C7386"/>
    <w:rsid w:val="5A36201C"/>
    <w:rsid w:val="5A416FD9"/>
    <w:rsid w:val="5A506EF0"/>
    <w:rsid w:val="5A6632E7"/>
    <w:rsid w:val="5B294FDD"/>
    <w:rsid w:val="5B7976B8"/>
    <w:rsid w:val="5CE60816"/>
    <w:rsid w:val="5D2829A8"/>
    <w:rsid w:val="5D402D40"/>
    <w:rsid w:val="5DA44CB6"/>
    <w:rsid w:val="5DD07C52"/>
    <w:rsid w:val="5E221ADC"/>
    <w:rsid w:val="5E7347FE"/>
    <w:rsid w:val="5EAB2D6C"/>
    <w:rsid w:val="5F233DD0"/>
    <w:rsid w:val="5F381638"/>
    <w:rsid w:val="5FBC45A0"/>
    <w:rsid w:val="5FBF2B1E"/>
    <w:rsid w:val="5FCF0CF1"/>
    <w:rsid w:val="601222C0"/>
    <w:rsid w:val="602A3584"/>
    <w:rsid w:val="60691373"/>
    <w:rsid w:val="608B0142"/>
    <w:rsid w:val="60A30D33"/>
    <w:rsid w:val="60B335F8"/>
    <w:rsid w:val="60B93B5B"/>
    <w:rsid w:val="60CB384B"/>
    <w:rsid w:val="60CD43DA"/>
    <w:rsid w:val="611235F5"/>
    <w:rsid w:val="61667369"/>
    <w:rsid w:val="61903564"/>
    <w:rsid w:val="61E010A8"/>
    <w:rsid w:val="62FA3956"/>
    <w:rsid w:val="634B1DA0"/>
    <w:rsid w:val="64A22B61"/>
    <w:rsid w:val="64B93666"/>
    <w:rsid w:val="64D72DC8"/>
    <w:rsid w:val="658A63B3"/>
    <w:rsid w:val="661B38BC"/>
    <w:rsid w:val="663366B5"/>
    <w:rsid w:val="66F61FFD"/>
    <w:rsid w:val="671B2159"/>
    <w:rsid w:val="672229B1"/>
    <w:rsid w:val="67E422DD"/>
    <w:rsid w:val="685B37C3"/>
    <w:rsid w:val="688E7FBF"/>
    <w:rsid w:val="689D73CB"/>
    <w:rsid w:val="68B664A8"/>
    <w:rsid w:val="68EC04BD"/>
    <w:rsid w:val="697E4DA9"/>
    <w:rsid w:val="698C52F3"/>
    <w:rsid w:val="69974883"/>
    <w:rsid w:val="69D57B12"/>
    <w:rsid w:val="6A2D0FBB"/>
    <w:rsid w:val="6A6B2065"/>
    <w:rsid w:val="6A967488"/>
    <w:rsid w:val="6B180687"/>
    <w:rsid w:val="6B58736D"/>
    <w:rsid w:val="6B660952"/>
    <w:rsid w:val="6B6D210C"/>
    <w:rsid w:val="6B9C3363"/>
    <w:rsid w:val="6BC852BA"/>
    <w:rsid w:val="6BD116D9"/>
    <w:rsid w:val="6BE16D90"/>
    <w:rsid w:val="6BE17328"/>
    <w:rsid w:val="6C345723"/>
    <w:rsid w:val="6CDF4CAE"/>
    <w:rsid w:val="6D002C52"/>
    <w:rsid w:val="6D2418F0"/>
    <w:rsid w:val="6D2F1E55"/>
    <w:rsid w:val="6D7B52B1"/>
    <w:rsid w:val="6E356CF4"/>
    <w:rsid w:val="6EB84029"/>
    <w:rsid w:val="6F545C7A"/>
    <w:rsid w:val="6FD127EC"/>
    <w:rsid w:val="702154DA"/>
    <w:rsid w:val="704264AC"/>
    <w:rsid w:val="707D6958"/>
    <w:rsid w:val="70B26580"/>
    <w:rsid w:val="70C37E04"/>
    <w:rsid w:val="712222CD"/>
    <w:rsid w:val="718441CE"/>
    <w:rsid w:val="71AF4387"/>
    <w:rsid w:val="71F75645"/>
    <w:rsid w:val="7203620B"/>
    <w:rsid w:val="723A2523"/>
    <w:rsid w:val="725F1BF3"/>
    <w:rsid w:val="72D516F4"/>
    <w:rsid w:val="73284006"/>
    <w:rsid w:val="743865B8"/>
    <w:rsid w:val="744321B9"/>
    <w:rsid w:val="74574461"/>
    <w:rsid w:val="74D9141B"/>
    <w:rsid w:val="74DC560A"/>
    <w:rsid w:val="74E16D7A"/>
    <w:rsid w:val="753F0381"/>
    <w:rsid w:val="75D222CE"/>
    <w:rsid w:val="75E67981"/>
    <w:rsid w:val="763D5388"/>
    <w:rsid w:val="76405028"/>
    <w:rsid w:val="775B174B"/>
    <w:rsid w:val="777A4F36"/>
    <w:rsid w:val="77A71AC6"/>
    <w:rsid w:val="77BD625D"/>
    <w:rsid w:val="780D61D2"/>
    <w:rsid w:val="7898567B"/>
    <w:rsid w:val="79372D1B"/>
    <w:rsid w:val="793C0877"/>
    <w:rsid w:val="794126AD"/>
    <w:rsid w:val="794B5488"/>
    <w:rsid w:val="79664BFC"/>
    <w:rsid w:val="7A9D15E4"/>
    <w:rsid w:val="7ACD3130"/>
    <w:rsid w:val="7B0A4360"/>
    <w:rsid w:val="7B12131F"/>
    <w:rsid w:val="7B3714E5"/>
    <w:rsid w:val="7B653C66"/>
    <w:rsid w:val="7B65493E"/>
    <w:rsid w:val="7B831D83"/>
    <w:rsid w:val="7BB816F4"/>
    <w:rsid w:val="7C596871"/>
    <w:rsid w:val="7CEF3052"/>
    <w:rsid w:val="7E3D1CEC"/>
    <w:rsid w:val="7EF115DE"/>
    <w:rsid w:val="7F0B5476"/>
    <w:rsid w:val="7F15621A"/>
    <w:rsid w:val="7F43363E"/>
    <w:rsid w:val="7F6C5895"/>
    <w:rsid w:val="7F8D32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numPr>
        <w:ilvl w:val="4"/>
        <w:numId w:val="1"/>
      </w:numPr>
      <w:tabs>
        <w:tab w:val="left" w:pos="720"/>
      </w:tabs>
      <w:ind w:hanging="1380"/>
      <w:outlineLvl w:val="0"/>
    </w:pPr>
    <w:rPr>
      <w:sz w:val="28"/>
    </w:rPr>
  </w:style>
  <w:style w:type="paragraph" w:styleId="3">
    <w:name w:val="heading 2"/>
    <w:basedOn w:val="1"/>
    <w:next w:val="1"/>
    <w:autoRedefine/>
    <w:qFormat/>
    <w:uiPriority w:val="0"/>
    <w:pPr>
      <w:keepNext/>
      <w:numPr>
        <w:ilvl w:val="0"/>
        <w:numId w:val="2"/>
      </w:numPr>
      <w:tabs>
        <w:tab w:val="left" w:pos="0"/>
      </w:tabs>
      <w:outlineLvl w:val="1"/>
    </w:pPr>
    <w:rPr>
      <w:sz w:val="28"/>
    </w:rPr>
  </w:style>
  <w:style w:type="paragraph" w:styleId="4">
    <w:name w:val="heading 3"/>
    <w:basedOn w:val="1"/>
    <w:next w:val="1"/>
    <w:autoRedefine/>
    <w:qFormat/>
    <w:uiPriority w:val="0"/>
    <w:pPr>
      <w:keepNext/>
      <w:keepLines/>
      <w:spacing w:before="260" w:after="260" w:line="413" w:lineRule="auto"/>
      <w:outlineLvl w:val="2"/>
    </w:pPr>
    <w:rPr>
      <w:b/>
      <w:sz w:val="28"/>
    </w:rPr>
  </w:style>
  <w:style w:type="paragraph" w:styleId="5">
    <w:name w:val="heading 6"/>
    <w:basedOn w:val="1"/>
    <w:next w:val="1"/>
    <w:autoRedefine/>
    <w:qFormat/>
    <w:uiPriority w:val="0"/>
    <w:pPr>
      <w:keepNext/>
      <w:keepLines/>
      <w:widowControl/>
      <w:spacing w:before="240" w:after="64" w:line="317" w:lineRule="auto"/>
      <w:jc w:val="left"/>
      <w:outlineLvl w:val="5"/>
    </w:pPr>
    <w:rPr>
      <w:rFonts w:ascii="Arial" w:hAnsi="Arial" w:eastAsia="黑体"/>
      <w:b/>
      <w:kern w:val="0"/>
      <w:sz w:val="24"/>
    </w:rPr>
  </w:style>
  <w:style w:type="paragraph" w:styleId="6">
    <w:name w:val="heading 7"/>
    <w:basedOn w:val="1"/>
    <w:next w:val="1"/>
    <w:autoRedefine/>
    <w:qFormat/>
    <w:uiPriority w:val="0"/>
    <w:pPr>
      <w:keepNext/>
      <w:keepLines/>
      <w:widowControl/>
      <w:spacing w:before="240" w:after="64" w:line="317" w:lineRule="auto"/>
      <w:jc w:val="left"/>
      <w:outlineLvl w:val="6"/>
    </w:pPr>
    <w:rPr>
      <w:b/>
      <w:kern w:val="0"/>
      <w:sz w:val="24"/>
    </w:rPr>
  </w:style>
  <w:style w:type="paragraph" w:styleId="7">
    <w:name w:val="heading 8"/>
    <w:basedOn w:val="1"/>
    <w:next w:val="1"/>
    <w:autoRedefine/>
    <w:qFormat/>
    <w:uiPriority w:val="0"/>
    <w:pPr>
      <w:keepNext/>
      <w:keepLines/>
      <w:widowControl/>
      <w:spacing w:before="240" w:after="64" w:line="317" w:lineRule="auto"/>
      <w:jc w:val="left"/>
      <w:outlineLvl w:val="7"/>
    </w:pPr>
    <w:rPr>
      <w:rFonts w:ascii="Arial" w:hAnsi="Arial" w:eastAsia="黑体"/>
      <w:kern w:val="0"/>
      <w:sz w:val="24"/>
    </w:rPr>
  </w:style>
  <w:style w:type="paragraph" w:styleId="8">
    <w:name w:val="heading 9"/>
    <w:basedOn w:val="1"/>
    <w:next w:val="1"/>
    <w:autoRedefine/>
    <w:qFormat/>
    <w:uiPriority w:val="0"/>
    <w:pPr>
      <w:keepNext/>
      <w:keepLines/>
      <w:widowControl/>
      <w:spacing w:before="240" w:after="64" w:line="317" w:lineRule="auto"/>
      <w:jc w:val="left"/>
      <w:outlineLvl w:val="8"/>
    </w:pPr>
    <w:rPr>
      <w:rFonts w:ascii="Arial" w:hAnsi="Arial" w:eastAsia="黑体"/>
      <w:kern w:val="0"/>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9">
    <w:name w:val="annotation text"/>
    <w:basedOn w:val="1"/>
    <w:autoRedefine/>
    <w:qFormat/>
    <w:uiPriority w:val="0"/>
    <w:pPr>
      <w:jc w:val="left"/>
    </w:pPr>
  </w:style>
  <w:style w:type="paragraph" w:styleId="10">
    <w:name w:val="Salutation"/>
    <w:basedOn w:val="1"/>
    <w:next w:val="1"/>
    <w:autoRedefine/>
    <w:qFormat/>
    <w:uiPriority w:val="0"/>
  </w:style>
  <w:style w:type="paragraph" w:styleId="11">
    <w:name w:val="Body Text"/>
    <w:basedOn w:val="1"/>
    <w:autoRedefine/>
    <w:qFormat/>
    <w:uiPriority w:val="0"/>
    <w:rPr>
      <w:sz w:val="28"/>
    </w:rPr>
  </w:style>
  <w:style w:type="paragraph" w:styleId="12">
    <w:name w:val="Body Text Indent"/>
    <w:basedOn w:val="1"/>
    <w:autoRedefine/>
    <w:qFormat/>
    <w:uiPriority w:val="0"/>
    <w:pPr>
      <w:ind w:left="178" w:leftChars="85"/>
    </w:pPr>
    <w:rPr>
      <w:sz w:val="28"/>
    </w:rPr>
  </w:style>
  <w:style w:type="paragraph" w:styleId="13">
    <w:name w:val="toc 3"/>
    <w:basedOn w:val="1"/>
    <w:next w:val="1"/>
    <w:autoRedefine/>
    <w:unhideWhenUsed/>
    <w:qFormat/>
    <w:uiPriority w:val="39"/>
    <w:pPr>
      <w:tabs>
        <w:tab w:val="left" w:pos="1470"/>
        <w:tab w:val="right" w:leader="dot" w:pos="10263"/>
      </w:tabs>
      <w:ind w:left="840" w:leftChars="400"/>
    </w:pPr>
  </w:style>
  <w:style w:type="paragraph" w:styleId="14">
    <w:name w:val="Plain Text"/>
    <w:basedOn w:val="1"/>
    <w:autoRedefine/>
    <w:qFormat/>
    <w:uiPriority w:val="0"/>
    <w:rPr>
      <w:rFonts w:ascii="宋体" w:hAnsi="Courier New"/>
    </w:rPr>
  </w:style>
  <w:style w:type="paragraph" w:styleId="15">
    <w:name w:val="Date"/>
    <w:basedOn w:val="1"/>
    <w:next w:val="1"/>
    <w:autoRedefine/>
    <w:qFormat/>
    <w:uiPriority w:val="0"/>
    <w:pPr>
      <w:ind w:left="100" w:leftChars="2500"/>
    </w:pPr>
    <w:rPr>
      <w:rFonts w:ascii="宋体" w:hAnsi="宋体"/>
      <w:sz w:val="28"/>
    </w:rPr>
  </w:style>
  <w:style w:type="paragraph" w:styleId="16">
    <w:name w:val="Body Text Indent 2"/>
    <w:basedOn w:val="1"/>
    <w:autoRedefine/>
    <w:qFormat/>
    <w:uiPriority w:val="0"/>
    <w:pPr>
      <w:ind w:left="360"/>
    </w:pPr>
    <w:rPr>
      <w:sz w:val="28"/>
    </w:rPr>
  </w:style>
  <w:style w:type="paragraph" w:styleId="17">
    <w:name w:val="Balloon Text"/>
    <w:basedOn w:val="1"/>
    <w:autoRedefine/>
    <w:qFormat/>
    <w:uiPriority w:val="0"/>
    <w:rPr>
      <w:sz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Body Text Indent 3"/>
    <w:basedOn w:val="1"/>
    <w:autoRedefine/>
    <w:qFormat/>
    <w:uiPriority w:val="0"/>
    <w:pPr>
      <w:ind w:firstLine="358" w:firstLineChars="128"/>
    </w:pPr>
    <w:rPr>
      <w:sz w:val="28"/>
    </w:rPr>
  </w:style>
  <w:style w:type="paragraph" w:styleId="21">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9"/>
    <w:next w:val="9"/>
    <w:autoRedefine/>
    <w:qFormat/>
    <w:uiPriority w:val="0"/>
    <w:rPr>
      <w:b/>
    </w:rPr>
  </w:style>
  <w:style w:type="paragraph" w:styleId="23">
    <w:name w:val="Body Text First Indent"/>
    <w:basedOn w:val="11"/>
    <w:autoRedefine/>
    <w:qFormat/>
    <w:uiPriority w:val="0"/>
    <w:pPr>
      <w:spacing w:after="120" w:line="240" w:lineRule="auto"/>
      <w:ind w:left="0" w:right="0" w:firstLine="420" w:firstLineChars="100"/>
    </w:pPr>
    <w:rPr>
      <w:kern w:val="2"/>
      <w:sz w:val="21"/>
      <w:szCs w:val="24"/>
    </w:rPr>
  </w:style>
  <w:style w:type="table" w:styleId="25">
    <w:name w:val="Table Grid"/>
    <w:basedOn w:val="24"/>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single"/>
    </w:rPr>
  </w:style>
  <w:style w:type="character" w:styleId="30">
    <w:name w:val="Emphasis"/>
    <w:basedOn w:val="26"/>
    <w:autoRedefine/>
    <w:qFormat/>
    <w:uiPriority w:val="0"/>
    <w:rPr>
      <w:i/>
    </w:rPr>
  </w:style>
  <w:style w:type="character" w:styleId="31">
    <w:name w:val="Hyperlink"/>
    <w:basedOn w:val="26"/>
    <w:autoRedefine/>
    <w:qFormat/>
    <w:uiPriority w:val="99"/>
    <w:rPr>
      <w:color w:val="0000FF"/>
      <w:u w:val="single"/>
    </w:rPr>
  </w:style>
  <w:style w:type="character" w:styleId="32">
    <w:name w:val="annotation reference"/>
    <w:basedOn w:val="26"/>
    <w:autoRedefine/>
    <w:qFormat/>
    <w:uiPriority w:val="0"/>
    <w:rPr>
      <w:sz w:val="21"/>
    </w:rPr>
  </w:style>
  <w:style w:type="paragraph" w:customStyle="1" w:styleId="33">
    <w:name w:val="Char"/>
    <w:basedOn w:val="1"/>
    <w:autoRedefine/>
    <w:qFormat/>
    <w:uiPriority w:val="0"/>
    <w:pPr>
      <w:spacing w:line="240" w:lineRule="atLeast"/>
      <w:ind w:left="420" w:firstLine="420"/>
    </w:pPr>
  </w:style>
  <w:style w:type="paragraph" w:customStyle="1" w:styleId="34">
    <w:name w:val="默认段落字体 Para Char"/>
    <w:basedOn w:val="1"/>
    <w:autoRedefine/>
    <w:qFormat/>
    <w:uiPriority w:val="0"/>
    <w:pPr>
      <w:tabs>
        <w:tab w:val="left" w:pos="360"/>
        <w:tab w:val="left" w:pos="1008"/>
      </w:tabs>
      <w:ind w:left="420" w:hanging="420"/>
    </w:pPr>
  </w:style>
  <w:style w:type="paragraph" w:customStyle="1" w:styleId="35">
    <w:name w:val="+正文"/>
    <w:basedOn w:val="1"/>
    <w:autoRedefine/>
    <w:qFormat/>
    <w:uiPriority w:val="0"/>
    <w:pPr>
      <w:spacing w:line="360" w:lineRule="auto"/>
      <w:ind w:firstLine="200" w:firstLineChars="200"/>
    </w:pPr>
    <w:rPr>
      <w:sz w:val="24"/>
    </w:rPr>
  </w:style>
  <w:style w:type="paragraph" w:customStyle="1" w:styleId="36">
    <w:name w:val="Char1"/>
    <w:basedOn w:val="1"/>
    <w:autoRedefine/>
    <w:qFormat/>
    <w:uiPriority w:val="0"/>
    <w:pPr>
      <w:spacing w:line="240" w:lineRule="atLeast"/>
      <w:ind w:left="420" w:firstLine="420"/>
    </w:pPr>
  </w:style>
  <w:style w:type="paragraph" w:customStyle="1" w:styleId="37">
    <w:name w:val="Definition Term"/>
    <w:basedOn w:val="1"/>
    <w:autoRedefine/>
    <w:qFormat/>
    <w:uiPriority w:val="0"/>
  </w:style>
  <w:style w:type="paragraph" w:customStyle="1" w:styleId="38">
    <w:name w:val="表格内文字"/>
    <w:basedOn w:val="11"/>
    <w:autoRedefine/>
    <w:qFormat/>
    <w:uiPriority w:val="0"/>
    <w:pPr>
      <w:spacing w:line="320" w:lineRule="exact"/>
      <w:ind w:firstLine="200" w:firstLineChars="200"/>
      <w:jc w:val="center"/>
    </w:pPr>
    <w:rPr>
      <w:spacing w:val="10"/>
    </w:rPr>
  </w:style>
  <w:style w:type="character" w:customStyle="1" w:styleId="39">
    <w:name w:val="font11"/>
    <w:basedOn w:val="26"/>
    <w:autoRedefine/>
    <w:qFormat/>
    <w:uiPriority w:val="0"/>
    <w:rPr>
      <w:rFonts w:hint="eastAsia" w:ascii="宋体" w:hAnsi="宋体" w:eastAsia="宋体" w:cs="宋体"/>
      <w:color w:val="000000"/>
      <w:sz w:val="24"/>
      <w:szCs w:val="24"/>
      <w:u w:val="none"/>
    </w:rPr>
  </w:style>
  <w:style w:type="character" w:customStyle="1" w:styleId="40">
    <w:name w:val="font01"/>
    <w:basedOn w:val="26"/>
    <w:autoRedefine/>
    <w:qFormat/>
    <w:uiPriority w:val="0"/>
    <w:rPr>
      <w:rFonts w:hint="eastAsia" w:ascii="宋体" w:hAnsi="宋体" w:eastAsia="宋体" w:cs="宋体"/>
      <w:color w:val="000000"/>
      <w:sz w:val="24"/>
      <w:szCs w:val="24"/>
      <w:u w:val="single"/>
    </w:rPr>
  </w:style>
  <w:style w:type="paragraph" w:customStyle="1" w:styleId="41">
    <w:name w:val="TOC Heading"/>
    <w:basedOn w:val="2"/>
    <w:next w:val="1"/>
    <w:autoRedefine/>
    <w:unhideWhenUsed/>
    <w:qFormat/>
    <w:uiPriority w:val="39"/>
    <w:pPr>
      <w:keepLines/>
      <w:widowControl/>
      <w:numPr>
        <w:ilvl w:val="0"/>
        <w:numId w:val="0"/>
      </w:numPr>
      <w:tabs>
        <w:tab w:val="clear" w:pos="720"/>
        <w:tab w:val="clear" w:pos="2400"/>
      </w:tabs>
      <w:spacing w:before="480" w:line="276" w:lineRule="auto"/>
      <w:jc w:val="left"/>
      <w:outlineLvl w:val="9"/>
    </w:pPr>
    <w:rPr>
      <w:rFonts w:asciiTheme="majorHAnsi" w:hAnsiTheme="majorHAnsi" w:eastAsiaTheme="majorEastAsia" w:cstheme="majorBidi"/>
      <w:b/>
      <w:bCs/>
      <w:color w:val="376092" w:themeColor="accent1" w:themeShade="BF"/>
      <w:kern w:val="0"/>
      <w:szCs w:val="28"/>
    </w:rPr>
  </w:style>
  <w:style w:type="paragraph" w:customStyle="1" w:styleId="42">
    <w:name w:val="List Paragraph"/>
    <w:basedOn w:val="1"/>
    <w:autoRedefine/>
    <w:unhideWhenUsed/>
    <w:qFormat/>
    <w:uiPriority w:val="99"/>
    <w:pPr>
      <w:ind w:firstLine="420" w:firstLineChars="200"/>
    </w:pPr>
  </w:style>
  <w:style w:type="paragraph" w:customStyle="1" w:styleId="43">
    <w:name w:val="列出段落2"/>
    <w:basedOn w:val="1"/>
    <w:autoRedefine/>
    <w:unhideWhenUsed/>
    <w:qFormat/>
    <w:uiPriority w:val="99"/>
    <w:pPr>
      <w:ind w:firstLine="420" w:firstLineChars="200"/>
    </w:pPr>
  </w:style>
  <w:style w:type="paragraph" w:customStyle="1" w:styleId="44">
    <w:name w:val="_Style 14"/>
    <w:basedOn w:val="1"/>
    <w:autoRedefine/>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4636A-89EE-48DE-8D7F-EA6BB5F81BD5}">
  <ds:schemaRefs/>
</ds:datastoreItem>
</file>

<file path=docProps/app.xml><?xml version="1.0" encoding="utf-8"?>
<Properties xmlns="http://schemas.openxmlformats.org/officeDocument/2006/extended-properties" xmlns:vt="http://schemas.openxmlformats.org/officeDocument/2006/docPropsVTypes">
  <Template>Normal.dotm</Template>
  <Company>Build: 120618  By: Dee</Company>
  <Pages>3</Pages>
  <Words>4206</Words>
  <Characters>4311</Characters>
  <Lines>28</Lines>
  <Paragraphs>8</Paragraphs>
  <TotalTime>46</TotalTime>
  <ScaleCrop>false</ScaleCrop>
  <LinksUpToDate>false</LinksUpToDate>
  <CharactersWithSpaces>5313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2016-03-18T04:32:00Z</dcterms:created>
  <dc:creator>dick</dc:creator>
  <cp:lastModifiedBy>招采中心2</cp:lastModifiedBy>
  <cp:lastPrinted>2022-10-20T08:51:00Z</cp:lastPrinted>
  <dcterms:modified xsi:type="dcterms:W3CDTF">2024-04-26T09:11:52Z</dcterms:modified>
  <dc:title>广东南峰房地产有限公司工程物质采购</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55E6A02579F845B3A39CF5FE238DBDAE_13</vt:lpwstr>
  </property>
</Properties>
</file>